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2.xml" ContentType="application/vnd.openxmlformats-officedocument.wordprocessingml.header+xml"/>
  <Override PartName="/word/footer12.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9F1B7" w14:textId="77777777" w:rsidR="00C24781" w:rsidRPr="00EA18EF" w:rsidRDefault="00055C7A"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8188268"/>
      <w:r w:rsidRPr="00EA18EF">
        <w:rPr>
          <w:rFonts w:ascii="Times New Roman" w:hAnsi="Times New Roman" w:cs="Times New Roman"/>
          <w:b/>
          <w:color w:val="FFFFFF" w:themeColor="background1"/>
          <w:sz w:val="24"/>
        </w:rPr>
        <w:t xml:space="preserve">Se </w:t>
      </w:r>
      <w:r w:rsidR="00FD6C71" w:rsidRPr="00EA18EF">
        <w:rPr>
          <w:rFonts w:ascii="Times New Roman" w:hAnsi="Times New Roman" w:cs="Times New Roman"/>
          <w:b/>
          <w:color w:val="FFFFFF" w:themeColor="background1"/>
          <w:sz w:val="24"/>
        </w:rPr>
        <w:t>reporta défic</w:t>
      </w:r>
      <w:r w:rsidR="005419C5" w:rsidRPr="00EA18EF">
        <w:rPr>
          <w:rFonts w:ascii="Times New Roman" w:hAnsi="Times New Roman" w:cs="Times New Roman"/>
          <w:b/>
          <w:color w:val="FFFFFF" w:themeColor="background1"/>
          <w:sz w:val="24"/>
        </w:rPr>
        <w:t>it</w:t>
      </w:r>
      <w:r w:rsidR="00C24781" w:rsidRPr="00EA18EF">
        <w:rPr>
          <w:rFonts w:ascii="Times New Roman" w:hAnsi="Times New Roman" w:cs="Times New Roman"/>
          <w:b/>
          <w:color w:val="FFFFFF" w:themeColor="background1"/>
          <w:sz w:val="24"/>
        </w:rPr>
        <w:t xml:space="preserve"> fiscal</w:t>
      </w:r>
      <w:r w:rsidR="00FD6C71" w:rsidRPr="00EA18EF">
        <w:rPr>
          <w:rFonts w:ascii="Times New Roman" w:hAnsi="Times New Roman" w:cs="Times New Roman"/>
          <w:b/>
          <w:color w:val="FFFFFF" w:themeColor="background1"/>
          <w:sz w:val="24"/>
        </w:rPr>
        <w:t xml:space="preserve"> por </w:t>
      </w:r>
      <w:r w:rsidRPr="00EA18EF">
        <w:rPr>
          <w:rFonts w:ascii="Times New Roman" w:hAnsi="Times New Roman" w:cs="Times New Roman"/>
          <w:b/>
          <w:color w:val="FFFFFF" w:themeColor="background1"/>
          <w:sz w:val="24"/>
        </w:rPr>
        <w:t>l</w:t>
      </w:r>
      <w:r w:rsidR="00FD6C71" w:rsidRPr="00EA18EF">
        <w:rPr>
          <w:rFonts w:ascii="Times New Roman" w:hAnsi="Times New Roman" w:cs="Times New Roman"/>
          <w:b/>
          <w:color w:val="FFFFFF" w:themeColor="background1"/>
          <w:sz w:val="24"/>
        </w:rPr>
        <w:t>a</w:t>
      </w:r>
      <w:r w:rsidRPr="00EA18EF">
        <w:rPr>
          <w:rFonts w:ascii="Times New Roman" w:hAnsi="Times New Roman" w:cs="Times New Roman"/>
          <w:b/>
          <w:color w:val="FFFFFF" w:themeColor="background1"/>
          <w:sz w:val="24"/>
        </w:rPr>
        <w:t xml:space="preserve"> </w:t>
      </w:r>
      <w:r w:rsidR="00FD6C71" w:rsidRPr="00EA18EF">
        <w:rPr>
          <w:rFonts w:ascii="Times New Roman" w:hAnsi="Times New Roman" w:cs="Times New Roman"/>
          <w:b/>
          <w:color w:val="FFFFFF" w:themeColor="background1"/>
          <w:sz w:val="24"/>
        </w:rPr>
        <w:t>ejecución de los programas de emergencia</w:t>
      </w:r>
    </w:p>
    <w:bookmarkEnd w:id="0"/>
    <w:p w14:paraId="1C0AD3B2" w14:textId="77777777" w:rsidR="00C24781" w:rsidRPr="005334BA" w:rsidRDefault="00C24781" w:rsidP="00960BE9">
      <w:pPr>
        <w:spacing w:after="0"/>
        <w:rPr>
          <w:rFonts w:ascii="Times New Roman" w:hAnsi="Times New Roman" w:cs="Times New Roman"/>
          <w:color w:val="FF0000"/>
          <w:sz w:val="24"/>
        </w:rPr>
      </w:pPr>
    </w:p>
    <w:p w14:paraId="666821D0" w14:textId="77777777" w:rsidR="00960BE9" w:rsidRPr="005334BA" w:rsidRDefault="00960BE9" w:rsidP="00960BE9">
      <w:pPr>
        <w:spacing w:after="0"/>
        <w:rPr>
          <w:rFonts w:ascii="Times New Roman" w:hAnsi="Times New Roman" w:cs="Times New Roman"/>
          <w:color w:val="FF0000"/>
          <w:sz w:val="18"/>
        </w:rPr>
        <w:sectPr w:rsidR="00960BE9" w:rsidRPr="005334BA">
          <w:headerReference w:type="default" r:id="rId8"/>
          <w:footerReference w:type="default" r:id="rId9"/>
          <w:pgSz w:w="12240" w:h="15840"/>
          <w:pgMar w:top="1417" w:right="1701" w:bottom="1417" w:left="1701" w:header="708" w:footer="708" w:gutter="0"/>
          <w:cols w:space="708"/>
          <w:docGrid w:linePitch="360"/>
        </w:sectPr>
      </w:pPr>
    </w:p>
    <w:p w14:paraId="7DDA5F60" w14:textId="72890988" w:rsidR="00EA18EF" w:rsidRPr="00FF3142" w:rsidRDefault="00EA18EF" w:rsidP="00EA18EF">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déficit fiscal al 31 de julio de 2022 en </w:t>
      </w:r>
      <w:r w:rsidRPr="00FF3142">
        <w:rPr>
          <w:rFonts w:ascii="Times New Roman" w:hAnsi="Times New Roman" w:cs="Times New Roman"/>
          <w:lang w:val="es-MX"/>
        </w:rPr>
        <w:t>Q</w:t>
      </w:r>
      <w:r w:rsidR="00DC3A4C">
        <w:rPr>
          <w:rFonts w:ascii="Times New Roman" w:hAnsi="Times New Roman" w:cs="Times New Roman"/>
          <w:lang w:val="es-MX"/>
        </w:rPr>
        <w:t>573</w:t>
      </w:r>
      <w:r w:rsidRPr="00FF3142">
        <w:rPr>
          <w:rFonts w:ascii="Times New Roman" w:hAnsi="Times New Roman" w:cs="Times New Roman"/>
          <w:lang w:val="es-MX"/>
        </w:rPr>
        <w:t>.</w:t>
      </w:r>
      <w:r w:rsidR="00DC3A4C">
        <w:rPr>
          <w:rFonts w:ascii="Times New Roman" w:hAnsi="Times New Roman" w:cs="Times New Roman"/>
          <w:lang w:val="es-MX"/>
        </w:rPr>
        <w:t>5</w:t>
      </w:r>
      <w:r w:rsidRPr="00FF3142">
        <w:rPr>
          <w:rFonts w:ascii="Times New Roman" w:hAnsi="Times New Roman" w:cs="Times New Roman"/>
          <w:lang w:val="es-MX"/>
        </w:rPr>
        <w:t xml:space="preserve"> millones. En los años anteriores (2019-2021), a la misma fecha también se reportaba déficit fiscal, aunque mayor al reportado en el presente año. </w:t>
      </w:r>
    </w:p>
    <w:p w14:paraId="3D89E926" w14:textId="77777777" w:rsidR="00EA18EF" w:rsidRPr="00FF3142" w:rsidRDefault="00EA18EF" w:rsidP="00EA18EF">
      <w:pPr>
        <w:pStyle w:val="Sinespaciado"/>
        <w:jc w:val="both"/>
        <w:rPr>
          <w:rFonts w:ascii="Times New Roman" w:hAnsi="Times New Roman" w:cs="Times New Roman"/>
          <w:lang w:val="es-MX"/>
        </w:rPr>
      </w:pPr>
    </w:p>
    <w:p w14:paraId="6EC239A2" w14:textId="77777777" w:rsidR="00EA18EF" w:rsidRPr="00FF3142" w:rsidRDefault="00EA18EF" w:rsidP="00EA18EF">
      <w:pPr>
        <w:pStyle w:val="Sinespaciado"/>
        <w:jc w:val="both"/>
        <w:rPr>
          <w:rFonts w:ascii="Times New Roman" w:hAnsi="Times New Roman" w:cs="Times New Roman"/>
          <w:lang w:val="es-MX"/>
        </w:rPr>
      </w:pPr>
      <w:r w:rsidRPr="00FF3142">
        <w:rPr>
          <w:rFonts w:ascii="Times New Roman" w:hAnsi="Times New Roman" w:cs="Times New Roman"/>
          <w:lang w:val="es-MX"/>
        </w:rPr>
        <w:t>El resultado en 2022 es explicado por el buen desempeño de la recaudación tributaria permitiendo que la brecha respecto a la meta establecida se amplíe y siendo superada por séptimo mes consecutivo, en especial al cierre de julio se observa que la brecha se amplió de forma considerable como resultado del dinamismo en el IVA importaciones y el Impuesto sobre la Renta.</w:t>
      </w:r>
    </w:p>
    <w:p w14:paraId="2C29EC18" w14:textId="77777777" w:rsidR="00EA18EF" w:rsidRPr="00FF3142" w:rsidRDefault="00EA18EF" w:rsidP="00EA18EF">
      <w:pPr>
        <w:pStyle w:val="Sinespaciado"/>
        <w:jc w:val="both"/>
        <w:rPr>
          <w:rFonts w:ascii="Times New Roman" w:hAnsi="Times New Roman" w:cs="Times New Roman"/>
          <w:lang w:val="es-MX"/>
        </w:rPr>
      </w:pPr>
      <w:r w:rsidRPr="00FF3142">
        <w:rPr>
          <w:rFonts w:ascii="Times New Roman" w:hAnsi="Times New Roman" w:cs="Times New Roman"/>
          <w:lang w:val="es-MX"/>
        </w:rPr>
        <w:t xml:space="preserve"> </w:t>
      </w:r>
    </w:p>
    <w:p w14:paraId="5F533274" w14:textId="77777777" w:rsidR="00EA18EF" w:rsidRPr="00FF3142" w:rsidRDefault="00EA18EF" w:rsidP="00EA18EF">
      <w:pPr>
        <w:pStyle w:val="Sinespaciado"/>
        <w:jc w:val="both"/>
        <w:rPr>
          <w:rFonts w:ascii="Times New Roman" w:hAnsi="Times New Roman" w:cs="Times New Roman"/>
          <w:lang w:val="es-MX"/>
        </w:rPr>
      </w:pPr>
      <w:r w:rsidRPr="00FF3142">
        <w:rPr>
          <w:rFonts w:ascii="Times New Roman" w:hAnsi="Times New Roman" w:cs="Times New Roman"/>
          <w:lang w:val="es-MX"/>
        </w:rPr>
        <w:t>Asimismo, se continúa visualizando el resultado de las medidas administrativas adoptadas por la SAT que han apoyado la recaudación aduanera y las medidas de fiscalización y control que ejercen efectos positivos en los impuestos internos.</w:t>
      </w:r>
    </w:p>
    <w:p w14:paraId="15C36EE6" w14:textId="77777777" w:rsidR="00EA18EF" w:rsidRPr="00FF3142" w:rsidRDefault="00EA18EF" w:rsidP="00EA18EF">
      <w:pPr>
        <w:pStyle w:val="Sinespaciado"/>
        <w:jc w:val="both"/>
        <w:rPr>
          <w:rFonts w:ascii="Times New Roman" w:hAnsi="Times New Roman" w:cs="Times New Roman"/>
          <w:lang w:val="es-MX"/>
        </w:rPr>
      </w:pPr>
    </w:p>
    <w:p w14:paraId="05823078" w14:textId="77777777" w:rsidR="00EA18EF" w:rsidRPr="00FF3142" w:rsidRDefault="00EA18EF" w:rsidP="00EA18EF">
      <w:pPr>
        <w:pStyle w:val="Sinespaciado"/>
        <w:jc w:val="both"/>
        <w:rPr>
          <w:rFonts w:ascii="Times New Roman" w:hAnsi="Times New Roman" w:cs="Times New Roman"/>
          <w:lang w:val="es-MX"/>
        </w:rPr>
      </w:pPr>
      <w:r w:rsidRPr="00FF3142">
        <w:rPr>
          <w:rFonts w:ascii="Times New Roman" w:hAnsi="Times New Roman" w:cs="Times New Roman"/>
          <w:lang w:val="es-MX"/>
        </w:rPr>
        <w:t>Por el lado del gasto público, existe una pequeña desaceleración en la ejecución a julio.  La ejecución del “Programa Nacional de Emergencia Conflicto Rusia-Ucrania” se ha mantenido con ímpetu especialmente por los subsidios de apoyo temporal a los combustibles y la energía eléctrica, mientras que la infraestructura estratégica aun no reporta ejecución.</w:t>
      </w:r>
    </w:p>
    <w:p w14:paraId="6E8A26EF" w14:textId="77777777" w:rsidR="00EA18EF" w:rsidRPr="00FF3142" w:rsidRDefault="00EA18EF" w:rsidP="00EA18EF">
      <w:pPr>
        <w:pStyle w:val="Sinespaciado"/>
        <w:jc w:val="both"/>
        <w:rPr>
          <w:rFonts w:ascii="Times New Roman" w:hAnsi="Times New Roman" w:cs="Times New Roman"/>
          <w:lang w:val="es-MX"/>
        </w:rPr>
      </w:pPr>
    </w:p>
    <w:p w14:paraId="127957FD" w14:textId="77777777" w:rsidR="00960BE9" w:rsidRPr="005334BA" w:rsidRDefault="00960BE9" w:rsidP="00FD6C71">
      <w:pPr>
        <w:pStyle w:val="Sinespaciado"/>
        <w:jc w:val="both"/>
        <w:rPr>
          <w:rFonts w:ascii="Times New Roman" w:hAnsi="Times New Roman" w:cs="Times New Roman"/>
          <w:color w:val="FF0000"/>
          <w:lang w:val="es-MX"/>
        </w:rPr>
        <w:sectPr w:rsidR="00960BE9" w:rsidRPr="005334BA" w:rsidSect="00C24781">
          <w:type w:val="continuous"/>
          <w:pgSz w:w="12240" w:h="15840"/>
          <w:pgMar w:top="1417" w:right="1701" w:bottom="1417" w:left="1701" w:header="708" w:footer="708" w:gutter="0"/>
          <w:cols w:num="2" w:space="708"/>
          <w:docGrid w:linePitch="360"/>
        </w:sectPr>
      </w:pPr>
    </w:p>
    <w:p w14:paraId="54313217" w14:textId="77777777" w:rsidR="00960BE9" w:rsidRPr="00586547" w:rsidRDefault="00960BE9" w:rsidP="00960BE9">
      <w:pPr>
        <w:spacing w:after="0"/>
        <w:rPr>
          <w:rFonts w:ascii="Times New Roman" w:hAnsi="Times New Roman" w:cs="Times New Roman"/>
          <w:sz w:val="16"/>
        </w:rPr>
        <w:sectPr w:rsidR="00960BE9" w:rsidRPr="00586547"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7E5B8A7F" w14:textId="77777777" w:rsidR="00C66E5B" w:rsidRPr="00586547" w:rsidRDefault="00960BE9" w:rsidP="00960BE9">
      <w:pPr>
        <w:pStyle w:val="Sinespaciado"/>
        <w:jc w:val="center"/>
        <w:rPr>
          <w:rFonts w:ascii="Times New Roman" w:hAnsi="Times New Roman" w:cs="Times New Roman"/>
          <w:b/>
          <w:sz w:val="24"/>
          <w:lang w:val="es-MX"/>
        </w:rPr>
      </w:pPr>
      <w:r w:rsidRPr="00586547">
        <w:rPr>
          <w:rFonts w:ascii="Times New Roman" w:hAnsi="Times New Roman" w:cs="Times New Roman"/>
          <w:b/>
          <w:sz w:val="24"/>
          <w:lang w:val="es-MX"/>
        </w:rPr>
        <w:t>Resultado Presupuestario</w:t>
      </w:r>
    </w:p>
    <w:p w14:paraId="18DD2ACB" w14:textId="77777777" w:rsidR="00960BE9" w:rsidRPr="00586547" w:rsidRDefault="00960BE9" w:rsidP="00960BE9">
      <w:pPr>
        <w:pStyle w:val="Sinespaciado"/>
        <w:jc w:val="center"/>
        <w:rPr>
          <w:rFonts w:ascii="Times New Roman" w:hAnsi="Times New Roman" w:cs="Times New Roman"/>
          <w:lang w:val="es-MX"/>
        </w:rPr>
      </w:pPr>
      <w:r w:rsidRPr="00586547">
        <w:rPr>
          <w:rFonts w:ascii="Times New Roman" w:hAnsi="Times New Roman" w:cs="Times New Roman"/>
          <w:lang w:val="es-MX"/>
        </w:rPr>
        <w:t>Cifras en millones de quetzales</w:t>
      </w:r>
    </w:p>
    <w:p w14:paraId="77BF5C93" w14:textId="4043CA0F" w:rsidR="00960BE9" w:rsidRPr="00586547" w:rsidRDefault="00960BE9" w:rsidP="00960BE9">
      <w:pPr>
        <w:pStyle w:val="Sinespaciado"/>
        <w:jc w:val="center"/>
        <w:rPr>
          <w:rFonts w:ascii="Times New Roman" w:hAnsi="Times New Roman" w:cs="Times New Roman"/>
          <w:lang w:val="es-MX"/>
        </w:rPr>
      </w:pPr>
      <w:r w:rsidRPr="00586547">
        <w:rPr>
          <w:rFonts w:ascii="Times New Roman" w:hAnsi="Times New Roman" w:cs="Times New Roman"/>
          <w:lang w:val="es-MX"/>
        </w:rPr>
        <w:t>Al</w:t>
      </w:r>
      <w:r w:rsidR="00586547" w:rsidRPr="00586547">
        <w:rPr>
          <w:rFonts w:ascii="Times New Roman" w:hAnsi="Times New Roman" w:cs="Times New Roman"/>
          <w:lang w:val="es-MX"/>
        </w:rPr>
        <w:t xml:space="preserve"> 31</w:t>
      </w:r>
      <w:r w:rsidRPr="00586547">
        <w:rPr>
          <w:rFonts w:ascii="Times New Roman" w:hAnsi="Times New Roman" w:cs="Times New Roman"/>
          <w:lang w:val="es-MX"/>
        </w:rPr>
        <w:t xml:space="preserve"> de </w:t>
      </w:r>
      <w:r w:rsidR="00586547" w:rsidRPr="00586547">
        <w:rPr>
          <w:rFonts w:ascii="Times New Roman" w:hAnsi="Times New Roman" w:cs="Times New Roman"/>
          <w:lang w:val="es-MX"/>
        </w:rPr>
        <w:t>jul</w:t>
      </w:r>
      <w:r w:rsidR="00FD6C71" w:rsidRPr="00586547">
        <w:rPr>
          <w:rFonts w:ascii="Times New Roman" w:hAnsi="Times New Roman" w:cs="Times New Roman"/>
          <w:lang w:val="es-MX"/>
        </w:rPr>
        <w:t>io</w:t>
      </w:r>
      <w:r w:rsidRPr="00586547">
        <w:rPr>
          <w:rFonts w:ascii="Times New Roman" w:hAnsi="Times New Roman" w:cs="Times New Roman"/>
          <w:lang w:val="es-MX"/>
        </w:rPr>
        <w:t xml:space="preserve"> de cada año</w:t>
      </w:r>
    </w:p>
    <w:p w14:paraId="034F6167" w14:textId="4E4E1836" w:rsidR="00283D03" w:rsidRPr="00DC3A4C" w:rsidRDefault="00DC3A4C" w:rsidP="00960BE9">
      <w:pPr>
        <w:pStyle w:val="Sinespaciado"/>
        <w:jc w:val="center"/>
        <w:rPr>
          <w:rFonts w:ascii="Times New Roman" w:hAnsi="Times New Roman" w:cs="Times New Roman"/>
          <w:lang w:val="es-MX"/>
        </w:rPr>
      </w:pPr>
      <w:r>
        <w:rPr>
          <w:noProof/>
        </w:rPr>
        <w:drawing>
          <wp:inline distT="0" distB="0" distL="0" distR="0" wp14:anchorId="2503A2DD" wp14:editId="2CA9BF67">
            <wp:extent cx="5612130" cy="2623820"/>
            <wp:effectExtent l="0" t="0" r="7620" b="5080"/>
            <wp:docPr id="9" name="Gráfico 9">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9D2F40" w:rsidRDefault="00960BE9" w:rsidP="00960BE9">
      <w:pPr>
        <w:pStyle w:val="Sinespaciado"/>
        <w:rPr>
          <w:rFonts w:ascii="Times New Roman" w:hAnsi="Times New Roman" w:cs="Times New Roman"/>
          <w:sz w:val="18"/>
          <w:szCs w:val="18"/>
          <w:lang w:val="es-MX"/>
        </w:rPr>
      </w:pPr>
      <w:r w:rsidRPr="00586547">
        <w:rPr>
          <w:rFonts w:ascii="Times New Roman" w:hAnsi="Times New Roman" w:cs="Times New Roman"/>
          <w:sz w:val="18"/>
          <w:szCs w:val="18"/>
          <w:lang w:val="es-MX"/>
        </w:rPr>
        <w:t>Fuente: Dirección de Análisis y Política Fiscal.</w:t>
      </w:r>
    </w:p>
    <w:p w14:paraId="4D5B16DF" w14:textId="0C3BBB9F" w:rsidR="00FD6C71" w:rsidRPr="005334BA" w:rsidRDefault="00FD6C71" w:rsidP="00960BE9">
      <w:pPr>
        <w:pStyle w:val="Sinespaciado"/>
        <w:rPr>
          <w:rFonts w:ascii="Times New Roman" w:hAnsi="Times New Roman" w:cs="Times New Roman"/>
          <w:color w:val="FF0000"/>
          <w:sz w:val="18"/>
          <w:szCs w:val="18"/>
          <w:lang w:val="es-MX"/>
        </w:rPr>
      </w:pPr>
    </w:p>
    <w:p w14:paraId="3A8949AB" w14:textId="04774359" w:rsidR="00960BE9" w:rsidRPr="005334BA" w:rsidRDefault="002C0967" w:rsidP="006906B8">
      <w:pPr>
        <w:pStyle w:val="Sinespaciado"/>
        <w:shd w:val="clear" w:color="auto" w:fill="44546A" w:themeFill="text2"/>
        <w:ind w:right="-376" w:hanging="426"/>
        <w:jc w:val="center"/>
        <w:rPr>
          <w:rFonts w:ascii="Times New Roman" w:hAnsi="Times New Roman" w:cs="Times New Roman"/>
          <w:b/>
          <w:color w:val="FF0000"/>
          <w:sz w:val="24"/>
          <w:szCs w:val="24"/>
          <w:lang w:val="es-MX"/>
        </w:rPr>
      </w:pPr>
      <w:bookmarkStart w:id="1" w:name="_Hlk108188531"/>
      <w:r w:rsidRPr="009D2F40">
        <w:rPr>
          <w:rFonts w:ascii="Times New Roman" w:hAnsi="Times New Roman" w:cs="Times New Roman"/>
          <w:b/>
          <w:color w:val="FFFFFF" w:themeColor="background1"/>
          <w:sz w:val="24"/>
          <w:szCs w:val="24"/>
          <w:lang w:val="es-MX"/>
        </w:rPr>
        <w:t>L</w:t>
      </w:r>
      <w:r w:rsidR="00960BE9" w:rsidRPr="009D2F40">
        <w:rPr>
          <w:rFonts w:ascii="Times New Roman" w:hAnsi="Times New Roman" w:cs="Times New Roman"/>
          <w:b/>
          <w:color w:val="FFFFFF" w:themeColor="background1"/>
          <w:sz w:val="24"/>
          <w:szCs w:val="24"/>
          <w:lang w:val="es-MX"/>
        </w:rPr>
        <w:t xml:space="preserve">a </w:t>
      </w:r>
      <w:r w:rsidR="00015E02" w:rsidRPr="009D2F40">
        <w:rPr>
          <w:rFonts w:ascii="Times New Roman" w:hAnsi="Times New Roman" w:cs="Times New Roman"/>
          <w:b/>
          <w:color w:val="FFFFFF" w:themeColor="background1"/>
          <w:sz w:val="24"/>
          <w:szCs w:val="24"/>
          <w:lang w:val="es-MX"/>
        </w:rPr>
        <w:t>brecha de</w:t>
      </w:r>
      <w:r w:rsidR="00960BE9" w:rsidRPr="009D2F40">
        <w:rPr>
          <w:rFonts w:ascii="Times New Roman" w:hAnsi="Times New Roman" w:cs="Times New Roman"/>
          <w:b/>
          <w:color w:val="FFFFFF" w:themeColor="background1"/>
          <w:sz w:val="24"/>
          <w:szCs w:val="24"/>
          <w:lang w:val="es-MX"/>
        </w:rPr>
        <w:t xml:space="preserve"> recaudación </w:t>
      </w:r>
      <w:r w:rsidR="00D62B21" w:rsidRPr="009D2F40">
        <w:rPr>
          <w:rFonts w:ascii="Times New Roman" w:hAnsi="Times New Roman" w:cs="Times New Roman"/>
          <w:b/>
          <w:color w:val="FFFFFF" w:themeColor="background1"/>
          <w:sz w:val="24"/>
          <w:szCs w:val="24"/>
          <w:lang w:val="es-MX"/>
        </w:rPr>
        <w:t>a</w:t>
      </w:r>
      <w:r w:rsidR="00015E02" w:rsidRPr="009D2F40">
        <w:rPr>
          <w:rFonts w:ascii="Times New Roman" w:hAnsi="Times New Roman" w:cs="Times New Roman"/>
          <w:b/>
          <w:color w:val="FFFFFF" w:themeColor="background1"/>
          <w:sz w:val="24"/>
          <w:szCs w:val="24"/>
          <w:lang w:val="es-MX"/>
        </w:rPr>
        <w:t xml:space="preserve"> </w:t>
      </w:r>
      <w:r w:rsidR="009D2F40" w:rsidRPr="009D2F40">
        <w:rPr>
          <w:rFonts w:ascii="Times New Roman" w:hAnsi="Times New Roman" w:cs="Times New Roman"/>
          <w:b/>
          <w:color w:val="FFFFFF" w:themeColor="background1"/>
          <w:sz w:val="24"/>
          <w:szCs w:val="24"/>
          <w:lang w:val="es-MX"/>
        </w:rPr>
        <w:t>jul</w:t>
      </w:r>
      <w:r w:rsidR="00D62B21" w:rsidRPr="009D2F40">
        <w:rPr>
          <w:rFonts w:ascii="Times New Roman" w:hAnsi="Times New Roman" w:cs="Times New Roman"/>
          <w:b/>
          <w:color w:val="FFFFFF" w:themeColor="background1"/>
          <w:sz w:val="24"/>
          <w:szCs w:val="24"/>
          <w:lang w:val="es-MX"/>
        </w:rPr>
        <w:t>io</w:t>
      </w:r>
      <w:r w:rsidR="00015E02" w:rsidRPr="009D2F40">
        <w:rPr>
          <w:rFonts w:ascii="Times New Roman" w:hAnsi="Times New Roman" w:cs="Times New Roman"/>
          <w:b/>
          <w:color w:val="FFFFFF" w:themeColor="background1"/>
          <w:sz w:val="24"/>
          <w:szCs w:val="24"/>
          <w:lang w:val="es-MX"/>
        </w:rPr>
        <w:t xml:space="preserve"> </w:t>
      </w:r>
      <w:r w:rsidR="00A02862" w:rsidRPr="009D2F40">
        <w:rPr>
          <w:rFonts w:ascii="Times New Roman" w:hAnsi="Times New Roman" w:cs="Times New Roman"/>
          <w:b/>
          <w:color w:val="FFFFFF" w:themeColor="background1"/>
          <w:sz w:val="24"/>
          <w:szCs w:val="24"/>
          <w:lang w:val="es-MX"/>
        </w:rPr>
        <w:t>continúa ampliándose</w:t>
      </w:r>
    </w:p>
    <w:bookmarkEnd w:id="1"/>
    <w:p w14:paraId="3FDC0B19" w14:textId="77777777" w:rsidR="00960BE9" w:rsidRPr="005334BA" w:rsidRDefault="00960BE9" w:rsidP="00960BE9">
      <w:pPr>
        <w:pStyle w:val="Sinespaciado"/>
        <w:rPr>
          <w:rFonts w:ascii="Times New Roman" w:hAnsi="Times New Roman" w:cs="Times New Roman"/>
          <w:color w:val="FF0000"/>
          <w:sz w:val="18"/>
          <w:szCs w:val="18"/>
          <w:lang w:val="es-MX"/>
        </w:rPr>
      </w:pPr>
    </w:p>
    <w:p w14:paraId="77A2A016" w14:textId="77777777" w:rsidR="00960BE9" w:rsidRPr="005334BA" w:rsidRDefault="00960BE9" w:rsidP="00960BE9">
      <w:pPr>
        <w:spacing w:after="0"/>
        <w:rPr>
          <w:rFonts w:ascii="Times New Roman" w:hAnsi="Times New Roman" w:cs="Times New Roman"/>
          <w:color w:val="FF0000"/>
          <w:sz w:val="24"/>
        </w:rPr>
        <w:sectPr w:rsidR="00960BE9" w:rsidRPr="005334BA"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4FBB2EF4" w14:textId="77777777" w:rsidR="00E4580E" w:rsidRPr="00E4580E"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En julio la recaudación tributaria tuvo vencimientos importantes en el Impuesto Sobre la Renta, Impuesto de Solidaridad (tercer pago trimestral) y el vencimiento anual en el Impuesto de Circulación de Vehículos.</w:t>
      </w:r>
    </w:p>
    <w:p w14:paraId="5B051FE1" w14:textId="77777777" w:rsidR="00E4580E" w:rsidRPr="00E4580E" w:rsidRDefault="00E4580E" w:rsidP="00E4580E">
      <w:pPr>
        <w:spacing w:after="0" w:line="240" w:lineRule="auto"/>
        <w:jc w:val="both"/>
        <w:rPr>
          <w:rFonts w:ascii="Times New Roman" w:hAnsi="Times New Roman" w:cs="Times New Roman"/>
        </w:rPr>
      </w:pPr>
    </w:p>
    <w:p w14:paraId="6EA4E163" w14:textId="77777777" w:rsidR="00E4580E" w:rsidRPr="00E4580E"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 xml:space="preserve">La evolución de la recaudación tributaria total neta de julio fue de Q10,336.2 millones, </w:t>
      </w:r>
      <w:r w:rsidRPr="00E4580E">
        <w:rPr>
          <w:rFonts w:ascii="Times New Roman" w:hAnsi="Times New Roman" w:cs="Times New Roman"/>
        </w:rPr>
        <w:t xml:space="preserve">superior en Q1,619.4 millones respecto a lo establecido en la meta que se situaba en Q8,716.7 millones. </w:t>
      </w:r>
    </w:p>
    <w:p w14:paraId="46678D53" w14:textId="77777777" w:rsidR="00E4580E" w:rsidRPr="00E4580E" w:rsidRDefault="00E4580E" w:rsidP="00E4580E">
      <w:pPr>
        <w:spacing w:after="0" w:line="240" w:lineRule="auto"/>
        <w:jc w:val="both"/>
        <w:rPr>
          <w:rFonts w:ascii="Times New Roman" w:hAnsi="Times New Roman" w:cs="Times New Roman"/>
        </w:rPr>
      </w:pPr>
    </w:p>
    <w:p w14:paraId="6236467F" w14:textId="1F717509" w:rsidR="00371E68"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 xml:space="preserve">Asimismo, la recaudación tributaria total neta acumulada a julio reflejó una brecha positiva acumulada de Q7,111.2 millones respecto a la meta, siendo los impuestos que contribuyeron </w:t>
      </w:r>
      <w:r w:rsidRPr="00E4580E">
        <w:rPr>
          <w:rFonts w:ascii="Times New Roman" w:hAnsi="Times New Roman" w:cs="Times New Roman"/>
        </w:rPr>
        <w:lastRenderedPageBreak/>
        <w:t>en mayor cuantía el ISR, IVA total, ISO, Derechos Arancelarios a la Importación (DAI), Circulación de Vehículos e IPRIMA. A julio únicamente el Impuesto Sobre Circulación de Vehículos no alcanzo la meta y genera una brecha negativa acumulada de Q48.6 millones.</w:t>
      </w:r>
    </w:p>
    <w:p w14:paraId="5EA3AD83" w14:textId="77777777" w:rsidR="00E4580E" w:rsidRPr="005334BA" w:rsidRDefault="00E4580E" w:rsidP="00E4580E">
      <w:pPr>
        <w:spacing w:after="0" w:line="240" w:lineRule="auto"/>
        <w:jc w:val="both"/>
        <w:rPr>
          <w:rFonts w:ascii="Times New Roman" w:hAnsi="Times New Roman" w:cs="Times New Roman"/>
          <w:b/>
          <w:color w:val="FF0000"/>
        </w:rPr>
      </w:pPr>
    </w:p>
    <w:p w14:paraId="6A97CB2E" w14:textId="77777777" w:rsidR="009D2F40" w:rsidRPr="005E386C" w:rsidRDefault="009D2F40" w:rsidP="009D2F40">
      <w:pPr>
        <w:spacing w:after="0" w:line="240" w:lineRule="auto"/>
        <w:jc w:val="center"/>
        <w:rPr>
          <w:rFonts w:ascii="Times New Roman" w:hAnsi="Times New Roman" w:cs="Times New Roman"/>
          <w:b/>
          <w:sz w:val="24"/>
        </w:rPr>
      </w:pPr>
      <w:r w:rsidRPr="005E386C">
        <w:rPr>
          <w:rFonts w:ascii="Times New Roman" w:hAnsi="Times New Roman" w:cs="Times New Roman"/>
          <w:b/>
          <w:sz w:val="24"/>
        </w:rPr>
        <w:t>Brecha mensual de recaudación respecto a presupuesto</w:t>
      </w:r>
      <w:r>
        <w:rPr>
          <w:rFonts w:ascii="Times New Roman" w:hAnsi="Times New Roman" w:cs="Times New Roman"/>
          <w:b/>
          <w:sz w:val="24"/>
        </w:rPr>
        <w:t xml:space="preserve"> 2022</w:t>
      </w:r>
    </w:p>
    <w:p w14:paraId="5C5A8D5C" w14:textId="5A5E0C79" w:rsidR="009D2F40" w:rsidRPr="005E386C" w:rsidRDefault="009D2F40" w:rsidP="009D2F40">
      <w:pPr>
        <w:spacing w:after="0" w:line="240" w:lineRule="auto"/>
        <w:jc w:val="center"/>
        <w:rPr>
          <w:rFonts w:ascii="Times New Roman" w:hAnsi="Times New Roman" w:cs="Times New Roman"/>
          <w:bCs/>
          <w:szCs w:val="20"/>
        </w:rPr>
      </w:pPr>
      <w:r w:rsidRPr="005E386C">
        <w:rPr>
          <w:rFonts w:ascii="Times New Roman" w:hAnsi="Times New Roman" w:cs="Times New Roman"/>
          <w:bCs/>
          <w:szCs w:val="20"/>
        </w:rPr>
        <w:t>En millones de quetzales</w:t>
      </w:r>
      <w:r w:rsidR="00E4580E">
        <w:rPr>
          <w:noProof/>
        </w:rPr>
        <w:drawing>
          <wp:inline distT="0" distB="0" distL="0" distR="0" wp14:anchorId="65115F83" wp14:editId="4806B740">
            <wp:extent cx="2581275" cy="1654175"/>
            <wp:effectExtent l="0" t="0" r="0" b="317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A34815" w14:textId="43C41FBC" w:rsidR="00112F6C" w:rsidRPr="009D2F40" w:rsidRDefault="00112F6C" w:rsidP="00112F6C">
      <w:pPr>
        <w:pStyle w:val="Sinespaciado"/>
        <w:rPr>
          <w:rFonts w:ascii="Times New Roman" w:hAnsi="Times New Roman" w:cs="Times New Roman"/>
          <w:sz w:val="16"/>
          <w:szCs w:val="18"/>
          <w:lang w:val="es-MX"/>
        </w:rPr>
      </w:pPr>
      <w:r w:rsidRPr="009D2F40">
        <w:rPr>
          <w:rFonts w:ascii="Times New Roman" w:hAnsi="Times New Roman" w:cs="Times New Roman"/>
          <w:sz w:val="16"/>
          <w:szCs w:val="18"/>
          <w:lang w:val="es-MX"/>
        </w:rPr>
        <w:t>Fuente: Dirección de Análisis y Política Fiscal.</w:t>
      </w:r>
    </w:p>
    <w:p w14:paraId="731145A9" w14:textId="77777777" w:rsidR="00960BE9" w:rsidRPr="005334BA" w:rsidRDefault="00960BE9" w:rsidP="00960BE9">
      <w:pPr>
        <w:spacing w:after="0" w:line="240" w:lineRule="auto"/>
        <w:jc w:val="both"/>
        <w:rPr>
          <w:rFonts w:ascii="Times New Roman" w:hAnsi="Times New Roman" w:cs="Times New Roman"/>
          <w:color w:val="FF0000"/>
          <w:lang w:val="es-MX"/>
        </w:rPr>
      </w:pPr>
    </w:p>
    <w:p w14:paraId="3BD0D41B" w14:textId="1EA9BB77" w:rsidR="00286DB5" w:rsidRDefault="00E4580E" w:rsidP="00960BE9">
      <w:pPr>
        <w:spacing w:after="0" w:line="240" w:lineRule="auto"/>
        <w:jc w:val="both"/>
        <w:rPr>
          <w:rFonts w:ascii="Times New Roman" w:hAnsi="Times New Roman" w:cs="Times New Roman"/>
        </w:rPr>
      </w:pPr>
      <w:r w:rsidRPr="00E4580E">
        <w:rPr>
          <w:rFonts w:ascii="Times New Roman" w:hAnsi="Times New Roman" w:cs="Times New Roman"/>
        </w:rPr>
        <w:t>Las expectativas de cierre para este ejercicio 2022, considerando el esfuerzo administrativo de la SAT durante el segundo semestre, promueven el objetivo de reducir las brechas de incumplimiento, de tal cuenta se superarían los Q76,314.9 millones, que corresponden a la meta establecida en el presupuesto anual.</w:t>
      </w:r>
    </w:p>
    <w:p w14:paraId="6361E93F" w14:textId="69D8130D" w:rsidR="009D2F40" w:rsidRPr="005334BA" w:rsidRDefault="009D2F40" w:rsidP="00960BE9">
      <w:pPr>
        <w:spacing w:after="0" w:line="240" w:lineRule="auto"/>
        <w:jc w:val="both"/>
        <w:rPr>
          <w:rFonts w:ascii="Times New Roman" w:hAnsi="Times New Roman" w:cs="Times New Roman"/>
          <w:color w:val="FF0000"/>
        </w:rPr>
      </w:pPr>
    </w:p>
    <w:p w14:paraId="23DC1F0E" w14:textId="2AABF762" w:rsidR="009D2F40" w:rsidRPr="00286DB5" w:rsidRDefault="009D2F40" w:rsidP="009D2F40">
      <w:pPr>
        <w:spacing w:after="0" w:line="240" w:lineRule="auto"/>
        <w:jc w:val="center"/>
        <w:rPr>
          <w:rFonts w:ascii="Times New Roman" w:hAnsi="Times New Roman" w:cs="Times New Roman"/>
          <w:b/>
          <w:sz w:val="24"/>
        </w:rPr>
      </w:pPr>
      <w:r w:rsidRPr="00286DB5">
        <w:rPr>
          <w:rFonts w:ascii="Times New Roman" w:hAnsi="Times New Roman" w:cs="Times New Roman"/>
          <w:b/>
          <w:sz w:val="24"/>
        </w:rPr>
        <w:t xml:space="preserve">Variación de la recaudación tributaria neta acumulada de </w:t>
      </w:r>
      <w:r>
        <w:rPr>
          <w:rFonts w:ascii="Times New Roman" w:hAnsi="Times New Roman" w:cs="Times New Roman"/>
          <w:b/>
          <w:sz w:val="24"/>
        </w:rPr>
        <w:t>ju</w:t>
      </w:r>
      <w:r w:rsidR="00E4580E">
        <w:rPr>
          <w:rFonts w:ascii="Times New Roman" w:hAnsi="Times New Roman" w:cs="Times New Roman"/>
          <w:b/>
          <w:sz w:val="24"/>
        </w:rPr>
        <w:t>l</w:t>
      </w:r>
      <w:r>
        <w:rPr>
          <w:rFonts w:ascii="Times New Roman" w:hAnsi="Times New Roman" w:cs="Times New Roman"/>
          <w:b/>
          <w:sz w:val="24"/>
        </w:rPr>
        <w:t>io</w:t>
      </w:r>
    </w:p>
    <w:p w14:paraId="4EA023C1" w14:textId="7232483B" w:rsidR="009D2F40" w:rsidRPr="00286DB5" w:rsidRDefault="009D2F40" w:rsidP="009D2F40">
      <w:pPr>
        <w:spacing w:after="0" w:line="240" w:lineRule="auto"/>
        <w:jc w:val="center"/>
        <w:rPr>
          <w:rFonts w:ascii="Times New Roman" w:hAnsi="Times New Roman" w:cs="Times New Roman"/>
        </w:rPr>
      </w:pPr>
      <w:r w:rsidRPr="00286DB5">
        <w:rPr>
          <w:rFonts w:ascii="Times New Roman" w:hAnsi="Times New Roman" w:cs="Times New Roman"/>
        </w:rPr>
        <w:t>Millones de quetzales</w:t>
      </w:r>
    </w:p>
    <w:p w14:paraId="492E6069" w14:textId="6C7B5E0E" w:rsidR="009D2F40" w:rsidRDefault="00E4580E" w:rsidP="00960BE9">
      <w:pPr>
        <w:spacing w:after="0" w:line="240" w:lineRule="auto"/>
        <w:jc w:val="center"/>
        <w:rPr>
          <w:rFonts w:ascii="Times New Roman" w:hAnsi="Times New Roman" w:cs="Times New Roman"/>
          <w:color w:val="FF0000"/>
        </w:rPr>
      </w:pPr>
      <w:r>
        <w:rPr>
          <w:noProof/>
        </w:rPr>
        <w:drawing>
          <wp:inline distT="0" distB="0" distL="0" distR="0" wp14:anchorId="53D42F07" wp14:editId="64A0FAC4">
            <wp:extent cx="2581275" cy="1736725"/>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2B43D0" w14:textId="77777777" w:rsidR="00112F6C" w:rsidRPr="009D2F40" w:rsidRDefault="00112F6C" w:rsidP="00112F6C">
      <w:pPr>
        <w:pStyle w:val="Sinespaciado"/>
        <w:rPr>
          <w:rFonts w:ascii="Times New Roman" w:hAnsi="Times New Roman" w:cs="Times New Roman"/>
          <w:sz w:val="16"/>
          <w:szCs w:val="18"/>
          <w:lang w:val="es-MX"/>
        </w:rPr>
      </w:pPr>
      <w:r w:rsidRPr="009D2F40">
        <w:rPr>
          <w:rFonts w:ascii="Times New Roman" w:hAnsi="Times New Roman" w:cs="Times New Roman"/>
          <w:sz w:val="16"/>
          <w:szCs w:val="18"/>
          <w:lang w:val="es-MX"/>
        </w:rPr>
        <w:t>Fuente: Dirección de Análisis y Política Fiscal.</w:t>
      </w:r>
    </w:p>
    <w:p w14:paraId="07FFA8A3" w14:textId="77777777" w:rsidR="00E4580E" w:rsidRDefault="00E4580E" w:rsidP="00960BE9">
      <w:pPr>
        <w:spacing w:after="0" w:line="240" w:lineRule="auto"/>
        <w:jc w:val="both"/>
        <w:rPr>
          <w:rFonts w:ascii="Times New Roman" w:hAnsi="Times New Roman" w:cs="Times New Roman"/>
          <w:lang w:val="es-MX"/>
        </w:rPr>
      </w:pPr>
    </w:p>
    <w:p w14:paraId="1BD6E928" w14:textId="3F0F29CB" w:rsidR="00960BE9" w:rsidRDefault="00E4580E" w:rsidP="00960BE9">
      <w:pPr>
        <w:spacing w:after="0" w:line="240" w:lineRule="auto"/>
        <w:jc w:val="both"/>
        <w:rPr>
          <w:rFonts w:ascii="Times New Roman" w:hAnsi="Times New Roman" w:cs="Times New Roman"/>
          <w:color w:val="FF0000"/>
        </w:rPr>
      </w:pPr>
      <w:r w:rsidRPr="00E4580E">
        <w:rPr>
          <w:rFonts w:ascii="Times New Roman" w:hAnsi="Times New Roman" w:cs="Times New Roman"/>
        </w:rPr>
        <w:t xml:space="preserve">El ritmo de crecimiento de la recaudación asociada al comercio exterior observada en 2021 se mantiene para el presente ejercicio, generándose una brecha positiva acumulada a </w:t>
      </w:r>
      <w:r w:rsidRPr="00E4580E">
        <w:rPr>
          <w:rFonts w:ascii="Times New Roman" w:hAnsi="Times New Roman" w:cs="Times New Roman"/>
        </w:rPr>
        <w:t>julio respecto a la meta de Q3,761.6 millones, y con relación a lo observado en 2021 de Q3,313.4 millones, es decir, 26.3% más de forma interanual.  Este  resultado combina, por una parte las medidas implementadas en 2021 en el ramo de aduanas, en donde se continúan implementando acciones para combatir la defraudación y el contrabando aduanero, la simplificación, automatización y transparencia en el ingreso y salida de la carga vía aérea, fortalecimiento de la gestión de riesgo, operativos interinstitucionales en aduanas aéreas, terrestres, marítimas entre otras, y en segundo lugar, también por el efecto del precio de los combustibles y otros productos importados, que siguen una tendencia alcista en sus precios y que impacta en el mismo sentido en la recaudación aduanera asociada con las importaciones.</w:t>
      </w:r>
      <w:r w:rsidR="00960BE9" w:rsidRPr="005334BA">
        <w:rPr>
          <w:rFonts w:ascii="Times New Roman" w:hAnsi="Times New Roman" w:cs="Times New Roman"/>
          <w:color w:val="FF0000"/>
        </w:rPr>
        <w:t xml:space="preserve"> </w:t>
      </w:r>
    </w:p>
    <w:p w14:paraId="7A3D622A" w14:textId="3221B980" w:rsidR="009D2F40" w:rsidRDefault="009D2F40" w:rsidP="00960BE9">
      <w:pPr>
        <w:spacing w:after="0" w:line="240" w:lineRule="auto"/>
        <w:jc w:val="both"/>
        <w:rPr>
          <w:rFonts w:ascii="Times New Roman" w:hAnsi="Times New Roman" w:cs="Times New Roman"/>
          <w:color w:val="FF0000"/>
        </w:rPr>
      </w:pPr>
      <w:r w:rsidRPr="005334BA">
        <w:rPr>
          <w:rFonts w:ascii="Times New Roman" w:hAnsi="Times New Roman" w:cs="Times New Roman"/>
          <w:noProof/>
          <w:color w:val="FF0000"/>
          <w:sz w:val="24"/>
          <w:szCs w:val="24"/>
          <w:lang w:eastAsia="es-GT"/>
        </w:rPr>
        <mc:AlternateContent>
          <mc:Choice Requires="wps">
            <w:drawing>
              <wp:anchor distT="0" distB="0" distL="114300" distR="114300" simplePos="0" relativeHeight="251802624" behindDoc="0" locked="0" layoutInCell="1" allowOverlap="1" wp14:anchorId="0B08D928" wp14:editId="6CE96BF7">
                <wp:simplePos x="0" y="0"/>
                <wp:positionH relativeFrom="column">
                  <wp:posOffset>-120015</wp:posOffset>
                </wp:positionH>
                <wp:positionV relativeFrom="paragraph">
                  <wp:posOffset>43815</wp:posOffset>
                </wp:positionV>
                <wp:extent cx="2838735" cy="4524375"/>
                <wp:effectExtent l="0" t="0" r="19050" b="28575"/>
                <wp:wrapNone/>
                <wp:docPr id="247" name="Rectángulo redondeado 247"/>
                <wp:cNvGraphicFramePr/>
                <a:graphic xmlns:a="http://schemas.openxmlformats.org/drawingml/2006/main">
                  <a:graphicData uri="http://schemas.microsoft.com/office/word/2010/wordprocessingShape">
                    <wps:wsp>
                      <wps:cNvSpPr/>
                      <wps:spPr>
                        <a:xfrm>
                          <a:off x="0" y="0"/>
                          <a:ext cx="2838735" cy="4524375"/>
                        </a:xfrm>
                        <a:prstGeom prst="roundRect">
                          <a:avLst>
                            <a:gd name="adj" fmla="val 5854"/>
                          </a:avLst>
                        </a:pr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4B92AF" w14:textId="77777777" w:rsidR="009D2F40" w:rsidRDefault="009D2F40" w:rsidP="009D2F40">
                            <w:pPr>
                              <w:spacing w:after="0"/>
                              <w:jc w:val="both"/>
                              <w:rPr>
                                <w:rFonts w:ascii="Times New Roman" w:hAnsi="Times New Roman" w:cs="Times New Roman"/>
                                <w:b/>
                                <w:bCs/>
                                <w:color w:val="000000" w:themeColor="text1"/>
                                <w:sz w:val="17"/>
                                <w:szCs w:val="17"/>
                                <w:u w:val="single"/>
                                <w:lang w:val="es-US"/>
                              </w:rPr>
                            </w:pPr>
                            <w:r>
                              <w:rPr>
                                <w:rFonts w:ascii="Times New Roman" w:hAnsi="Times New Roman" w:cs="Times New Roman"/>
                                <w:b/>
                                <w:bCs/>
                                <w:color w:val="000000" w:themeColor="text1"/>
                                <w:sz w:val="17"/>
                                <w:szCs w:val="17"/>
                                <w:u w:val="single"/>
                                <w:lang w:val="es-US"/>
                              </w:rPr>
                              <w:t>Importaciones de Territorio Aduanero en junio</w:t>
                            </w:r>
                          </w:p>
                          <w:p w14:paraId="4E47359D" w14:textId="77777777" w:rsidR="009D2F40" w:rsidRPr="00106033" w:rsidRDefault="009D2F40" w:rsidP="00F05A6A">
                            <w:pPr>
                              <w:spacing w:line="240" w:lineRule="auto"/>
                              <w:jc w:val="both"/>
                              <w:rPr>
                                <w:rFonts w:ascii="Times New Roman" w:hAnsi="Times New Roman" w:cs="Times New Roman"/>
                                <w:color w:val="FF0000"/>
                                <w:sz w:val="17"/>
                                <w:szCs w:val="17"/>
                                <w:lang w:val="es-US"/>
                              </w:rPr>
                            </w:pPr>
                            <w:r w:rsidRPr="00DD2315">
                              <w:rPr>
                                <w:rFonts w:ascii="Times New Roman" w:hAnsi="Times New Roman" w:cs="Times New Roman"/>
                                <w:color w:val="000000" w:themeColor="text1"/>
                                <w:sz w:val="17"/>
                                <w:szCs w:val="17"/>
                                <w:lang w:val="es-US"/>
                              </w:rPr>
                              <w:t xml:space="preserve">Destaca </w:t>
                            </w:r>
                            <w:r>
                              <w:rPr>
                                <w:rFonts w:ascii="Times New Roman" w:hAnsi="Times New Roman" w:cs="Times New Roman"/>
                                <w:color w:val="000000" w:themeColor="text1"/>
                                <w:sz w:val="17"/>
                                <w:szCs w:val="17"/>
                                <w:lang w:val="es-US"/>
                              </w:rPr>
                              <w:t>que el valor de las importaciones de territorio aduanero a junio, último dato disponible en el Banco de Guatemala, muestra un crecimiento de 31.7% respecto a lo observado en 2021 (ligeramente superior a lo observado en mayo, 31.3%), siendo los Combustibles y Lubricantes los que mayor crecimiento reflejaron (60.8% en valor), en volumen se observa un crecimiento de 4.5% (134 millones de Kilogramos más que en 2021) y en precio 53.9% respecto a 2021.  Sobresale también que las Materias Primas y Productos Intermedios crecieron en promedio 42.0% en el valor tanto para la agricultura como para la industria y los Bienes de Consumo 19.5% monto menor al observado en mayo (20.7%.)</w:t>
                            </w:r>
                          </w:p>
                          <w:p w14:paraId="1CE0B369" w14:textId="77777777" w:rsidR="009D2F40" w:rsidRDefault="009D2F40" w:rsidP="00F05A6A">
                            <w:pPr>
                              <w:spacing w:after="0"/>
                              <w:jc w:val="both"/>
                              <w:rPr>
                                <w:rFonts w:ascii="Times New Roman" w:hAnsi="Times New Roman" w:cs="Times New Roman"/>
                                <w:b/>
                                <w:bCs/>
                                <w:color w:val="000000" w:themeColor="text1"/>
                                <w:sz w:val="17"/>
                                <w:szCs w:val="17"/>
                                <w:u w:val="single"/>
                                <w:lang w:val="es-US"/>
                              </w:rPr>
                            </w:pPr>
                            <w:r>
                              <w:rPr>
                                <w:rFonts w:ascii="Times New Roman" w:hAnsi="Times New Roman" w:cs="Times New Roman"/>
                                <w:b/>
                                <w:bCs/>
                                <w:color w:val="000000" w:themeColor="text1"/>
                                <w:sz w:val="17"/>
                                <w:szCs w:val="17"/>
                                <w:u w:val="single"/>
                                <w:lang w:val="es-US"/>
                              </w:rPr>
                              <w:t>Principales Importaciones de Zona Franca</w:t>
                            </w:r>
                          </w:p>
                          <w:p w14:paraId="734F81C8" w14:textId="77777777" w:rsidR="009D2F40" w:rsidRDefault="009D2F40" w:rsidP="00F05A6A">
                            <w:pPr>
                              <w:spacing w:line="240" w:lineRule="auto"/>
                              <w:jc w:val="both"/>
                              <w:rPr>
                                <w:rFonts w:ascii="Times New Roman" w:hAnsi="Times New Roman" w:cs="Times New Roman"/>
                                <w:color w:val="000000" w:themeColor="text1"/>
                                <w:sz w:val="17"/>
                                <w:szCs w:val="17"/>
                                <w:lang w:val="es-US"/>
                              </w:rPr>
                            </w:pPr>
                            <w:r>
                              <w:rPr>
                                <w:rFonts w:ascii="Times New Roman" w:hAnsi="Times New Roman" w:cs="Times New Roman"/>
                                <w:color w:val="000000" w:themeColor="text1"/>
                                <w:sz w:val="17"/>
                                <w:szCs w:val="17"/>
                                <w:lang w:val="es-US"/>
                              </w:rPr>
                              <w:t xml:space="preserve">El valor del total de las importaciones realizadas bajo este régimen refleja un crecimiento interanual a junio de 65.4%, monto menor al observado en mayo (66.1%) explicado principalmente por las importaciones de Combustibles y Lubricantes que crecen en 100.8%, llamando la atención que, aún con la oscilación en el incremento de precio en los combustibles, el almacenamiento en los recintos de estos regímenes sugiere un incremento significativo del consumo.  Seguido por los Bienes de Consumo que crecen en 33.9% siendo los bienes semiduraderos y los duraderos los que mayor impulso tienen, las Materias Primas y Productos Intermedios de la industria los que crece en 34.4%. </w:t>
                            </w:r>
                          </w:p>
                          <w:p w14:paraId="0B27DBAA" w14:textId="4C32D02A" w:rsidR="009D2F40" w:rsidRPr="0094207C" w:rsidRDefault="009D2F40" w:rsidP="00F05A6A">
                            <w:pPr>
                              <w:pStyle w:val="Sinespaciado"/>
                              <w:jc w:val="both"/>
                              <w:rPr>
                                <w:noProof/>
                                <w:sz w:val="20"/>
                                <w:szCs w:val="20"/>
                                <w:lang w:val="es-US" w:eastAsia="es-GT"/>
                              </w:rPr>
                            </w:pPr>
                            <w:r>
                              <w:rPr>
                                <w:rFonts w:ascii="Times New Roman" w:hAnsi="Times New Roman" w:cs="Times New Roman"/>
                                <w:color w:val="000000" w:themeColor="text1"/>
                                <w:sz w:val="17"/>
                                <w:szCs w:val="17"/>
                                <w:lang w:val="es-US"/>
                              </w:rPr>
                              <w:t>Destaca en las importaciones de estos dos regímenes el comportamiento del volumen de las importaciones de Combustibles y Lubricantes que en territorio aduanero crecen en 4.5% mientras que en las importaciones de Zona Franca crecen en 25.9%.</w:t>
                            </w:r>
                          </w:p>
                          <w:p w14:paraId="1322B438" w14:textId="77777777" w:rsidR="009D2F40" w:rsidRPr="00112F6C" w:rsidRDefault="009D2F40" w:rsidP="00286DB5">
                            <w:pPr>
                              <w:pStyle w:val="Sinespaciado"/>
                              <w:rPr>
                                <w:rFonts w:ascii="Times New Roman" w:hAnsi="Times New Roman" w:cs="Times New Roman"/>
                                <w:color w:val="000000" w:themeColor="text1"/>
                                <w:sz w:val="18"/>
                                <w:szCs w:val="18"/>
                                <w:lang w:val="es-MX"/>
                              </w:rPr>
                            </w:pPr>
                            <w:r w:rsidRPr="00112F6C">
                              <w:rPr>
                                <w:rFonts w:ascii="Times New Roman" w:hAnsi="Times New Roman" w:cs="Times New Roman"/>
                                <w:sz w:val="18"/>
                                <w:szCs w:val="18"/>
                                <w:lang w:val="es-MX"/>
                              </w:rPr>
                              <w:t xml:space="preserve"> </w:t>
                            </w:r>
                          </w:p>
                          <w:p w14:paraId="3568894F" w14:textId="77777777" w:rsidR="009D2F40" w:rsidRPr="00112F6C" w:rsidRDefault="009D2F40" w:rsidP="00286DB5">
                            <w:pPr>
                              <w:jc w:val="both"/>
                              <w:rPr>
                                <w:color w:val="000000" w:themeColor="text1"/>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B08D928" id="Rectángulo redondeado 247" o:spid="_x0000_s1026" style="position:absolute;left:0;text-align:left;margin-left:-9.45pt;margin-top:3.45pt;width:223.5pt;height:35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" fillcolor="#5b9bd5 [3204]" strokecolor="#1f4d78 [1604]" strokeweight="1pt">
                <v:fill opacity="19789f"/>
                <v:stroke joinstyle="miter"/>
                <v:textbox>
                  <w:txbxContent>
                    <w:p w14:paraId="604B92AF" w14:textId="77777777" w:rsidR="009D2F40" w:rsidRDefault="009D2F40" w:rsidP="009D2F40">
                      <w:pPr>
                        <w:spacing w:after="0"/>
                        <w:jc w:val="both"/>
                        <w:rPr>
                          <w:rFonts w:ascii="Times New Roman" w:hAnsi="Times New Roman" w:cs="Times New Roman"/>
                          <w:b/>
                          <w:bCs/>
                          <w:color w:val="000000" w:themeColor="text1"/>
                          <w:sz w:val="17"/>
                          <w:szCs w:val="17"/>
                          <w:u w:val="single"/>
                          <w:lang w:val="es-US"/>
                        </w:rPr>
                      </w:pPr>
                      <w:r>
                        <w:rPr>
                          <w:rFonts w:ascii="Times New Roman" w:hAnsi="Times New Roman" w:cs="Times New Roman"/>
                          <w:b/>
                          <w:bCs/>
                          <w:color w:val="000000" w:themeColor="text1"/>
                          <w:sz w:val="17"/>
                          <w:szCs w:val="17"/>
                          <w:u w:val="single"/>
                          <w:lang w:val="es-US"/>
                        </w:rPr>
                        <w:t>Importaciones de Territorio Aduanero en junio</w:t>
                      </w:r>
                    </w:p>
                    <w:p w14:paraId="4E47359D" w14:textId="77777777" w:rsidR="009D2F40" w:rsidRPr="00106033" w:rsidRDefault="009D2F40" w:rsidP="00F05A6A">
                      <w:pPr>
                        <w:spacing w:line="240" w:lineRule="auto"/>
                        <w:jc w:val="both"/>
                        <w:rPr>
                          <w:rFonts w:ascii="Times New Roman" w:hAnsi="Times New Roman" w:cs="Times New Roman"/>
                          <w:color w:val="FF0000"/>
                          <w:sz w:val="17"/>
                          <w:szCs w:val="17"/>
                          <w:lang w:val="es-US"/>
                        </w:rPr>
                      </w:pPr>
                      <w:r w:rsidRPr="00DD2315">
                        <w:rPr>
                          <w:rFonts w:ascii="Times New Roman" w:hAnsi="Times New Roman" w:cs="Times New Roman"/>
                          <w:color w:val="000000" w:themeColor="text1"/>
                          <w:sz w:val="17"/>
                          <w:szCs w:val="17"/>
                          <w:lang w:val="es-US"/>
                        </w:rPr>
                        <w:t xml:space="preserve">Destaca </w:t>
                      </w:r>
                      <w:r>
                        <w:rPr>
                          <w:rFonts w:ascii="Times New Roman" w:hAnsi="Times New Roman" w:cs="Times New Roman"/>
                          <w:color w:val="000000" w:themeColor="text1"/>
                          <w:sz w:val="17"/>
                          <w:szCs w:val="17"/>
                          <w:lang w:val="es-US"/>
                        </w:rPr>
                        <w:t>que el valor de las importaciones de territorio aduanero a junio, último dato disponible en el Banco de Guatemala, muestra un crecimiento de 31.7% respecto a lo observado en 2021 (ligeramente superior a lo observado en mayo, 31.3%), siendo los Combustibles y Lubricantes los que mayor crecimiento reflejaron (60.8% en valor), en volumen se observa un crecimiento de 4.5% (134 millones de Kilogramos más que en 2021) y en precio 53.9% respecto a 2021.  Sobresale también que las Materias Primas y Productos Intermedios crecieron en promedio 42.0% en el valor tanto para la agricultura como para la industria y los Bienes de Consumo 19.5% monto menor al observado en mayo (20.7%.)</w:t>
                      </w:r>
                    </w:p>
                    <w:p w14:paraId="1CE0B369" w14:textId="77777777" w:rsidR="009D2F40" w:rsidRDefault="009D2F40" w:rsidP="00F05A6A">
                      <w:pPr>
                        <w:spacing w:after="0"/>
                        <w:jc w:val="both"/>
                        <w:rPr>
                          <w:rFonts w:ascii="Times New Roman" w:hAnsi="Times New Roman" w:cs="Times New Roman"/>
                          <w:b/>
                          <w:bCs/>
                          <w:color w:val="000000" w:themeColor="text1"/>
                          <w:sz w:val="17"/>
                          <w:szCs w:val="17"/>
                          <w:u w:val="single"/>
                          <w:lang w:val="es-US"/>
                        </w:rPr>
                      </w:pPr>
                      <w:r>
                        <w:rPr>
                          <w:rFonts w:ascii="Times New Roman" w:hAnsi="Times New Roman" w:cs="Times New Roman"/>
                          <w:b/>
                          <w:bCs/>
                          <w:color w:val="000000" w:themeColor="text1"/>
                          <w:sz w:val="17"/>
                          <w:szCs w:val="17"/>
                          <w:u w:val="single"/>
                          <w:lang w:val="es-US"/>
                        </w:rPr>
                        <w:t>Principales Importaciones de Zona Franca</w:t>
                      </w:r>
                    </w:p>
                    <w:p w14:paraId="734F81C8" w14:textId="77777777" w:rsidR="009D2F40" w:rsidRDefault="009D2F40" w:rsidP="00F05A6A">
                      <w:pPr>
                        <w:spacing w:line="240" w:lineRule="auto"/>
                        <w:jc w:val="both"/>
                        <w:rPr>
                          <w:rFonts w:ascii="Times New Roman" w:hAnsi="Times New Roman" w:cs="Times New Roman"/>
                          <w:color w:val="000000" w:themeColor="text1"/>
                          <w:sz w:val="17"/>
                          <w:szCs w:val="17"/>
                          <w:lang w:val="es-US"/>
                        </w:rPr>
                      </w:pPr>
                      <w:r>
                        <w:rPr>
                          <w:rFonts w:ascii="Times New Roman" w:hAnsi="Times New Roman" w:cs="Times New Roman"/>
                          <w:color w:val="000000" w:themeColor="text1"/>
                          <w:sz w:val="17"/>
                          <w:szCs w:val="17"/>
                          <w:lang w:val="es-US"/>
                        </w:rPr>
                        <w:t xml:space="preserve">El valor del total de las importaciones realizadas bajo este régimen refleja un crecimiento interanual a junio de 65.4%, monto menor al observado en mayo (66.1%) explicado principalmente por las importaciones de Combustibles y Lubricantes que crecen en 100.8%, llamando la atención que, aún con la oscilación en el incremento de precio en los combustibles, el almacenamiento en los recintos de estos regímenes sugiere un incremento significativo del consumo.  Seguido por los Bienes de Consumo que crecen en 33.9% siendo los bienes </w:t>
                      </w:r>
                      <w:proofErr w:type="spellStart"/>
                      <w:r>
                        <w:rPr>
                          <w:rFonts w:ascii="Times New Roman" w:hAnsi="Times New Roman" w:cs="Times New Roman"/>
                          <w:color w:val="000000" w:themeColor="text1"/>
                          <w:sz w:val="17"/>
                          <w:szCs w:val="17"/>
                          <w:lang w:val="es-US"/>
                        </w:rPr>
                        <w:t>semiduraderos</w:t>
                      </w:r>
                      <w:proofErr w:type="spellEnd"/>
                      <w:r>
                        <w:rPr>
                          <w:rFonts w:ascii="Times New Roman" w:hAnsi="Times New Roman" w:cs="Times New Roman"/>
                          <w:color w:val="000000" w:themeColor="text1"/>
                          <w:sz w:val="17"/>
                          <w:szCs w:val="17"/>
                          <w:lang w:val="es-US"/>
                        </w:rPr>
                        <w:t xml:space="preserve"> y los duraderos los que mayor impulso tienen, las Materias Primas y Productos Intermedios de la industria los que crece en 34.4%. </w:t>
                      </w:r>
                    </w:p>
                    <w:p w14:paraId="0B27DBAA" w14:textId="4C32D02A" w:rsidR="009D2F40" w:rsidRPr="0094207C" w:rsidRDefault="009D2F40" w:rsidP="00F05A6A">
                      <w:pPr>
                        <w:pStyle w:val="Sinespaciado"/>
                        <w:jc w:val="both"/>
                        <w:rPr>
                          <w:noProof/>
                          <w:sz w:val="20"/>
                          <w:szCs w:val="20"/>
                          <w:lang w:val="es-US" w:eastAsia="es-GT"/>
                        </w:rPr>
                      </w:pPr>
                      <w:r>
                        <w:rPr>
                          <w:rFonts w:ascii="Times New Roman" w:hAnsi="Times New Roman" w:cs="Times New Roman"/>
                          <w:color w:val="000000" w:themeColor="text1"/>
                          <w:sz w:val="17"/>
                          <w:szCs w:val="17"/>
                          <w:lang w:val="es-US"/>
                        </w:rPr>
                        <w:t>Destaca en las importaciones de estos dos regímenes el comportamiento del volumen de las importaciones de Combustibles y Lubricantes que en territorio aduanero crecen en 4.5% mientras que en las importaciones de Zona Franca crecen en 25.9%.</w:t>
                      </w:r>
                    </w:p>
                    <w:p w14:paraId="1322B438" w14:textId="77777777" w:rsidR="009D2F40" w:rsidRPr="00112F6C" w:rsidRDefault="009D2F40" w:rsidP="00286DB5">
                      <w:pPr>
                        <w:pStyle w:val="Sinespaciado"/>
                        <w:rPr>
                          <w:rFonts w:ascii="Times New Roman" w:hAnsi="Times New Roman" w:cs="Times New Roman"/>
                          <w:color w:val="000000" w:themeColor="text1"/>
                          <w:sz w:val="18"/>
                          <w:szCs w:val="18"/>
                          <w:lang w:val="es-MX"/>
                        </w:rPr>
                      </w:pPr>
                      <w:r w:rsidRPr="00112F6C">
                        <w:rPr>
                          <w:rFonts w:ascii="Times New Roman" w:hAnsi="Times New Roman" w:cs="Times New Roman"/>
                          <w:sz w:val="18"/>
                          <w:szCs w:val="18"/>
                          <w:lang w:val="es-MX"/>
                        </w:rPr>
                        <w:t xml:space="preserve"> </w:t>
                      </w:r>
                    </w:p>
                    <w:p w14:paraId="3568894F" w14:textId="77777777" w:rsidR="009D2F40" w:rsidRPr="00112F6C" w:rsidRDefault="009D2F40" w:rsidP="00286DB5">
                      <w:pPr>
                        <w:jc w:val="both"/>
                        <w:rPr>
                          <w:color w:val="000000" w:themeColor="text1"/>
                          <w:sz w:val="18"/>
                          <w:szCs w:val="18"/>
                          <w:lang w:val="es-MX"/>
                        </w:rPr>
                      </w:pPr>
                    </w:p>
                  </w:txbxContent>
                </v:textbox>
              </v:roundrect>
            </w:pict>
          </mc:Fallback>
        </mc:AlternateContent>
      </w:r>
    </w:p>
    <w:p w14:paraId="21485791" w14:textId="70D51859" w:rsidR="009D2F40" w:rsidRDefault="009D2F40" w:rsidP="00960BE9">
      <w:pPr>
        <w:spacing w:after="0" w:line="240" w:lineRule="auto"/>
        <w:jc w:val="both"/>
        <w:rPr>
          <w:rFonts w:ascii="Times New Roman" w:hAnsi="Times New Roman" w:cs="Times New Roman"/>
          <w:color w:val="FF0000"/>
        </w:rPr>
      </w:pPr>
    </w:p>
    <w:p w14:paraId="0A87CA44" w14:textId="2D690213" w:rsidR="009D2F40" w:rsidRDefault="009D2F40" w:rsidP="00960BE9">
      <w:pPr>
        <w:spacing w:after="0" w:line="240" w:lineRule="auto"/>
        <w:jc w:val="both"/>
        <w:rPr>
          <w:rFonts w:ascii="Times New Roman" w:hAnsi="Times New Roman" w:cs="Times New Roman"/>
          <w:color w:val="FF0000"/>
        </w:rPr>
      </w:pPr>
    </w:p>
    <w:p w14:paraId="7B7CB927" w14:textId="208DC8AE" w:rsidR="009D2F40" w:rsidRDefault="009D2F40" w:rsidP="00960BE9">
      <w:pPr>
        <w:spacing w:after="0" w:line="240" w:lineRule="auto"/>
        <w:jc w:val="both"/>
        <w:rPr>
          <w:rFonts w:ascii="Times New Roman" w:hAnsi="Times New Roman" w:cs="Times New Roman"/>
          <w:color w:val="FF0000"/>
        </w:rPr>
      </w:pPr>
    </w:p>
    <w:p w14:paraId="6E0D63CB" w14:textId="7FEF9F55" w:rsidR="009D2F40" w:rsidRDefault="009D2F40" w:rsidP="00960BE9">
      <w:pPr>
        <w:spacing w:after="0" w:line="240" w:lineRule="auto"/>
        <w:jc w:val="both"/>
        <w:rPr>
          <w:rFonts w:ascii="Times New Roman" w:hAnsi="Times New Roman" w:cs="Times New Roman"/>
          <w:color w:val="FF0000"/>
        </w:rPr>
      </w:pPr>
    </w:p>
    <w:p w14:paraId="004E55F8" w14:textId="70D3EF89" w:rsidR="009D2F40" w:rsidRDefault="009D2F40" w:rsidP="00960BE9">
      <w:pPr>
        <w:spacing w:after="0" w:line="240" w:lineRule="auto"/>
        <w:jc w:val="both"/>
        <w:rPr>
          <w:rFonts w:ascii="Times New Roman" w:hAnsi="Times New Roman" w:cs="Times New Roman"/>
          <w:color w:val="FF0000"/>
        </w:rPr>
      </w:pPr>
    </w:p>
    <w:p w14:paraId="1E3657B0" w14:textId="5010D621" w:rsidR="009D2F40" w:rsidRDefault="009D2F40" w:rsidP="00960BE9">
      <w:pPr>
        <w:spacing w:after="0" w:line="240" w:lineRule="auto"/>
        <w:jc w:val="both"/>
        <w:rPr>
          <w:rFonts w:ascii="Times New Roman" w:hAnsi="Times New Roman" w:cs="Times New Roman"/>
          <w:color w:val="FF0000"/>
        </w:rPr>
      </w:pPr>
    </w:p>
    <w:p w14:paraId="53AB0420" w14:textId="255A9150" w:rsidR="009D2F40" w:rsidRDefault="009D2F40" w:rsidP="00960BE9">
      <w:pPr>
        <w:spacing w:after="0" w:line="240" w:lineRule="auto"/>
        <w:jc w:val="both"/>
        <w:rPr>
          <w:rFonts w:ascii="Times New Roman" w:hAnsi="Times New Roman" w:cs="Times New Roman"/>
          <w:color w:val="FF0000"/>
        </w:rPr>
      </w:pPr>
    </w:p>
    <w:p w14:paraId="694D06B4" w14:textId="78644016" w:rsidR="009D2F40" w:rsidRDefault="009D2F40" w:rsidP="00960BE9">
      <w:pPr>
        <w:spacing w:after="0" w:line="240" w:lineRule="auto"/>
        <w:jc w:val="both"/>
        <w:rPr>
          <w:rFonts w:ascii="Times New Roman" w:hAnsi="Times New Roman" w:cs="Times New Roman"/>
          <w:color w:val="FF0000"/>
        </w:rPr>
      </w:pPr>
    </w:p>
    <w:p w14:paraId="0900F046" w14:textId="4F411C7A" w:rsidR="009D2F40" w:rsidRDefault="009D2F40" w:rsidP="00960BE9">
      <w:pPr>
        <w:spacing w:after="0" w:line="240" w:lineRule="auto"/>
        <w:jc w:val="both"/>
        <w:rPr>
          <w:rFonts w:ascii="Times New Roman" w:hAnsi="Times New Roman" w:cs="Times New Roman"/>
          <w:color w:val="FF0000"/>
        </w:rPr>
      </w:pPr>
    </w:p>
    <w:p w14:paraId="0FEE4FF6" w14:textId="5902A4BE" w:rsidR="009D2F40" w:rsidRDefault="009D2F40" w:rsidP="00960BE9">
      <w:pPr>
        <w:spacing w:after="0" w:line="240" w:lineRule="auto"/>
        <w:jc w:val="both"/>
        <w:rPr>
          <w:rFonts w:ascii="Times New Roman" w:hAnsi="Times New Roman" w:cs="Times New Roman"/>
          <w:color w:val="FF0000"/>
        </w:rPr>
      </w:pPr>
    </w:p>
    <w:p w14:paraId="5576EB82" w14:textId="140F8C9C" w:rsidR="009D2F40" w:rsidRPr="005334BA" w:rsidRDefault="009D2F40" w:rsidP="00960BE9">
      <w:pPr>
        <w:spacing w:after="0" w:line="240" w:lineRule="auto"/>
        <w:jc w:val="both"/>
        <w:rPr>
          <w:rFonts w:ascii="Times New Roman" w:hAnsi="Times New Roman" w:cs="Times New Roman"/>
          <w:color w:val="FF0000"/>
        </w:rPr>
      </w:pPr>
    </w:p>
    <w:p w14:paraId="1EBB6279" w14:textId="1DC1E2AD" w:rsidR="00286DB5" w:rsidRPr="005334BA" w:rsidRDefault="00286DB5" w:rsidP="00960BE9">
      <w:pPr>
        <w:spacing w:after="0" w:line="240" w:lineRule="auto"/>
        <w:jc w:val="both"/>
        <w:rPr>
          <w:rFonts w:ascii="Times New Roman" w:hAnsi="Times New Roman" w:cs="Times New Roman"/>
          <w:color w:val="FF0000"/>
          <w:lang w:val="es-US"/>
        </w:rPr>
      </w:pPr>
    </w:p>
    <w:p w14:paraId="15BD859D" w14:textId="77777777" w:rsidR="00286DB5" w:rsidRPr="005334BA" w:rsidRDefault="00286DB5" w:rsidP="00960BE9">
      <w:pPr>
        <w:spacing w:after="0" w:line="240" w:lineRule="auto"/>
        <w:jc w:val="both"/>
        <w:rPr>
          <w:rFonts w:ascii="Times New Roman" w:hAnsi="Times New Roman" w:cs="Times New Roman"/>
          <w:color w:val="FF0000"/>
        </w:rPr>
      </w:pPr>
    </w:p>
    <w:p w14:paraId="22BBA0B8" w14:textId="77777777" w:rsidR="00286DB5" w:rsidRPr="005334BA" w:rsidRDefault="00286DB5" w:rsidP="00960BE9">
      <w:pPr>
        <w:spacing w:after="0" w:line="240" w:lineRule="auto"/>
        <w:jc w:val="both"/>
        <w:rPr>
          <w:rFonts w:ascii="Times New Roman" w:hAnsi="Times New Roman" w:cs="Times New Roman"/>
          <w:color w:val="FF0000"/>
        </w:rPr>
      </w:pPr>
    </w:p>
    <w:p w14:paraId="13116DAA" w14:textId="77777777" w:rsidR="00286DB5" w:rsidRPr="005334BA" w:rsidRDefault="00286DB5" w:rsidP="00960BE9">
      <w:pPr>
        <w:spacing w:after="0" w:line="240" w:lineRule="auto"/>
        <w:jc w:val="both"/>
        <w:rPr>
          <w:rFonts w:ascii="Times New Roman" w:hAnsi="Times New Roman" w:cs="Times New Roman"/>
          <w:color w:val="FF0000"/>
        </w:rPr>
      </w:pPr>
    </w:p>
    <w:p w14:paraId="1EA8DCCA" w14:textId="77777777" w:rsidR="00286DB5" w:rsidRPr="005334BA" w:rsidRDefault="00286DB5" w:rsidP="00960BE9">
      <w:pPr>
        <w:spacing w:after="0" w:line="240" w:lineRule="auto"/>
        <w:jc w:val="both"/>
        <w:rPr>
          <w:rFonts w:ascii="Times New Roman" w:hAnsi="Times New Roman" w:cs="Times New Roman"/>
          <w:color w:val="FF0000"/>
        </w:rPr>
      </w:pPr>
    </w:p>
    <w:p w14:paraId="4F2AF68B" w14:textId="77777777" w:rsidR="00286DB5" w:rsidRPr="005334BA" w:rsidRDefault="00286DB5" w:rsidP="00960BE9">
      <w:pPr>
        <w:spacing w:after="0" w:line="240" w:lineRule="auto"/>
        <w:jc w:val="both"/>
        <w:rPr>
          <w:rFonts w:ascii="Times New Roman" w:hAnsi="Times New Roman" w:cs="Times New Roman"/>
          <w:color w:val="FF0000"/>
        </w:rPr>
      </w:pPr>
    </w:p>
    <w:p w14:paraId="3E40FF13" w14:textId="77777777" w:rsidR="00286DB5" w:rsidRPr="005334BA" w:rsidRDefault="00286DB5" w:rsidP="00960BE9">
      <w:pPr>
        <w:spacing w:after="0" w:line="240" w:lineRule="auto"/>
        <w:jc w:val="both"/>
        <w:rPr>
          <w:rFonts w:ascii="Times New Roman" w:hAnsi="Times New Roman" w:cs="Times New Roman"/>
          <w:color w:val="FF0000"/>
        </w:rPr>
      </w:pPr>
    </w:p>
    <w:p w14:paraId="5E8647CE" w14:textId="77777777" w:rsidR="00286DB5" w:rsidRPr="005334BA" w:rsidRDefault="00286DB5" w:rsidP="00960BE9">
      <w:pPr>
        <w:spacing w:after="0" w:line="240" w:lineRule="auto"/>
        <w:jc w:val="both"/>
        <w:rPr>
          <w:rFonts w:ascii="Times New Roman" w:hAnsi="Times New Roman" w:cs="Times New Roman"/>
          <w:color w:val="FF0000"/>
        </w:rPr>
      </w:pPr>
    </w:p>
    <w:p w14:paraId="607D83C0" w14:textId="77777777" w:rsidR="00286DB5" w:rsidRPr="005334BA" w:rsidRDefault="00286DB5" w:rsidP="00960BE9">
      <w:pPr>
        <w:spacing w:after="0" w:line="240" w:lineRule="auto"/>
        <w:jc w:val="both"/>
        <w:rPr>
          <w:rFonts w:ascii="Times New Roman" w:hAnsi="Times New Roman" w:cs="Times New Roman"/>
          <w:color w:val="FF0000"/>
        </w:rPr>
      </w:pPr>
    </w:p>
    <w:p w14:paraId="4A343564" w14:textId="77777777" w:rsidR="00286DB5" w:rsidRPr="005334BA" w:rsidRDefault="00286DB5" w:rsidP="00960BE9">
      <w:pPr>
        <w:spacing w:after="0" w:line="240" w:lineRule="auto"/>
        <w:jc w:val="both"/>
        <w:rPr>
          <w:rFonts w:ascii="Times New Roman" w:hAnsi="Times New Roman" w:cs="Times New Roman"/>
          <w:color w:val="FF0000"/>
        </w:rPr>
      </w:pPr>
    </w:p>
    <w:p w14:paraId="4FF11299" w14:textId="77777777" w:rsidR="00286DB5" w:rsidRPr="005334BA" w:rsidRDefault="00286DB5" w:rsidP="00960BE9">
      <w:pPr>
        <w:spacing w:after="0" w:line="240" w:lineRule="auto"/>
        <w:jc w:val="both"/>
        <w:rPr>
          <w:rFonts w:ascii="Times New Roman" w:hAnsi="Times New Roman" w:cs="Times New Roman"/>
          <w:color w:val="FF0000"/>
        </w:rPr>
      </w:pPr>
    </w:p>
    <w:p w14:paraId="6E63462E" w14:textId="77777777" w:rsidR="00286DB5" w:rsidRPr="005334BA" w:rsidRDefault="00286DB5" w:rsidP="00960BE9">
      <w:pPr>
        <w:spacing w:after="0" w:line="240" w:lineRule="auto"/>
        <w:jc w:val="both"/>
        <w:rPr>
          <w:rFonts w:ascii="Times New Roman" w:hAnsi="Times New Roman" w:cs="Times New Roman"/>
          <w:color w:val="FF0000"/>
        </w:rPr>
      </w:pPr>
    </w:p>
    <w:p w14:paraId="7188414D" w14:textId="77777777" w:rsidR="00286DB5" w:rsidRPr="005334BA" w:rsidRDefault="00286DB5" w:rsidP="00960BE9">
      <w:pPr>
        <w:spacing w:after="0" w:line="240" w:lineRule="auto"/>
        <w:jc w:val="both"/>
        <w:rPr>
          <w:rFonts w:ascii="Times New Roman" w:hAnsi="Times New Roman" w:cs="Times New Roman"/>
          <w:color w:val="FF0000"/>
        </w:rPr>
      </w:pPr>
    </w:p>
    <w:p w14:paraId="133E2B13" w14:textId="77777777" w:rsidR="00286DB5" w:rsidRPr="005334BA" w:rsidRDefault="00286DB5" w:rsidP="00960BE9">
      <w:pPr>
        <w:spacing w:after="0" w:line="240" w:lineRule="auto"/>
        <w:jc w:val="both"/>
        <w:rPr>
          <w:rFonts w:ascii="Times New Roman" w:hAnsi="Times New Roman" w:cs="Times New Roman"/>
          <w:color w:val="FF0000"/>
        </w:rPr>
      </w:pPr>
    </w:p>
    <w:p w14:paraId="5307345E" w14:textId="77777777" w:rsidR="00286DB5" w:rsidRPr="005334BA" w:rsidRDefault="00286DB5" w:rsidP="00960BE9">
      <w:pPr>
        <w:spacing w:after="0" w:line="240" w:lineRule="auto"/>
        <w:jc w:val="both"/>
        <w:rPr>
          <w:rFonts w:ascii="Times New Roman" w:hAnsi="Times New Roman" w:cs="Times New Roman"/>
          <w:color w:val="FF0000"/>
        </w:rPr>
      </w:pPr>
    </w:p>
    <w:p w14:paraId="625EB448" w14:textId="0FA1E0DE" w:rsidR="009D2F40" w:rsidRDefault="009D2F40" w:rsidP="00960BE9">
      <w:pPr>
        <w:spacing w:after="0" w:line="240" w:lineRule="auto"/>
        <w:jc w:val="both"/>
        <w:rPr>
          <w:rFonts w:ascii="Times New Roman" w:hAnsi="Times New Roman" w:cs="Times New Roman"/>
          <w:b/>
          <w:color w:val="FF0000"/>
        </w:rPr>
      </w:pPr>
    </w:p>
    <w:p w14:paraId="74DF4782" w14:textId="77777777" w:rsidR="00E4580E" w:rsidRDefault="00E4580E" w:rsidP="00960BE9">
      <w:pPr>
        <w:spacing w:after="0" w:line="240" w:lineRule="auto"/>
        <w:jc w:val="both"/>
        <w:rPr>
          <w:rFonts w:ascii="Times New Roman" w:hAnsi="Times New Roman" w:cs="Times New Roman"/>
          <w:b/>
        </w:rPr>
      </w:pPr>
    </w:p>
    <w:p w14:paraId="57A44CA5" w14:textId="77777777" w:rsidR="00E4580E" w:rsidRDefault="00E4580E" w:rsidP="00960BE9">
      <w:pPr>
        <w:spacing w:after="0" w:line="240" w:lineRule="auto"/>
        <w:jc w:val="both"/>
        <w:rPr>
          <w:rFonts w:ascii="Times New Roman" w:hAnsi="Times New Roman" w:cs="Times New Roman"/>
          <w:b/>
        </w:rPr>
      </w:pPr>
    </w:p>
    <w:p w14:paraId="5FC6CEE6" w14:textId="77777777" w:rsidR="00E4580E" w:rsidRDefault="00E4580E" w:rsidP="00960BE9">
      <w:pPr>
        <w:spacing w:after="0" w:line="240" w:lineRule="auto"/>
        <w:jc w:val="both"/>
        <w:rPr>
          <w:rFonts w:ascii="Times New Roman" w:hAnsi="Times New Roman" w:cs="Times New Roman"/>
          <w:b/>
        </w:rPr>
      </w:pPr>
    </w:p>
    <w:p w14:paraId="2EEFE34D" w14:textId="77777777" w:rsidR="00E4580E" w:rsidRDefault="00E4580E" w:rsidP="00960BE9">
      <w:pPr>
        <w:spacing w:after="0" w:line="240" w:lineRule="auto"/>
        <w:jc w:val="both"/>
        <w:rPr>
          <w:rFonts w:ascii="Times New Roman" w:hAnsi="Times New Roman" w:cs="Times New Roman"/>
          <w:b/>
        </w:rPr>
      </w:pPr>
    </w:p>
    <w:p w14:paraId="5784FB90" w14:textId="68FC37A7" w:rsidR="00960BE9" w:rsidRPr="009D2F40" w:rsidRDefault="00960BE9" w:rsidP="00960BE9">
      <w:pPr>
        <w:spacing w:after="0" w:line="240" w:lineRule="auto"/>
        <w:jc w:val="both"/>
        <w:rPr>
          <w:rFonts w:ascii="Times New Roman" w:hAnsi="Times New Roman" w:cs="Times New Roman"/>
          <w:b/>
        </w:rPr>
      </w:pPr>
      <w:r w:rsidRPr="009D2F40">
        <w:rPr>
          <w:rFonts w:ascii="Times New Roman" w:hAnsi="Times New Roman" w:cs="Times New Roman"/>
          <w:b/>
        </w:rPr>
        <w:lastRenderedPageBreak/>
        <w:t>El Impuesto Sobre la Renta y el ISO</w:t>
      </w:r>
    </w:p>
    <w:p w14:paraId="23B394E9" w14:textId="77777777" w:rsidR="00960BE9" w:rsidRPr="005334BA" w:rsidRDefault="00960BE9" w:rsidP="00960BE9">
      <w:pPr>
        <w:spacing w:after="0" w:line="240" w:lineRule="auto"/>
        <w:jc w:val="both"/>
        <w:rPr>
          <w:rFonts w:ascii="Times New Roman" w:hAnsi="Times New Roman" w:cs="Times New Roman"/>
          <w:b/>
          <w:color w:val="FF0000"/>
          <w:sz w:val="20"/>
        </w:rPr>
      </w:pPr>
    </w:p>
    <w:p w14:paraId="0041B06B" w14:textId="77777777" w:rsidR="00E4580E" w:rsidRPr="00E4580E"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 xml:space="preserve">En julio estos dos impuestos tienen vencimiento trimestral el ISR en el régimen Sobre Utilidades de Actividades Lucrativas, correspondientes del 1 de abril al 30 de junio de 2022 y el ISO pago correspondiente al trimestre del 1 de abril al 30 de junio, se recaudaron por estos dos impuestos Q5,307.9 millones de un estimado de Q4,251.6 millones, lo que generó una brecha positiva de Q1,056.3 millones. </w:t>
      </w:r>
    </w:p>
    <w:p w14:paraId="7319969D" w14:textId="77777777" w:rsidR="00E4580E" w:rsidRPr="00E4580E" w:rsidRDefault="00E4580E" w:rsidP="00E4580E">
      <w:pPr>
        <w:spacing w:after="0" w:line="240" w:lineRule="auto"/>
        <w:jc w:val="both"/>
        <w:rPr>
          <w:rFonts w:ascii="Times New Roman" w:hAnsi="Times New Roman" w:cs="Times New Roman"/>
        </w:rPr>
      </w:pPr>
    </w:p>
    <w:p w14:paraId="46EECD23" w14:textId="10DDADDA" w:rsidR="00672F97"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De manera acumulada estos dos impuestos superaran por Q2,571.5 millones de la meta determinada principalmente por el ISR que contribuye de manera positiva con Q2,361.0 millones.  Aspectos relevantes que contribuyen con el desempeño del ISR son las medidas que ha venido desarrollando la SAT mediante fiscalización por sector económico y la inclusión de nuevos anexos al formulario de declaración.</w:t>
      </w:r>
    </w:p>
    <w:p w14:paraId="27881933" w14:textId="2A08B847" w:rsidR="009D2F40" w:rsidRDefault="009D2F40" w:rsidP="009D2F40">
      <w:pPr>
        <w:spacing w:after="0" w:line="240" w:lineRule="auto"/>
        <w:jc w:val="both"/>
        <w:rPr>
          <w:rFonts w:ascii="Times New Roman" w:hAnsi="Times New Roman" w:cs="Times New Roman"/>
        </w:rPr>
      </w:pPr>
    </w:p>
    <w:p w14:paraId="68D84873" w14:textId="4A866D8D" w:rsidR="00960BE9" w:rsidRPr="009D2F40" w:rsidRDefault="00960BE9" w:rsidP="00960BE9">
      <w:pPr>
        <w:spacing w:after="0" w:line="240" w:lineRule="auto"/>
        <w:jc w:val="both"/>
        <w:rPr>
          <w:rFonts w:ascii="Times New Roman" w:hAnsi="Times New Roman" w:cs="Times New Roman"/>
          <w:b/>
        </w:rPr>
      </w:pPr>
      <w:r w:rsidRPr="009D2F40">
        <w:rPr>
          <w:rFonts w:ascii="Times New Roman" w:hAnsi="Times New Roman" w:cs="Times New Roman"/>
          <w:b/>
        </w:rPr>
        <w:t>El Impuesto al Valor Agregado</w:t>
      </w:r>
    </w:p>
    <w:p w14:paraId="4C605EA9" w14:textId="77777777" w:rsidR="00960BE9" w:rsidRPr="005334BA" w:rsidRDefault="00960BE9" w:rsidP="00960BE9">
      <w:pPr>
        <w:spacing w:after="0" w:line="240" w:lineRule="auto"/>
        <w:jc w:val="both"/>
        <w:rPr>
          <w:rFonts w:ascii="Times New Roman" w:hAnsi="Times New Roman" w:cs="Times New Roman"/>
          <w:color w:val="FF0000"/>
          <w:sz w:val="18"/>
        </w:rPr>
      </w:pPr>
    </w:p>
    <w:p w14:paraId="507B0EDE" w14:textId="77777777" w:rsidR="00E4580E" w:rsidRPr="00E4580E"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Este impuesto, en julio, generó una brecha positiva de Q486.0 millones, explicado en su mayoría por el IVA asociado al comercio exterior, el cual mantiene la dinámica observada en 2021, principalmente como reflejo del aumento de precios en los combustibles.</w:t>
      </w:r>
    </w:p>
    <w:p w14:paraId="1BF6419A" w14:textId="77777777" w:rsidR="00E4580E" w:rsidRPr="00E4580E" w:rsidRDefault="00E4580E" w:rsidP="00E4580E">
      <w:pPr>
        <w:spacing w:after="0" w:line="240" w:lineRule="auto"/>
        <w:jc w:val="both"/>
        <w:rPr>
          <w:rFonts w:ascii="Times New Roman" w:hAnsi="Times New Roman" w:cs="Times New Roman"/>
        </w:rPr>
      </w:pPr>
    </w:p>
    <w:p w14:paraId="39F059EB" w14:textId="0B496EE3" w:rsidR="00D62B21"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 xml:space="preserve">Como referencia del crecimiento en el IVA de importaciones, se asume el aumento en el precio del barril de petróleo consecuencia del conflicto armado entre Rusia y Ucrania. En julio 2021 el precio del barril era de US$72.43 dólares y en 2022 se ubica en US$99.39 dólares, según la U.S. Energy </w:t>
      </w:r>
      <w:proofErr w:type="spellStart"/>
      <w:r w:rsidRPr="00E4580E">
        <w:rPr>
          <w:rFonts w:ascii="Times New Roman" w:hAnsi="Times New Roman" w:cs="Times New Roman"/>
        </w:rPr>
        <w:t>Information</w:t>
      </w:r>
      <w:proofErr w:type="spellEnd"/>
      <w:r w:rsidRPr="00E4580E">
        <w:rPr>
          <w:rFonts w:ascii="Times New Roman" w:hAnsi="Times New Roman" w:cs="Times New Roman"/>
        </w:rPr>
        <w:t xml:space="preserve"> </w:t>
      </w:r>
      <w:proofErr w:type="spellStart"/>
      <w:r w:rsidRPr="00E4580E">
        <w:rPr>
          <w:rFonts w:ascii="Times New Roman" w:hAnsi="Times New Roman" w:cs="Times New Roman"/>
        </w:rPr>
        <w:t>Administration</w:t>
      </w:r>
      <w:proofErr w:type="spellEnd"/>
      <w:r w:rsidRPr="00E4580E">
        <w:rPr>
          <w:rFonts w:ascii="Times New Roman" w:hAnsi="Times New Roman" w:cs="Times New Roman"/>
        </w:rPr>
        <w:t>.</w:t>
      </w:r>
    </w:p>
    <w:p w14:paraId="1B2FBD87" w14:textId="1186AD53" w:rsidR="00E4580E" w:rsidRDefault="00E4580E" w:rsidP="00E4580E">
      <w:pPr>
        <w:spacing w:after="0" w:line="240" w:lineRule="auto"/>
        <w:jc w:val="both"/>
        <w:rPr>
          <w:rFonts w:ascii="Times New Roman" w:hAnsi="Times New Roman" w:cs="Times New Roman"/>
        </w:rPr>
      </w:pPr>
    </w:p>
    <w:p w14:paraId="76B4155A" w14:textId="75A4137B" w:rsidR="00E4580E" w:rsidRDefault="00E4580E" w:rsidP="00E4580E">
      <w:pPr>
        <w:spacing w:after="0" w:line="240" w:lineRule="auto"/>
        <w:jc w:val="both"/>
        <w:rPr>
          <w:rFonts w:ascii="Times New Roman" w:hAnsi="Times New Roman" w:cs="Times New Roman"/>
        </w:rPr>
      </w:pPr>
    </w:p>
    <w:p w14:paraId="328C4434" w14:textId="4A2155BB" w:rsidR="00E4580E" w:rsidRDefault="00E4580E" w:rsidP="00E4580E">
      <w:pPr>
        <w:spacing w:after="0" w:line="240" w:lineRule="auto"/>
        <w:jc w:val="both"/>
        <w:rPr>
          <w:rFonts w:ascii="Times New Roman" w:hAnsi="Times New Roman" w:cs="Times New Roman"/>
        </w:rPr>
      </w:pPr>
    </w:p>
    <w:p w14:paraId="7BE2D4C6" w14:textId="4809BB12" w:rsidR="00E4580E" w:rsidRDefault="00E4580E" w:rsidP="00E4580E">
      <w:pPr>
        <w:spacing w:after="0" w:line="240" w:lineRule="auto"/>
        <w:jc w:val="both"/>
        <w:rPr>
          <w:rFonts w:ascii="Times New Roman" w:hAnsi="Times New Roman" w:cs="Times New Roman"/>
        </w:rPr>
      </w:pPr>
    </w:p>
    <w:p w14:paraId="385A8738" w14:textId="0402357B" w:rsidR="00E4580E" w:rsidRDefault="00E4580E" w:rsidP="00E4580E">
      <w:pPr>
        <w:spacing w:after="0" w:line="240" w:lineRule="auto"/>
        <w:jc w:val="both"/>
        <w:rPr>
          <w:rFonts w:ascii="Times New Roman" w:hAnsi="Times New Roman" w:cs="Times New Roman"/>
        </w:rPr>
      </w:pPr>
    </w:p>
    <w:p w14:paraId="63CA63C2" w14:textId="6661EC88" w:rsidR="00E4580E" w:rsidRDefault="00E4580E" w:rsidP="00E4580E">
      <w:pPr>
        <w:spacing w:after="0" w:line="240" w:lineRule="auto"/>
        <w:jc w:val="both"/>
        <w:rPr>
          <w:rFonts w:ascii="Times New Roman" w:hAnsi="Times New Roman" w:cs="Times New Roman"/>
        </w:rPr>
      </w:pPr>
    </w:p>
    <w:p w14:paraId="55BBFC31" w14:textId="27C6B506" w:rsidR="00E4580E" w:rsidRDefault="00E4580E" w:rsidP="00E4580E">
      <w:pPr>
        <w:spacing w:after="0" w:line="240" w:lineRule="auto"/>
        <w:jc w:val="both"/>
        <w:rPr>
          <w:rFonts w:ascii="Times New Roman" w:hAnsi="Times New Roman" w:cs="Times New Roman"/>
        </w:rPr>
      </w:pPr>
    </w:p>
    <w:p w14:paraId="0D1B7D20" w14:textId="729BF536" w:rsidR="00E4580E" w:rsidRDefault="00E4580E" w:rsidP="00E4580E">
      <w:pPr>
        <w:spacing w:after="0" w:line="240" w:lineRule="auto"/>
        <w:jc w:val="both"/>
        <w:rPr>
          <w:rFonts w:ascii="Times New Roman" w:hAnsi="Times New Roman" w:cs="Times New Roman"/>
        </w:rPr>
      </w:pPr>
    </w:p>
    <w:p w14:paraId="641B087C" w14:textId="7C215E3A" w:rsidR="00E4580E" w:rsidRDefault="00E4580E" w:rsidP="00E4580E">
      <w:pPr>
        <w:spacing w:after="0" w:line="240" w:lineRule="auto"/>
        <w:jc w:val="both"/>
        <w:rPr>
          <w:rFonts w:ascii="Times New Roman" w:hAnsi="Times New Roman" w:cs="Times New Roman"/>
        </w:rPr>
      </w:pPr>
    </w:p>
    <w:p w14:paraId="2728C777" w14:textId="77777777" w:rsidR="00E4580E" w:rsidRDefault="00E4580E" w:rsidP="00E4580E">
      <w:pPr>
        <w:spacing w:after="0" w:line="240" w:lineRule="auto"/>
        <w:jc w:val="both"/>
        <w:rPr>
          <w:rFonts w:ascii="Times New Roman" w:hAnsi="Times New Roman" w:cs="Times New Roman"/>
          <w:color w:val="FF0000"/>
        </w:rPr>
      </w:pPr>
    </w:p>
    <w:p w14:paraId="0E0B0E74" w14:textId="77777777" w:rsidR="009D2F40" w:rsidRPr="00F31E06" w:rsidRDefault="009D2F40" w:rsidP="009D2F40">
      <w:pPr>
        <w:spacing w:after="0" w:line="240" w:lineRule="auto"/>
        <w:jc w:val="center"/>
        <w:rPr>
          <w:rFonts w:ascii="Times New Roman" w:hAnsi="Times New Roman" w:cs="Times New Roman"/>
          <w:b/>
        </w:rPr>
      </w:pPr>
      <w:r w:rsidRPr="00F31E06">
        <w:rPr>
          <w:rFonts w:ascii="Times New Roman" w:hAnsi="Times New Roman" w:cs="Times New Roman"/>
          <w:b/>
        </w:rPr>
        <w:t>Precio del Petróleo</w:t>
      </w:r>
      <w:r>
        <w:rPr>
          <w:rFonts w:ascii="Times New Roman" w:hAnsi="Times New Roman" w:cs="Times New Roman"/>
          <w:b/>
        </w:rPr>
        <w:t xml:space="preserve"> WTI</w:t>
      </w:r>
    </w:p>
    <w:p w14:paraId="59363C2D" w14:textId="0EED0D53" w:rsidR="009D2F40" w:rsidRPr="00F05A6A" w:rsidRDefault="009D2F40" w:rsidP="009D2F40">
      <w:pPr>
        <w:spacing w:after="0" w:line="240" w:lineRule="auto"/>
        <w:jc w:val="center"/>
        <w:rPr>
          <w:rFonts w:ascii="Times New Roman" w:hAnsi="Times New Roman" w:cs="Times New Roman"/>
          <w:sz w:val="20"/>
          <w:szCs w:val="20"/>
        </w:rPr>
      </w:pPr>
      <w:r w:rsidRPr="00F05A6A">
        <w:rPr>
          <w:rFonts w:ascii="Times New Roman" w:hAnsi="Times New Roman" w:cs="Times New Roman"/>
          <w:sz w:val="20"/>
          <w:szCs w:val="20"/>
        </w:rPr>
        <w:t>Dólares por barril</w:t>
      </w:r>
    </w:p>
    <w:p w14:paraId="10AF617E" w14:textId="0DC0B45F" w:rsidR="009D2F40" w:rsidRDefault="00F05A6A" w:rsidP="009D2F40">
      <w:pPr>
        <w:spacing w:after="0" w:line="240" w:lineRule="auto"/>
        <w:jc w:val="center"/>
        <w:rPr>
          <w:rFonts w:ascii="Times New Roman" w:hAnsi="Times New Roman" w:cs="Times New Roman"/>
          <w:b/>
        </w:rPr>
      </w:pPr>
      <w:r w:rsidRPr="00004C99">
        <w:rPr>
          <w:noProof/>
          <w:sz w:val="20"/>
          <w:szCs w:val="20"/>
          <w:lang w:eastAsia="es-GT"/>
        </w:rPr>
        <w:drawing>
          <wp:anchor distT="0" distB="0" distL="114300" distR="114300" simplePos="0" relativeHeight="251856896" behindDoc="0" locked="0" layoutInCell="1" allowOverlap="1" wp14:anchorId="34D45364" wp14:editId="508FE39E">
            <wp:simplePos x="0" y="0"/>
            <wp:positionH relativeFrom="margin">
              <wp:posOffset>3030855</wp:posOffset>
            </wp:positionH>
            <wp:positionV relativeFrom="paragraph">
              <wp:posOffset>-635</wp:posOffset>
            </wp:positionV>
            <wp:extent cx="2632710" cy="1525445"/>
            <wp:effectExtent l="0" t="0" r="0" b="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33BDBC4" w14:textId="77777777" w:rsidR="009D2F40" w:rsidRDefault="009D2F40" w:rsidP="009D2F40">
      <w:pPr>
        <w:spacing w:after="0" w:line="240" w:lineRule="auto"/>
        <w:jc w:val="center"/>
        <w:rPr>
          <w:rFonts w:ascii="Times New Roman" w:hAnsi="Times New Roman" w:cs="Times New Roman"/>
          <w:b/>
        </w:rPr>
      </w:pPr>
    </w:p>
    <w:p w14:paraId="1A6AC280" w14:textId="77777777" w:rsidR="009D2F40" w:rsidRDefault="009D2F40" w:rsidP="009D2F40">
      <w:pPr>
        <w:spacing w:after="0" w:line="240" w:lineRule="auto"/>
        <w:jc w:val="center"/>
        <w:rPr>
          <w:rFonts w:ascii="Times New Roman" w:hAnsi="Times New Roman" w:cs="Times New Roman"/>
          <w:b/>
        </w:rPr>
      </w:pPr>
    </w:p>
    <w:p w14:paraId="0CB4693E" w14:textId="77777777" w:rsidR="009D2F40" w:rsidRDefault="009D2F40" w:rsidP="009D2F40">
      <w:pPr>
        <w:spacing w:after="0" w:line="240" w:lineRule="auto"/>
        <w:jc w:val="center"/>
        <w:rPr>
          <w:rFonts w:ascii="Times New Roman" w:hAnsi="Times New Roman" w:cs="Times New Roman"/>
          <w:b/>
        </w:rPr>
      </w:pPr>
    </w:p>
    <w:p w14:paraId="0036209B" w14:textId="77777777" w:rsidR="009D2F40" w:rsidRDefault="009D2F40" w:rsidP="009D2F40">
      <w:pPr>
        <w:spacing w:after="0" w:line="240" w:lineRule="auto"/>
        <w:jc w:val="center"/>
        <w:rPr>
          <w:rFonts w:ascii="Times New Roman" w:hAnsi="Times New Roman" w:cs="Times New Roman"/>
          <w:b/>
        </w:rPr>
      </w:pPr>
    </w:p>
    <w:p w14:paraId="378D8CD0" w14:textId="77777777" w:rsidR="009D2F40" w:rsidRDefault="009D2F40" w:rsidP="009D2F40">
      <w:pPr>
        <w:spacing w:after="0" w:line="240" w:lineRule="auto"/>
        <w:jc w:val="center"/>
        <w:rPr>
          <w:rFonts w:ascii="Times New Roman" w:hAnsi="Times New Roman" w:cs="Times New Roman"/>
          <w:b/>
        </w:rPr>
      </w:pPr>
    </w:p>
    <w:p w14:paraId="4C5FCB60" w14:textId="77777777" w:rsidR="009D2F40" w:rsidRDefault="009D2F40" w:rsidP="009D2F40">
      <w:pPr>
        <w:spacing w:after="0" w:line="240" w:lineRule="auto"/>
        <w:jc w:val="center"/>
        <w:rPr>
          <w:rFonts w:ascii="Times New Roman" w:hAnsi="Times New Roman" w:cs="Times New Roman"/>
          <w:b/>
        </w:rPr>
      </w:pPr>
    </w:p>
    <w:p w14:paraId="1209F280" w14:textId="77777777" w:rsidR="009D2F40" w:rsidRDefault="009D2F40" w:rsidP="009D2F40">
      <w:pPr>
        <w:spacing w:after="0" w:line="240" w:lineRule="auto"/>
        <w:jc w:val="center"/>
        <w:rPr>
          <w:rFonts w:ascii="Times New Roman" w:hAnsi="Times New Roman" w:cs="Times New Roman"/>
          <w:b/>
        </w:rPr>
      </w:pPr>
    </w:p>
    <w:p w14:paraId="22A8DD10" w14:textId="77777777" w:rsidR="009D2F40" w:rsidRDefault="009D2F40" w:rsidP="009D2F40">
      <w:pPr>
        <w:spacing w:after="0" w:line="240" w:lineRule="auto"/>
        <w:jc w:val="center"/>
        <w:rPr>
          <w:rFonts w:ascii="Times New Roman" w:hAnsi="Times New Roman" w:cs="Times New Roman"/>
          <w:b/>
        </w:rPr>
      </w:pPr>
    </w:p>
    <w:p w14:paraId="43356A02" w14:textId="77777777" w:rsidR="009D2F40" w:rsidRDefault="009D2F40" w:rsidP="009D2F40">
      <w:pPr>
        <w:spacing w:after="0" w:line="240" w:lineRule="auto"/>
        <w:jc w:val="both"/>
        <w:rPr>
          <w:rFonts w:ascii="Times New Roman" w:hAnsi="Times New Roman" w:cs="Times New Roman"/>
          <w:color w:val="000000" w:themeColor="text1"/>
          <w:sz w:val="16"/>
          <w:szCs w:val="16"/>
          <w:lang w:val="es-MX"/>
        </w:rPr>
      </w:pPr>
    </w:p>
    <w:p w14:paraId="7330953B" w14:textId="77777777" w:rsidR="009D2F40" w:rsidRPr="00004C99" w:rsidRDefault="009D2F40" w:rsidP="009D2F40">
      <w:pPr>
        <w:spacing w:after="0" w:line="240" w:lineRule="auto"/>
        <w:jc w:val="both"/>
        <w:rPr>
          <w:rFonts w:ascii="Times New Roman" w:hAnsi="Times New Roman" w:cs="Times New Roman"/>
          <w:sz w:val="16"/>
          <w:szCs w:val="16"/>
          <w:lang w:val="en-US"/>
        </w:rPr>
      </w:pPr>
      <w:r w:rsidRPr="00004C99">
        <w:rPr>
          <w:rFonts w:ascii="Times New Roman" w:hAnsi="Times New Roman" w:cs="Times New Roman"/>
          <w:color w:val="000000" w:themeColor="text1"/>
          <w:sz w:val="16"/>
          <w:szCs w:val="16"/>
          <w:lang w:val="en-US"/>
        </w:rPr>
        <w:t xml:space="preserve">Fuente: </w:t>
      </w:r>
      <w:r w:rsidRPr="00004C99">
        <w:rPr>
          <w:rFonts w:ascii="Times New Roman" w:hAnsi="Times New Roman" w:cs="Times New Roman"/>
          <w:sz w:val="16"/>
          <w:szCs w:val="16"/>
          <w:lang w:val="en-US"/>
        </w:rPr>
        <w:t>U.S. Energy Information Administration.</w:t>
      </w:r>
    </w:p>
    <w:p w14:paraId="29D9F5B7" w14:textId="77777777" w:rsidR="009D2F40" w:rsidRPr="00004C99" w:rsidRDefault="009D2F40" w:rsidP="009D2F40">
      <w:pPr>
        <w:spacing w:after="0" w:line="240" w:lineRule="auto"/>
        <w:jc w:val="both"/>
        <w:rPr>
          <w:rFonts w:ascii="Times New Roman" w:hAnsi="Times New Roman" w:cs="Times New Roman"/>
          <w:lang w:val="en-US"/>
        </w:rPr>
      </w:pPr>
    </w:p>
    <w:p w14:paraId="533BEEFF" w14:textId="785C2666" w:rsidR="009D2F40" w:rsidRDefault="00E4580E" w:rsidP="009D2F40">
      <w:pPr>
        <w:spacing w:after="0" w:line="240" w:lineRule="auto"/>
        <w:jc w:val="both"/>
        <w:rPr>
          <w:rFonts w:ascii="Times New Roman" w:hAnsi="Times New Roman" w:cs="Times New Roman"/>
        </w:rPr>
      </w:pPr>
      <w:r w:rsidRPr="00E4580E">
        <w:rPr>
          <w:rFonts w:ascii="Times New Roman" w:hAnsi="Times New Roman" w:cs="Times New Roman"/>
        </w:rPr>
        <w:t>De manera acumulada, el IVA total genera brecha positiva de Q3,869.8 millones respecto la meta de presupuesto y Q3,682.9 millones respecto a lo observado en 2021, destaca que el IVA asociado al comercio exterior mantiene el mayor aporte, reflejando crecimientos de 33.7% respecto a la meta de presupuesto y 28.6% respecto a lo observado en 2021.</w:t>
      </w:r>
    </w:p>
    <w:p w14:paraId="023A20C7" w14:textId="77777777" w:rsidR="00E4580E" w:rsidRPr="009D2F40" w:rsidRDefault="00E4580E" w:rsidP="009D2F40">
      <w:pPr>
        <w:spacing w:after="0" w:line="240" w:lineRule="auto"/>
        <w:jc w:val="both"/>
        <w:rPr>
          <w:rFonts w:ascii="Times New Roman" w:hAnsi="Times New Roman" w:cs="Times New Roman"/>
        </w:rPr>
      </w:pPr>
    </w:p>
    <w:p w14:paraId="204DB3DF" w14:textId="77777777" w:rsidR="00D62B21" w:rsidRPr="009D2F40" w:rsidRDefault="00D62B21" w:rsidP="00D62B21">
      <w:pPr>
        <w:spacing w:after="0" w:line="240" w:lineRule="auto"/>
        <w:jc w:val="both"/>
        <w:rPr>
          <w:rFonts w:ascii="Times New Roman" w:hAnsi="Times New Roman" w:cs="Times New Roman"/>
          <w:b/>
          <w:bCs/>
        </w:rPr>
      </w:pPr>
      <w:r w:rsidRPr="009D2F40">
        <w:rPr>
          <w:rFonts w:ascii="Times New Roman" w:hAnsi="Times New Roman" w:cs="Times New Roman"/>
          <w:b/>
          <w:bCs/>
        </w:rPr>
        <w:t>Los demás impuestos</w:t>
      </w:r>
    </w:p>
    <w:p w14:paraId="5FFA3AD7" w14:textId="77777777" w:rsidR="00D62B21" w:rsidRPr="005334BA" w:rsidRDefault="00D62B21" w:rsidP="00D62B21">
      <w:pPr>
        <w:spacing w:after="0" w:line="240" w:lineRule="auto"/>
        <w:jc w:val="both"/>
        <w:rPr>
          <w:rFonts w:ascii="Times New Roman" w:hAnsi="Times New Roman" w:cs="Times New Roman"/>
          <w:b/>
          <w:bCs/>
          <w:color w:val="FF0000"/>
          <w:sz w:val="14"/>
        </w:rPr>
      </w:pPr>
    </w:p>
    <w:p w14:paraId="6394E451" w14:textId="77777777" w:rsidR="00E4580E" w:rsidRPr="00E4580E"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En la recaudación de julio destaca que el Impuesto de Circulación de Vehículos y el de Distribución de Cemento no alcanzaron la meta mensual dejando de percibir en conjunto Q34.8 millones respecto a la meta de presupuesto.</w:t>
      </w:r>
    </w:p>
    <w:p w14:paraId="6207E844" w14:textId="77777777" w:rsidR="00E4580E" w:rsidRPr="00E4580E" w:rsidRDefault="00E4580E" w:rsidP="00E4580E">
      <w:pPr>
        <w:spacing w:after="0" w:line="240" w:lineRule="auto"/>
        <w:jc w:val="both"/>
        <w:rPr>
          <w:rFonts w:ascii="Times New Roman" w:hAnsi="Times New Roman" w:cs="Times New Roman"/>
        </w:rPr>
      </w:pPr>
    </w:p>
    <w:p w14:paraId="646667AC" w14:textId="77777777" w:rsidR="00E4580E" w:rsidRPr="00E4580E"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 xml:space="preserve">De manera acumulada el Impuesto a la Circulación de Vehículos genera brecha negativa de Q48.6 millones. </w:t>
      </w:r>
    </w:p>
    <w:p w14:paraId="47A40BB3" w14:textId="77777777" w:rsidR="00E4580E" w:rsidRPr="00E4580E" w:rsidRDefault="00E4580E" w:rsidP="00E4580E">
      <w:pPr>
        <w:spacing w:after="0" w:line="240" w:lineRule="auto"/>
        <w:jc w:val="both"/>
        <w:rPr>
          <w:rFonts w:ascii="Times New Roman" w:hAnsi="Times New Roman" w:cs="Times New Roman"/>
        </w:rPr>
      </w:pPr>
    </w:p>
    <w:p w14:paraId="7B61A02D" w14:textId="77777777" w:rsidR="00E4580E" w:rsidRPr="00E4580E"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Además, destaca que los impuestos internos a julio vienen recuperando el ritmo de crecimiento mensual pasando de 12.9% observado en junio a 13.6% en el mes de julio.</w:t>
      </w:r>
    </w:p>
    <w:p w14:paraId="6B4AC97E" w14:textId="77777777" w:rsidR="00E4580E" w:rsidRPr="00E4580E" w:rsidRDefault="00E4580E" w:rsidP="00E4580E">
      <w:pPr>
        <w:spacing w:after="0" w:line="240" w:lineRule="auto"/>
        <w:jc w:val="both"/>
        <w:rPr>
          <w:rFonts w:ascii="Times New Roman" w:hAnsi="Times New Roman" w:cs="Times New Roman"/>
        </w:rPr>
      </w:pPr>
    </w:p>
    <w:p w14:paraId="48E162BC" w14:textId="1AD9E720" w:rsidR="009D2F40" w:rsidRDefault="00E4580E" w:rsidP="00E4580E">
      <w:pPr>
        <w:spacing w:after="0" w:line="240" w:lineRule="auto"/>
        <w:jc w:val="both"/>
        <w:rPr>
          <w:rFonts w:ascii="Times New Roman" w:hAnsi="Times New Roman" w:cs="Times New Roman"/>
        </w:rPr>
      </w:pPr>
      <w:r w:rsidRPr="00E4580E">
        <w:rPr>
          <w:rFonts w:ascii="Times New Roman" w:hAnsi="Times New Roman" w:cs="Times New Roman"/>
        </w:rPr>
        <w:t>Los impuestos asociados al comercio exterior disminuyeron su ritmo de crecimiento respecto a lo observado en junio (28.2%) pasando a 26.3%, vale indicar que este crecimiento es el menor observado en los últimos 4 meses del año.</w:t>
      </w:r>
    </w:p>
    <w:p w14:paraId="34846708" w14:textId="56715E6B" w:rsidR="00E4580E" w:rsidRDefault="00E4580E" w:rsidP="00E4580E">
      <w:pPr>
        <w:spacing w:after="0" w:line="240" w:lineRule="auto"/>
        <w:jc w:val="both"/>
        <w:rPr>
          <w:rFonts w:ascii="Times New Roman" w:hAnsi="Times New Roman" w:cs="Times New Roman"/>
        </w:rPr>
      </w:pPr>
    </w:p>
    <w:p w14:paraId="564017C5" w14:textId="73DCC5CB" w:rsidR="00E4580E" w:rsidRDefault="00E4580E" w:rsidP="00E4580E">
      <w:pPr>
        <w:spacing w:after="0" w:line="240" w:lineRule="auto"/>
        <w:jc w:val="both"/>
        <w:rPr>
          <w:rFonts w:ascii="Times New Roman" w:hAnsi="Times New Roman" w:cs="Times New Roman"/>
        </w:rPr>
      </w:pPr>
    </w:p>
    <w:p w14:paraId="779CE5CB" w14:textId="5928900F" w:rsidR="00E4580E" w:rsidRDefault="00E4580E" w:rsidP="00E4580E">
      <w:pPr>
        <w:spacing w:after="0" w:line="240" w:lineRule="auto"/>
        <w:jc w:val="both"/>
        <w:rPr>
          <w:rFonts w:ascii="Times New Roman" w:hAnsi="Times New Roman" w:cs="Times New Roman"/>
        </w:rPr>
      </w:pPr>
    </w:p>
    <w:p w14:paraId="042B7E46" w14:textId="77777777" w:rsidR="00E4580E" w:rsidRDefault="00E4580E" w:rsidP="00E4580E">
      <w:pPr>
        <w:spacing w:after="0" w:line="240" w:lineRule="auto"/>
        <w:jc w:val="both"/>
        <w:rPr>
          <w:rFonts w:ascii="Times New Roman" w:hAnsi="Times New Roman" w:cs="Times New Roman"/>
          <w:b/>
          <w:bCs/>
          <w:color w:val="FF0000"/>
          <w:sz w:val="14"/>
        </w:rPr>
      </w:pPr>
    </w:p>
    <w:p w14:paraId="0995AAA1" w14:textId="77777777" w:rsidR="009D2F40" w:rsidRPr="00004C99" w:rsidRDefault="009D2F40" w:rsidP="009D2F40">
      <w:pPr>
        <w:spacing w:after="0" w:line="240" w:lineRule="auto"/>
        <w:jc w:val="center"/>
        <w:rPr>
          <w:rFonts w:ascii="Times New Roman" w:hAnsi="Times New Roman" w:cs="Times New Roman"/>
          <w:b/>
          <w:sz w:val="20"/>
          <w:szCs w:val="20"/>
        </w:rPr>
      </w:pPr>
      <w:r>
        <w:rPr>
          <w:rFonts w:ascii="Times New Roman" w:hAnsi="Times New Roman" w:cs="Times New Roman"/>
          <w:b/>
        </w:rPr>
        <w:lastRenderedPageBreak/>
        <w:t xml:space="preserve">Comportamiento de la recaudación </w:t>
      </w:r>
      <w:r w:rsidRPr="00004C99">
        <w:rPr>
          <w:rFonts w:ascii="Times New Roman" w:hAnsi="Times New Roman" w:cs="Times New Roman"/>
          <w:b/>
          <w:sz w:val="20"/>
          <w:szCs w:val="20"/>
        </w:rPr>
        <w:t>tributaria en porcentajes de variación</w:t>
      </w:r>
    </w:p>
    <w:p w14:paraId="3D209111" w14:textId="58C1A232" w:rsidR="009D2F40" w:rsidRDefault="00E4580E" w:rsidP="00E4580E">
      <w:pPr>
        <w:spacing w:after="0" w:line="240" w:lineRule="auto"/>
        <w:jc w:val="center"/>
        <w:rPr>
          <w:rFonts w:ascii="Times New Roman" w:hAnsi="Times New Roman" w:cs="Times New Roman"/>
          <w:color w:val="000000" w:themeColor="text1"/>
          <w:sz w:val="16"/>
          <w:szCs w:val="16"/>
          <w:lang w:val="es-MX"/>
        </w:rPr>
      </w:pPr>
      <w:r>
        <w:rPr>
          <w:noProof/>
        </w:rPr>
        <w:drawing>
          <wp:anchor distT="0" distB="0" distL="114300" distR="114300" simplePos="0" relativeHeight="251857920" behindDoc="0" locked="0" layoutInCell="1" allowOverlap="1" wp14:anchorId="66DC65DF" wp14:editId="40174BBF">
            <wp:simplePos x="0" y="0"/>
            <wp:positionH relativeFrom="column">
              <wp:posOffset>-121920</wp:posOffset>
            </wp:positionH>
            <wp:positionV relativeFrom="paragraph">
              <wp:posOffset>0</wp:posOffset>
            </wp:positionV>
            <wp:extent cx="2581275" cy="1765935"/>
            <wp:effectExtent l="0" t="0" r="0" b="5715"/>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9D2F40" w:rsidRPr="00F31E06">
        <w:rPr>
          <w:rFonts w:ascii="Times New Roman" w:hAnsi="Times New Roman" w:cs="Times New Roman"/>
          <w:color w:val="000000" w:themeColor="text1"/>
          <w:sz w:val="16"/>
          <w:szCs w:val="16"/>
          <w:lang w:val="es-MX"/>
        </w:rPr>
        <w:t xml:space="preserve">Fuente: </w:t>
      </w:r>
      <w:r w:rsidR="009D2F40" w:rsidRPr="00840733">
        <w:rPr>
          <w:rFonts w:ascii="Times New Roman" w:hAnsi="Times New Roman" w:cs="Times New Roman"/>
          <w:color w:val="000000" w:themeColor="text1"/>
          <w:sz w:val="16"/>
          <w:szCs w:val="16"/>
          <w:lang w:val="es-MX"/>
        </w:rPr>
        <w:t>Dirección de Análisis y Política Fiscal.</w:t>
      </w:r>
    </w:p>
    <w:p w14:paraId="3EFA56BF" w14:textId="15B1CB6D" w:rsidR="00D62B21" w:rsidRPr="009D2F40" w:rsidRDefault="00D62B21" w:rsidP="009D2F40">
      <w:pPr>
        <w:spacing w:after="0" w:line="240" w:lineRule="auto"/>
        <w:jc w:val="both"/>
        <w:rPr>
          <w:rFonts w:ascii="Times New Roman" w:hAnsi="Times New Roman" w:cs="Times New Roman"/>
          <w:color w:val="FF0000"/>
          <w:lang w:val="es-MX"/>
        </w:rPr>
      </w:pPr>
    </w:p>
    <w:p w14:paraId="704CE249" w14:textId="77777777" w:rsidR="009D2F40" w:rsidRDefault="009D2F40" w:rsidP="009D2F40">
      <w:pPr>
        <w:spacing w:after="0" w:line="240" w:lineRule="auto"/>
        <w:jc w:val="both"/>
        <w:rPr>
          <w:rFonts w:ascii="Times New Roman" w:hAnsi="Times New Roman" w:cs="Times New Roman"/>
          <w:b/>
          <w:bCs/>
        </w:rPr>
      </w:pPr>
      <w:r>
        <w:rPr>
          <w:rFonts w:ascii="Times New Roman" w:hAnsi="Times New Roman" w:cs="Times New Roman"/>
          <w:b/>
          <w:bCs/>
        </w:rPr>
        <w:t>Estructura de la recaudación tributaria acumulada a julio 2022</w:t>
      </w:r>
    </w:p>
    <w:p w14:paraId="5091EEC6" w14:textId="77777777" w:rsidR="009D2F40" w:rsidRPr="003B53FC" w:rsidRDefault="009D2F40" w:rsidP="009D2F40">
      <w:pPr>
        <w:spacing w:after="0" w:line="240" w:lineRule="auto"/>
        <w:jc w:val="both"/>
        <w:rPr>
          <w:rFonts w:ascii="Times New Roman" w:hAnsi="Times New Roman" w:cs="Times New Roman"/>
          <w:color w:val="FF0000"/>
          <w:sz w:val="16"/>
        </w:rPr>
      </w:pPr>
    </w:p>
    <w:p w14:paraId="0981FD45" w14:textId="12AF7F82" w:rsidR="009D2F40" w:rsidRDefault="009D2F40" w:rsidP="009D2F40">
      <w:pPr>
        <w:spacing w:after="0" w:line="240" w:lineRule="auto"/>
        <w:jc w:val="both"/>
        <w:rPr>
          <w:rFonts w:ascii="Times New Roman" w:hAnsi="Times New Roman" w:cs="Times New Roman"/>
        </w:rPr>
      </w:pPr>
      <w:r>
        <w:rPr>
          <w:rFonts w:ascii="Times New Roman" w:hAnsi="Times New Roman" w:cs="Times New Roman"/>
        </w:rPr>
        <w:t>La recaudación tributaria a ju</w:t>
      </w:r>
      <w:r w:rsidR="00E4580E">
        <w:rPr>
          <w:rFonts w:ascii="Times New Roman" w:hAnsi="Times New Roman" w:cs="Times New Roman"/>
        </w:rPr>
        <w:t>l</w:t>
      </w:r>
      <w:r>
        <w:rPr>
          <w:rFonts w:ascii="Times New Roman" w:hAnsi="Times New Roman" w:cs="Times New Roman"/>
        </w:rPr>
        <w:t>io 2022 mantiene la estructura y el desempeño positivo explicado principalmente por impuestos como el ISR, y el IVA que en conjunto representan el 76.9% de la recaudación observada total.</w:t>
      </w:r>
    </w:p>
    <w:p w14:paraId="1E21C8E5" w14:textId="0AC9B388" w:rsidR="00F05A6A" w:rsidRDefault="00F05A6A" w:rsidP="009D2F40">
      <w:pPr>
        <w:spacing w:after="0" w:line="240" w:lineRule="auto"/>
        <w:jc w:val="both"/>
        <w:rPr>
          <w:rFonts w:ascii="Times New Roman" w:hAnsi="Times New Roman" w:cs="Times New Roman"/>
        </w:rPr>
      </w:pPr>
    </w:p>
    <w:p w14:paraId="123EF15E" w14:textId="77777777" w:rsidR="009D2F40" w:rsidRDefault="009D2F40" w:rsidP="009D2F40">
      <w:pPr>
        <w:spacing w:after="0" w:line="240" w:lineRule="auto"/>
        <w:jc w:val="center"/>
        <w:rPr>
          <w:rFonts w:ascii="Times New Roman" w:hAnsi="Times New Roman" w:cs="Times New Roman"/>
          <w:b/>
          <w:bCs/>
        </w:rPr>
      </w:pPr>
      <w:r>
        <w:rPr>
          <w:rFonts w:ascii="Times New Roman" w:hAnsi="Times New Roman" w:cs="Times New Roman"/>
          <w:b/>
          <w:bCs/>
        </w:rPr>
        <w:t xml:space="preserve">Aporte por impuesto a la recaudación </w:t>
      </w:r>
    </w:p>
    <w:p w14:paraId="13BE5282" w14:textId="77777777" w:rsidR="009D2F40" w:rsidRDefault="009D2F40" w:rsidP="009D2F40">
      <w:pPr>
        <w:spacing w:after="0" w:line="240" w:lineRule="auto"/>
        <w:jc w:val="center"/>
        <w:rPr>
          <w:rFonts w:ascii="Times New Roman" w:hAnsi="Times New Roman" w:cs="Times New Roman"/>
          <w:b/>
          <w:bCs/>
        </w:rPr>
      </w:pPr>
      <w:r>
        <w:rPr>
          <w:rFonts w:ascii="Times New Roman" w:hAnsi="Times New Roman" w:cs="Times New Roman"/>
          <w:b/>
          <w:bCs/>
        </w:rPr>
        <w:t>Tributaria acumulada a julio 2022</w:t>
      </w:r>
    </w:p>
    <w:p w14:paraId="076FF0EA" w14:textId="18DF07F2" w:rsidR="009D2F40" w:rsidRDefault="00E4580E" w:rsidP="009D2F40">
      <w:pPr>
        <w:spacing w:after="0" w:line="240" w:lineRule="auto"/>
        <w:jc w:val="both"/>
        <w:rPr>
          <w:rFonts w:ascii="Times New Roman" w:hAnsi="Times New Roman" w:cs="Times New Roman"/>
        </w:rPr>
      </w:pPr>
      <w:r>
        <w:rPr>
          <w:noProof/>
        </w:rPr>
        <w:drawing>
          <wp:inline distT="0" distB="0" distL="0" distR="0" wp14:anchorId="2C56E400" wp14:editId="0298E8C7">
            <wp:extent cx="2581275" cy="1558138"/>
            <wp:effectExtent l="0" t="0" r="0" b="444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79F083" w14:textId="77777777" w:rsidR="009D2F40" w:rsidRPr="00840733" w:rsidRDefault="009D2F40" w:rsidP="009D2F40">
      <w:pPr>
        <w:spacing w:after="0" w:line="240" w:lineRule="auto"/>
        <w:jc w:val="both"/>
        <w:rPr>
          <w:rFonts w:ascii="Times New Roman" w:hAnsi="Times New Roman" w:cs="Times New Roman"/>
          <w:color w:val="000000" w:themeColor="text1"/>
          <w:sz w:val="16"/>
          <w:szCs w:val="16"/>
          <w:lang w:val="es-MX"/>
        </w:rPr>
      </w:pPr>
      <w:r w:rsidRPr="00840733">
        <w:rPr>
          <w:rFonts w:ascii="Times New Roman" w:hAnsi="Times New Roman" w:cs="Times New Roman"/>
          <w:color w:val="000000" w:themeColor="text1"/>
          <w:sz w:val="16"/>
          <w:szCs w:val="16"/>
          <w:lang w:val="es-MX"/>
        </w:rPr>
        <w:t>Fuente: Dirección de Análisis y Política Fiscal.</w:t>
      </w:r>
    </w:p>
    <w:p w14:paraId="0B05221B" w14:textId="03EC1D8D" w:rsidR="009D2F40" w:rsidRPr="00E4580E" w:rsidRDefault="009D2F40" w:rsidP="009D2F40">
      <w:pPr>
        <w:spacing w:after="0" w:line="240" w:lineRule="auto"/>
        <w:jc w:val="both"/>
        <w:rPr>
          <w:rFonts w:ascii="Times New Roman" w:hAnsi="Times New Roman" w:cs="Times New Roman"/>
          <w:lang w:val="es-MX"/>
        </w:rPr>
      </w:pPr>
    </w:p>
    <w:p w14:paraId="5EFA2725" w14:textId="77777777" w:rsidR="009D2F40" w:rsidRDefault="009D2F40" w:rsidP="009D2F40">
      <w:pPr>
        <w:spacing w:after="0" w:line="240" w:lineRule="auto"/>
        <w:jc w:val="both"/>
        <w:rPr>
          <w:rFonts w:ascii="Times New Roman" w:hAnsi="Times New Roman" w:cs="Times New Roman"/>
          <w:b/>
          <w:bCs/>
        </w:rPr>
      </w:pPr>
      <w:r>
        <w:rPr>
          <w:rFonts w:ascii="Times New Roman" w:hAnsi="Times New Roman" w:cs="Times New Roman"/>
          <w:b/>
          <w:bCs/>
        </w:rPr>
        <w:t>Expectativas de cierre 2022</w:t>
      </w:r>
    </w:p>
    <w:p w14:paraId="3DBC9F44" w14:textId="77777777" w:rsidR="009D2F40" w:rsidRDefault="009D2F40" w:rsidP="009D2F40">
      <w:pPr>
        <w:spacing w:after="0" w:line="240" w:lineRule="auto"/>
        <w:jc w:val="both"/>
        <w:rPr>
          <w:rFonts w:ascii="Times New Roman" w:hAnsi="Times New Roman" w:cs="Times New Roman"/>
          <w:color w:val="FF0000"/>
          <w:sz w:val="16"/>
        </w:rPr>
      </w:pPr>
    </w:p>
    <w:p w14:paraId="3A21B78A" w14:textId="5E6CEE7C" w:rsidR="009D2F40" w:rsidRDefault="00E4580E" w:rsidP="009D2F40">
      <w:pPr>
        <w:spacing w:after="0" w:line="240" w:lineRule="auto"/>
        <w:jc w:val="both"/>
        <w:rPr>
          <w:rFonts w:ascii="Times New Roman" w:hAnsi="Times New Roman" w:cs="Times New Roman"/>
        </w:rPr>
      </w:pPr>
      <w:r w:rsidRPr="00E4580E">
        <w:rPr>
          <w:rFonts w:ascii="Times New Roman" w:hAnsi="Times New Roman" w:cs="Times New Roman"/>
        </w:rPr>
        <w:t>De conformidad con los resultados obtenidos de recaudación tributaria al mes de julio y bajo el escenario de pleno cumplimiento de las metas mensuales para el resto del año, el resultado del ejercicio fiscal a diciembre 2022 puede rondar los Q83,426.1 millones, es decir, de agosto a diciembre, la meta se cumple en 100% y a ello se adiciona la recaudación observada a julio, en la que ya incluye la brecha positiva por Q7,111.2 millones</w:t>
      </w:r>
      <w:r>
        <w:rPr>
          <w:rFonts w:ascii="Times New Roman" w:hAnsi="Times New Roman" w:cs="Times New Roman"/>
        </w:rPr>
        <w:t>.</w:t>
      </w:r>
    </w:p>
    <w:p w14:paraId="1405E75D" w14:textId="77777777" w:rsidR="00E4580E" w:rsidRDefault="00E4580E" w:rsidP="009D2F40">
      <w:pPr>
        <w:spacing w:after="0" w:line="240" w:lineRule="auto"/>
        <w:jc w:val="both"/>
        <w:rPr>
          <w:rFonts w:ascii="Times New Roman" w:hAnsi="Times New Roman" w:cs="Times New Roman"/>
        </w:rPr>
      </w:pPr>
    </w:p>
    <w:p w14:paraId="3A8AF58F" w14:textId="77777777" w:rsidR="009D2F40" w:rsidRDefault="009D2F40" w:rsidP="009D2F40">
      <w:pPr>
        <w:spacing w:after="0" w:line="240" w:lineRule="auto"/>
        <w:jc w:val="center"/>
        <w:rPr>
          <w:rFonts w:ascii="Times New Roman" w:hAnsi="Times New Roman" w:cs="Times New Roman"/>
        </w:rPr>
      </w:pPr>
      <w:r>
        <w:rPr>
          <w:rFonts w:ascii="Times New Roman" w:hAnsi="Times New Roman" w:cs="Times New Roman"/>
          <w:b/>
          <w:bCs/>
        </w:rPr>
        <w:t>Estimación de ejercicio fiscal 2022</w:t>
      </w:r>
      <w:r w:rsidRPr="00390EA5">
        <w:rPr>
          <w:rFonts w:ascii="Times New Roman" w:hAnsi="Times New Roman" w:cs="Times New Roman"/>
        </w:rPr>
        <w:t xml:space="preserve"> </w:t>
      </w:r>
    </w:p>
    <w:p w14:paraId="7FFB5346" w14:textId="77777777" w:rsidR="009D2F40" w:rsidRPr="00840733" w:rsidRDefault="009D2F40" w:rsidP="009D2F40">
      <w:pPr>
        <w:spacing w:after="0" w:line="240" w:lineRule="auto"/>
        <w:jc w:val="center"/>
        <w:rPr>
          <w:rFonts w:ascii="Times New Roman" w:hAnsi="Times New Roman" w:cs="Times New Roman"/>
        </w:rPr>
      </w:pPr>
      <w:r w:rsidRPr="00840733">
        <w:rPr>
          <w:rFonts w:ascii="Times New Roman" w:hAnsi="Times New Roman" w:cs="Times New Roman"/>
        </w:rPr>
        <w:t>Millones de quetzales</w:t>
      </w:r>
    </w:p>
    <w:p w14:paraId="67B6ACF2" w14:textId="61CC0F41" w:rsidR="009D2F40" w:rsidRDefault="00E4580E" w:rsidP="009D2F40">
      <w:pPr>
        <w:spacing w:after="0" w:line="240" w:lineRule="auto"/>
        <w:jc w:val="both"/>
        <w:rPr>
          <w:rFonts w:ascii="Times New Roman" w:hAnsi="Times New Roman" w:cs="Times New Roman"/>
        </w:rPr>
      </w:pPr>
      <w:r>
        <w:rPr>
          <w:noProof/>
        </w:rPr>
        <w:drawing>
          <wp:inline distT="0" distB="0" distL="0" distR="0" wp14:anchorId="6C7223ED" wp14:editId="51DB40C5">
            <wp:extent cx="2581275" cy="170942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FE8E2C" w14:textId="3F26CEAB" w:rsidR="00D62B21" w:rsidRDefault="009D2F40" w:rsidP="009D2F40">
      <w:pPr>
        <w:spacing w:after="0" w:line="240" w:lineRule="auto"/>
        <w:jc w:val="both"/>
        <w:rPr>
          <w:rFonts w:ascii="Times New Roman" w:hAnsi="Times New Roman" w:cs="Times New Roman"/>
          <w:color w:val="000000" w:themeColor="text1"/>
          <w:sz w:val="16"/>
          <w:szCs w:val="16"/>
          <w:lang w:val="es-MX"/>
        </w:rPr>
      </w:pPr>
      <w:r w:rsidRPr="00840733">
        <w:rPr>
          <w:rFonts w:ascii="Times New Roman" w:hAnsi="Times New Roman" w:cs="Times New Roman"/>
          <w:color w:val="000000" w:themeColor="text1"/>
          <w:sz w:val="16"/>
          <w:szCs w:val="16"/>
          <w:lang w:val="es-MX"/>
        </w:rPr>
        <w:t>Fuente: Direcció</w:t>
      </w:r>
      <w:r>
        <w:rPr>
          <w:rFonts w:ascii="Times New Roman" w:hAnsi="Times New Roman" w:cs="Times New Roman"/>
          <w:color w:val="000000" w:themeColor="text1"/>
          <w:sz w:val="16"/>
          <w:szCs w:val="16"/>
          <w:lang w:val="es-MX"/>
        </w:rPr>
        <w:t>n de Análisis y Política Fiscal.</w:t>
      </w:r>
    </w:p>
    <w:p w14:paraId="4ED34EB0" w14:textId="1B7E9B3E" w:rsidR="00E4580E" w:rsidRDefault="00E4580E" w:rsidP="009D2F40">
      <w:pPr>
        <w:spacing w:after="0" w:line="240" w:lineRule="auto"/>
        <w:jc w:val="both"/>
        <w:rPr>
          <w:rFonts w:ascii="Times New Roman" w:hAnsi="Times New Roman" w:cs="Times New Roman"/>
          <w:color w:val="000000" w:themeColor="text1"/>
          <w:sz w:val="16"/>
          <w:szCs w:val="16"/>
          <w:lang w:val="es-MX"/>
        </w:rPr>
      </w:pPr>
    </w:p>
    <w:p w14:paraId="6316632D" w14:textId="6CE7A464" w:rsidR="00E4580E" w:rsidRDefault="00E4580E" w:rsidP="009D2F40">
      <w:pPr>
        <w:spacing w:after="0" w:line="240" w:lineRule="auto"/>
        <w:jc w:val="both"/>
        <w:rPr>
          <w:rFonts w:ascii="Times New Roman" w:hAnsi="Times New Roman" w:cs="Times New Roman"/>
          <w:color w:val="000000" w:themeColor="text1"/>
          <w:sz w:val="16"/>
          <w:szCs w:val="16"/>
          <w:lang w:val="es-MX"/>
        </w:rPr>
      </w:pPr>
    </w:p>
    <w:p w14:paraId="0D9A7183" w14:textId="790178B1" w:rsidR="00E4580E" w:rsidRDefault="00E4580E" w:rsidP="009D2F40">
      <w:pPr>
        <w:spacing w:after="0" w:line="240" w:lineRule="auto"/>
        <w:jc w:val="both"/>
        <w:rPr>
          <w:rFonts w:ascii="Times New Roman" w:hAnsi="Times New Roman" w:cs="Times New Roman"/>
          <w:color w:val="000000" w:themeColor="text1"/>
          <w:sz w:val="16"/>
          <w:szCs w:val="16"/>
          <w:lang w:val="es-MX"/>
        </w:rPr>
      </w:pPr>
    </w:p>
    <w:p w14:paraId="488010CA" w14:textId="74110433" w:rsidR="00E4580E" w:rsidRDefault="00E4580E" w:rsidP="009D2F40">
      <w:pPr>
        <w:spacing w:after="0" w:line="240" w:lineRule="auto"/>
        <w:jc w:val="both"/>
        <w:rPr>
          <w:rFonts w:ascii="Times New Roman" w:hAnsi="Times New Roman" w:cs="Times New Roman"/>
          <w:color w:val="000000" w:themeColor="text1"/>
          <w:sz w:val="16"/>
          <w:szCs w:val="16"/>
          <w:lang w:val="es-MX"/>
        </w:rPr>
      </w:pPr>
    </w:p>
    <w:p w14:paraId="4BDB0B2B" w14:textId="2D48472A" w:rsidR="00E4580E" w:rsidRDefault="00E4580E" w:rsidP="009D2F40">
      <w:pPr>
        <w:spacing w:after="0" w:line="240" w:lineRule="auto"/>
        <w:jc w:val="both"/>
        <w:rPr>
          <w:rFonts w:ascii="Times New Roman" w:hAnsi="Times New Roman" w:cs="Times New Roman"/>
          <w:color w:val="000000" w:themeColor="text1"/>
          <w:sz w:val="16"/>
          <w:szCs w:val="16"/>
          <w:lang w:val="es-MX"/>
        </w:rPr>
      </w:pPr>
    </w:p>
    <w:p w14:paraId="48DEE83B" w14:textId="2A7FEE56" w:rsidR="00E4580E" w:rsidRDefault="00E4580E" w:rsidP="009D2F40">
      <w:pPr>
        <w:spacing w:after="0" w:line="240" w:lineRule="auto"/>
        <w:jc w:val="both"/>
        <w:rPr>
          <w:rFonts w:ascii="Times New Roman" w:hAnsi="Times New Roman" w:cs="Times New Roman"/>
          <w:color w:val="000000" w:themeColor="text1"/>
          <w:sz w:val="16"/>
          <w:szCs w:val="16"/>
          <w:lang w:val="es-MX"/>
        </w:rPr>
      </w:pPr>
    </w:p>
    <w:p w14:paraId="08E716FD" w14:textId="24698ECD" w:rsidR="00E4580E" w:rsidRDefault="00E4580E" w:rsidP="009D2F40">
      <w:pPr>
        <w:spacing w:after="0" w:line="240" w:lineRule="auto"/>
        <w:jc w:val="both"/>
        <w:rPr>
          <w:rFonts w:ascii="Times New Roman" w:hAnsi="Times New Roman" w:cs="Times New Roman"/>
          <w:color w:val="000000" w:themeColor="text1"/>
          <w:sz w:val="16"/>
          <w:szCs w:val="16"/>
          <w:lang w:val="es-MX"/>
        </w:rPr>
      </w:pPr>
    </w:p>
    <w:p w14:paraId="00980C5E" w14:textId="241611BE" w:rsidR="00E4580E" w:rsidRDefault="00E4580E" w:rsidP="009D2F40">
      <w:pPr>
        <w:spacing w:after="0" w:line="240" w:lineRule="auto"/>
        <w:jc w:val="both"/>
        <w:rPr>
          <w:rFonts w:ascii="Times New Roman" w:hAnsi="Times New Roman" w:cs="Times New Roman"/>
          <w:color w:val="000000" w:themeColor="text1"/>
          <w:sz w:val="16"/>
          <w:szCs w:val="16"/>
          <w:lang w:val="es-MX"/>
        </w:rPr>
      </w:pPr>
    </w:p>
    <w:p w14:paraId="7DB37093" w14:textId="77777777" w:rsidR="00E4580E" w:rsidRPr="00A02F83" w:rsidRDefault="00E4580E" w:rsidP="009D2F40">
      <w:pPr>
        <w:spacing w:after="0" w:line="240" w:lineRule="auto"/>
        <w:jc w:val="both"/>
        <w:rPr>
          <w:rFonts w:ascii="Times New Roman" w:hAnsi="Times New Roman" w:cs="Times New Roman"/>
          <w:color w:val="FF0000"/>
          <w:sz w:val="24"/>
          <w:szCs w:val="24"/>
        </w:rPr>
      </w:pPr>
    </w:p>
    <w:p w14:paraId="00A1080D" w14:textId="77777777" w:rsidR="00286DB5" w:rsidRPr="00F05A6A" w:rsidRDefault="00286DB5" w:rsidP="00286DB5">
      <w:pPr>
        <w:spacing w:after="0" w:line="240" w:lineRule="auto"/>
        <w:jc w:val="both"/>
        <w:rPr>
          <w:rFonts w:ascii="Times New Roman" w:hAnsi="Times New Roman" w:cs="Times New Roman"/>
          <w:color w:val="FF0000"/>
          <w:sz w:val="12"/>
        </w:rPr>
      </w:pPr>
    </w:p>
    <w:p w14:paraId="3CBE9AF0" w14:textId="77777777" w:rsidR="001C5B4A" w:rsidRPr="005334BA" w:rsidRDefault="001C5B4A" w:rsidP="00286DB5">
      <w:pPr>
        <w:spacing w:after="0" w:line="240" w:lineRule="auto"/>
        <w:jc w:val="both"/>
        <w:rPr>
          <w:rFonts w:ascii="Times New Roman" w:hAnsi="Times New Roman" w:cs="Times New Roman"/>
          <w:color w:val="FF0000"/>
        </w:rPr>
        <w:sectPr w:rsidR="001C5B4A" w:rsidRPr="005334BA" w:rsidSect="001C5B4A">
          <w:headerReference w:type="default" r:id="rId21"/>
          <w:footerReference w:type="default" r:id="rId22"/>
          <w:type w:val="continuous"/>
          <w:pgSz w:w="12240" w:h="15840"/>
          <w:pgMar w:top="1417" w:right="1701" w:bottom="1417" w:left="1701" w:header="708" w:footer="708" w:gutter="0"/>
          <w:cols w:num="2" w:space="708"/>
          <w:docGrid w:linePitch="360"/>
        </w:sectPr>
      </w:pPr>
    </w:p>
    <w:p w14:paraId="774AB636" w14:textId="77777777" w:rsidR="00286DB5" w:rsidRPr="005334BA" w:rsidRDefault="00286DB5" w:rsidP="00286DB5">
      <w:pPr>
        <w:spacing w:after="0" w:line="240" w:lineRule="auto"/>
        <w:jc w:val="both"/>
        <w:rPr>
          <w:rFonts w:ascii="Times New Roman" w:hAnsi="Times New Roman" w:cs="Times New Roman"/>
          <w:color w:val="FF0000"/>
          <w:sz w:val="8"/>
        </w:rPr>
      </w:pPr>
    </w:p>
    <w:p w14:paraId="083D36CC" w14:textId="77777777" w:rsidR="00F23E3F" w:rsidRPr="005334BA" w:rsidRDefault="00F23E3F" w:rsidP="00F23E3F">
      <w:pPr>
        <w:spacing w:after="0"/>
        <w:rPr>
          <w:rFonts w:ascii="Times New Roman" w:hAnsi="Times New Roman" w:cs="Times New Roman"/>
          <w:color w:val="FF0000"/>
          <w:sz w:val="24"/>
          <w:szCs w:val="24"/>
        </w:rPr>
        <w:sectPr w:rsidR="00F23E3F" w:rsidRPr="005334BA" w:rsidSect="00960BE9">
          <w:headerReference w:type="default" r:id="rId23"/>
          <w:footerReference w:type="default" r:id="rId24"/>
          <w:type w:val="continuous"/>
          <w:pgSz w:w="12240" w:h="15840"/>
          <w:pgMar w:top="1417" w:right="1701" w:bottom="1417" w:left="1701" w:header="708" w:footer="708" w:gutter="0"/>
          <w:cols w:space="708"/>
          <w:docGrid w:linePitch="360"/>
        </w:sectPr>
      </w:pPr>
    </w:p>
    <w:p w14:paraId="2F6BE948" w14:textId="7E26987A" w:rsidR="00960BE9" w:rsidRPr="00A02F83" w:rsidRDefault="00A02F8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746"/>
      <w:r>
        <w:rPr>
          <w:rFonts w:ascii="Times New Roman" w:hAnsi="Times New Roman" w:cs="Times New Roman"/>
          <w:b/>
          <w:color w:val="FFFFFF" w:themeColor="background1"/>
          <w:sz w:val="24"/>
          <w:szCs w:val="24"/>
        </w:rPr>
        <w:t>Leve desaceleración en</w:t>
      </w:r>
      <w:r w:rsidR="003854FF" w:rsidRPr="00A02F83">
        <w:rPr>
          <w:rFonts w:ascii="Times New Roman" w:hAnsi="Times New Roman" w:cs="Times New Roman"/>
          <w:b/>
          <w:color w:val="FFFFFF" w:themeColor="background1"/>
          <w:sz w:val="24"/>
          <w:szCs w:val="24"/>
          <w:lang w:val="es-MX"/>
        </w:rPr>
        <w:t xml:space="preserve"> la ejecución</w:t>
      </w:r>
      <w:r w:rsidR="000150E7" w:rsidRPr="00A02F83">
        <w:rPr>
          <w:rFonts w:ascii="Times New Roman" w:hAnsi="Times New Roman" w:cs="Times New Roman"/>
          <w:b/>
          <w:color w:val="FFFFFF" w:themeColor="background1"/>
          <w:sz w:val="24"/>
          <w:szCs w:val="24"/>
          <w:lang w:val="es-MX"/>
        </w:rPr>
        <w:t xml:space="preserve"> del </w:t>
      </w:r>
      <w:r w:rsidR="00F23E3F" w:rsidRPr="00A02F83">
        <w:rPr>
          <w:rFonts w:ascii="Times New Roman" w:hAnsi="Times New Roman" w:cs="Times New Roman"/>
          <w:b/>
          <w:color w:val="FFFFFF" w:themeColor="background1"/>
          <w:sz w:val="24"/>
          <w:szCs w:val="24"/>
          <w:lang w:val="es-MX"/>
        </w:rPr>
        <w:t xml:space="preserve">gasto </w:t>
      </w:r>
      <w:r w:rsidR="000150E7" w:rsidRPr="00A02F83">
        <w:rPr>
          <w:rFonts w:ascii="Times New Roman" w:hAnsi="Times New Roman" w:cs="Times New Roman"/>
          <w:b/>
          <w:color w:val="FFFFFF" w:themeColor="background1"/>
          <w:sz w:val="24"/>
          <w:szCs w:val="24"/>
          <w:lang w:val="es-MX"/>
        </w:rPr>
        <w:t>público</w:t>
      </w:r>
    </w:p>
    <w:bookmarkEnd w:id="2"/>
    <w:p w14:paraId="59E13956" w14:textId="77777777" w:rsidR="00F23E3F" w:rsidRPr="005334BA" w:rsidRDefault="00F23E3F" w:rsidP="00F23E3F">
      <w:pPr>
        <w:pStyle w:val="Sinespaciado"/>
        <w:rPr>
          <w:rFonts w:ascii="Times New Roman" w:hAnsi="Times New Roman" w:cs="Times New Roman"/>
          <w:color w:val="FF0000"/>
          <w:sz w:val="18"/>
          <w:szCs w:val="18"/>
          <w:lang w:val="es-MX"/>
        </w:rPr>
      </w:pPr>
    </w:p>
    <w:p w14:paraId="30616B57" w14:textId="77777777" w:rsidR="00F23E3F" w:rsidRPr="005334BA" w:rsidRDefault="00F23E3F" w:rsidP="00F23E3F">
      <w:pPr>
        <w:spacing w:after="0"/>
        <w:rPr>
          <w:rFonts w:ascii="Times New Roman" w:hAnsi="Times New Roman" w:cs="Times New Roman"/>
          <w:color w:val="FF0000"/>
          <w:sz w:val="24"/>
        </w:rPr>
        <w:sectPr w:rsidR="00F23E3F" w:rsidRPr="005334BA" w:rsidSect="00960BE9">
          <w:headerReference w:type="default" r:id="rId25"/>
          <w:footerReference w:type="default" r:id="rId26"/>
          <w:type w:val="continuous"/>
          <w:pgSz w:w="12240" w:h="15840"/>
          <w:pgMar w:top="1417" w:right="1701" w:bottom="1417" w:left="1701" w:header="708" w:footer="708" w:gutter="0"/>
          <w:cols w:space="708"/>
          <w:docGrid w:linePitch="360"/>
        </w:sectPr>
      </w:pPr>
    </w:p>
    <w:p w14:paraId="2D753DF4" w14:textId="77777777" w:rsidR="00A73F88" w:rsidRDefault="00A73F88" w:rsidP="00A02F83">
      <w:pPr>
        <w:pStyle w:val="Sinespaciado"/>
        <w:jc w:val="both"/>
        <w:rPr>
          <w:rFonts w:ascii="Times New Roman" w:hAnsi="Times New Roman" w:cs="Times New Roman"/>
          <w:lang w:val="es-MX"/>
        </w:rPr>
      </w:pPr>
    </w:p>
    <w:p w14:paraId="109A6D40" w14:textId="77777777" w:rsidR="00A73F88" w:rsidRDefault="00A73F88" w:rsidP="00A02F83">
      <w:pPr>
        <w:pStyle w:val="Sinespaciado"/>
        <w:jc w:val="both"/>
        <w:rPr>
          <w:rFonts w:ascii="Times New Roman" w:hAnsi="Times New Roman" w:cs="Times New Roman"/>
          <w:lang w:val="es-MX"/>
        </w:rPr>
      </w:pPr>
    </w:p>
    <w:p w14:paraId="49AED45F" w14:textId="05D67D88" w:rsidR="00A02F83" w:rsidRDefault="00A02F83" w:rsidP="00A02F83">
      <w:pPr>
        <w:pStyle w:val="Sinespaciado"/>
        <w:jc w:val="both"/>
        <w:rPr>
          <w:rFonts w:ascii="Times New Roman" w:hAnsi="Times New Roman" w:cs="Times New Roman"/>
          <w:lang w:val="es-MX"/>
        </w:rPr>
      </w:pPr>
      <w:r>
        <w:rPr>
          <w:rFonts w:ascii="Times New Roman" w:hAnsi="Times New Roman" w:cs="Times New Roman"/>
          <w:lang w:val="es-MX"/>
        </w:rPr>
        <w:t>La ejecución del gasto público a julio sin incluir las amortizaciones de la deuda pública se ubicó en Q55,797.0 millones, con una variación interanual de 14.8% (equivalente a Q7,200.8 millones). El gasto en julio se muestra dinámico, aunque da cuenta de una leve desaceleración en su ritmo respecto a junio.</w:t>
      </w:r>
    </w:p>
    <w:p w14:paraId="45045792" w14:textId="47C068F2" w:rsidR="00E4580E" w:rsidRDefault="00E4580E" w:rsidP="00A02F83">
      <w:pPr>
        <w:pStyle w:val="Sinespaciado"/>
        <w:jc w:val="both"/>
        <w:rPr>
          <w:rFonts w:ascii="Times New Roman" w:hAnsi="Times New Roman" w:cs="Times New Roman"/>
          <w:lang w:val="es-MX"/>
        </w:rPr>
      </w:pPr>
    </w:p>
    <w:p w14:paraId="3B86F38A" w14:textId="4339D6FD" w:rsidR="00E4580E" w:rsidRDefault="00E4580E" w:rsidP="00A02F83">
      <w:pPr>
        <w:pStyle w:val="Sinespaciado"/>
        <w:jc w:val="both"/>
        <w:rPr>
          <w:rFonts w:ascii="Times New Roman" w:hAnsi="Times New Roman" w:cs="Times New Roman"/>
          <w:lang w:val="es-MX"/>
        </w:rPr>
      </w:pPr>
    </w:p>
    <w:p w14:paraId="1CF98A4B" w14:textId="2C3B25AE" w:rsidR="00E4580E" w:rsidRDefault="00E4580E" w:rsidP="00A02F83">
      <w:pPr>
        <w:pStyle w:val="Sinespaciado"/>
        <w:jc w:val="both"/>
        <w:rPr>
          <w:rFonts w:ascii="Times New Roman" w:hAnsi="Times New Roman" w:cs="Times New Roman"/>
          <w:lang w:val="es-MX"/>
        </w:rPr>
      </w:pPr>
    </w:p>
    <w:p w14:paraId="53162CDB" w14:textId="77777777" w:rsidR="00A02F83" w:rsidRPr="00863E34" w:rsidRDefault="00A02F83" w:rsidP="00A02F83">
      <w:pPr>
        <w:pStyle w:val="Sinespaciado"/>
        <w:jc w:val="center"/>
        <w:rPr>
          <w:rFonts w:ascii="Times New Roman" w:hAnsi="Times New Roman" w:cs="Times New Roman"/>
          <w:b/>
          <w:sz w:val="24"/>
          <w:lang w:val="es-MX"/>
        </w:rPr>
      </w:pPr>
      <w:r w:rsidRPr="00863E34">
        <w:rPr>
          <w:rFonts w:ascii="Times New Roman" w:hAnsi="Times New Roman" w:cs="Times New Roman"/>
          <w:b/>
          <w:sz w:val="24"/>
          <w:lang w:val="es-MX"/>
        </w:rPr>
        <w:t>Ritmo de Ejecución del Gasto</w:t>
      </w:r>
    </w:p>
    <w:p w14:paraId="14C3C06D" w14:textId="77777777" w:rsidR="00A02F83" w:rsidRPr="00863E34" w:rsidRDefault="00A02F83" w:rsidP="00A02F83">
      <w:pPr>
        <w:pStyle w:val="Sinespaciado"/>
        <w:jc w:val="center"/>
        <w:rPr>
          <w:rFonts w:ascii="Times New Roman" w:hAnsi="Times New Roman" w:cs="Times New Roman"/>
          <w:lang w:val="es-MX"/>
        </w:rPr>
      </w:pPr>
      <w:r w:rsidRPr="00863E34">
        <w:rPr>
          <w:noProof/>
          <w:lang w:eastAsia="es-GT"/>
        </w:rPr>
        <w:drawing>
          <wp:anchor distT="0" distB="0" distL="114300" distR="114300" simplePos="0" relativeHeight="251840512" behindDoc="0" locked="0" layoutInCell="1" allowOverlap="1" wp14:anchorId="51534FA1" wp14:editId="1F93F76F">
            <wp:simplePos x="0" y="0"/>
            <wp:positionH relativeFrom="column">
              <wp:align>left</wp:align>
            </wp:positionH>
            <wp:positionV relativeFrom="paragraph">
              <wp:posOffset>153416</wp:posOffset>
            </wp:positionV>
            <wp:extent cx="2695575" cy="1609344"/>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863E34">
        <w:rPr>
          <w:rFonts w:ascii="Times New Roman" w:hAnsi="Times New Roman" w:cs="Times New Roman"/>
          <w:lang w:val="es-MX"/>
        </w:rPr>
        <w:t>Variación Interanual (%) *</w:t>
      </w:r>
    </w:p>
    <w:p w14:paraId="34B9DA88" w14:textId="77777777" w:rsidR="00A02F83" w:rsidRPr="00863E34" w:rsidRDefault="00A02F83" w:rsidP="00A02F83">
      <w:pPr>
        <w:pStyle w:val="Sinespaciado"/>
        <w:jc w:val="center"/>
        <w:rPr>
          <w:rFonts w:ascii="Times New Roman" w:hAnsi="Times New Roman" w:cs="Times New Roman"/>
          <w:lang w:val="es-MX"/>
        </w:rPr>
      </w:pPr>
    </w:p>
    <w:p w14:paraId="59017171" w14:textId="77777777" w:rsidR="00A02F83" w:rsidRPr="00863E34" w:rsidRDefault="00A02F83" w:rsidP="00A02F83">
      <w:pPr>
        <w:pStyle w:val="Sinespaciado"/>
        <w:jc w:val="center"/>
        <w:rPr>
          <w:rFonts w:ascii="Times New Roman" w:hAnsi="Times New Roman" w:cs="Times New Roman"/>
          <w:lang w:val="es-MX"/>
        </w:rPr>
      </w:pPr>
    </w:p>
    <w:p w14:paraId="2769D451" w14:textId="77777777" w:rsidR="00A02F83" w:rsidRPr="00863E34" w:rsidRDefault="00A02F83" w:rsidP="00A02F83">
      <w:pPr>
        <w:pStyle w:val="Sinespaciado"/>
        <w:jc w:val="center"/>
        <w:rPr>
          <w:rFonts w:ascii="Times New Roman" w:hAnsi="Times New Roman" w:cs="Times New Roman"/>
          <w:lang w:val="es-MX"/>
        </w:rPr>
      </w:pPr>
    </w:p>
    <w:p w14:paraId="22030038" w14:textId="77777777" w:rsidR="00A02F83" w:rsidRPr="00863E34" w:rsidRDefault="00A02F83" w:rsidP="00A02F83">
      <w:pPr>
        <w:pStyle w:val="Sinespaciado"/>
        <w:jc w:val="center"/>
        <w:rPr>
          <w:rFonts w:ascii="Times New Roman" w:hAnsi="Times New Roman" w:cs="Times New Roman"/>
          <w:lang w:val="es-MX"/>
        </w:rPr>
      </w:pPr>
    </w:p>
    <w:p w14:paraId="682C212F" w14:textId="77777777" w:rsidR="00A02F83" w:rsidRPr="00863E34" w:rsidRDefault="00A02F83" w:rsidP="00A02F83">
      <w:pPr>
        <w:pStyle w:val="Sinespaciado"/>
        <w:jc w:val="center"/>
        <w:rPr>
          <w:rFonts w:ascii="Times New Roman" w:hAnsi="Times New Roman" w:cs="Times New Roman"/>
          <w:lang w:val="es-MX"/>
        </w:rPr>
      </w:pPr>
    </w:p>
    <w:p w14:paraId="0001F4CD" w14:textId="77777777" w:rsidR="00A02F83" w:rsidRPr="00863E34" w:rsidRDefault="00A02F83" w:rsidP="00A02F83">
      <w:pPr>
        <w:pStyle w:val="Sinespaciado"/>
        <w:jc w:val="center"/>
        <w:rPr>
          <w:rFonts w:ascii="Times New Roman" w:hAnsi="Times New Roman" w:cs="Times New Roman"/>
          <w:lang w:val="es-MX"/>
        </w:rPr>
      </w:pPr>
    </w:p>
    <w:p w14:paraId="6618FF16" w14:textId="77777777" w:rsidR="00A02F83" w:rsidRPr="00863E34" w:rsidRDefault="00A02F83" w:rsidP="00A02F83">
      <w:pPr>
        <w:pStyle w:val="Sinespaciado"/>
        <w:jc w:val="center"/>
        <w:rPr>
          <w:rFonts w:ascii="Times New Roman" w:hAnsi="Times New Roman" w:cs="Times New Roman"/>
          <w:lang w:val="es-MX"/>
        </w:rPr>
      </w:pPr>
    </w:p>
    <w:p w14:paraId="67FEEC0C" w14:textId="77777777" w:rsidR="00A02F83" w:rsidRPr="00863E34" w:rsidRDefault="00A02F83" w:rsidP="00A02F83">
      <w:pPr>
        <w:pStyle w:val="Sinespaciado"/>
        <w:jc w:val="center"/>
        <w:rPr>
          <w:rFonts w:ascii="Times New Roman" w:hAnsi="Times New Roman" w:cs="Times New Roman"/>
          <w:lang w:val="es-MX"/>
        </w:rPr>
      </w:pPr>
    </w:p>
    <w:p w14:paraId="39B27621" w14:textId="77777777" w:rsidR="00A02F83" w:rsidRPr="00863E34" w:rsidRDefault="00A02F83" w:rsidP="00A02F83">
      <w:pPr>
        <w:pStyle w:val="Sinespaciado"/>
        <w:jc w:val="center"/>
        <w:rPr>
          <w:rFonts w:ascii="Times New Roman" w:hAnsi="Times New Roman" w:cs="Times New Roman"/>
          <w:lang w:val="es-MX"/>
        </w:rPr>
      </w:pPr>
    </w:p>
    <w:p w14:paraId="0E6AADCD" w14:textId="77777777" w:rsidR="00A02F83" w:rsidRPr="00863E34" w:rsidRDefault="00A02F83" w:rsidP="00A02F83">
      <w:pPr>
        <w:pStyle w:val="Sinespaciado"/>
        <w:jc w:val="center"/>
        <w:rPr>
          <w:rFonts w:ascii="Times New Roman" w:hAnsi="Times New Roman" w:cs="Times New Roman"/>
          <w:lang w:val="es-MX"/>
        </w:rPr>
      </w:pPr>
    </w:p>
    <w:p w14:paraId="3389D755" w14:textId="708FE0B7" w:rsidR="00A02F83" w:rsidRPr="00863E34" w:rsidRDefault="00A02F83" w:rsidP="00A73F88">
      <w:pPr>
        <w:pStyle w:val="Sinespaciado"/>
        <w:rPr>
          <w:rFonts w:ascii="Times New Roman" w:hAnsi="Times New Roman" w:cs="Times New Roman"/>
          <w:sz w:val="16"/>
          <w:szCs w:val="16"/>
        </w:rPr>
      </w:pPr>
      <w:r w:rsidRPr="00A73F88">
        <w:rPr>
          <w:rFonts w:ascii="Times New Roman" w:hAnsi="Times New Roman" w:cs="Times New Roman"/>
          <w:sz w:val="12"/>
          <w:szCs w:val="16"/>
          <w:lang w:val="es-MX"/>
        </w:rPr>
        <w:t>*No incluye amortizaciones de la deuda pública</w:t>
      </w:r>
      <w:r w:rsidR="00A73F88">
        <w:rPr>
          <w:rFonts w:ascii="Times New Roman" w:hAnsi="Times New Roman" w:cs="Times New Roman"/>
          <w:sz w:val="12"/>
          <w:szCs w:val="16"/>
          <w:lang w:val="es-MX"/>
        </w:rPr>
        <w:t xml:space="preserve"> /</w:t>
      </w:r>
      <w:r w:rsidRPr="00A73F88">
        <w:rPr>
          <w:rFonts w:ascii="Times New Roman" w:hAnsi="Times New Roman" w:cs="Times New Roman"/>
          <w:sz w:val="12"/>
          <w:szCs w:val="16"/>
          <w:lang w:val="es-MX"/>
        </w:rPr>
        <w:t>Fuente: Dirección de Análisis y Política Fiscal.</w:t>
      </w:r>
    </w:p>
    <w:p w14:paraId="64A9A622" w14:textId="77777777" w:rsidR="00A02F83" w:rsidRDefault="00A02F83" w:rsidP="00A02F8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lastRenderedPageBreak/>
        <w:t>A nivel de rubro de cuenta económica, el mayor crecimiento absoluto se reporta en</w:t>
      </w:r>
      <w:r>
        <w:rPr>
          <w:lang w:val="es-MX"/>
        </w:rPr>
        <w:t xml:space="preserve"> </w:t>
      </w:r>
      <w:r>
        <w:rPr>
          <w:rFonts w:ascii="Times New Roman" w:hAnsi="Times New Roman" w:cs="Times New Roman"/>
          <w:color w:val="000000" w:themeColor="text1"/>
          <w:lang w:val="es-MX"/>
        </w:rPr>
        <w:t xml:space="preserve">las transferencias corrientes estas reportan un crecimiento de 46.7%, equivalente a Q4,056.3 millones. Siendo explicadas en buena medida por </w:t>
      </w:r>
      <w:r w:rsidRPr="004716D6">
        <w:rPr>
          <w:rFonts w:ascii="Times New Roman" w:hAnsi="Times New Roman" w:cs="Times New Roman"/>
          <w:color w:val="000000" w:themeColor="text1"/>
          <w:lang w:val="es-MX"/>
        </w:rPr>
        <w:t>las transferencias al sector privado</w:t>
      </w:r>
      <w:r>
        <w:rPr>
          <w:rFonts w:ascii="Times New Roman" w:hAnsi="Times New Roman" w:cs="Times New Roman"/>
          <w:color w:val="000000" w:themeColor="text1"/>
          <w:lang w:val="es-MX"/>
        </w:rPr>
        <w:t xml:space="preserve">, las cuales se encuentran creciendo en 120.2%, equivalente a Q3,102.4 millones, debido principalmente por los aportes </w:t>
      </w:r>
      <w:r w:rsidRPr="004716D6">
        <w:rPr>
          <w:rFonts w:ascii="Times New Roman" w:hAnsi="Times New Roman" w:cs="Times New Roman"/>
          <w:color w:val="000000" w:themeColor="text1"/>
          <w:lang w:val="es-MX"/>
        </w:rPr>
        <w:t>que realizan dos Ministerios, siendo</w:t>
      </w:r>
      <w:r>
        <w:rPr>
          <w:rFonts w:ascii="Times New Roman" w:hAnsi="Times New Roman" w:cs="Times New Roman"/>
          <w:color w:val="000000" w:themeColor="text1"/>
          <w:lang w:val="es-MX"/>
        </w:rPr>
        <w:t xml:space="preserve"> el Ministerio de</w:t>
      </w:r>
      <w:r w:rsidRPr="004716D6">
        <w:rPr>
          <w:rFonts w:ascii="Times New Roman" w:hAnsi="Times New Roman" w:cs="Times New Roman"/>
          <w:color w:val="000000" w:themeColor="text1"/>
          <w:lang w:val="es-MX"/>
        </w:rPr>
        <w:t xml:space="preserve"> Educación hacia instituciones sin fines de lucro, las cuales aumentaron Q</w:t>
      </w:r>
      <w:r>
        <w:rPr>
          <w:rFonts w:ascii="Times New Roman" w:hAnsi="Times New Roman" w:cs="Times New Roman"/>
          <w:color w:val="000000" w:themeColor="text1"/>
          <w:lang w:val="es-MX"/>
        </w:rPr>
        <w:t>859.2 millones</w:t>
      </w:r>
      <w:r w:rsidRPr="004716D6">
        <w:rPr>
          <w:rFonts w:ascii="Times New Roman" w:hAnsi="Times New Roman" w:cs="Times New Roman"/>
          <w:color w:val="000000" w:themeColor="text1"/>
          <w:lang w:val="es-MX"/>
        </w:rPr>
        <w:t>, destinadas principalmente a las Organizaciones de Padres de Familia y Consejos Educativos dirigidas al programa de apoyo para el consumo adecuado de alimentos (alimentación escolar).</w:t>
      </w:r>
      <w:r>
        <w:rPr>
          <w:rFonts w:ascii="Times New Roman" w:hAnsi="Times New Roman" w:cs="Times New Roman"/>
          <w:color w:val="000000" w:themeColor="text1"/>
          <w:lang w:val="es-MX"/>
        </w:rPr>
        <w:t xml:space="preserve"> </w:t>
      </w:r>
    </w:p>
    <w:p w14:paraId="5B5754B8" w14:textId="77777777" w:rsidR="00A02F83" w:rsidRDefault="00A02F83" w:rsidP="00A02F83">
      <w:pPr>
        <w:pStyle w:val="Sinespaciado"/>
        <w:jc w:val="both"/>
        <w:rPr>
          <w:rFonts w:ascii="Times New Roman" w:hAnsi="Times New Roman" w:cs="Times New Roman"/>
          <w:color w:val="000000" w:themeColor="text1"/>
          <w:lang w:val="es-MX"/>
        </w:rPr>
      </w:pPr>
    </w:p>
    <w:p w14:paraId="405A060A" w14:textId="77777777" w:rsidR="00A02F83" w:rsidRDefault="00A02F83" w:rsidP="00A02F8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w:t>
      </w:r>
      <w:r w:rsidRPr="004716D6">
        <w:rPr>
          <w:rFonts w:ascii="Times New Roman" w:hAnsi="Times New Roman" w:cs="Times New Roman"/>
          <w:color w:val="000000" w:themeColor="text1"/>
          <w:lang w:val="es-MX"/>
        </w:rPr>
        <w:t>simismo, resalta las transferencias que realizó el Ministerio de Energía y Minas hacia empresas privadas por concepto del subsidio al gas propano</w:t>
      </w:r>
      <w:r>
        <w:rPr>
          <w:rFonts w:ascii="Times New Roman" w:hAnsi="Times New Roman" w:cs="Times New Roman"/>
          <w:color w:val="000000" w:themeColor="text1"/>
          <w:lang w:val="es-MX"/>
        </w:rPr>
        <w:t xml:space="preserve"> y a las gasolinas </w:t>
      </w:r>
      <w:r w:rsidRPr="004716D6">
        <w:rPr>
          <w:rFonts w:ascii="Times New Roman" w:hAnsi="Times New Roman" w:cs="Times New Roman"/>
          <w:color w:val="000000" w:themeColor="text1"/>
          <w:lang w:val="es-MX"/>
        </w:rPr>
        <w:t>por Q</w:t>
      </w:r>
      <w:r>
        <w:rPr>
          <w:rFonts w:ascii="Times New Roman" w:hAnsi="Times New Roman" w:cs="Times New Roman"/>
          <w:color w:val="000000" w:themeColor="text1"/>
          <w:lang w:val="es-MX"/>
        </w:rPr>
        <w:t xml:space="preserve">2,065.9 millones, mientras que en 2021 no se reportaba ningún gasto por este concepto. </w:t>
      </w:r>
    </w:p>
    <w:p w14:paraId="58A67663" w14:textId="77777777" w:rsidR="00A02F83" w:rsidRDefault="00A02F83" w:rsidP="00A02F83">
      <w:pPr>
        <w:pStyle w:val="Sinespaciado"/>
        <w:jc w:val="both"/>
        <w:rPr>
          <w:rFonts w:ascii="Times New Roman" w:hAnsi="Times New Roman" w:cs="Times New Roman"/>
          <w:color w:val="000000" w:themeColor="text1"/>
          <w:lang w:val="es-MX"/>
        </w:rPr>
      </w:pPr>
    </w:p>
    <w:p w14:paraId="05189C1E" w14:textId="77777777" w:rsidR="00A02F83" w:rsidRDefault="00A02F83" w:rsidP="00A02F83">
      <w:pPr>
        <w:pStyle w:val="Sinespaciado"/>
        <w:jc w:val="both"/>
        <w:rPr>
          <w:rFonts w:ascii="Times New Roman" w:hAnsi="Times New Roman" w:cs="Times New Roman"/>
          <w:color w:val="000000" w:themeColor="text1"/>
          <w:lang w:val="es-MX"/>
        </w:rPr>
      </w:pPr>
      <w:r w:rsidRPr="00771E61">
        <w:rPr>
          <w:rFonts w:ascii="Times New Roman" w:hAnsi="Times New Roman" w:cs="Times New Roman"/>
          <w:color w:val="000000" w:themeColor="text1"/>
          <w:lang w:val="es-MX"/>
        </w:rPr>
        <w:t xml:space="preserve">Es importante </w:t>
      </w:r>
      <w:r>
        <w:rPr>
          <w:rFonts w:ascii="Times New Roman" w:hAnsi="Times New Roman" w:cs="Times New Roman"/>
          <w:color w:val="000000" w:themeColor="text1"/>
          <w:lang w:val="es-MX"/>
        </w:rPr>
        <w:t>considerar que el subsidio a los combustibles concluye el 04 de agosto, por lo cual las autoridades podrían tomar la decisión de ampliarlo, si se toma en consideración el escenario internacional con una posible reducción en la actividad económica sumado a la recesión técnica de EE.UU. por sufrir dos trimestres seguidos con contracción económica, así como la nueva subida de tasas de la FED en 75 puntos básicos como resultado del endurecimiento de la política monetaria, el monto del subsidio podría disminuir y estaría enfocándose únicamente en el diésel ante una menor volatilidad en los precios internacionales y también considerando la menor disponibilidad de recursos de caja.</w:t>
      </w:r>
    </w:p>
    <w:p w14:paraId="1C29F0CF" w14:textId="77777777" w:rsidR="00A02F83" w:rsidRDefault="00A02F83" w:rsidP="00A02F83">
      <w:pPr>
        <w:pStyle w:val="Sinespaciado"/>
        <w:jc w:val="both"/>
        <w:rPr>
          <w:rFonts w:ascii="Times New Roman" w:hAnsi="Times New Roman" w:cs="Times New Roman"/>
          <w:color w:val="000000" w:themeColor="text1"/>
          <w:lang w:val="es-MX"/>
        </w:rPr>
      </w:pPr>
    </w:p>
    <w:p w14:paraId="1007FABC" w14:textId="77777777" w:rsidR="00A02F83" w:rsidRDefault="00A02F83" w:rsidP="00A02F8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Asimismo, el subsidio del gas propano se amplió en junio por dos meses más y estaría próximo a concluir.</w:t>
      </w:r>
    </w:p>
    <w:p w14:paraId="1D2AC75B" w14:textId="77777777" w:rsidR="00A02F83" w:rsidRDefault="00A02F83" w:rsidP="00A02F83">
      <w:pPr>
        <w:pStyle w:val="Sinespaciado"/>
        <w:jc w:val="both"/>
        <w:rPr>
          <w:rFonts w:ascii="Times New Roman" w:hAnsi="Times New Roman" w:cs="Times New Roman"/>
          <w:color w:val="000000" w:themeColor="text1"/>
          <w:lang w:val="es-MX"/>
        </w:rPr>
      </w:pPr>
    </w:p>
    <w:p w14:paraId="0D2EA55C" w14:textId="77777777" w:rsidR="00A02F83" w:rsidRDefault="00A02F83" w:rsidP="00A02F8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Derivado de esto, las transferencias corrientes al sector privado sería el rubro del gasto que tendría el mayor crecimiento interanual, con el riesgo de que dicho apoyo a la economía </w:t>
      </w:r>
      <w:r>
        <w:rPr>
          <w:rFonts w:ascii="Times New Roman" w:hAnsi="Times New Roman" w:cs="Times New Roman"/>
          <w:color w:val="000000" w:themeColor="text1"/>
          <w:lang w:val="es-MX"/>
        </w:rPr>
        <w:t>familiar de los guatemaltecos continué si las condiciones internacionales y financieras del gobierno así lo ameritan.</w:t>
      </w:r>
    </w:p>
    <w:p w14:paraId="518A6FD8" w14:textId="77777777" w:rsidR="00A02F83" w:rsidRDefault="00A02F83" w:rsidP="00A02F83">
      <w:pPr>
        <w:pStyle w:val="Sinespaciado"/>
        <w:jc w:val="both"/>
        <w:rPr>
          <w:rFonts w:ascii="Times New Roman" w:hAnsi="Times New Roman" w:cs="Times New Roman"/>
          <w:color w:val="000000" w:themeColor="text1"/>
          <w:lang w:val="es-MX"/>
        </w:rPr>
      </w:pPr>
    </w:p>
    <w:p w14:paraId="46F19EDD" w14:textId="77777777" w:rsidR="00A02F83" w:rsidRDefault="00A02F83" w:rsidP="00A02F8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Del lado de las transferencias hacia el sector público, se reporta un crecimiento de 15.9%, equivalente a Q961.5 millones. Se reporta un crecimiento importante en la transferencia que recibe el Ministerio Público (Q630.0 millones), el Tribunal Supremo Electoral (Q200 millones), Congreso de la República (Q112.1 millones) y Organismo Judicial (Q97.2 millones).</w:t>
      </w:r>
    </w:p>
    <w:p w14:paraId="3E68659E" w14:textId="77777777" w:rsidR="00A02F83" w:rsidRDefault="00A02F83" w:rsidP="00A02F83">
      <w:pPr>
        <w:pStyle w:val="Sinespaciado"/>
        <w:jc w:val="both"/>
        <w:rPr>
          <w:rFonts w:ascii="Times New Roman" w:hAnsi="Times New Roman" w:cs="Times New Roman"/>
          <w:color w:val="000000" w:themeColor="text1"/>
          <w:lang w:val="es-MX"/>
        </w:rPr>
      </w:pPr>
    </w:p>
    <w:p w14:paraId="460F365D" w14:textId="77777777" w:rsidR="00A02F83" w:rsidRDefault="00A02F83" w:rsidP="00A02F83">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En el rubro de las transferencias de capital se reporta un aumento de Q1,081.7 millones, con un crecimiento interanual de 18.0%, explicado por el alza en las transferencias que corresponden a las municipalidades, las cuales aumentaron en Q695.1 millones, mientras que las transferencias a los Consejos de Desarrollo Urbano y Rural aumentaron Q232.4 millones. En lo que respecta a las transferencias de capital hacia el sector privado resalta el crecimiento de Q65.9 millones hacia personas y unidades familiares que corresponden a beneficiarios del programa de incentivos forestales. </w:t>
      </w:r>
    </w:p>
    <w:p w14:paraId="50A57110" w14:textId="77777777" w:rsidR="00A02F83" w:rsidRDefault="00A02F83" w:rsidP="00A02F83">
      <w:pPr>
        <w:spacing w:after="0" w:line="240" w:lineRule="auto"/>
        <w:jc w:val="both"/>
        <w:rPr>
          <w:rFonts w:ascii="Times New Roman" w:hAnsi="Times New Roman" w:cs="Times New Roman"/>
          <w:color w:val="000000" w:themeColor="text1"/>
        </w:rPr>
      </w:pPr>
    </w:p>
    <w:p w14:paraId="75EF6680" w14:textId="77777777" w:rsidR="00A02F83" w:rsidRDefault="00A02F83" w:rsidP="00A02F83">
      <w:pPr>
        <w:spacing w:after="0" w:line="240" w:lineRule="auto"/>
        <w:jc w:val="both"/>
        <w:rPr>
          <w:rFonts w:ascii="Times New Roman" w:hAnsi="Times New Roman" w:cs="Times New Roman"/>
          <w:color w:val="000000" w:themeColor="text1"/>
        </w:rPr>
      </w:pPr>
      <w:r w:rsidRPr="00467D68">
        <w:rPr>
          <w:rFonts w:ascii="Times New Roman" w:hAnsi="Times New Roman" w:cs="Times New Roman"/>
          <w:color w:val="000000" w:themeColor="text1"/>
        </w:rPr>
        <w:t>Por su parte, las remuneraciones reportan un aumento de Q</w:t>
      </w:r>
      <w:r>
        <w:rPr>
          <w:rFonts w:ascii="Times New Roman" w:hAnsi="Times New Roman" w:cs="Times New Roman"/>
          <w:color w:val="000000" w:themeColor="text1"/>
        </w:rPr>
        <w:t>815.0</w:t>
      </w:r>
      <w:r w:rsidRPr="00467D68">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5</w:t>
      </w:r>
      <w:r w:rsidRPr="00467D68">
        <w:rPr>
          <w:rFonts w:ascii="Times New Roman" w:hAnsi="Times New Roman" w:cs="Times New Roman"/>
          <w:color w:val="000000" w:themeColor="text1"/>
        </w:rPr>
        <w:t>.</w:t>
      </w:r>
      <w:r>
        <w:rPr>
          <w:rFonts w:ascii="Times New Roman" w:hAnsi="Times New Roman" w:cs="Times New Roman"/>
          <w:color w:val="000000" w:themeColor="text1"/>
        </w:rPr>
        <w:t>0</w:t>
      </w:r>
      <w:r w:rsidRPr="00467D68">
        <w:rPr>
          <w:rFonts w:ascii="Times New Roman" w:hAnsi="Times New Roman" w:cs="Times New Roman"/>
          <w:color w:val="000000" w:themeColor="text1"/>
        </w:rPr>
        <w:t xml:space="preserve">%).  </w:t>
      </w:r>
      <w:r>
        <w:rPr>
          <w:rFonts w:ascii="Times New Roman" w:hAnsi="Times New Roman" w:cs="Times New Roman"/>
          <w:color w:val="000000" w:themeColor="text1"/>
        </w:rPr>
        <w:t>El cual se concentra en el Ministerio de Educación, específicamente en el complemento específicos al personal permanente con un aumento de Q269.8 millones y los derechos escalafonarios con un aumento de Q140.0 millones, dichos aumentos responden al pacto colectivo negociado con el magisterio. Por el lado de las Obligaciones del Tesoro, se reporta un aumento de Q117.5 millones correspondientes al aporte patronal que se realiza al IGSS.</w:t>
      </w:r>
    </w:p>
    <w:p w14:paraId="7C3C27B8" w14:textId="77777777" w:rsidR="00A02F83" w:rsidRDefault="00A02F83" w:rsidP="00A02F83">
      <w:pPr>
        <w:spacing w:after="0" w:line="240" w:lineRule="auto"/>
        <w:jc w:val="both"/>
        <w:rPr>
          <w:rFonts w:ascii="Times New Roman" w:hAnsi="Times New Roman" w:cs="Times New Roman"/>
          <w:color w:val="000000" w:themeColor="text1"/>
        </w:rPr>
      </w:pPr>
    </w:p>
    <w:p w14:paraId="2ACCBB5A" w14:textId="77777777" w:rsidR="00A02F83" w:rsidRDefault="00A02F83" w:rsidP="00A02F8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Durante julio se dio un pago importante siendo la bonificación anual Bono 14, la cual alcanzó los Q1,495.1 millones.</w:t>
      </w:r>
    </w:p>
    <w:p w14:paraId="0B3C28C4" w14:textId="77777777" w:rsidR="00A02F83" w:rsidRDefault="00A02F83" w:rsidP="00A02F83">
      <w:pPr>
        <w:spacing w:after="0" w:line="240" w:lineRule="auto"/>
        <w:jc w:val="both"/>
        <w:rPr>
          <w:rFonts w:ascii="Times New Roman" w:hAnsi="Times New Roman" w:cs="Times New Roman"/>
          <w:color w:val="000000" w:themeColor="text1"/>
        </w:rPr>
      </w:pPr>
    </w:p>
    <w:p w14:paraId="1DF49C1B" w14:textId="77777777" w:rsidR="00A02F83" w:rsidRDefault="00A02F83" w:rsidP="00A02F8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En lo que respecta a los intereses de la deuda pública, estos reportan una ejecución mayor en Q473.2 millones, siendo el crecimiento de 7.7%.</w:t>
      </w:r>
    </w:p>
    <w:p w14:paraId="4C15746D" w14:textId="77777777" w:rsidR="00A02F83" w:rsidRDefault="00A02F83" w:rsidP="00A02F83">
      <w:pPr>
        <w:pStyle w:val="Sinespaciado"/>
        <w:jc w:val="both"/>
        <w:rPr>
          <w:rFonts w:ascii="Times New Roman" w:hAnsi="Times New Roman" w:cs="Times New Roman"/>
          <w:color w:val="000000" w:themeColor="text1"/>
          <w:lang w:val="es-MX"/>
        </w:rPr>
      </w:pPr>
    </w:p>
    <w:p w14:paraId="6E205169" w14:textId="77777777" w:rsidR="00A02F83" w:rsidRDefault="00A02F83" w:rsidP="00A02F8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Los bienes y servicios reportan una ejecución mayor en Q318.3 millones (equivalente a un crecimiento interanual de 5.1%), explicado por un aumento de Q270.5 millones en el Ministerio de Gobernación, entre los que resaltan los combustibles y lubricantes con un aumento de Q99.3 millones, otros servicios con Q64.9 millones y prendas para vestir con Q30.1 millones. En el Ministerio de Salud Pública se reporta un aumento de Q144.2 millones en los bienes y servicios por los servicios médicos y sanitarios con un aumento de Q161.4 millones, los elementos y compuestos químicos con Q87.6 millones y los otros estudios o servicios con Q67.3 millones. </w:t>
      </w:r>
      <w:r w:rsidRPr="008863E3">
        <w:rPr>
          <w:rFonts w:ascii="Times New Roman" w:hAnsi="Times New Roman" w:cs="Times New Roman"/>
          <w:color w:val="000000" w:themeColor="text1"/>
          <w:lang w:val="es-MX"/>
        </w:rPr>
        <w:t xml:space="preserve">Por su parte, resalta que los productos medicinales y farmacéuticos reportan una disminución de Q358.1 millones, dado que en 2021 las compras por la vacuna contra el COVID-19 eran mayores mientras que en este ejercicio las compras por este concepto han ido disminuyendo. Adicionalmente, el presupuesto para la vacuna COVID-19 tuvo un recorte de Q600 millones que </w:t>
      </w:r>
      <w:r>
        <w:rPr>
          <w:rFonts w:ascii="Times New Roman" w:hAnsi="Times New Roman" w:cs="Times New Roman"/>
          <w:color w:val="000000" w:themeColor="text1"/>
          <w:lang w:val="es-MX"/>
        </w:rPr>
        <w:t>fueron</w:t>
      </w:r>
      <w:r w:rsidRPr="008863E3">
        <w:rPr>
          <w:rFonts w:ascii="Times New Roman" w:hAnsi="Times New Roman" w:cs="Times New Roman"/>
          <w:color w:val="000000" w:themeColor="text1"/>
          <w:lang w:val="es-MX"/>
        </w:rPr>
        <w:t xml:space="preserve"> reorientados al Fondo Emergente.</w:t>
      </w:r>
    </w:p>
    <w:p w14:paraId="68E024D9" w14:textId="77777777" w:rsidR="00A02F83" w:rsidRDefault="00A02F83" w:rsidP="00A02F83">
      <w:pPr>
        <w:pStyle w:val="Sinespaciado"/>
        <w:jc w:val="both"/>
        <w:rPr>
          <w:rFonts w:ascii="Times New Roman" w:hAnsi="Times New Roman" w:cs="Times New Roman"/>
          <w:color w:val="000000" w:themeColor="text1"/>
          <w:lang w:val="es-MX"/>
        </w:rPr>
      </w:pPr>
    </w:p>
    <w:p w14:paraId="79F294D6" w14:textId="77777777" w:rsidR="00A02F83" w:rsidRDefault="00A02F83" w:rsidP="00A02F83">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lang w:val="es-MX"/>
        </w:rPr>
        <w:t>En el Ministerio de Comunicaciones, Infraestructura y Vivienda se reporta una disminución de Q405.9 millones explicados por un menor gasto en el mantenimiento y reparaciones de bienes nacionales como puentes y carreteras.</w:t>
      </w:r>
    </w:p>
    <w:p w14:paraId="6A44C72E" w14:textId="77777777" w:rsidR="00A02F83" w:rsidRDefault="00A02F83" w:rsidP="00A02F83">
      <w:pPr>
        <w:spacing w:after="0" w:line="240" w:lineRule="auto"/>
        <w:jc w:val="both"/>
        <w:rPr>
          <w:rFonts w:ascii="Times New Roman" w:hAnsi="Times New Roman" w:cs="Times New Roman"/>
          <w:color w:val="000000" w:themeColor="text1"/>
        </w:rPr>
      </w:pPr>
    </w:p>
    <w:p w14:paraId="6B9A3036" w14:textId="77777777" w:rsidR="00A02F83" w:rsidRDefault="00A02F83" w:rsidP="00A02F8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Respecto a </w:t>
      </w:r>
      <w:r w:rsidRPr="00E329F7">
        <w:rPr>
          <w:rFonts w:ascii="Times New Roman" w:hAnsi="Times New Roman" w:cs="Times New Roman"/>
          <w:color w:val="000000" w:themeColor="text1"/>
        </w:rPr>
        <w:t>la inversión real directa se reporta un aumento de Q</w:t>
      </w:r>
      <w:r>
        <w:rPr>
          <w:rFonts w:ascii="Times New Roman" w:hAnsi="Times New Roman" w:cs="Times New Roman"/>
          <w:color w:val="000000" w:themeColor="text1"/>
        </w:rPr>
        <w:t>265.3</w:t>
      </w:r>
      <w:r w:rsidRPr="00E329F7">
        <w:rPr>
          <w:rFonts w:ascii="Times New Roman" w:hAnsi="Times New Roman" w:cs="Times New Roman"/>
          <w:color w:val="000000" w:themeColor="text1"/>
        </w:rPr>
        <w:t xml:space="preserve"> millones y un crecimiento interanual de Q</w:t>
      </w:r>
      <w:r>
        <w:rPr>
          <w:rFonts w:ascii="Times New Roman" w:hAnsi="Times New Roman" w:cs="Times New Roman"/>
          <w:color w:val="000000" w:themeColor="text1"/>
        </w:rPr>
        <w:t>15</w:t>
      </w:r>
      <w:r w:rsidRPr="00E329F7">
        <w:rPr>
          <w:rFonts w:ascii="Times New Roman" w:hAnsi="Times New Roman" w:cs="Times New Roman"/>
          <w:color w:val="000000" w:themeColor="text1"/>
        </w:rPr>
        <w:t>.</w:t>
      </w:r>
      <w:r>
        <w:rPr>
          <w:rFonts w:ascii="Times New Roman" w:hAnsi="Times New Roman" w:cs="Times New Roman"/>
          <w:color w:val="000000" w:themeColor="text1"/>
        </w:rPr>
        <w:t>6</w:t>
      </w:r>
      <w:r w:rsidRPr="00E329F7">
        <w:rPr>
          <w:rFonts w:ascii="Times New Roman" w:hAnsi="Times New Roman" w:cs="Times New Roman"/>
          <w:color w:val="000000" w:themeColor="text1"/>
        </w:rPr>
        <w:t>%, la entidad que más suma en este aumento es el Ministerio de</w:t>
      </w:r>
      <w:r>
        <w:rPr>
          <w:rFonts w:ascii="Times New Roman" w:hAnsi="Times New Roman" w:cs="Times New Roman"/>
          <w:color w:val="000000" w:themeColor="text1"/>
        </w:rPr>
        <w:t xml:space="preserve"> Desarrollo Social con Q84.0 millones, que corresponde en su mayoría a la construcción de bienes nacionales de uso común. Asimismo, el Ministerio de Educación con un aumento de Q65.2 millones que se explica en su gran mayoría por compra de equipo de cómputo. </w:t>
      </w:r>
    </w:p>
    <w:p w14:paraId="1538752A" w14:textId="77777777" w:rsidR="00A02F83" w:rsidRDefault="00A02F83" w:rsidP="00A02F83">
      <w:pPr>
        <w:spacing w:after="0" w:line="240" w:lineRule="auto"/>
        <w:jc w:val="both"/>
        <w:rPr>
          <w:rFonts w:ascii="Times New Roman" w:hAnsi="Times New Roman" w:cs="Times New Roman"/>
          <w:color w:val="000000" w:themeColor="text1"/>
        </w:rPr>
      </w:pPr>
    </w:p>
    <w:p w14:paraId="31F39550" w14:textId="77777777" w:rsidR="00A02F83" w:rsidRDefault="00A02F83" w:rsidP="00A02F8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Mientras que el Ministerio de Comunicaciones, reporta una caída en la inversión real directa de </w:t>
      </w:r>
      <w:r w:rsidRPr="00E329F7">
        <w:rPr>
          <w:rFonts w:ascii="Times New Roman" w:hAnsi="Times New Roman" w:cs="Times New Roman"/>
          <w:color w:val="000000" w:themeColor="text1"/>
        </w:rPr>
        <w:t>Q</w:t>
      </w:r>
      <w:r>
        <w:rPr>
          <w:rFonts w:ascii="Times New Roman" w:hAnsi="Times New Roman" w:cs="Times New Roman"/>
          <w:color w:val="000000" w:themeColor="text1"/>
        </w:rPr>
        <w:t>26.0</w:t>
      </w:r>
      <w:r w:rsidRPr="00E329F7">
        <w:rPr>
          <w:rFonts w:ascii="Times New Roman" w:hAnsi="Times New Roman" w:cs="Times New Roman"/>
          <w:color w:val="000000" w:themeColor="text1"/>
        </w:rPr>
        <w:t xml:space="preserve"> millones</w:t>
      </w:r>
      <w:r>
        <w:rPr>
          <w:rFonts w:ascii="Times New Roman" w:hAnsi="Times New Roman" w:cs="Times New Roman"/>
          <w:color w:val="000000" w:themeColor="text1"/>
        </w:rPr>
        <w:t xml:space="preserve">, explicado principalmente por una menor ejecución en el rubro de construcciones de </w:t>
      </w:r>
      <w:r>
        <w:rPr>
          <w:rFonts w:ascii="Times New Roman" w:hAnsi="Times New Roman" w:cs="Times New Roman"/>
          <w:color w:val="000000" w:themeColor="text1"/>
        </w:rPr>
        <w:t>bienes nacionales de uso común</w:t>
      </w:r>
      <w:r w:rsidRPr="00E329F7">
        <w:rPr>
          <w:rFonts w:ascii="Times New Roman" w:hAnsi="Times New Roman" w:cs="Times New Roman"/>
          <w:color w:val="000000" w:themeColor="text1"/>
        </w:rPr>
        <w:t xml:space="preserve"> </w:t>
      </w:r>
      <w:r>
        <w:rPr>
          <w:rFonts w:ascii="Times New Roman" w:hAnsi="Times New Roman" w:cs="Times New Roman"/>
          <w:color w:val="000000" w:themeColor="text1"/>
        </w:rPr>
        <w:t>entre las que se encuentra</w:t>
      </w:r>
      <w:r w:rsidRPr="00E329F7">
        <w:rPr>
          <w:rFonts w:ascii="Times New Roman" w:hAnsi="Times New Roman" w:cs="Times New Roman"/>
          <w:color w:val="000000" w:themeColor="text1"/>
        </w:rPr>
        <w:t xml:space="preserve"> </w:t>
      </w:r>
      <w:r>
        <w:rPr>
          <w:rFonts w:ascii="Times New Roman" w:hAnsi="Times New Roman" w:cs="Times New Roman"/>
          <w:color w:val="000000" w:themeColor="text1"/>
        </w:rPr>
        <w:t>calles</w:t>
      </w:r>
      <w:r w:rsidRPr="00E329F7">
        <w:rPr>
          <w:rFonts w:ascii="Times New Roman" w:hAnsi="Times New Roman" w:cs="Times New Roman"/>
          <w:color w:val="000000" w:themeColor="text1"/>
        </w:rPr>
        <w:t xml:space="preserve"> pavimentadas, caminos rurales y sistemas de tratamiento de aguas residuales</w:t>
      </w:r>
      <w:r>
        <w:rPr>
          <w:rFonts w:ascii="Times New Roman" w:hAnsi="Times New Roman" w:cs="Times New Roman"/>
          <w:color w:val="000000" w:themeColor="text1"/>
        </w:rPr>
        <w:t>, así como una menor ejecución en otras maquinarias y equipos.</w:t>
      </w:r>
    </w:p>
    <w:p w14:paraId="68B3FBB9" w14:textId="77777777" w:rsidR="00A02F83" w:rsidRDefault="00A02F83" w:rsidP="00A02F83">
      <w:pPr>
        <w:spacing w:after="0" w:line="240" w:lineRule="auto"/>
        <w:jc w:val="both"/>
        <w:rPr>
          <w:rFonts w:ascii="Times New Roman" w:hAnsi="Times New Roman" w:cs="Times New Roman"/>
          <w:color w:val="000000" w:themeColor="text1"/>
        </w:rPr>
      </w:pPr>
    </w:p>
    <w:p w14:paraId="5BCCC3FE" w14:textId="77777777" w:rsidR="00A02F83" w:rsidRDefault="00A02F83" w:rsidP="00A02F8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Resalta que dentro del Ministerio de Comunicaciones, Infraestructura y Vivienda aún no se reporta ejecución correspondiente al Decreto 21-2022 “Ley para fortalecer el mantenimiento y Construcción de Infraestructura Estratégica”, dicho decreto sufrió una disminución de Q400 millones que se destinaron al fortalecimiento del Fondo Emergente, lo que permitirá mitigar los daños ocasionados por los fenómenos naturales que han afectado al país. </w:t>
      </w:r>
    </w:p>
    <w:p w14:paraId="5987D4AB" w14:textId="77777777" w:rsidR="00A02F83" w:rsidRDefault="00A02F83" w:rsidP="00A02F83">
      <w:pPr>
        <w:spacing w:after="0" w:line="240" w:lineRule="auto"/>
        <w:jc w:val="both"/>
        <w:rPr>
          <w:rFonts w:ascii="Times New Roman" w:hAnsi="Times New Roman" w:cs="Times New Roman"/>
          <w:color w:val="000000" w:themeColor="text1"/>
        </w:rPr>
      </w:pPr>
    </w:p>
    <w:p w14:paraId="4AF68574" w14:textId="77777777" w:rsidR="00A02F83" w:rsidRDefault="00A02F83" w:rsidP="00A02F83">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Por ello el presupuesto para infraestructura estratégica se ubicó en Q2,791.2 millones. Es importante destacar que durante julio algunos recursos fueron pre comprometidos y próximamente podría reportarse la ejecución de dichos recursos.</w:t>
      </w:r>
    </w:p>
    <w:p w14:paraId="6E6A8B1B" w14:textId="77777777" w:rsidR="00A02F83" w:rsidRDefault="00A02F83" w:rsidP="00A02F83">
      <w:pPr>
        <w:pStyle w:val="Sinespaciado"/>
        <w:jc w:val="both"/>
        <w:rPr>
          <w:rFonts w:ascii="Times New Roman" w:hAnsi="Times New Roman" w:cs="Times New Roman"/>
          <w:color w:val="000000" w:themeColor="text1"/>
        </w:rPr>
      </w:pPr>
    </w:p>
    <w:p w14:paraId="08676E18" w14:textId="77777777" w:rsidR="00A02F83" w:rsidRDefault="00A02F83" w:rsidP="00A02F83">
      <w:pPr>
        <w:spacing w:line="240" w:lineRule="auto"/>
        <w:jc w:val="both"/>
        <w:rPr>
          <w:rFonts w:ascii="Times New Roman" w:hAnsi="Times New Roman" w:cs="Times New Roman"/>
          <w:color w:val="000000" w:themeColor="text1"/>
        </w:rPr>
      </w:pPr>
      <w:r w:rsidRPr="00467D68">
        <w:rPr>
          <w:rFonts w:ascii="Times New Roman" w:hAnsi="Times New Roman" w:cs="Times New Roman"/>
          <w:color w:val="000000" w:themeColor="text1"/>
        </w:rPr>
        <w:t xml:space="preserve">Por último, las prestaciones a la seguridad social reportan un crecimiento </w:t>
      </w:r>
      <w:r>
        <w:rPr>
          <w:rFonts w:ascii="Times New Roman" w:hAnsi="Times New Roman" w:cs="Times New Roman"/>
          <w:color w:val="000000" w:themeColor="text1"/>
        </w:rPr>
        <w:t xml:space="preserve">interanual </w:t>
      </w:r>
      <w:r w:rsidRPr="00467D68">
        <w:rPr>
          <w:rFonts w:ascii="Times New Roman" w:hAnsi="Times New Roman" w:cs="Times New Roman"/>
          <w:color w:val="000000" w:themeColor="text1"/>
        </w:rPr>
        <w:t xml:space="preserve">de </w:t>
      </w:r>
      <w:r>
        <w:rPr>
          <w:rFonts w:ascii="Times New Roman" w:hAnsi="Times New Roman" w:cs="Times New Roman"/>
          <w:color w:val="000000" w:themeColor="text1"/>
        </w:rPr>
        <w:t>4</w:t>
      </w:r>
      <w:r w:rsidRPr="00467D68">
        <w:rPr>
          <w:rFonts w:ascii="Times New Roman" w:hAnsi="Times New Roman" w:cs="Times New Roman"/>
          <w:color w:val="000000" w:themeColor="text1"/>
        </w:rPr>
        <w:t>.</w:t>
      </w:r>
      <w:r>
        <w:rPr>
          <w:rFonts w:ascii="Times New Roman" w:hAnsi="Times New Roman" w:cs="Times New Roman"/>
          <w:color w:val="000000" w:themeColor="text1"/>
        </w:rPr>
        <w:t>2</w:t>
      </w:r>
      <w:r w:rsidRPr="00467D68">
        <w:rPr>
          <w:rFonts w:ascii="Times New Roman" w:hAnsi="Times New Roman" w:cs="Times New Roman"/>
          <w:color w:val="000000" w:themeColor="text1"/>
        </w:rPr>
        <w:t>%, equivalente a Q</w:t>
      </w:r>
      <w:r>
        <w:rPr>
          <w:rFonts w:ascii="Times New Roman" w:hAnsi="Times New Roman" w:cs="Times New Roman"/>
          <w:color w:val="000000" w:themeColor="text1"/>
        </w:rPr>
        <w:t>136</w:t>
      </w:r>
      <w:r w:rsidRPr="00467D68">
        <w:rPr>
          <w:rFonts w:ascii="Times New Roman" w:hAnsi="Times New Roman" w:cs="Times New Roman"/>
          <w:color w:val="000000" w:themeColor="text1"/>
        </w:rPr>
        <w:t>.</w:t>
      </w:r>
      <w:r>
        <w:rPr>
          <w:rFonts w:ascii="Times New Roman" w:hAnsi="Times New Roman" w:cs="Times New Roman"/>
          <w:color w:val="000000" w:themeColor="text1"/>
        </w:rPr>
        <w:t>0</w:t>
      </w:r>
      <w:r w:rsidRPr="00467D68">
        <w:rPr>
          <w:rFonts w:ascii="Times New Roman" w:hAnsi="Times New Roman" w:cs="Times New Roman"/>
          <w:color w:val="000000" w:themeColor="text1"/>
        </w:rPr>
        <w:t xml:space="preserve"> millones.</w:t>
      </w:r>
    </w:p>
    <w:p w14:paraId="60D61F4D" w14:textId="77777777" w:rsidR="00A02F83" w:rsidRPr="00863E34" w:rsidRDefault="00A02F83" w:rsidP="00A02F83">
      <w:pPr>
        <w:pStyle w:val="Sinespaciado"/>
        <w:jc w:val="center"/>
        <w:rPr>
          <w:sz w:val="24"/>
        </w:rPr>
      </w:pPr>
      <w:r>
        <w:rPr>
          <w:rFonts w:ascii="Times New Roman" w:hAnsi="Times New Roman" w:cs="Times New Roman"/>
          <w:b/>
          <w:sz w:val="24"/>
          <w:lang w:val="es-MX"/>
        </w:rPr>
        <w:t>E</w:t>
      </w:r>
      <w:r w:rsidRPr="00863E34">
        <w:rPr>
          <w:rFonts w:ascii="Times New Roman" w:hAnsi="Times New Roman" w:cs="Times New Roman"/>
          <w:b/>
          <w:sz w:val="24"/>
          <w:lang w:val="es-MX"/>
        </w:rPr>
        <w:t>jecución por rubro de Cuenta Económica</w:t>
      </w:r>
    </w:p>
    <w:p w14:paraId="117BC649" w14:textId="77777777" w:rsidR="00A02F83" w:rsidRPr="00863E34" w:rsidRDefault="00A02F83" w:rsidP="00A02F83">
      <w:pPr>
        <w:pStyle w:val="Sinespaciado"/>
        <w:jc w:val="center"/>
        <w:rPr>
          <w:rFonts w:ascii="Times New Roman" w:hAnsi="Times New Roman" w:cs="Times New Roman"/>
          <w:szCs w:val="18"/>
          <w:lang w:val="es-MX"/>
        </w:rPr>
      </w:pPr>
      <w:r w:rsidRPr="00863E34">
        <w:rPr>
          <w:rFonts w:ascii="Times New Roman" w:hAnsi="Times New Roman" w:cs="Times New Roman"/>
          <w:szCs w:val="18"/>
          <w:lang w:val="es-MX"/>
        </w:rPr>
        <w:t>2022 – 2021</w:t>
      </w:r>
    </w:p>
    <w:p w14:paraId="5472ABEB" w14:textId="7869C412" w:rsidR="00A02F83" w:rsidRPr="00863E34" w:rsidRDefault="00A02F83" w:rsidP="00A02F83">
      <w:pPr>
        <w:pStyle w:val="Sinespaciado"/>
        <w:jc w:val="center"/>
        <w:rPr>
          <w:rFonts w:ascii="Times New Roman" w:hAnsi="Times New Roman" w:cs="Times New Roman"/>
          <w:lang w:val="es-MX"/>
        </w:rPr>
      </w:pPr>
      <w:r w:rsidRPr="00863E34">
        <w:rPr>
          <w:noProof/>
          <w:lang w:eastAsia="es-GT"/>
        </w:rPr>
        <w:drawing>
          <wp:anchor distT="0" distB="0" distL="114300" distR="114300" simplePos="0" relativeHeight="251841536" behindDoc="0" locked="0" layoutInCell="1" allowOverlap="1" wp14:anchorId="4431C0BA" wp14:editId="44B114E4">
            <wp:simplePos x="0" y="0"/>
            <wp:positionH relativeFrom="column">
              <wp:posOffset>-3810</wp:posOffset>
            </wp:positionH>
            <wp:positionV relativeFrom="paragraph">
              <wp:posOffset>160655</wp:posOffset>
            </wp:positionV>
            <wp:extent cx="2777490" cy="2238375"/>
            <wp:effectExtent l="0" t="0" r="381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863E34">
        <w:rPr>
          <w:rFonts w:ascii="Times New Roman" w:hAnsi="Times New Roman" w:cs="Times New Roman"/>
          <w:lang w:val="es-MX"/>
        </w:rPr>
        <w:t>Variación absoluta interanual</w:t>
      </w:r>
    </w:p>
    <w:p w14:paraId="4E3A4890" w14:textId="6E421698" w:rsidR="00A02F83" w:rsidRPr="00863E34" w:rsidRDefault="00A02F83" w:rsidP="00A02F83">
      <w:pPr>
        <w:pStyle w:val="Sinespaciado"/>
        <w:jc w:val="center"/>
        <w:rPr>
          <w:rFonts w:ascii="Times New Roman" w:hAnsi="Times New Roman" w:cs="Times New Roman"/>
          <w:lang w:val="es-MX"/>
        </w:rPr>
      </w:pPr>
    </w:p>
    <w:p w14:paraId="2CFE8F42" w14:textId="77777777" w:rsidR="00A02F83" w:rsidRPr="00863E34" w:rsidRDefault="00A02F83" w:rsidP="00A02F83">
      <w:pPr>
        <w:pStyle w:val="Sinespaciado"/>
        <w:jc w:val="center"/>
        <w:rPr>
          <w:rFonts w:ascii="Times New Roman" w:hAnsi="Times New Roman" w:cs="Times New Roman"/>
          <w:lang w:val="es-MX"/>
        </w:rPr>
      </w:pPr>
    </w:p>
    <w:p w14:paraId="3CCAB3BD" w14:textId="77777777" w:rsidR="00A02F83" w:rsidRPr="00863E34" w:rsidRDefault="00A02F83" w:rsidP="00A02F83">
      <w:pPr>
        <w:pStyle w:val="Sinespaciado"/>
        <w:jc w:val="center"/>
        <w:rPr>
          <w:rFonts w:ascii="Times New Roman" w:hAnsi="Times New Roman" w:cs="Times New Roman"/>
          <w:lang w:val="es-MX"/>
        </w:rPr>
      </w:pPr>
    </w:p>
    <w:p w14:paraId="475E2E8E" w14:textId="77777777" w:rsidR="00A02F83" w:rsidRPr="00863E34" w:rsidRDefault="00A02F83" w:rsidP="00A02F83">
      <w:pPr>
        <w:pStyle w:val="Sinespaciado"/>
        <w:jc w:val="center"/>
        <w:rPr>
          <w:rFonts w:ascii="Times New Roman" w:hAnsi="Times New Roman" w:cs="Times New Roman"/>
          <w:lang w:val="es-MX"/>
        </w:rPr>
      </w:pPr>
    </w:p>
    <w:p w14:paraId="032CCFB6" w14:textId="77777777" w:rsidR="00A02F83" w:rsidRPr="00863E34" w:rsidRDefault="00A02F83" w:rsidP="00A02F83">
      <w:pPr>
        <w:pStyle w:val="Sinespaciado"/>
        <w:jc w:val="center"/>
        <w:rPr>
          <w:rFonts w:ascii="Times New Roman" w:hAnsi="Times New Roman" w:cs="Times New Roman"/>
          <w:lang w:val="es-MX"/>
        </w:rPr>
      </w:pPr>
    </w:p>
    <w:p w14:paraId="69292F96" w14:textId="77777777" w:rsidR="00A02F83" w:rsidRPr="00863E34" w:rsidRDefault="00A02F83" w:rsidP="00A02F83">
      <w:pPr>
        <w:pStyle w:val="Sinespaciado"/>
        <w:jc w:val="center"/>
        <w:rPr>
          <w:rFonts w:ascii="Times New Roman" w:hAnsi="Times New Roman" w:cs="Times New Roman"/>
          <w:lang w:val="es-MX"/>
        </w:rPr>
      </w:pPr>
    </w:p>
    <w:p w14:paraId="6C138FB8" w14:textId="77777777" w:rsidR="00A02F83" w:rsidRPr="00863E34" w:rsidRDefault="00A02F83" w:rsidP="00A02F83">
      <w:pPr>
        <w:pStyle w:val="Sinespaciado"/>
        <w:jc w:val="center"/>
        <w:rPr>
          <w:rFonts w:ascii="Times New Roman" w:hAnsi="Times New Roman" w:cs="Times New Roman"/>
          <w:lang w:val="es-MX"/>
        </w:rPr>
      </w:pPr>
    </w:p>
    <w:p w14:paraId="457D6AD9" w14:textId="77777777" w:rsidR="00A02F83" w:rsidRPr="00863E34" w:rsidRDefault="00A02F83" w:rsidP="00A02F83">
      <w:pPr>
        <w:pStyle w:val="Sinespaciado"/>
        <w:jc w:val="center"/>
        <w:rPr>
          <w:rFonts w:ascii="Times New Roman" w:hAnsi="Times New Roman" w:cs="Times New Roman"/>
          <w:lang w:val="es-MX"/>
        </w:rPr>
      </w:pPr>
    </w:p>
    <w:p w14:paraId="7778DAF9" w14:textId="77777777" w:rsidR="00A02F83" w:rsidRPr="00863E34" w:rsidRDefault="00A02F83" w:rsidP="00A02F83">
      <w:pPr>
        <w:pStyle w:val="Sinespaciado"/>
        <w:jc w:val="center"/>
        <w:rPr>
          <w:rFonts w:ascii="Times New Roman" w:hAnsi="Times New Roman" w:cs="Times New Roman"/>
          <w:lang w:val="es-MX"/>
        </w:rPr>
      </w:pPr>
    </w:p>
    <w:p w14:paraId="727581FB" w14:textId="77777777" w:rsidR="00A02F83" w:rsidRPr="00863E34" w:rsidRDefault="00A02F83" w:rsidP="00A02F83">
      <w:pPr>
        <w:pStyle w:val="Sinespaciado"/>
        <w:jc w:val="center"/>
        <w:rPr>
          <w:rFonts w:ascii="Times New Roman" w:hAnsi="Times New Roman" w:cs="Times New Roman"/>
          <w:lang w:val="es-MX"/>
        </w:rPr>
      </w:pPr>
    </w:p>
    <w:p w14:paraId="21088062" w14:textId="77777777" w:rsidR="00A02F83" w:rsidRPr="00863E34" w:rsidRDefault="00A02F83" w:rsidP="00A02F83">
      <w:pPr>
        <w:pStyle w:val="Sinespaciado"/>
        <w:jc w:val="center"/>
        <w:rPr>
          <w:rFonts w:ascii="Times New Roman" w:hAnsi="Times New Roman" w:cs="Times New Roman"/>
          <w:lang w:val="es-MX"/>
        </w:rPr>
      </w:pPr>
    </w:p>
    <w:p w14:paraId="5E31EF5D" w14:textId="77777777" w:rsidR="00A02F83" w:rsidRPr="00863E34" w:rsidRDefault="00A02F83" w:rsidP="00A02F83">
      <w:pPr>
        <w:pStyle w:val="Sinespaciado"/>
        <w:jc w:val="center"/>
        <w:rPr>
          <w:rFonts w:ascii="Times New Roman" w:hAnsi="Times New Roman" w:cs="Times New Roman"/>
          <w:lang w:val="es-MX"/>
        </w:rPr>
      </w:pPr>
    </w:p>
    <w:p w14:paraId="3CB8B2BB" w14:textId="77777777" w:rsidR="00A02F83" w:rsidRPr="00863E34" w:rsidRDefault="00A02F83" w:rsidP="00A02F83">
      <w:pPr>
        <w:pStyle w:val="Sinespaciado"/>
        <w:jc w:val="center"/>
        <w:rPr>
          <w:rFonts w:ascii="Times New Roman" w:hAnsi="Times New Roman" w:cs="Times New Roman"/>
          <w:lang w:val="es-MX"/>
        </w:rPr>
      </w:pPr>
    </w:p>
    <w:p w14:paraId="14AD71A6" w14:textId="77777777" w:rsidR="00A02F83" w:rsidRPr="00863E34" w:rsidRDefault="00A02F83" w:rsidP="00A02F83">
      <w:pPr>
        <w:pStyle w:val="Sinespaciado"/>
        <w:jc w:val="center"/>
        <w:rPr>
          <w:rFonts w:ascii="Times New Roman" w:hAnsi="Times New Roman" w:cs="Times New Roman"/>
          <w:lang w:val="es-MX"/>
        </w:rPr>
      </w:pPr>
    </w:p>
    <w:p w14:paraId="4D25C170" w14:textId="1CE8B07B" w:rsidR="00A02F83" w:rsidRPr="00863E34" w:rsidRDefault="00A02F83" w:rsidP="00A02F83">
      <w:pPr>
        <w:spacing w:after="0" w:line="240" w:lineRule="auto"/>
        <w:jc w:val="both"/>
        <w:rPr>
          <w:rFonts w:ascii="Times New Roman" w:hAnsi="Times New Roman" w:cs="Times New Roman"/>
          <w:sz w:val="16"/>
        </w:rPr>
      </w:pPr>
      <w:r w:rsidRPr="00863E34">
        <w:rPr>
          <w:rFonts w:ascii="Times New Roman" w:hAnsi="Times New Roman" w:cs="Times New Roman"/>
          <w:sz w:val="16"/>
        </w:rPr>
        <w:t>Fuente: Dirección de Análisis y Política Fiscal.</w:t>
      </w:r>
    </w:p>
    <w:p w14:paraId="3C7AB659" w14:textId="77777777" w:rsidR="00A02F83" w:rsidRPr="00863E34" w:rsidRDefault="00A02F83" w:rsidP="00A02F83">
      <w:pPr>
        <w:pStyle w:val="Sinespaciado"/>
        <w:jc w:val="both"/>
        <w:rPr>
          <w:rFonts w:ascii="Times New Roman" w:hAnsi="Times New Roman" w:cs="Times New Roman"/>
          <w:lang w:val="es-MX"/>
        </w:rPr>
      </w:pPr>
    </w:p>
    <w:p w14:paraId="4AB24F98" w14:textId="77777777" w:rsidR="00A02F83" w:rsidRPr="00863E34" w:rsidRDefault="00A02F83" w:rsidP="00A02F83">
      <w:pPr>
        <w:pStyle w:val="Sinespaciado"/>
        <w:jc w:val="both"/>
        <w:rPr>
          <w:rFonts w:ascii="Times New Roman" w:hAnsi="Times New Roman" w:cs="Times New Roman"/>
          <w:lang w:val="es-MX"/>
        </w:rPr>
      </w:pPr>
      <w:r w:rsidRPr="00863E34">
        <w:rPr>
          <w:rFonts w:ascii="Times New Roman" w:hAnsi="Times New Roman" w:cs="Times New Roman"/>
          <w:lang w:val="es-MX"/>
        </w:rPr>
        <w:t xml:space="preserve">Al eliminar el gasto relacionado a la pandemia del COVID-19, tanto en 2022 como en 2021, </w:t>
      </w:r>
      <w:r w:rsidRPr="00863E34">
        <w:rPr>
          <w:rFonts w:ascii="Times New Roman" w:hAnsi="Times New Roman" w:cs="Times New Roman"/>
          <w:lang w:val="es-MX"/>
        </w:rPr>
        <w:lastRenderedPageBreak/>
        <w:t xml:space="preserve">la ejecución del gasto público a </w:t>
      </w:r>
      <w:r>
        <w:rPr>
          <w:rFonts w:ascii="Times New Roman" w:hAnsi="Times New Roman" w:cs="Times New Roman"/>
          <w:lang w:val="es-MX"/>
        </w:rPr>
        <w:t>julio</w:t>
      </w:r>
      <w:r w:rsidRPr="00863E34">
        <w:rPr>
          <w:rFonts w:ascii="Times New Roman" w:hAnsi="Times New Roman" w:cs="Times New Roman"/>
          <w:lang w:val="es-MX"/>
        </w:rPr>
        <w:t xml:space="preserve"> sin incluir las amortizaciones de la deuda pública se ubicaría en Q</w:t>
      </w:r>
      <w:r>
        <w:rPr>
          <w:rFonts w:ascii="Times New Roman" w:hAnsi="Times New Roman" w:cs="Times New Roman"/>
          <w:lang w:val="es-MX"/>
        </w:rPr>
        <w:t>55</w:t>
      </w:r>
      <w:r w:rsidRPr="00863E34">
        <w:rPr>
          <w:rFonts w:ascii="Times New Roman" w:hAnsi="Times New Roman" w:cs="Times New Roman"/>
          <w:lang w:val="es-MX"/>
        </w:rPr>
        <w:t>,</w:t>
      </w:r>
      <w:r>
        <w:rPr>
          <w:rFonts w:ascii="Times New Roman" w:hAnsi="Times New Roman" w:cs="Times New Roman"/>
          <w:lang w:val="es-MX"/>
        </w:rPr>
        <w:t>018</w:t>
      </w:r>
      <w:r w:rsidRPr="00863E34">
        <w:rPr>
          <w:rFonts w:ascii="Times New Roman" w:hAnsi="Times New Roman" w:cs="Times New Roman"/>
          <w:lang w:val="es-MX"/>
        </w:rPr>
        <w:t>.</w:t>
      </w:r>
      <w:r>
        <w:rPr>
          <w:rFonts w:ascii="Times New Roman" w:hAnsi="Times New Roman" w:cs="Times New Roman"/>
          <w:lang w:val="es-MX"/>
        </w:rPr>
        <w:t>5</w:t>
      </w:r>
      <w:r w:rsidRPr="00863E34">
        <w:rPr>
          <w:rFonts w:ascii="Times New Roman" w:hAnsi="Times New Roman" w:cs="Times New Roman"/>
          <w:lang w:val="es-MX"/>
        </w:rPr>
        <w:t xml:space="preserve"> millones, con un crecimiento interanual de 1</w:t>
      </w:r>
      <w:r>
        <w:rPr>
          <w:rFonts w:ascii="Times New Roman" w:hAnsi="Times New Roman" w:cs="Times New Roman"/>
          <w:lang w:val="es-MX"/>
        </w:rPr>
        <w:t>6</w:t>
      </w:r>
      <w:r w:rsidRPr="00863E34">
        <w:rPr>
          <w:rFonts w:ascii="Times New Roman" w:hAnsi="Times New Roman" w:cs="Times New Roman"/>
          <w:lang w:val="es-MX"/>
        </w:rPr>
        <w:t>.</w:t>
      </w:r>
      <w:r>
        <w:rPr>
          <w:rFonts w:ascii="Times New Roman" w:hAnsi="Times New Roman" w:cs="Times New Roman"/>
          <w:lang w:val="es-MX"/>
        </w:rPr>
        <w:t>3</w:t>
      </w:r>
      <w:r w:rsidRPr="00863E34">
        <w:rPr>
          <w:rFonts w:ascii="Times New Roman" w:hAnsi="Times New Roman" w:cs="Times New Roman"/>
          <w:lang w:val="es-MX"/>
        </w:rPr>
        <w:t>% (equivalente a Q</w:t>
      </w:r>
      <w:r>
        <w:rPr>
          <w:rFonts w:ascii="Times New Roman" w:hAnsi="Times New Roman" w:cs="Times New Roman"/>
          <w:lang w:val="es-MX"/>
        </w:rPr>
        <w:t>7</w:t>
      </w:r>
      <w:r w:rsidRPr="00863E34">
        <w:rPr>
          <w:rFonts w:ascii="Times New Roman" w:hAnsi="Times New Roman" w:cs="Times New Roman"/>
          <w:lang w:val="es-MX"/>
        </w:rPr>
        <w:t>,</w:t>
      </w:r>
      <w:r>
        <w:rPr>
          <w:rFonts w:ascii="Times New Roman" w:hAnsi="Times New Roman" w:cs="Times New Roman"/>
          <w:lang w:val="es-MX"/>
        </w:rPr>
        <w:t>730</w:t>
      </w:r>
      <w:r w:rsidRPr="00863E34">
        <w:rPr>
          <w:rFonts w:ascii="Times New Roman" w:hAnsi="Times New Roman" w:cs="Times New Roman"/>
          <w:lang w:val="es-MX"/>
        </w:rPr>
        <w:t>.</w:t>
      </w:r>
      <w:r>
        <w:rPr>
          <w:rFonts w:ascii="Times New Roman" w:hAnsi="Times New Roman" w:cs="Times New Roman"/>
          <w:lang w:val="es-MX"/>
        </w:rPr>
        <w:t xml:space="preserve">6 </w:t>
      </w:r>
      <w:r w:rsidRPr="00863E34">
        <w:rPr>
          <w:rFonts w:ascii="Times New Roman" w:hAnsi="Times New Roman" w:cs="Times New Roman"/>
          <w:lang w:val="es-MX"/>
        </w:rPr>
        <w:t xml:space="preserve">millones). Mientras que en 2021 el gasto público hubiera tenido una variación interanual de </w:t>
      </w:r>
      <w:r>
        <w:rPr>
          <w:rFonts w:ascii="Times New Roman" w:hAnsi="Times New Roman" w:cs="Times New Roman"/>
          <w:lang w:val="es-MX"/>
        </w:rPr>
        <w:t>10</w:t>
      </w:r>
      <w:r w:rsidRPr="00863E34">
        <w:rPr>
          <w:rFonts w:ascii="Times New Roman" w:hAnsi="Times New Roman" w:cs="Times New Roman"/>
          <w:lang w:val="es-MX"/>
        </w:rPr>
        <w:t>.</w:t>
      </w:r>
      <w:r>
        <w:rPr>
          <w:rFonts w:ascii="Times New Roman" w:hAnsi="Times New Roman" w:cs="Times New Roman"/>
          <w:lang w:val="es-MX"/>
        </w:rPr>
        <w:t>1</w:t>
      </w:r>
      <w:r w:rsidRPr="00863E34">
        <w:rPr>
          <w:rFonts w:ascii="Times New Roman" w:hAnsi="Times New Roman" w:cs="Times New Roman"/>
          <w:lang w:val="es-MX"/>
        </w:rPr>
        <w:t>%, es importante tomar en consideración que en 2021 e</w:t>
      </w:r>
      <w:r>
        <w:rPr>
          <w:rFonts w:ascii="Times New Roman" w:hAnsi="Times New Roman" w:cs="Times New Roman"/>
          <w:lang w:val="es-MX"/>
        </w:rPr>
        <w:t>l</w:t>
      </w:r>
      <w:r w:rsidRPr="00863E34">
        <w:rPr>
          <w:rFonts w:ascii="Times New Roman" w:hAnsi="Times New Roman" w:cs="Times New Roman"/>
          <w:lang w:val="es-MX"/>
        </w:rPr>
        <w:t xml:space="preserve"> gasto</w:t>
      </w:r>
      <w:r>
        <w:rPr>
          <w:rFonts w:ascii="Times New Roman" w:hAnsi="Times New Roman" w:cs="Times New Roman"/>
          <w:lang w:val="es-MX"/>
        </w:rPr>
        <w:t xml:space="preserve"> vinculado a COVID-19</w:t>
      </w:r>
      <w:r w:rsidRPr="00863E34">
        <w:rPr>
          <w:rFonts w:ascii="Times New Roman" w:hAnsi="Times New Roman" w:cs="Times New Roman"/>
          <w:lang w:val="es-MX"/>
        </w:rPr>
        <w:t xml:space="preserve"> fue importante por los procesos relacionados a la compra de la vacuna, mientras que en 2022 estos gastos han sido menores. </w:t>
      </w:r>
    </w:p>
    <w:p w14:paraId="35A45D33" w14:textId="77777777" w:rsidR="00A02F83" w:rsidRDefault="00A02F83" w:rsidP="00A02F83">
      <w:pPr>
        <w:spacing w:after="0" w:line="240" w:lineRule="auto"/>
        <w:rPr>
          <w:rFonts w:ascii="Times New Roman" w:hAnsi="Times New Roman" w:cs="Times New Roman"/>
          <w:b/>
          <w:lang w:val="es-MX"/>
        </w:rPr>
      </w:pPr>
    </w:p>
    <w:p w14:paraId="7D984557" w14:textId="77777777" w:rsidR="00A02F83" w:rsidRPr="00863E34" w:rsidRDefault="00A02F83" w:rsidP="00A02F83">
      <w:pPr>
        <w:spacing w:after="0" w:line="240" w:lineRule="auto"/>
        <w:jc w:val="center"/>
        <w:rPr>
          <w:rFonts w:ascii="Times New Roman" w:hAnsi="Times New Roman" w:cs="Times New Roman"/>
          <w:b/>
          <w:lang w:val="es-MX"/>
        </w:rPr>
      </w:pPr>
      <w:r w:rsidRPr="00863E34">
        <w:rPr>
          <w:rFonts w:ascii="Times New Roman" w:hAnsi="Times New Roman" w:cs="Times New Roman"/>
          <w:b/>
          <w:lang w:val="es-MX"/>
        </w:rPr>
        <w:t xml:space="preserve">Ritmo de Ejecución del Gasto sin </w:t>
      </w:r>
      <w:r w:rsidRPr="00CE5240">
        <w:rPr>
          <w:rFonts w:ascii="Times New Roman" w:hAnsi="Times New Roman" w:cs="Times New Roman"/>
          <w:b/>
          <w:sz w:val="20"/>
          <w:lang w:val="es-MX"/>
        </w:rPr>
        <w:t>COVID-19</w:t>
      </w:r>
    </w:p>
    <w:p w14:paraId="55A91650" w14:textId="77777777" w:rsidR="00A02F83" w:rsidRPr="00863E34" w:rsidRDefault="00A02F83" w:rsidP="00A02F83">
      <w:pPr>
        <w:pStyle w:val="Sinespaciado"/>
        <w:jc w:val="center"/>
        <w:rPr>
          <w:rFonts w:ascii="Times New Roman" w:hAnsi="Times New Roman" w:cs="Times New Roman"/>
          <w:szCs w:val="18"/>
          <w:lang w:val="es-MX"/>
        </w:rPr>
      </w:pPr>
      <w:r w:rsidRPr="00863E34">
        <w:rPr>
          <w:rFonts w:ascii="Times New Roman" w:hAnsi="Times New Roman" w:cs="Times New Roman"/>
          <w:szCs w:val="18"/>
          <w:lang w:val="es-MX"/>
        </w:rPr>
        <w:t>Variación interanual (%) *</w:t>
      </w:r>
    </w:p>
    <w:p w14:paraId="52C9D0B4" w14:textId="77777777" w:rsidR="00A02F83" w:rsidRPr="00863E34" w:rsidRDefault="00A02F83" w:rsidP="00A02F83">
      <w:pPr>
        <w:pStyle w:val="Sinespaciado"/>
        <w:jc w:val="center"/>
        <w:rPr>
          <w:rFonts w:ascii="Times New Roman" w:hAnsi="Times New Roman" w:cs="Times New Roman"/>
          <w:szCs w:val="18"/>
          <w:lang w:val="es-MX"/>
        </w:rPr>
      </w:pPr>
      <w:r w:rsidRPr="00863E34">
        <w:rPr>
          <w:rFonts w:ascii="Times New Roman" w:hAnsi="Times New Roman" w:cs="Times New Roman"/>
          <w:noProof/>
          <w:lang w:eastAsia="es-GT"/>
        </w:rPr>
        <w:drawing>
          <wp:inline distT="0" distB="0" distL="0" distR="0" wp14:anchorId="0A52E124" wp14:editId="17464043">
            <wp:extent cx="2581275" cy="1847850"/>
            <wp:effectExtent l="0" t="0" r="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587AD6" w14:textId="77777777" w:rsidR="00A02F83" w:rsidRPr="00863E34" w:rsidRDefault="00A02F83" w:rsidP="00A02F83">
      <w:pPr>
        <w:pStyle w:val="Sinespaciado"/>
        <w:jc w:val="both"/>
        <w:rPr>
          <w:rFonts w:ascii="Times New Roman" w:hAnsi="Times New Roman" w:cs="Times New Roman"/>
          <w:sz w:val="18"/>
          <w:lang w:val="es-MX"/>
        </w:rPr>
      </w:pPr>
      <w:r w:rsidRPr="00863E34">
        <w:rPr>
          <w:rFonts w:ascii="Times New Roman" w:hAnsi="Times New Roman" w:cs="Times New Roman"/>
          <w:sz w:val="18"/>
          <w:lang w:val="es-MX"/>
        </w:rPr>
        <w:t>*No incluye amortizaciones de la deuda pública</w:t>
      </w:r>
    </w:p>
    <w:p w14:paraId="146D175F" w14:textId="77777777" w:rsidR="00A02F83" w:rsidRPr="00515068" w:rsidRDefault="00A02F83" w:rsidP="00A02F83">
      <w:pPr>
        <w:pStyle w:val="Sinespaciado"/>
        <w:jc w:val="both"/>
        <w:rPr>
          <w:rFonts w:ascii="Times New Roman" w:hAnsi="Times New Roman" w:cs="Times New Roman"/>
          <w:color w:val="FF0000"/>
          <w:sz w:val="16"/>
          <w:szCs w:val="16"/>
          <w:lang w:val="es-MX"/>
        </w:rPr>
      </w:pPr>
      <w:r w:rsidRPr="00863E34">
        <w:rPr>
          <w:rFonts w:ascii="Times New Roman" w:hAnsi="Times New Roman" w:cs="Times New Roman"/>
          <w:sz w:val="16"/>
          <w:szCs w:val="16"/>
          <w:lang w:val="es-MX"/>
        </w:rPr>
        <w:t>Fuente: Dirección de Análisis y Política Fiscal</w:t>
      </w:r>
    </w:p>
    <w:p w14:paraId="30F4F3A0" w14:textId="40FA7C45" w:rsidR="00A02F83" w:rsidRPr="00515068" w:rsidRDefault="00A02F83" w:rsidP="00A02F83">
      <w:pPr>
        <w:pStyle w:val="Sinespaciado"/>
        <w:jc w:val="both"/>
        <w:rPr>
          <w:rFonts w:ascii="Times New Roman" w:hAnsi="Times New Roman" w:cs="Times New Roman"/>
          <w:color w:val="FF0000"/>
          <w:lang w:val="es-MX"/>
        </w:rPr>
      </w:pPr>
      <w:r>
        <w:rPr>
          <w:rFonts w:ascii="Times New Roman" w:hAnsi="Times New Roman" w:cs="Times New Roman"/>
          <w:lang w:val="es-MX"/>
        </w:rPr>
        <w:t>En cuanto al gasto total, el cual incluye amortizaciones de la deuda pública, se situó en Q57,420.5 millones, con un grado de ejecución de 51.1% y una variación interanual de 14.1%. Este grado de ejecución se encuentra por arriba de la ejecución promedio de los últimos 5 años (48.7%) y es superior a la reportada en cada uno de los años anteriores, a excepción de 2018 y 2019.</w:t>
      </w:r>
    </w:p>
    <w:p w14:paraId="4033101A" w14:textId="77777777" w:rsidR="00A02F83" w:rsidRPr="00863E34" w:rsidRDefault="00A02F83" w:rsidP="00A02F83">
      <w:pPr>
        <w:pStyle w:val="Sinespaciado"/>
        <w:jc w:val="both"/>
        <w:rPr>
          <w:rFonts w:ascii="Times New Roman" w:hAnsi="Times New Roman" w:cs="Times New Roman"/>
          <w:lang w:val="es-MX"/>
        </w:rPr>
      </w:pPr>
    </w:p>
    <w:p w14:paraId="01FD7A29" w14:textId="77777777" w:rsidR="00A02F83" w:rsidRPr="00863E34" w:rsidRDefault="00A02F83" w:rsidP="00A02F83">
      <w:pPr>
        <w:spacing w:after="0" w:line="240" w:lineRule="auto"/>
        <w:jc w:val="center"/>
        <w:rPr>
          <w:rFonts w:ascii="Times New Roman" w:hAnsi="Times New Roman" w:cs="Times New Roman"/>
          <w:b/>
          <w:lang w:val="es-MX"/>
        </w:rPr>
      </w:pPr>
      <w:r w:rsidRPr="00863E34">
        <w:rPr>
          <w:rFonts w:ascii="Times New Roman" w:hAnsi="Times New Roman" w:cs="Times New Roman"/>
          <w:b/>
          <w:lang w:val="es-MX"/>
        </w:rPr>
        <w:t>Grado de Ejecución de los últimos 5 años</w:t>
      </w:r>
    </w:p>
    <w:p w14:paraId="744419A9" w14:textId="77777777" w:rsidR="00A02F83" w:rsidRPr="00863E34" w:rsidRDefault="00A02F83" w:rsidP="00A02F83">
      <w:pPr>
        <w:pStyle w:val="Sinespaciado"/>
        <w:jc w:val="center"/>
        <w:rPr>
          <w:rFonts w:ascii="Times New Roman" w:hAnsi="Times New Roman" w:cs="Times New Roman"/>
          <w:szCs w:val="18"/>
          <w:lang w:val="es-MX"/>
        </w:rPr>
      </w:pPr>
      <w:r w:rsidRPr="00863E34">
        <w:rPr>
          <w:rFonts w:ascii="Times New Roman" w:hAnsi="Times New Roman" w:cs="Times New Roman"/>
          <w:szCs w:val="18"/>
          <w:lang w:val="es-MX"/>
        </w:rPr>
        <w:t>Al 3</w:t>
      </w:r>
      <w:r>
        <w:rPr>
          <w:rFonts w:ascii="Times New Roman" w:hAnsi="Times New Roman" w:cs="Times New Roman"/>
          <w:szCs w:val="18"/>
          <w:lang w:val="es-MX"/>
        </w:rPr>
        <w:t>1</w:t>
      </w:r>
      <w:r w:rsidRPr="00863E34">
        <w:rPr>
          <w:rFonts w:ascii="Times New Roman" w:hAnsi="Times New Roman" w:cs="Times New Roman"/>
          <w:szCs w:val="18"/>
          <w:lang w:val="es-MX"/>
        </w:rPr>
        <w:t xml:space="preserve"> de </w:t>
      </w:r>
      <w:r>
        <w:rPr>
          <w:rFonts w:ascii="Times New Roman" w:hAnsi="Times New Roman" w:cs="Times New Roman"/>
          <w:szCs w:val="18"/>
          <w:lang w:val="es-MX"/>
        </w:rPr>
        <w:t>juli</w:t>
      </w:r>
      <w:r w:rsidRPr="00863E34">
        <w:rPr>
          <w:rFonts w:ascii="Times New Roman" w:hAnsi="Times New Roman" w:cs="Times New Roman"/>
          <w:szCs w:val="18"/>
          <w:lang w:val="es-MX"/>
        </w:rPr>
        <w:t>o de cada año</w:t>
      </w:r>
    </w:p>
    <w:p w14:paraId="73994D06" w14:textId="141A6AF0" w:rsidR="00A02F83" w:rsidRPr="00863E34" w:rsidRDefault="00A02F83" w:rsidP="00A02F83">
      <w:pPr>
        <w:pStyle w:val="Sinespaciado"/>
        <w:jc w:val="center"/>
        <w:rPr>
          <w:rFonts w:ascii="Times New Roman" w:hAnsi="Times New Roman" w:cs="Times New Roman"/>
          <w:szCs w:val="18"/>
          <w:lang w:val="es-MX"/>
        </w:rPr>
      </w:pPr>
      <w:r w:rsidRPr="00863E34">
        <w:rPr>
          <w:rFonts w:ascii="Times New Roman" w:hAnsi="Times New Roman" w:cs="Times New Roman"/>
          <w:szCs w:val="18"/>
          <w:lang w:val="es-MX"/>
        </w:rPr>
        <w:t>Cifras en porcentajes</w:t>
      </w:r>
    </w:p>
    <w:p w14:paraId="5B2CCDD9" w14:textId="54853654" w:rsidR="00A02F83" w:rsidRPr="00863E34" w:rsidRDefault="005A2672" w:rsidP="00A02F83">
      <w:pPr>
        <w:pStyle w:val="Sinespaciado"/>
        <w:jc w:val="center"/>
        <w:rPr>
          <w:rFonts w:ascii="Times New Roman" w:hAnsi="Times New Roman" w:cs="Times New Roman"/>
          <w:szCs w:val="18"/>
          <w:lang w:val="es-MX"/>
        </w:rPr>
      </w:pPr>
      <w:r w:rsidRPr="00863E34">
        <w:rPr>
          <w:noProof/>
          <w:lang w:eastAsia="es-GT"/>
        </w:rPr>
        <w:drawing>
          <wp:anchor distT="0" distB="0" distL="114300" distR="114300" simplePos="0" relativeHeight="251842560" behindDoc="0" locked="0" layoutInCell="1" allowOverlap="1" wp14:anchorId="481BB549" wp14:editId="34309F69">
            <wp:simplePos x="0" y="0"/>
            <wp:positionH relativeFrom="column">
              <wp:align>right</wp:align>
            </wp:positionH>
            <wp:positionV relativeFrom="paragraph">
              <wp:posOffset>4445</wp:posOffset>
            </wp:positionV>
            <wp:extent cx="2570480" cy="1697126"/>
            <wp:effectExtent l="0" t="0" r="1270" b="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60E1E29C" w14:textId="77777777" w:rsidR="00A02F83" w:rsidRPr="00863E34" w:rsidRDefault="00A02F83" w:rsidP="00A02F83">
      <w:pPr>
        <w:pStyle w:val="Sinespaciado"/>
        <w:jc w:val="center"/>
        <w:rPr>
          <w:rFonts w:ascii="Times New Roman" w:hAnsi="Times New Roman" w:cs="Times New Roman"/>
          <w:szCs w:val="18"/>
          <w:lang w:val="es-MX"/>
        </w:rPr>
      </w:pPr>
    </w:p>
    <w:p w14:paraId="54BF6046" w14:textId="77777777" w:rsidR="00A02F83" w:rsidRPr="00863E34" w:rsidRDefault="00A02F83" w:rsidP="00A02F83">
      <w:pPr>
        <w:pStyle w:val="Sinespaciado"/>
        <w:jc w:val="center"/>
        <w:rPr>
          <w:rFonts w:ascii="Times New Roman" w:hAnsi="Times New Roman" w:cs="Times New Roman"/>
          <w:szCs w:val="18"/>
          <w:lang w:val="es-MX"/>
        </w:rPr>
      </w:pPr>
    </w:p>
    <w:p w14:paraId="4CDD42F5" w14:textId="77777777" w:rsidR="00A02F83" w:rsidRPr="00863E34" w:rsidRDefault="00A02F83" w:rsidP="00A02F83">
      <w:pPr>
        <w:pStyle w:val="Sinespaciado"/>
        <w:jc w:val="center"/>
        <w:rPr>
          <w:rFonts w:ascii="Times New Roman" w:hAnsi="Times New Roman" w:cs="Times New Roman"/>
          <w:szCs w:val="18"/>
          <w:lang w:val="es-MX"/>
        </w:rPr>
      </w:pPr>
    </w:p>
    <w:p w14:paraId="5F5E8F90" w14:textId="77777777" w:rsidR="00A02F83" w:rsidRPr="00863E34" w:rsidRDefault="00A02F83" w:rsidP="00A02F83">
      <w:pPr>
        <w:pStyle w:val="Sinespaciado"/>
        <w:jc w:val="center"/>
        <w:rPr>
          <w:rFonts w:ascii="Times New Roman" w:hAnsi="Times New Roman" w:cs="Times New Roman"/>
          <w:szCs w:val="18"/>
          <w:lang w:val="es-MX"/>
        </w:rPr>
      </w:pPr>
    </w:p>
    <w:p w14:paraId="49B669FE" w14:textId="77777777" w:rsidR="00A02F83" w:rsidRPr="00863E34" w:rsidRDefault="00A02F83" w:rsidP="00A02F83">
      <w:pPr>
        <w:pStyle w:val="Sinespaciado"/>
        <w:jc w:val="center"/>
        <w:rPr>
          <w:rFonts w:ascii="Times New Roman" w:hAnsi="Times New Roman" w:cs="Times New Roman"/>
          <w:szCs w:val="18"/>
          <w:lang w:val="es-MX"/>
        </w:rPr>
      </w:pPr>
    </w:p>
    <w:p w14:paraId="760D1794" w14:textId="77777777" w:rsidR="00A02F83" w:rsidRPr="00863E34" w:rsidRDefault="00A02F83" w:rsidP="00A02F83">
      <w:pPr>
        <w:pStyle w:val="Sinespaciado"/>
        <w:jc w:val="center"/>
        <w:rPr>
          <w:rFonts w:ascii="Times New Roman" w:hAnsi="Times New Roman" w:cs="Times New Roman"/>
          <w:szCs w:val="18"/>
          <w:lang w:val="es-MX"/>
        </w:rPr>
      </w:pPr>
    </w:p>
    <w:p w14:paraId="6F4E6E97" w14:textId="77777777" w:rsidR="00A02F83" w:rsidRPr="00863E34" w:rsidRDefault="00A02F83" w:rsidP="00A02F83">
      <w:pPr>
        <w:pStyle w:val="Sinespaciado"/>
        <w:jc w:val="center"/>
        <w:rPr>
          <w:rFonts w:ascii="Times New Roman" w:hAnsi="Times New Roman" w:cs="Times New Roman"/>
          <w:szCs w:val="18"/>
          <w:lang w:val="es-MX"/>
        </w:rPr>
      </w:pPr>
    </w:p>
    <w:p w14:paraId="2EF5915D" w14:textId="77777777" w:rsidR="00A02F83" w:rsidRPr="00863E34" w:rsidRDefault="00A02F83" w:rsidP="00A02F83">
      <w:pPr>
        <w:pStyle w:val="Sinespaciado"/>
        <w:jc w:val="center"/>
        <w:rPr>
          <w:rFonts w:ascii="Times New Roman" w:hAnsi="Times New Roman" w:cs="Times New Roman"/>
          <w:szCs w:val="18"/>
          <w:lang w:val="es-MX"/>
        </w:rPr>
      </w:pPr>
    </w:p>
    <w:p w14:paraId="351ECC5F" w14:textId="77777777" w:rsidR="00A02F83" w:rsidRDefault="00A02F83" w:rsidP="00A02F83">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Energía y Minas (78.7%), Educación (58.3%), </w:t>
      </w:r>
      <w:r w:rsidRPr="00A23A07">
        <w:rPr>
          <w:rFonts w:ascii="Times New Roman" w:hAnsi="Times New Roman" w:cs="Times New Roman"/>
        </w:rPr>
        <w:t>Presidencia (</w:t>
      </w:r>
      <w:r>
        <w:rPr>
          <w:rFonts w:ascii="Times New Roman" w:hAnsi="Times New Roman" w:cs="Times New Roman"/>
        </w:rPr>
        <w:t>5</w:t>
      </w:r>
      <w:r w:rsidRPr="00A23A07">
        <w:rPr>
          <w:rFonts w:ascii="Times New Roman" w:hAnsi="Times New Roman" w:cs="Times New Roman"/>
        </w:rPr>
        <w:t>6.</w:t>
      </w:r>
      <w:r>
        <w:rPr>
          <w:rFonts w:ascii="Times New Roman" w:hAnsi="Times New Roman" w:cs="Times New Roman"/>
        </w:rPr>
        <w:t>8</w:t>
      </w:r>
      <w:r w:rsidRPr="00A23A07">
        <w:rPr>
          <w:rFonts w:ascii="Times New Roman" w:hAnsi="Times New Roman" w:cs="Times New Roman"/>
        </w:rPr>
        <w:t>%),</w:t>
      </w:r>
      <w:r>
        <w:rPr>
          <w:rFonts w:ascii="Times New Roman" w:hAnsi="Times New Roman" w:cs="Times New Roman"/>
        </w:rPr>
        <w:t xml:space="preserve"> PGN (56.1%), Deuda Pública (53.7%), </w:t>
      </w:r>
      <w:r w:rsidRPr="00A23A07">
        <w:rPr>
          <w:rFonts w:ascii="Times New Roman" w:hAnsi="Times New Roman" w:cs="Times New Roman"/>
        </w:rPr>
        <w:t>Trabajo (</w:t>
      </w:r>
      <w:r>
        <w:rPr>
          <w:rFonts w:ascii="Times New Roman" w:hAnsi="Times New Roman" w:cs="Times New Roman"/>
        </w:rPr>
        <w:t>53</w:t>
      </w:r>
      <w:r w:rsidRPr="00A23A07">
        <w:rPr>
          <w:rFonts w:ascii="Times New Roman" w:hAnsi="Times New Roman" w:cs="Times New Roman"/>
        </w:rPr>
        <w:t>.</w:t>
      </w:r>
      <w:r>
        <w:rPr>
          <w:rFonts w:ascii="Times New Roman" w:hAnsi="Times New Roman" w:cs="Times New Roman"/>
        </w:rPr>
        <w:t>2</w:t>
      </w:r>
      <w:r w:rsidRPr="00A23A07">
        <w:rPr>
          <w:rFonts w:ascii="Times New Roman" w:hAnsi="Times New Roman" w:cs="Times New Roman"/>
        </w:rPr>
        <w:t>%)</w:t>
      </w:r>
      <w:r>
        <w:rPr>
          <w:rFonts w:ascii="Times New Roman" w:hAnsi="Times New Roman" w:cs="Times New Roman"/>
        </w:rPr>
        <w:t>,</w:t>
      </w:r>
      <w:r w:rsidRPr="00A23A07">
        <w:rPr>
          <w:rFonts w:ascii="Times New Roman" w:hAnsi="Times New Roman" w:cs="Times New Roman"/>
        </w:rPr>
        <w:t xml:space="preserve"> </w:t>
      </w:r>
      <w:r>
        <w:rPr>
          <w:rFonts w:ascii="Times New Roman" w:hAnsi="Times New Roman" w:cs="Times New Roman"/>
        </w:rPr>
        <w:t>Defensa (53</w:t>
      </w:r>
      <w:r w:rsidRPr="00661C9A">
        <w:rPr>
          <w:rFonts w:ascii="Times New Roman" w:hAnsi="Times New Roman" w:cs="Times New Roman"/>
        </w:rPr>
        <w:t>.</w:t>
      </w:r>
      <w:r>
        <w:rPr>
          <w:rFonts w:ascii="Times New Roman" w:hAnsi="Times New Roman" w:cs="Times New Roman"/>
        </w:rPr>
        <w:t>0</w:t>
      </w:r>
      <w:r w:rsidRPr="00661C9A">
        <w:rPr>
          <w:rFonts w:ascii="Times New Roman" w:hAnsi="Times New Roman" w:cs="Times New Roman"/>
        </w:rPr>
        <w:t>%)</w:t>
      </w:r>
      <w:r>
        <w:rPr>
          <w:rFonts w:ascii="Times New Roman" w:hAnsi="Times New Roman" w:cs="Times New Roman"/>
        </w:rPr>
        <w:t xml:space="preserve"> y </w:t>
      </w:r>
      <w:r w:rsidRPr="00A23A07">
        <w:rPr>
          <w:rFonts w:ascii="Times New Roman" w:hAnsi="Times New Roman" w:cs="Times New Roman"/>
        </w:rPr>
        <w:t>Relaciones Exteriores (</w:t>
      </w:r>
      <w:r>
        <w:rPr>
          <w:rFonts w:ascii="Times New Roman" w:hAnsi="Times New Roman" w:cs="Times New Roman"/>
        </w:rPr>
        <w:t>51</w:t>
      </w:r>
      <w:r w:rsidRPr="00A23A07">
        <w:rPr>
          <w:rFonts w:ascii="Times New Roman" w:hAnsi="Times New Roman" w:cs="Times New Roman"/>
        </w:rPr>
        <w:t>.</w:t>
      </w:r>
      <w:r>
        <w:rPr>
          <w:rFonts w:ascii="Times New Roman" w:hAnsi="Times New Roman" w:cs="Times New Roman"/>
        </w:rPr>
        <w:t>3</w:t>
      </w:r>
      <w:r w:rsidRPr="00A23A07">
        <w:rPr>
          <w:rFonts w:ascii="Times New Roman" w:hAnsi="Times New Roman" w:cs="Times New Roman"/>
        </w:rPr>
        <w:t>%)</w:t>
      </w:r>
      <w:r>
        <w:rPr>
          <w:rFonts w:ascii="Times New Roman" w:hAnsi="Times New Roman" w:cs="Times New Roman"/>
        </w:rPr>
        <w:t>, todas estas entidades se encuentran por arriba de la ejecución institucional total (51.1%).</w:t>
      </w:r>
    </w:p>
    <w:p w14:paraId="79932FE0" w14:textId="77777777" w:rsidR="00A02F83" w:rsidRDefault="00A02F83" w:rsidP="00A02F83">
      <w:pPr>
        <w:pStyle w:val="Sinespaciado"/>
        <w:jc w:val="both"/>
        <w:rPr>
          <w:rFonts w:ascii="Times New Roman" w:hAnsi="Times New Roman" w:cs="Times New Roman"/>
        </w:rPr>
      </w:pPr>
    </w:p>
    <w:p w14:paraId="1EA09CA3" w14:textId="77777777" w:rsidR="00A02F83" w:rsidRDefault="00A02F83" w:rsidP="00A02F83">
      <w:pPr>
        <w:pStyle w:val="Sinespaciado"/>
        <w:jc w:val="both"/>
        <w:rPr>
          <w:rFonts w:ascii="Times New Roman" w:hAnsi="Times New Roman" w:cs="Times New Roman"/>
        </w:rPr>
      </w:pPr>
      <w:r>
        <w:rPr>
          <w:rFonts w:ascii="Times New Roman" w:hAnsi="Times New Roman" w:cs="Times New Roman"/>
        </w:rPr>
        <w:t xml:space="preserve">Es relevante el caso del Ministerio de Energía y Minas, cuyo presupuesto y nivel de ejecución se ha ido ampliando conforme avanzan los meses y se espera que continúe siendo alto dado que es la entidad que concentra el subsidio a las empresas que distribuyen gas propano y gasolina superior, regular y diésel. </w:t>
      </w:r>
    </w:p>
    <w:p w14:paraId="12A5E139" w14:textId="77777777" w:rsidR="00A02F83" w:rsidRDefault="00A02F83" w:rsidP="00A02F83">
      <w:pPr>
        <w:pStyle w:val="Sinespaciado"/>
        <w:jc w:val="both"/>
        <w:rPr>
          <w:rFonts w:ascii="Times New Roman" w:hAnsi="Times New Roman" w:cs="Times New Roman"/>
        </w:rPr>
      </w:pPr>
    </w:p>
    <w:p w14:paraId="00BE108B" w14:textId="77777777" w:rsidR="00A02F83" w:rsidRPr="00515068" w:rsidRDefault="00A02F83" w:rsidP="00A02F83">
      <w:pPr>
        <w:pStyle w:val="Sinespaciado"/>
        <w:jc w:val="both"/>
        <w:rPr>
          <w:rFonts w:ascii="Times New Roman" w:hAnsi="Times New Roman" w:cs="Times New Roman"/>
          <w:color w:val="FF0000"/>
        </w:rPr>
      </w:pPr>
      <w:r>
        <w:rPr>
          <w:rFonts w:ascii="Times New Roman" w:hAnsi="Times New Roman" w:cs="Times New Roman"/>
        </w:rPr>
        <w:t>Por su parte, el resto de las entidades se encuentran por debajo de la ejecución total, el caso más destacado es el de</w:t>
      </w:r>
      <w:r w:rsidRPr="00393220">
        <w:rPr>
          <w:rFonts w:ascii="Times New Roman" w:hAnsi="Times New Roman" w:cs="Times New Roman"/>
        </w:rPr>
        <w:t xml:space="preserve"> </w:t>
      </w:r>
      <w:r>
        <w:rPr>
          <w:rFonts w:ascii="Times New Roman" w:hAnsi="Times New Roman" w:cs="Times New Roman"/>
        </w:rPr>
        <w:t>Cultura y Deportes (39.9%), Economía (37.3%) y Comunicaciones (30.5%).</w:t>
      </w:r>
      <w:r w:rsidRPr="00515068">
        <w:rPr>
          <w:rFonts w:ascii="Times New Roman" w:hAnsi="Times New Roman" w:cs="Times New Roman"/>
          <w:color w:val="FF0000"/>
        </w:rPr>
        <w:t xml:space="preserve">  </w:t>
      </w:r>
    </w:p>
    <w:p w14:paraId="168D46E4" w14:textId="0A4385E8" w:rsidR="00A02F83" w:rsidRDefault="00A02F83" w:rsidP="00A02F83">
      <w:pPr>
        <w:pStyle w:val="Sinespaciado"/>
        <w:jc w:val="both"/>
        <w:rPr>
          <w:rFonts w:ascii="Times New Roman" w:hAnsi="Times New Roman" w:cs="Times New Roman"/>
          <w:sz w:val="18"/>
        </w:rPr>
      </w:pPr>
    </w:p>
    <w:p w14:paraId="44E55A9E" w14:textId="77777777" w:rsidR="00A02F83" w:rsidRPr="00863E34" w:rsidRDefault="00A02F83" w:rsidP="00A02F83">
      <w:pPr>
        <w:spacing w:after="0" w:line="240" w:lineRule="auto"/>
        <w:jc w:val="center"/>
        <w:rPr>
          <w:rFonts w:ascii="Times New Roman" w:hAnsi="Times New Roman" w:cs="Times New Roman"/>
          <w:b/>
          <w:sz w:val="24"/>
          <w:lang w:val="es-MX"/>
        </w:rPr>
      </w:pPr>
      <w:r w:rsidRPr="00863E34">
        <w:rPr>
          <w:rFonts w:ascii="Times New Roman" w:hAnsi="Times New Roman" w:cs="Times New Roman"/>
          <w:b/>
          <w:sz w:val="24"/>
          <w:lang w:val="es-MX"/>
        </w:rPr>
        <w:t>Grado de Ejecución por Entidad</w:t>
      </w:r>
    </w:p>
    <w:p w14:paraId="2DD230CF" w14:textId="77777777" w:rsidR="00A02F83" w:rsidRPr="00863E34" w:rsidRDefault="00A02F83" w:rsidP="00A02F83">
      <w:pPr>
        <w:spacing w:after="0" w:line="240" w:lineRule="auto"/>
        <w:jc w:val="center"/>
        <w:rPr>
          <w:rFonts w:ascii="Times New Roman" w:hAnsi="Times New Roman" w:cs="Times New Roman"/>
          <w:szCs w:val="18"/>
          <w:lang w:val="es-MX"/>
        </w:rPr>
      </w:pPr>
      <w:r w:rsidRPr="00863E34">
        <w:rPr>
          <w:rFonts w:ascii="Times New Roman" w:hAnsi="Times New Roman" w:cs="Times New Roman"/>
          <w:szCs w:val="18"/>
          <w:lang w:val="es-MX"/>
        </w:rPr>
        <w:t>Al 3</w:t>
      </w:r>
      <w:r>
        <w:rPr>
          <w:rFonts w:ascii="Times New Roman" w:hAnsi="Times New Roman" w:cs="Times New Roman"/>
          <w:szCs w:val="18"/>
          <w:lang w:val="es-MX"/>
        </w:rPr>
        <w:t>1</w:t>
      </w:r>
      <w:r w:rsidRPr="00863E34">
        <w:rPr>
          <w:rFonts w:ascii="Times New Roman" w:hAnsi="Times New Roman" w:cs="Times New Roman"/>
          <w:szCs w:val="18"/>
          <w:lang w:val="es-MX"/>
        </w:rPr>
        <w:t xml:space="preserve"> de </w:t>
      </w:r>
      <w:r>
        <w:rPr>
          <w:rFonts w:ascii="Times New Roman" w:hAnsi="Times New Roman" w:cs="Times New Roman"/>
          <w:szCs w:val="18"/>
          <w:lang w:val="es-MX"/>
        </w:rPr>
        <w:t>julio</w:t>
      </w:r>
      <w:r w:rsidRPr="00863E34">
        <w:rPr>
          <w:rFonts w:ascii="Times New Roman" w:hAnsi="Times New Roman" w:cs="Times New Roman"/>
          <w:szCs w:val="18"/>
          <w:lang w:val="es-MX"/>
        </w:rPr>
        <w:t xml:space="preserve"> del 202</w:t>
      </w:r>
      <w:r>
        <w:rPr>
          <w:rFonts w:ascii="Times New Roman" w:hAnsi="Times New Roman" w:cs="Times New Roman"/>
          <w:szCs w:val="18"/>
          <w:lang w:val="es-MX"/>
        </w:rPr>
        <w:t>2</w:t>
      </w:r>
    </w:p>
    <w:p w14:paraId="73A7496A" w14:textId="49029A77" w:rsidR="00A02F83" w:rsidRPr="00863E34" w:rsidRDefault="00A02F83" w:rsidP="00A02F83">
      <w:pPr>
        <w:spacing w:after="0" w:line="240" w:lineRule="auto"/>
        <w:jc w:val="center"/>
        <w:rPr>
          <w:rFonts w:ascii="Times New Roman" w:hAnsi="Times New Roman" w:cs="Times New Roman"/>
          <w:szCs w:val="18"/>
          <w:lang w:val="es-MX"/>
        </w:rPr>
      </w:pPr>
      <w:r w:rsidRPr="00863E34">
        <w:rPr>
          <w:noProof/>
          <w:lang w:eastAsia="es-GT"/>
        </w:rPr>
        <w:drawing>
          <wp:anchor distT="0" distB="0" distL="114300" distR="114300" simplePos="0" relativeHeight="251843584" behindDoc="0" locked="0" layoutInCell="1" allowOverlap="1" wp14:anchorId="1AA3DCFF" wp14:editId="5C720D98">
            <wp:simplePos x="0" y="0"/>
            <wp:positionH relativeFrom="column">
              <wp:posOffset>-3810</wp:posOffset>
            </wp:positionH>
            <wp:positionV relativeFrom="paragraph">
              <wp:posOffset>159385</wp:posOffset>
            </wp:positionV>
            <wp:extent cx="2581275" cy="3171825"/>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863E34">
        <w:rPr>
          <w:rFonts w:ascii="Times New Roman" w:hAnsi="Times New Roman" w:cs="Times New Roman"/>
          <w:szCs w:val="18"/>
          <w:lang w:val="es-MX"/>
        </w:rPr>
        <w:t>En porcentajes</w:t>
      </w:r>
    </w:p>
    <w:p w14:paraId="73B86E00" w14:textId="33CFE14A" w:rsidR="00A02F83" w:rsidRPr="00863E34" w:rsidRDefault="00A02F83" w:rsidP="00A02F83">
      <w:pPr>
        <w:spacing w:after="0" w:line="240" w:lineRule="auto"/>
        <w:jc w:val="center"/>
        <w:rPr>
          <w:rFonts w:ascii="Times New Roman" w:hAnsi="Times New Roman" w:cs="Times New Roman"/>
          <w:szCs w:val="18"/>
          <w:lang w:val="es-MX"/>
        </w:rPr>
      </w:pPr>
    </w:p>
    <w:p w14:paraId="0560F801" w14:textId="77777777" w:rsidR="00A02F83" w:rsidRPr="00863E34" w:rsidRDefault="00A02F83" w:rsidP="00A02F83">
      <w:pPr>
        <w:spacing w:after="0" w:line="240" w:lineRule="auto"/>
        <w:jc w:val="center"/>
        <w:rPr>
          <w:rFonts w:ascii="Times New Roman" w:hAnsi="Times New Roman" w:cs="Times New Roman"/>
          <w:szCs w:val="18"/>
          <w:lang w:val="es-MX"/>
        </w:rPr>
      </w:pPr>
    </w:p>
    <w:p w14:paraId="7416F788" w14:textId="77777777" w:rsidR="00A02F83" w:rsidRPr="00863E34" w:rsidRDefault="00A02F83" w:rsidP="00A02F83">
      <w:pPr>
        <w:spacing w:after="0" w:line="240" w:lineRule="auto"/>
        <w:jc w:val="center"/>
        <w:rPr>
          <w:rFonts w:ascii="Times New Roman" w:hAnsi="Times New Roman" w:cs="Times New Roman"/>
          <w:szCs w:val="18"/>
          <w:lang w:val="es-MX"/>
        </w:rPr>
      </w:pPr>
    </w:p>
    <w:p w14:paraId="30230CF3" w14:textId="77777777" w:rsidR="00A02F83" w:rsidRPr="00863E34" w:rsidRDefault="00A02F83" w:rsidP="00A02F83">
      <w:pPr>
        <w:spacing w:after="0" w:line="240" w:lineRule="auto"/>
        <w:jc w:val="center"/>
        <w:rPr>
          <w:rFonts w:ascii="Times New Roman" w:hAnsi="Times New Roman" w:cs="Times New Roman"/>
          <w:szCs w:val="18"/>
          <w:lang w:val="es-MX"/>
        </w:rPr>
      </w:pPr>
    </w:p>
    <w:p w14:paraId="4BB49986" w14:textId="77777777" w:rsidR="00A02F83" w:rsidRPr="00863E34" w:rsidRDefault="00A02F83" w:rsidP="00A02F83">
      <w:pPr>
        <w:spacing w:after="0" w:line="240" w:lineRule="auto"/>
        <w:jc w:val="center"/>
        <w:rPr>
          <w:rFonts w:ascii="Times New Roman" w:hAnsi="Times New Roman" w:cs="Times New Roman"/>
          <w:szCs w:val="18"/>
          <w:lang w:val="es-MX"/>
        </w:rPr>
      </w:pPr>
    </w:p>
    <w:p w14:paraId="6A727BF3" w14:textId="77777777" w:rsidR="00A02F83" w:rsidRPr="00863E34" w:rsidRDefault="00A02F83" w:rsidP="00A02F83">
      <w:pPr>
        <w:spacing w:after="0" w:line="240" w:lineRule="auto"/>
        <w:jc w:val="center"/>
        <w:rPr>
          <w:rFonts w:ascii="Times New Roman" w:hAnsi="Times New Roman" w:cs="Times New Roman"/>
          <w:szCs w:val="18"/>
          <w:lang w:val="es-MX"/>
        </w:rPr>
      </w:pPr>
    </w:p>
    <w:p w14:paraId="450A040D" w14:textId="77777777" w:rsidR="00A02F83" w:rsidRPr="00863E34" w:rsidRDefault="00A02F83" w:rsidP="00A02F83">
      <w:pPr>
        <w:spacing w:after="0" w:line="240" w:lineRule="auto"/>
        <w:jc w:val="center"/>
        <w:rPr>
          <w:rFonts w:ascii="Times New Roman" w:hAnsi="Times New Roman" w:cs="Times New Roman"/>
          <w:szCs w:val="18"/>
          <w:lang w:val="es-MX"/>
        </w:rPr>
      </w:pPr>
    </w:p>
    <w:p w14:paraId="2C4A3A58" w14:textId="77777777" w:rsidR="00A02F83" w:rsidRPr="00863E34" w:rsidRDefault="00A02F83" w:rsidP="00A02F83">
      <w:pPr>
        <w:spacing w:after="0" w:line="240" w:lineRule="auto"/>
        <w:jc w:val="center"/>
        <w:rPr>
          <w:rFonts w:ascii="Times New Roman" w:hAnsi="Times New Roman" w:cs="Times New Roman"/>
          <w:szCs w:val="18"/>
          <w:lang w:val="es-MX"/>
        </w:rPr>
      </w:pPr>
    </w:p>
    <w:p w14:paraId="36AD10B8" w14:textId="77777777" w:rsidR="00A02F83" w:rsidRPr="00863E34" w:rsidRDefault="00A02F83" w:rsidP="00A02F83">
      <w:pPr>
        <w:spacing w:after="0" w:line="240" w:lineRule="auto"/>
        <w:jc w:val="center"/>
        <w:rPr>
          <w:rFonts w:ascii="Times New Roman" w:hAnsi="Times New Roman" w:cs="Times New Roman"/>
          <w:szCs w:val="18"/>
          <w:lang w:val="es-MX"/>
        </w:rPr>
      </w:pPr>
    </w:p>
    <w:p w14:paraId="28673903" w14:textId="77777777" w:rsidR="00A02F83" w:rsidRPr="00863E34" w:rsidRDefault="00A02F83" w:rsidP="00A02F83">
      <w:pPr>
        <w:spacing w:after="0" w:line="240" w:lineRule="auto"/>
        <w:jc w:val="center"/>
        <w:rPr>
          <w:rFonts w:ascii="Times New Roman" w:hAnsi="Times New Roman" w:cs="Times New Roman"/>
          <w:szCs w:val="18"/>
          <w:lang w:val="es-MX"/>
        </w:rPr>
      </w:pPr>
    </w:p>
    <w:p w14:paraId="1B02FD96" w14:textId="77777777" w:rsidR="00A02F83" w:rsidRPr="00863E34" w:rsidRDefault="00A02F83" w:rsidP="00A02F83">
      <w:pPr>
        <w:spacing w:after="0" w:line="240" w:lineRule="auto"/>
        <w:jc w:val="center"/>
        <w:rPr>
          <w:rFonts w:ascii="Times New Roman" w:hAnsi="Times New Roman" w:cs="Times New Roman"/>
          <w:szCs w:val="18"/>
          <w:lang w:val="es-MX"/>
        </w:rPr>
      </w:pPr>
    </w:p>
    <w:p w14:paraId="5CC720A2" w14:textId="77777777" w:rsidR="00A02F83" w:rsidRPr="00863E34" w:rsidRDefault="00A02F83" w:rsidP="00A02F83">
      <w:pPr>
        <w:spacing w:after="0" w:line="240" w:lineRule="auto"/>
        <w:jc w:val="center"/>
        <w:rPr>
          <w:rFonts w:ascii="Times New Roman" w:hAnsi="Times New Roman" w:cs="Times New Roman"/>
          <w:szCs w:val="18"/>
          <w:lang w:val="es-MX"/>
        </w:rPr>
      </w:pPr>
    </w:p>
    <w:p w14:paraId="5E3BC915" w14:textId="77777777" w:rsidR="00A02F83" w:rsidRPr="00863E34" w:rsidRDefault="00A02F83" w:rsidP="00A02F83">
      <w:pPr>
        <w:spacing w:after="0" w:line="240" w:lineRule="auto"/>
        <w:jc w:val="center"/>
        <w:rPr>
          <w:rFonts w:ascii="Times New Roman" w:hAnsi="Times New Roman" w:cs="Times New Roman"/>
          <w:szCs w:val="18"/>
          <w:lang w:val="es-MX"/>
        </w:rPr>
      </w:pPr>
    </w:p>
    <w:p w14:paraId="369E097D" w14:textId="77777777" w:rsidR="00A02F83" w:rsidRPr="00863E34" w:rsidRDefault="00A02F83" w:rsidP="00A02F83">
      <w:pPr>
        <w:spacing w:after="0" w:line="240" w:lineRule="auto"/>
        <w:jc w:val="center"/>
        <w:rPr>
          <w:rFonts w:ascii="Times New Roman" w:hAnsi="Times New Roman" w:cs="Times New Roman"/>
          <w:szCs w:val="18"/>
          <w:lang w:val="es-MX"/>
        </w:rPr>
      </w:pPr>
    </w:p>
    <w:p w14:paraId="67DED899" w14:textId="77777777" w:rsidR="00A02F83" w:rsidRPr="00863E34" w:rsidRDefault="00A02F83" w:rsidP="00A02F83">
      <w:pPr>
        <w:spacing w:after="0" w:line="240" w:lineRule="auto"/>
        <w:jc w:val="center"/>
        <w:rPr>
          <w:rFonts w:ascii="Times New Roman" w:hAnsi="Times New Roman" w:cs="Times New Roman"/>
          <w:szCs w:val="18"/>
          <w:lang w:val="es-MX"/>
        </w:rPr>
      </w:pPr>
    </w:p>
    <w:p w14:paraId="6B285DC4" w14:textId="77777777" w:rsidR="00A02F83" w:rsidRPr="00863E34" w:rsidRDefault="00A02F83" w:rsidP="00A02F83">
      <w:pPr>
        <w:spacing w:after="0" w:line="240" w:lineRule="auto"/>
        <w:jc w:val="center"/>
        <w:rPr>
          <w:rFonts w:ascii="Times New Roman" w:hAnsi="Times New Roman" w:cs="Times New Roman"/>
          <w:szCs w:val="18"/>
          <w:lang w:val="es-MX"/>
        </w:rPr>
      </w:pPr>
    </w:p>
    <w:p w14:paraId="06A20F88" w14:textId="77777777" w:rsidR="00A02F83" w:rsidRPr="00863E34" w:rsidRDefault="00A02F83" w:rsidP="00A02F83">
      <w:pPr>
        <w:spacing w:after="0" w:line="240" w:lineRule="auto"/>
        <w:jc w:val="center"/>
        <w:rPr>
          <w:rFonts w:ascii="Times New Roman" w:hAnsi="Times New Roman" w:cs="Times New Roman"/>
          <w:szCs w:val="18"/>
          <w:lang w:val="es-MX"/>
        </w:rPr>
      </w:pPr>
    </w:p>
    <w:p w14:paraId="123A9A78" w14:textId="77777777" w:rsidR="00A02F83" w:rsidRPr="00863E34" w:rsidRDefault="00A02F83" w:rsidP="00A02F83">
      <w:pPr>
        <w:spacing w:after="0" w:line="240" w:lineRule="auto"/>
        <w:jc w:val="both"/>
        <w:rPr>
          <w:rFonts w:ascii="Times New Roman" w:hAnsi="Times New Roman" w:cs="Times New Roman"/>
          <w:sz w:val="16"/>
          <w:szCs w:val="16"/>
        </w:rPr>
      </w:pPr>
    </w:p>
    <w:p w14:paraId="184270A3" w14:textId="77777777" w:rsidR="00A02F83" w:rsidRDefault="00A02F83" w:rsidP="00A02F83">
      <w:pPr>
        <w:spacing w:after="0" w:line="240" w:lineRule="auto"/>
        <w:jc w:val="both"/>
        <w:rPr>
          <w:rFonts w:ascii="Times New Roman" w:hAnsi="Times New Roman" w:cs="Times New Roman"/>
          <w:sz w:val="16"/>
          <w:szCs w:val="16"/>
        </w:rPr>
      </w:pPr>
    </w:p>
    <w:p w14:paraId="1F1F592E" w14:textId="2175FC4B" w:rsidR="00A02F83" w:rsidRDefault="00A02F83" w:rsidP="00A02F83">
      <w:pPr>
        <w:spacing w:after="0" w:line="240" w:lineRule="auto"/>
        <w:jc w:val="both"/>
        <w:rPr>
          <w:rFonts w:ascii="Times New Roman" w:hAnsi="Times New Roman" w:cs="Times New Roman"/>
          <w:sz w:val="16"/>
          <w:szCs w:val="16"/>
        </w:rPr>
      </w:pPr>
    </w:p>
    <w:p w14:paraId="465C9EF7" w14:textId="77777777" w:rsidR="00A02F83" w:rsidRDefault="00A02F83" w:rsidP="00A02F83">
      <w:pPr>
        <w:spacing w:after="0" w:line="240" w:lineRule="auto"/>
        <w:jc w:val="both"/>
        <w:rPr>
          <w:rFonts w:ascii="Times New Roman" w:hAnsi="Times New Roman" w:cs="Times New Roman"/>
          <w:sz w:val="16"/>
          <w:szCs w:val="16"/>
        </w:rPr>
      </w:pPr>
    </w:p>
    <w:p w14:paraId="6D449AB3" w14:textId="62137293" w:rsidR="00A02F83" w:rsidRPr="00863E34" w:rsidRDefault="00A02F83" w:rsidP="00A02F83">
      <w:pPr>
        <w:spacing w:after="0" w:line="240" w:lineRule="auto"/>
        <w:jc w:val="both"/>
        <w:rPr>
          <w:rFonts w:ascii="Times New Roman" w:hAnsi="Times New Roman" w:cs="Times New Roman"/>
          <w:sz w:val="16"/>
          <w:szCs w:val="16"/>
        </w:rPr>
      </w:pPr>
      <w:r w:rsidRPr="00863E34">
        <w:rPr>
          <w:rFonts w:ascii="Times New Roman" w:hAnsi="Times New Roman" w:cs="Times New Roman"/>
          <w:sz w:val="16"/>
          <w:szCs w:val="16"/>
        </w:rPr>
        <w:t>Fuente: Dirección de Análisis y Política Fiscal.</w:t>
      </w:r>
    </w:p>
    <w:p w14:paraId="7BEFAC33" w14:textId="77777777" w:rsidR="00A02F83" w:rsidRPr="00515068" w:rsidRDefault="00A02F83" w:rsidP="00A02F83">
      <w:pPr>
        <w:pStyle w:val="Sinespaciado"/>
        <w:jc w:val="both"/>
        <w:rPr>
          <w:rFonts w:ascii="Times New Roman" w:hAnsi="Times New Roman" w:cs="Times New Roman"/>
          <w:color w:val="FF0000"/>
          <w:lang w:val="es-MX"/>
        </w:rPr>
      </w:pPr>
    </w:p>
    <w:p w14:paraId="34AE2560" w14:textId="77777777" w:rsidR="00A02F83" w:rsidRDefault="00A02F83" w:rsidP="00A02F83">
      <w:pPr>
        <w:pStyle w:val="Sinespaciado"/>
        <w:jc w:val="both"/>
        <w:rPr>
          <w:rFonts w:ascii="Times New Roman" w:hAnsi="Times New Roman" w:cs="Times New Roman"/>
          <w:lang w:val="es-MX"/>
        </w:rPr>
      </w:pPr>
      <w:r>
        <w:rPr>
          <w:rFonts w:ascii="Times New Roman" w:hAnsi="Times New Roman" w:cs="Times New Roman"/>
          <w:lang w:val="es-MX"/>
        </w:rPr>
        <w:t xml:space="preserve">En lo que respecta al Ministerio de Comunicaciones, Infraestructura y Vivienda, </w:t>
      </w:r>
      <w:r>
        <w:rPr>
          <w:rFonts w:ascii="Times New Roman" w:hAnsi="Times New Roman" w:cs="Times New Roman"/>
          <w:lang w:val="es-MX"/>
        </w:rPr>
        <w:lastRenderedPageBreak/>
        <w:t xml:space="preserve">su bajo grado de ejecución se debe a que su presupuesto tuvo un aumento significativo correspondiente al </w:t>
      </w:r>
      <w:r w:rsidRPr="00393220">
        <w:rPr>
          <w:rFonts w:ascii="Times New Roman" w:hAnsi="Times New Roman" w:cs="Times New Roman"/>
          <w:lang w:val="es-MX"/>
        </w:rPr>
        <w:t>Decreto 21-2022 “Ley para fortalecer el Mantenimiento y Construcción de Infraestructura Estratégica”</w:t>
      </w:r>
      <w:r>
        <w:rPr>
          <w:rFonts w:ascii="Times New Roman" w:hAnsi="Times New Roman" w:cs="Times New Roman"/>
          <w:lang w:val="es-MX"/>
        </w:rPr>
        <w:t>, el cual aún no reporta ejecución. En los próximos meses, a medida que se dinamice la ejecución de los recursos, se esperaría un incremento en el rubro de la inversión real directa y el nivel de ejecución de este Ministerio.</w:t>
      </w:r>
    </w:p>
    <w:p w14:paraId="17DCAFAA" w14:textId="77777777" w:rsidR="00A02F83" w:rsidRDefault="00A02F83" w:rsidP="00A02F83">
      <w:pPr>
        <w:pStyle w:val="Sinespaciado"/>
        <w:jc w:val="both"/>
        <w:rPr>
          <w:rFonts w:ascii="Times New Roman" w:hAnsi="Times New Roman" w:cs="Times New Roman"/>
          <w:lang w:val="es-MX"/>
        </w:rPr>
      </w:pPr>
    </w:p>
    <w:p w14:paraId="44A9CC01" w14:textId="77777777" w:rsidR="00A02F83" w:rsidRDefault="00A02F83" w:rsidP="00A02F83">
      <w:pPr>
        <w:pStyle w:val="Sinespaciado"/>
        <w:jc w:val="both"/>
        <w:rPr>
          <w:rFonts w:ascii="Times New Roman" w:hAnsi="Times New Roman" w:cs="Times New Roman"/>
          <w:lang w:val="es-MX"/>
        </w:rPr>
      </w:pPr>
      <w:r>
        <w:rPr>
          <w:rFonts w:ascii="Times New Roman" w:hAnsi="Times New Roman" w:cs="Times New Roman"/>
          <w:lang w:val="es-MX"/>
        </w:rPr>
        <w:t>Un componente importante del gasto es la ejecución del gasto social, este reporta un desempeño dinámico respecto a julio del año previo, con un crecimiento interanual de 13.5%, equivalente a Q3,417.2 millones. A excepción del sector Vivienda, el resto de los sectores del gasto social se encuentran creciendo en términos interanuales.</w:t>
      </w:r>
    </w:p>
    <w:p w14:paraId="41042724" w14:textId="77777777" w:rsidR="00A02F83" w:rsidRDefault="00A02F83" w:rsidP="00A02F83">
      <w:pPr>
        <w:pStyle w:val="Sinespaciado"/>
        <w:jc w:val="both"/>
        <w:rPr>
          <w:rFonts w:ascii="Times New Roman" w:hAnsi="Times New Roman" w:cs="Times New Roman"/>
          <w:lang w:val="es-MX"/>
        </w:rPr>
      </w:pPr>
    </w:p>
    <w:p w14:paraId="575E75AE" w14:textId="77777777" w:rsidR="00A02F83" w:rsidRPr="00737678" w:rsidRDefault="00A02F83" w:rsidP="00A02F83">
      <w:pPr>
        <w:pStyle w:val="Sinespaciado"/>
        <w:jc w:val="both"/>
        <w:rPr>
          <w:rFonts w:ascii="Times New Roman" w:hAnsi="Times New Roman" w:cs="Times New Roman"/>
          <w:lang w:val="es-MX"/>
        </w:rPr>
      </w:pPr>
      <w:r>
        <w:rPr>
          <w:rFonts w:ascii="Times New Roman" w:hAnsi="Times New Roman" w:cs="Times New Roman"/>
          <w:lang w:val="es-MX"/>
        </w:rPr>
        <w:t>Resalta el</w:t>
      </w:r>
      <w:r w:rsidRPr="00737678">
        <w:t xml:space="preserve"> </w:t>
      </w:r>
      <w:r w:rsidRPr="00737678">
        <w:rPr>
          <w:rFonts w:ascii="Times New Roman" w:hAnsi="Times New Roman" w:cs="Times New Roman"/>
          <w:lang w:val="es-MX"/>
        </w:rPr>
        <w:t xml:space="preserve">sector </w:t>
      </w:r>
      <w:r>
        <w:rPr>
          <w:rFonts w:ascii="Times New Roman" w:hAnsi="Times New Roman" w:cs="Times New Roman"/>
          <w:lang w:val="es-MX"/>
        </w:rPr>
        <w:t>de Salud y Asistencia Social</w:t>
      </w:r>
      <w:r w:rsidRPr="00737678">
        <w:rPr>
          <w:rFonts w:ascii="Times New Roman" w:hAnsi="Times New Roman" w:cs="Times New Roman"/>
          <w:lang w:val="es-MX"/>
        </w:rPr>
        <w:t xml:space="preserve"> </w:t>
      </w:r>
      <w:r>
        <w:rPr>
          <w:rFonts w:ascii="Times New Roman" w:hAnsi="Times New Roman" w:cs="Times New Roman"/>
          <w:lang w:val="es-MX"/>
        </w:rPr>
        <w:t>con</w:t>
      </w:r>
      <w:r w:rsidRPr="00737678">
        <w:rPr>
          <w:rFonts w:ascii="Times New Roman" w:hAnsi="Times New Roman" w:cs="Times New Roman"/>
          <w:lang w:val="es-MX"/>
        </w:rPr>
        <w:t xml:space="preserve"> un crecimiento de </w:t>
      </w:r>
      <w:r>
        <w:rPr>
          <w:rFonts w:ascii="Times New Roman" w:hAnsi="Times New Roman" w:cs="Times New Roman"/>
          <w:lang w:val="es-MX"/>
        </w:rPr>
        <w:t>14</w:t>
      </w:r>
      <w:r w:rsidRPr="00737678">
        <w:rPr>
          <w:rFonts w:ascii="Times New Roman" w:hAnsi="Times New Roman" w:cs="Times New Roman"/>
          <w:lang w:val="es-MX"/>
        </w:rPr>
        <w:t>.</w:t>
      </w:r>
      <w:r>
        <w:rPr>
          <w:rFonts w:ascii="Times New Roman" w:hAnsi="Times New Roman" w:cs="Times New Roman"/>
          <w:lang w:val="es-MX"/>
        </w:rPr>
        <w:t>7</w:t>
      </w:r>
      <w:r w:rsidRPr="00737678">
        <w:rPr>
          <w:rFonts w:ascii="Times New Roman" w:hAnsi="Times New Roman" w:cs="Times New Roman"/>
          <w:lang w:val="es-MX"/>
        </w:rPr>
        <w:t>%, equivalente a Q</w:t>
      </w:r>
      <w:r>
        <w:rPr>
          <w:rFonts w:ascii="Times New Roman" w:hAnsi="Times New Roman" w:cs="Times New Roman"/>
          <w:lang w:val="es-MX"/>
        </w:rPr>
        <w:t xml:space="preserve">1,036.2 millones y Educación, Ciencia y </w:t>
      </w:r>
      <w:r>
        <w:rPr>
          <w:rFonts w:ascii="Times New Roman" w:hAnsi="Times New Roman" w:cs="Times New Roman"/>
          <w:lang w:val="es-MX"/>
        </w:rPr>
        <w:t xml:space="preserve">Cultura con un crecimiento de 14.2% equivalente a Q1,778.3 millones. </w:t>
      </w:r>
    </w:p>
    <w:p w14:paraId="5DD579BD" w14:textId="77777777" w:rsidR="00A02F83" w:rsidRDefault="00A02F83" w:rsidP="00A02F83">
      <w:pPr>
        <w:pStyle w:val="Sinespaciado"/>
        <w:jc w:val="both"/>
        <w:rPr>
          <w:rFonts w:ascii="Times New Roman" w:hAnsi="Times New Roman" w:cs="Times New Roman"/>
          <w:lang w:val="es-MX"/>
        </w:rPr>
      </w:pPr>
    </w:p>
    <w:p w14:paraId="49016FF3" w14:textId="5517796A" w:rsidR="00A02F83" w:rsidRDefault="00A02F83" w:rsidP="00A02F83">
      <w:pPr>
        <w:pStyle w:val="Sinespaciado"/>
        <w:jc w:val="both"/>
        <w:rPr>
          <w:rFonts w:ascii="Times New Roman" w:hAnsi="Times New Roman" w:cs="Times New Roman"/>
          <w:color w:val="FF0000"/>
          <w:lang w:val="es-MX"/>
        </w:rPr>
      </w:pPr>
      <w:r>
        <w:rPr>
          <w:rFonts w:ascii="Times New Roman" w:hAnsi="Times New Roman" w:cs="Times New Roman"/>
          <w:lang w:val="es-MX"/>
        </w:rPr>
        <w:t>Por su parte, el aporte que se le entrega al Ministerio Público, se encuentra creciendo en 56.8%, equivalente a Q553.0 millones, derivado que el presupuesto de dicha entidad creció de forma importante para el ejercicio 2022. Mientras que las transferencias a las entidades de justicia, están creciendo en 6.7%, equivalente a Q95.1 millones, siendo el aporte al OJ y CC</w:t>
      </w:r>
      <w:r w:rsidRPr="0024077F">
        <w:rPr>
          <w:rFonts w:ascii="Times New Roman" w:hAnsi="Times New Roman" w:cs="Times New Roman"/>
          <w:lang w:val="es-MX"/>
        </w:rPr>
        <w:t>.</w:t>
      </w:r>
    </w:p>
    <w:p w14:paraId="0099C49C" w14:textId="77777777" w:rsidR="00CE5240" w:rsidRPr="00CE5240" w:rsidRDefault="00CE5240" w:rsidP="00A02F83">
      <w:pPr>
        <w:pStyle w:val="Sinespaciado"/>
        <w:jc w:val="both"/>
        <w:rPr>
          <w:rFonts w:ascii="Times New Roman" w:hAnsi="Times New Roman" w:cs="Times New Roman"/>
          <w:color w:val="FF0000"/>
          <w:sz w:val="14"/>
          <w:lang w:val="es-MX"/>
        </w:rPr>
      </w:pPr>
    </w:p>
    <w:p w14:paraId="4746EDD7" w14:textId="77777777" w:rsidR="00A02F83" w:rsidRPr="00863E34" w:rsidRDefault="00A02F83" w:rsidP="00A02F83">
      <w:pPr>
        <w:pStyle w:val="Sinespaciado"/>
        <w:jc w:val="center"/>
        <w:rPr>
          <w:rFonts w:ascii="Times New Roman" w:hAnsi="Times New Roman" w:cs="Times New Roman"/>
          <w:b/>
          <w:sz w:val="23"/>
          <w:szCs w:val="23"/>
          <w:lang w:val="es-MX"/>
        </w:rPr>
      </w:pPr>
      <w:r w:rsidRPr="00863E34">
        <w:rPr>
          <w:rFonts w:ascii="Times New Roman" w:hAnsi="Times New Roman" w:cs="Times New Roman"/>
          <w:b/>
          <w:sz w:val="23"/>
          <w:szCs w:val="23"/>
          <w:lang w:val="es-MX"/>
        </w:rPr>
        <w:t>Ejecución y crecimiento del Gasto Social</w:t>
      </w:r>
    </w:p>
    <w:p w14:paraId="071F1E96" w14:textId="77777777" w:rsidR="00A02F83" w:rsidRPr="00863E34" w:rsidRDefault="00A02F83" w:rsidP="00A02F83">
      <w:pPr>
        <w:pStyle w:val="Sinespaciado"/>
        <w:jc w:val="center"/>
        <w:rPr>
          <w:rFonts w:ascii="Times New Roman" w:hAnsi="Times New Roman" w:cs="Times New Roman"/>
          <w:sz w:val="20"/>
          <w:szCs w:val="18"/>
          <w:lang w:val="es-MX"/>
        </w:rPr>
      </w:pPr>
      <w:r w:rsidRPr="00863E34">
        <w:rPr>
          <w:rFonts w:ascii="Times New Roman" w:hAnsi="Times New Roman" w:cs="Times New Roman"/>
          <w:sz w:val="20"/>
          <w:szCs w:val="18"/>
          <w:lang w:val="es-MX"/>
        </w:rPr>
        <w:t>Al 3</w:t>
      </w:r>
      <w:r>
        <w:rPr>
          <w:rFonts w:ascii="Times New Roman" w:hAnsi="Times New Roman" w:cs="Times New Roman"/>
          <w:sz w:val="20"/>
          <w:szCs w:val="18"/>
          <w:lang w:val="es-MX"/>
        </w:rPr>
        <w:t>1</w:t>
      </w:r>
      <w:r w:rsidRPr="00863E34">
        <w:rPr>
          <w:rFonts w:ascii="Times New Roman" w:hAnsi="Times New Roman" w:cs="Times New Roman"/>
          <w:sz w:val="20"/>
          <w:szCs w:val="18"/>
          <w:lang w:val="es-MX"/>
        </w:rPr>
        <w:t xml:space="preserve"> de </w:t>
      </w:r>
      <w:r>
        <w:rPr>
          <w:rFonts w:ascii="Times New Roman" w:hAnsi="Times New Roman" w:cs="Times New Roman"/>
          <w:sz w:val="20"/>
          <w:szCs w:val="18"/>
          <w:lang w:val="es-MX"/>
        </w:rPr>
        <w:t>juli</w:t>
      </w:r>
      <w:r w:rsidRPr="00863E34">
        <w:rPr>
          <w:rFonts w:ascii="Times New Roman" w:hAnsi="Times New Roman" w:cs="Times New Roman"/>
          <w:sz w:val="20"/>
          <w:szCs w:val="18"/>
          <w:lang w:val="es-MX"/>
        </w:rPr>
        <w:t>o 2022</w:t>
      </w:r>
    </w:p>
    <w:p w14:paraId="4FE50CED" w14:textId="77777777" w:rsidR="00A02F83" w:rsidRDefault="00A02F83" w:rsidP="00A02F83">
      <w:pPr>
        <w:pStyle w:val="Sinespaciado"/>
        <w:jc w:val="center"/>
        <w:rPr>
          <w:rFonts w:ascii="Times New Roman" w:hAnsi="Times New Roman" w:cs="Times New Roman"/>
          <w:sz w:val="20"/>
          <w:szCs w:val="18"/>
          <w:lang w:val="es-MX"/>
        </w:rPr>
      </w:pPr>
      <w:r w:rsidRPr="00863E34">
        <w:rPr>
          <w:sz w:val="24"/>
        </w:rPr>
        <w:t xml:space="preserve"> </w:t>
      </w:r>
      <w:r w:rsidRPr="00863E34">
        <w:rPr>
          <w:rFonts w:ascii="Times New Roman" w:hAnsi="Times New Roman" w:cs="Times New Roman"/>
          <w:sz w:val="20"/>
          <w:szCs w:val="18"/>
          <w:lang w:val="es-MX"/>
        </w:rPr>
        <w:t>Cifras en porcentajes y en millones de quetzales</w:t>
      </w:r>
    </w:p>
    <w:p w14:paraId="212DAEED" w14:textId="77777777" w:rsidR="00A02F83" w:rsidRDefault="00A02F83" w:rsidP="00A02F83">
      <w:pPr>
        <w:pStyle w:val="Sinespaciado"/>
        <w:jc w:val="center"/>
        <w:rPr>
          <w:rFonts w:ascii="Times New Roman" w:hAnsi="Times New Roman" w:cs="Times New Roman"/>
          <w:sz w:val="20"/>
          <w:szCs w:val="18"/>
          <w:lang w:val="es-MX"/>
        </w:rPr>
      </w:pPr>
      <w:r w:rsidRPr="00E768B4">
        <w:rPr>
          <w:noProof/>
          <w:lang w:eastAsia="es-GT"/>
        </w:rPr>
        <w:drawing>
          <wp:inline distT="0" distB="0" distL="0" distR="0" wp14:anchorId="0A2B5721" wp14:editId="11974D13">
            <wp:extent cx="2676525" cy="127933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3400" cy="1287399"/>
                    </a:xfrm>
                    <a:prstGeom prst="rect">
                      <a:avLst/>
                    </a:prstGeom>
                    <a:noFill/>
                    <a:ln>
                      <a:noFill/>
                    </a:ln>
                  </pic:spPr>
                </pic:pic>
              </a:graphicData>
            </a:graphic>
          </wp:inline>
        </w:drawing>
      </w:r>
    </w:p>
    <w:p w14:paraId="709C70DE" w14:textId="5ADC81AA" w:rsidR="00A02F83" w:rsidRPr="00863E34" w:rsidRDefault="00A02F83" w:rsidP="00A02F83">
      <w:pPr>
        <w:pStyle w:val="Sinespaciado"/>
        <w:rPr>
          <w:rFonts w:ascii="Times New Roman" w:hAnsi="Times New Roman" w:cs="Times New Roman"/>
          <w:sz w:val="16"/>
          <w:szCs w:val="16"/>
        </w:rPr>
        <w:sectPr w:rsidR="00A02F83" w:rsidRPr="00863E34" w:rsidSect="00F23E3F">
          <w:type w:val="continuous"/>
          <w:pgSz w:w="12240" w:h="15840"/>
          <w:pgMar w:top="1417" w:right="1701" w:bottom="1417" w:left="1701" w:header="708" w:footer="708" w:gutter="0"/>
          <w:cols w:num="2" w:space="708"/>
          <w:docGrid w:linePitch="360"/>
        </w:sectPr>
      </w:pPr>
      <w:r w:rsidRPr="00863E34">
        <w:rPr>
          <w:rFonts w:ascii="Times New Roman" w:hAnsi="Times New Roman" w:cs="Times New Roman"/>
          <w:sz w:val="16"/>
          <w:szCs w:val="16"/>
        </w:rPr>
        <w:t>Fuente: Direcci</w:t>
      </w:r>
      <w:r>
        <w:rPr>
          <w:rFonts w:ascii="Times New Roman" w:hAnsi="Times New Roman" w:cs="Times New Roman"/>
          <w:sz w:val="16"/>
          <w:szCs w:val="16"/>
        </w:rPr>
        <w:t>ón de Análisis y Política Fiscal</w:t>
      </w:r>
    </w:p>
    <w:p w14:paraId="3DAABFA8" w14:textId="5659EB7A" w:rsidR="0089134E" w:rsidRPr="005334BA" w:rsidRDefault="0089134E" w:rsidP="00E02DD8">
      <w:pPr>
        <w:pStyle w:val="Sinespaciado"/>
        <w:rPr>
          <w:rFonts w:ascii="Times New Roman" w:hAnsi="Times New Roman" w:cs="Times New Roman"/>
          <w:color w:val="FF0000"/>
          <w:sz w:val="12"/>
          <w:szCs w:val="16"/>
        </w:rPr>
        <w:sectPr w:rsidR="0089134E" w:rsidRPr="005334BA" w:rsidSect="00F23E3F">
          <w:type w:val="continuous"/>
          <w:pgSz w:w="12240" w:h="15840"/>
          <w:pgMar w:top="1417" w:right="1701" w:bottom="1417" w:left="1701" w:header="708" w:footer="708" w:gutter="0"/>
          <w:cols w:num="2" w:space="708"/>
          <w:docGrid w:linePitch="360"/>
        </w:sectPr>
      </w:pPr>
    </w:p>
    <w:p w14:paraId="19AA4E07" w14:textId="0BB138E8" w:rsidR="00F23E3F" w:rsidRPr="00907BD2"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907BD2">
        <w:rPr>
          <w:rFonts w:ascii="Times New Roman" w:hAnsi="Times New Roman" w:cs="Times New Roman"/>
          <w:b/>
          <w:color w:val="FFFFFF" w:themeColor="background1"/>
          <w:sz w:val="24"/>
          <w:szCs w:val="24"/>
          <w:lang w:val="es-MX"/>
        </w:rPr>
        <w:t>C</w:t>
      </w:r>
      <w:r w:rsidR="00907BD2" w:rsidRPr="00907BD2">
        <w:rPr>
          <w:rFonts w:ascii="Times New Roman" w:hAnsi="Times New Roman" w:cs="Times New Roman"/>
          <w:b/>
          <w:color w:val="FFFFFF" w:themeColor="background1"/>
          <w:sz w:val="24"/>
          <w:szCs w:val="24"/>
          <w:lang w:val="es-MX"/>
        </w:rPr>
        <w:t>olocación de B</w:t>
      </w:r>
      <w:r w:rsidR="0089134E" w:rsidRPr="00907BD2">
        <w:rPr>
          <w:rFonts w:ascii="Times New Roman" w:hAnsi="Times New Roman" w:cs="Times New Roman"/>
          <w:b/>
          <w:color w:val="FFFFFF" w:themeColor="background1"/>
          <w:sz w:val="24"/>
          <w:szCs w:val="24"/>
          <w:lang w:val="es-MX"/>
        </w:rPr>
        <w:t>ono</w:t>
      </w:r>
      <w:r w:rsidR="00907BD2" w:rsidRPr="00907BD2">
        <w:rPr>
          <w:rFonts w:ascii="Times New Roman" w:hAnsi="Times New Roman" w:cs="Times New Roman"/>
          <w:b/>
          <w:color w:val="FFFFFF" w:themeColor="background1"/>
          <w:sz w:val="24"/>
          <w:szCs w:val="24"/>
          <w:lang w:val="es-MX"/>
        </w:rPr>
        <w:t>s Internos se ralentiza</w:t>
      </w:r>
    </w:p>
    <w:p w14:paraId="35802F58" w14:textId="77777777" w:rsidR="00C76B98" w:rsidRPr="005334BA" w:rsidRDefault="00C76B98" w:rsidP="00E02DD8">
      <w:pPr>
        <w:pStyle w:val="Sinespaciado"/>
        <w:rPr>
          <w:rFonts w:ascii="Times New Roman" w:hAnsi="Times New Roman" w:cs="Times New Roman"/>
          <w:color w:val="FF0000"/>
          <w:sz w:val="18"/>
          <w:szCs w:val="18"/>
          <w:lang w:val="es-MX"/>
        </w:rPr>
      </w:pPr>
    </w:p>
    <w:p w14:paraId="11A523C7" w14:textId="77777777" w:rsidR="00C76B98" w:rsidRPr="005334BA" w:rsidRDefault="00C76B98" w:rsidP="00C76B98">
      <w:pPr>
        <w:spacing w:after="0"/>
        <w:rPr>
          <w:rFonts w:ascii="Times New Roman" w:hAnsi="Times New Roman" w:cs="Times New Roman"/>
          <w:color w:val="FF0000"/>
          <w:sz w:val="14"/>
        </w:rPr>
        <w:sectPr w:rsidR="00C76B98" w:rsidRPr="005334BA" w:rsidSect="00960BE9">
          <w:headerReference w:type="default" r:id="rId33"/>
          <w:footerReference w:type="default" r:id="rId34"/>
          <w:type w:val="continuous"/>
          <w:pgSz w:w="12240" w:h="15840"/>
          <w:pgMar w:top="1417" w:right="1701" w:bottom="1417" w:left="1701" w:header="708" w:footer="708" w:gutter="0"/>
          <w:cols w:space="708"/>
          <w:docGrid w:linePitch="360"/>
        </w:sectPr>
      </w:pPr>
    </w:p>
    <w:p w14:paraId="5D91B292" w14:textId="4C114B4C" w:rsidR="00907BD2" w:rsidRDefault="00907BD2" w:rsidP="00907BD2">
      <w:pPr>
        <w:pStyle w:val="Sinespaciado"/>
        <w:spacing w:after="240"/>
        <w:ind w:right="95"/>
        <w:jc w:val="both"/>
        <w:rPr>
          <w:rFonts w:ascii="Times New Roman" w:hAnsi="Times New Roman" w:cs="Times New Roman"/>
        </w:rPr>
      </w:pPr>
      <w:r>
        <w:rPr>
          <w:rFonts w:ascii="Times New Roman" w:hAnsi="Times New Roman" w:cs="Times New Roman"/>
        </w:rPr>
        <w:t xml:space="preserve">Las colocaciones de bonos del tesoro ascienden a Q6,689.6 millones, de las cuales el 94.8% corresponden a nuevo endeudamiento y 5.2% a roll </w:t>
      </w:r>
      <w:proofErr w:type="spellStart"/>
      <w:r>
        <w:rPr>
          <w:rFonts w:ascii="Times New Roman" w:hAnsi="Times New Roman" w:cs="Times New Roman"/>
        </w:rPr>
        <w:t>over</w:t>
      </w:r>
      <w:proofErr w:type="spellEnd"/>
      <w:r>
        <w:rPr>
          <w:rFonts w:ascii="Times New Roman" w:hAnsi="Times New Roman" w:cs="Times New Roman"/>
        </w:rPr>
        <w:t xml:space="preserve"> o recolocaciones por vencimientos.</w:t>
      </w:r>
    </w:p>
    <w:p w14:paraId="397C6075" w14:textId="77777777" w:rsidR="00907BD2" w:rsidRDefault="00907BD2" w:rsidP="00907BD2">
      <w:pPr>
        <w:pStyle w:val="Sinespaciado"/>
        <w:spacing w:after="240"/>
        <w:ind w:right="95"/>
        <w:jc w:val="both"/>
        <w:rPr>
          <w:rFonts w:ascii="Times New Roman" w:hAnsi="Times New Roman" w:cs="Times New Roman"/>
        </w:rPr>
      </w:pPr>
      <w:r>
        <w:rPr>
          <w:rFonts w:ascii="Times New Roman" w:hAnsi="Times New Roman" w:cs="Times New Roman"/>
        </w:rPr>
        <w:t>Es importante resaltar que la colocación de bonos internos se ralentizó significativamente en julio, esto derivado que la tasa ponderada ha ido en aumento respecto a las colocaciones de años anteriores, presionado por el alza en la tasa líder de política monetaria aplicada por el Banco de Guatemala por las expectativas inflacionarias, asimismo las posturas de los inversionistas han sido a descuento lo cual eleva la tasa de rendimiento.</w:t>
      </w:r>
    </w:p>
    <w:p w14:paraId="738D450A" w14:textId="77777777" w:rsidR="00907BD2" w:rsidRDefault="00907BD2" w:rsidP="00907BD2">
      <w:pPr>
        <w:pStyle w:val="Sinespaciado"/>
        <w:spacing w:after="240"/>
        <w:ind w:right="95"/>
        <w:jc w:val="both"/>
        <w:rPr>
          <w:rFonts w:ascii="Times New Roman" w:hAnsi="Times New Roman" w:cs="Times New Roman"/>
        </w:rPr>
      </w:pPr>
      <w:r>
        <w:rPr>
          <w:rFonts w:ascii="Times New Roman" w:hAnsi="Times New Roman" w:cs="Times New Roman"/>
        </w:rPr>
        <w:t xml:space="preserve">Las autoridades han tomado una postura conservadora ante las propuestas de los inversionistas dado que normalmente se adjudican los títulos a la par e incluso con prima. De existir una ventana de oportunidad con el Eurobono se estaría colocando en el </w:t>
      </w:r>
      <w:r>
        <w:rPr>
          <w:rFonts w:ascii="Times New Roman" w:hAnsi="Times New Roman" w:cs="Times New Roman"/>
        </w:rPr>
        <w:t xml:space="preserve">mercado internacional buscando mejores condiciones financieras. </w:t>
      </w:r>
    </w:p>
    <w:p w14:paraId="0D9E76FD" w14:textId="77777777" w:rsidR="00907BD2" w:rsidRPr="00841A3C" w:rsidRDefault="00907BD2" w:rsidP="00907BD2">
      <w:pPr>
        <w:pStyle w:val="Sinespaciado"/>
        <w:ind w:right="95"/>
        <w:jc w:val="center"/>
        <w:rPr>
          <w:rFonts w:ascii="Times New Roman" w:hAnsi="Times New Roman" w:cs="Times New Roman"/>
          <w:b/>
          <w:sz w:val="23"/>
          <w:szCs w:val="23"/>
          <w:lang w:val="es-MX"/>
        </w:rPr>
      </w:pPr>
      <w:r w:rsidRPr="00841A3C">
        <w:rPr>
          <w:rFonts w:ascii="Times New Roman" w:hAnsi="Times New Roman" w:cs="Times New Roman"/>
          <w:b/>
          <w:sz w:val="23"/>
          <w:szCs w:val="23"/>
          <w:lang w:val="es-MX"/>
        </w:rPr>
        <w:t>Colocación de Bonos del Tesoro</w:t>
      </w:r>
    </w:p>
    <w:p w14:paraId="1347802F" w14:textId="77777777" w:rsidR="00907BD2" w:rsidRPr="00841A3C" w:rsidRDefault="00907BD2" w:rsidP="00907BD2">
      <w:pPr>
        <w:pStyle w:val="Sinespaciado"/>
        <w:jc w:val="center"/>
        <w:rPr>
          <w:rFonts w:ascii="Times New Roman" w:hAnsi="Times New Roman" w:cs="Times New Roman"/>
        </w:rPr>
      </w:pPr>
      <w:r w:rsidRPr="00841A3C">
        <w:rPr>
          <w:noProof/>
          <w:lang w:eastAsia="es-GT"/>
        </w:rPr>
        <w:drawing>
          <wp:anchor distT="0" distB="0" distL="114300" distR="114300" simplePos="0" relativeHeight="251846656" behindDoc="1" locked="0" layoutInCell="1" allowOverlap="1" wp14:anchorId="2E6AB724" wp14:editId="4F009DAB">
            <wp:simplePos x="0" y="0"/>
            <wp:positionH relativeFrom="column">
              <wp:posOffset>-164465</wp:posOffset>
            </wp:positionH>
            <wp:positionV relativeFrom="paragraph">
              <wp:posOffset>165668</wp:posOffset>
            </wp:positionV>
            <wp:extent cx="2733675" cy="1492250"/>
            <wp:effectExtent l="0" t="0" r="0" b="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841A3C">
        <w:rPr>
          <w:rFonts w:ascii="Times New Roman" w:hAnsi="Times New Roman" w:cs="Times New Roman"/>
          <w:sz w:val="20"/>
          <w:szCs w:val="18"/>
          <w:lang w:val="es-MX"/>
        </w:rPr>
        <w:t>Al 3</w:t>
      </w:r>
      <w:r>
        <w:rPr>
          <w:rFonts w:ascii="Times New Roman" w:hAnsi="Times New Roman" w:cs="Times New Roman"/>
          <w:sz w:val="20"/>
          <w:szCs w:val="18"/>
          <w:lang w:val="es-MX"/>
        </w:rPr>
        <w:t>1</w:t>
      </w:r>
      <w:r w:rsidRPr="00841A3C">
        <w:rPr>
          <w:rFonts w:ascii="Times New Roman" w:hAnsi="Times New Roman" w:cs="Times New Roman"/>
          <w:sz w:val="20"/>
          <w:szCs w:val="18"/>
          <w:lang w:val="es-MX"/>
        </w:rPr>
        <w:t xml:space="preserve"> de </w:t>
      </w:r>
      <w:r>
        <w:rPr>
          <w:rFonts w:ascii="Times New Roman" w:hAnsi="Times New Roman" w:cs="Times New Roman"/>
          <w:sz w:val="20"/>
          <w:szCs w:val="18"/>
          <w:lang w:val="es-MX"/>
        </w:rPr>
        <w:t>juli</w:t>
      </w:r>
      <w:r w:rsidRPr="00841A3C">
        <w:rPr>
          <w:rFonts w:ascii="Times New Roman" w:hAnsi="Times New Roman" w:cs="Times New Roman"/>
          <w:sz w:val="20"/>
          <w:szCs w:val="18"/>
          <w:lang w:val="es-MX"/>
        </w:rPr>
        <w:t>o 2022</w:t>
      </w:r>
    </w:p>
    <w:p w14:paraId="390D4E5C" w14:textId="77777777" w:rsidR="00907BD2" w:rsidRPr="00841A3C" w:rsidRDefault="00907BD2" w:rsidP="00907BD2">
      <w:pPr>
        <w:pStyle w:val="Sinespaciado"/>
        <w:jc w:val="both"/>
        <w:rPr>
          <w:rFonts w:ascii="Times New Roman" w:hAnsi="Times New Roman" w:cs="Times New Roman"/>
          <w:sz w:val="16"/>
          <w:szCs w:val="16"/>
        </w:rPr>
      </w:pPr>
      <w:r w:rsidRPr="00841A3C">
        <w:rPr>
          <w:rFonts w:ascii="Times New Roman" w:hAnsi="Times New Roman" w:cs="Times New Roman"/>
          <w:sz w:val="16"/>
          <w:szCs w:val="16"/>
        </w:rPr>
        <w:t>Fuente: Dirección de Análisis y Política Fiscal.</w:t>
      </w:r>
    </w:p>
    <w:p w14:paraId="4E83FD9B" w14:textId="77777777" w:rsidR="00907BD2" w:rsidRPr="00515068" w:rsidRDefault="00907BD2" w:rsidP="00907BD2">
      <w:pPr>
        <w:pStyle w:val="Sinespaciado"/>
        <w:ind w:right="95"/>
        <w:jc w:val="both"/>
        <w:rPr>
          <w:rFonts w:ascii="Times New Roman" w:hAnsi="Times New Roman" w:cs="Times New Roman"/>
          <w:color w:val="FF0000"/>
        </w:rPr>
      </w:pPr>
    </w:p>
    <w:p w14:paraId="1E768BF9" w14:textId="4C1E3816" w:rsidR="00AF407E" w:rsidRDefault="00AF407E" w:rsidP="00907BD2">
      <w:pPr>
        <w:pStyle w:val="Sinespaciado"/>
        <w:ind w:right="95"/>
        <w:jc w:val="both"/>
        <w:rPr>
          <w:rFonts w:ascii="Times New Roman" w:hAnsi="Times New Roman" w:cs="Times New Roman"/>
        </w:rPr>
      </w:pPr>
    </w:p>
    <w:p w14:paraId="07708E84" w14:textId="04181A59" w:rsidR="00AF407E" w:rsidRDefault="00AF407E" w:rsidP="00907BD2">
      <w:pPr>
        <w:pStyle w:val="Sinespaciado"/>
        <w:ind w:right="95"/>
        <w:jc w:val="both"/>
        <w:rPr>
          <w:rFonts w:ascii="Times New Roman" w:hAnsi="Times New Roman" w:cs="Times New Roman"/>
        </w:rPr>
      </w:pPr>
    </w:p>
    <w:p w14:paraId="2BB78B3F" w14:textId="3B65AB3B" w:rsidR="00AF407E" w:rsidRDefault="00AF407E" w:rsidP="00907BD2">
      <w:pPr>
        <w:pStyle w:val="Sinespaciado"/>
        <w:ind w:right="95"/>
        <w:jc w:val="both"/>
        <w:rPr>
          <w:rFonts w:ascii="Times New Roman" w:hAnsi="Times New Roman" w:cs="Times New Roman"/>
        </w:rPr>
      </w:pPr>
    </w:p>
    <w:p w14:paraId="7F192396" w14:textId="02773E23" w:rsidR="00AF407E" w:rsidRDefault="00AF407E" w:rsidP="00907BD2">
      <w:pPr>
        <w:pStyle w:val="Sinespaciado"/>
        <w:ind w:right="95"/>
        <w:jc w:val="both"/>
        <w:rPr>
          <w:rFonts w:ascii="Times New Roman" w:hAnsi="Times New Roman" w:cs="Times New Roman"/>
        </w:rPr>
      </w:pPr>
    </w:p>
    <w:p w14:paraId="339775F2" w14:textId="5494855B" w:rsidR="00AF407E" w:rsidRDefault="00AF407E" w:rsidP="00907BD2">
      <w:pPr>
        <w:pStyle w:val="Sinespaciado"/>
        <w:ind w:right="95"/>
        <w:jc w:val="both"/>
        <w:rPr>
          <w:rFonts w:ascii="Times New Roman" w:hAnsi="Times New Roman" w:cs="Times New Roman"/>
        </w:rPr>
      </w:pPr>
    </w:p>
    <w:p w14:paraId="60CCC6A1" w14:textId="77777777" w:rsidR="00AF407E" w:rsidRPr="005334BA" w:rsidRDefault="00AF407E" w:rsidP="00907BD2">
      <w:pPr>
        <w:pStyle w:val="Sinespaciado"/>
        <w:ind w:right="95"/>
        <w:jc w:val="both"/>
        <w:rPr>
          <w:rFonts w:ascii="Times New Roman" w:hAnsi="Times New Roman" w:cs="Times New Roman"/>
          <w:color w:val="FF0000"/>
          <w:sz w:val="20"/>
        </w:rPr>
      </w:pPr>
    </w:p>
    <w:p w14:paraId="39EDFEF4" w14:textId="70C4D929" w:rsidR="006B4A2A" w:rsidRPr="00CE5240" w:rsidRDefault="006B4A2A" w:rsidP="00B77BCA">
      <w:pPr>
        <w:pStyle w:val="Sinespaciado"/>
        <w:ind w:right="95"/>
        <w:jc w:val="both"/>
        <w:rPr>
          <w:rFonts w:ascii="Times New Roman" w:hAnsi="Times New Roman" w:cs="Times New Roman"/>
          <w:color w:val="FF0000"/>
          <w:sz w:val="10"/>
        </w:rPr>
      </w:pPr>
    </w:p>
    <w:p w14:paraId="7A5A9820" w14:textId="77777777" w:rsidR="00C76B98" w:rsidRPr="00CE5240" w:rsidRDefault="00C76B98" w:rsidP="00B77BCA">
      <w:pPr>
        <w:pStyle w:val="Sinespaciado"/>
        <w:jc w:val="both"/>
        <w:rPr>
          <w:rFonts w:ascii="Times New Roman" w:hAnsi="Times New Roman" w:cs="Times New Roman"/>
          <w:color w:val="FF0000"/>
          <w:sz w:val="2"/>
        </w:rPr>
        <w:sectPr w:rsidR="00C76B98" w:rsidRPr="00CE5240" w:rsidSect="00C76B98">
          <w:type w:val="continuous"/>
          <w:pgSz w:w="12240" w:h="15840"/>
          <w:pgMar w:top="1417" w:right="1701" w:bottom="1417" w:left="1701" w:header="708" w:footer="708" w:gutter="0"/>
          <w:cols w:num="2" w:space="708"/>
          <w:docGrid w:linePitch="360"/>
        </w:sectPr>
      </w:pPr>
    </w:p>
    <w:p w14:paraId="008AFA64" w14:textId="77777777" w:rsidR="00C76B98" w:rsidRPr="00CE5240" w:rsidRDefault="00C76B98" w:rsidP="00C76B98">
      <w:pPr>
        <w:spacing w:after="0"/>
        <w:rPr>
          <w:rFonts w:ascii="Times New Roman" w:hAnsi="Times New Roman" w:cs="Times New Roman"/>
          <w:color w:val="FF0000"/>
          <w:sz w:val="12"/>
          <w:szCs w:val="24"/>
        </w:rPr>
        <w:sectPr w:rsidR="00C76B98" w:rsidRPr="00CE5240" w:rsidSect="00960BE9">
          <w:headerReference w:type="default" r:id="rId36"/>
          <w:footerReference w:type="default" r:id="rId37"/>
          <w:type w:val="continuous"/>
          <w:pgSz w:w="12240" w:h="15840"/>
          <w:pgMar w:top="1417" w:right="1701" w:bottom="1417" w:left="1701" w:header="708" w:footer="708" w:gutter="0"/>
          <w:cols w:space="708"/>
          <w:docGrid w:linePitch="360"/>
        </w:sectPr>
      </w:pPr>
    </w:p>
    <w:p w14:paraId="13B7C746" w14:textId="77777777" w:rsidR="001042A3" w:rsidRPr="005334BA" w:rsidRDefault="001042A3" w:rsidP="00841A3C">
      <w:pPr>
        <w:pStyle w:val="Sinespaciado"/>
        <w:jc w:val="both"/>
        <w:rPr>
          <w:rFonts w:ascii="Times New Roman" w:hAnsi="Times New Roman" w:cs="Times New Roman"/>
          <w:color w:val="FF0000"/>
          <w:sz w:val="16"/>
          <w:szCs w:val="16"/>
        </w:rPr>
        <w:sectPr w:rsidR="001042A3" w:rsidRPr="005334BA" w:rsidSect="00C76B98">
          <w:headerReference w:type="default" r:id="rId38"/>
          <w:footerReference w:type="default" r:id="rId39"/>
          <w:type w:val="continuous"/>
          <w:pgSz w:w="12240" w:h="15840"/>
          <w:pgMar w:top="1417" w:right="1701" w:bottom="1417" w:left="1701" w:header="708" w:footer="708" w:gutter="0"/>
          <w:cols w:num="2" w:space="708"/>
          <w:docGrid w:linePitch="360"/>
        </w:sectPr>
      </w:pPr>
    </w:p>
    <w:p w14:paraId="0C6483ED" w14:textId="77777777" w:rsidR="008E00B7" w:rsidRPr="005334BA" w:rsidRDefault="008E00B7" w:rsidP="00C76B98">
      <w:pPr>
        <w:pStyle w:val="Sinespaciado"/>
        <w:rPr>
          <w:rFonts w:ascii="Times New Roman" w:hAnsi="Times New Roman" w:cs="Times New Roman"/>
          <w:color w:val="FF0000"/>
          <w:sz w:val="10"/>
          <w:szCs w:val="18"/>
        </w:rPr>
      </w:pPr>
    </w:p>
    <w:p w14:paraId="0725D71E" w14:textId="77777777" w:rsidR="008E00B7" w:rsidRPr="005334BA" w:rsidRDefault="008E00B7" w:rsidP="008E00B7">
      <w:pPr>
        <w:spacing w:after="0"/>
        <w:rPr>
          <w:rFonts w:ascii="Times New Roman" w:hAnsi="Times New Roman" w:cs="Times New Roman"/>
          <w:color w:val="FF0000"/>
          <w:sz w:val="6"/>
        </w:rPr>
        <w:sectPr w:rsidR="008E00B7" w:rsidRPr="005334BA" w:rsidSect="00960BE9">
          <w:headerReference w:type="default" r:id="rId40"/>
          <w:footerReference w:type="default" r:id="rId41"/>
          <w:type w:val="continuous"/>
          <w:pgSz w:w="12240" w:h="15840"/>
          <w:pgMar w:top="1417" w:right="1701" w:bottom="1417" w:left="1701" w:header="708" w:footer="708" w:gutter="0"/>
          <w:cols w:space="708"/>
          <w:docGrid w:linePitch="360"/>
        </w:sectPr>
      </w:pPr>
    </w:p>
    <w:p w14:paraId="51BA6055" w14:textId="77777777" w:rsidR="008E00B7" w:rsidRPr="00B218D0" w:rsidRDefault="008E00B7"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B218D0">
        <w:rPr>
          <w:rFonts w:ascii="Times New Roman" w:hAnsi="Times New Roman" w:cs="Times New Roman"/>
          <w:b/>
          <w:color w:val="FFFFFF" w:themeColor="background1"/>
          <w:sz w:val="24"/>
          <w:szCs w:val="24"/>
        </w:rPr>
        <w:t xml:space="preserve">Ejecución de gastos relacionados </w:t>
      </w:r>
      <w:r w:rsidR="004A0389" w:rsidRPr="00B218D0">
        <w:rPr>
          <w:rFonts w:ascii="Times New Roman" w:hAnsi="Times New Roman" w:cs="Times New Roman"/>
          <w:b/>
          <w:color w:val="FFFFFF" w:themeColor="background1"/>
          <w:sz w:val="24"/>
          <w:szCs w:val="24"/>
        </w:rPr>
        <w:t>a emergencias y calamidades públicas</w:t>
      </w:r>
    </w:p>
    <w:p w14:paraId="760E6CD3" w14:textId="77777777" w:rsidR="008E00B7" w:rsidRPr="005334BA" w:rsidRDefault="008E00B7" w:rsidP="00C76B98">
      <w:pPr>
        <w:pStyle w:val="Sinespaciado"/>
        <w:rPr>
          <w:rFonts w:ascii="Times New Roman" w:hAnsi="Times New Roman" w:cs="Times New Roman"/>
          <w:color w:val="FF0000"/>
          <w:sz w:val="18"/>
          <w:szCs w:val="18"/>
        </w:rPr>
      </w:pPr>
    </w:p>
    <w:p w14:paraId="2271D397" w14:textId="77777777" w:rsidR="008E00B7" w:rsidRPr="005334BA" w:rsidRDefault="008E00B7" w:rsidP="008E00B7">
      <w:pPr>
        <w:spacing w:after="0"/>
        <w:rPr>
          <w:rFonts w:ascii="Times New Roman" w:hAnsi="Times New Roman" w:cs="Times New Roman"/>
          <w:color w:val="FF0000"/>
        </w:rPr>
        <w:sectPr w:rsidR="008E00B7" w:rsidRPr="005334BA" w:rsidSect="00960BE9">
          <w:headerReference w:type="default" r:id="rId42"/>
          <w:footerReference w:type="default" r:id="rId43"/>
          <w:type w:val="continuous"/>
          <w:pgSz w:w="12240" w:h="15840"/>
          <w:pgMar w:top="1417" w:right="1701" w:bottom="1417" w:left="1701" w:header="708" w:footer="708" w:gutter="0"/>
          <w:cols w:space="708"/>
          <w:docGrid w:linePitch="360"/>
        </w:sectPr>
      </w:pPr>
    </w:p>
    <w:p w14:paraId="3D35A4D6" w14:textId="77777777" w:rsidR="00CE5240" w:rsidRDefault="00B31260" w:rsidP="00CE5240">
      <w:pPr>
        <w:pStyle w:val="Sinespaciado"/>
        <w:jc w:val="both"/>
        <w:rPr>
          <w:rFonts w:ascii="Times New Roman" w:hAnsi="Times New Roman" w:cs="Times New Roman"/>
          <w:color w:val="FF0000"/>
        </w:rPr>
      </w:pPr>
      <w:r w:rsidRPr="00112F6C">
        <w:rPr>
          <w:rFonts w:ascii="Times New Roman" w:hAnsi="Times New Roman" w:cs="Times New Roman"/>
          <w:lang w:val="es-MX"/>
        </w:rPr>
        <w:t xml:space="preserve">Se le da </w:t>
      </w:r>
      <w:r w:rsidRPr="00112F6C">
        <w:rPr>
          <w:rFonts w:ascii="Times New Roman" w:hAnsi="Times New Roman" w:cs="Times New Roman"/>
        </w:rPr>
        <w:t>seguimiento a la ejecución del gasto relacionado a la pandemia COVID-19, dado que fue creado el programa específico para su seguimiento, durante</w:t>
      </w:r>
      <w:r>
        <w:rPr>
          <w:rFonts w:ascii="Times New Roman" w:hAnsi="Times New Roman" w:cs="Times New Roman"/>
        </w:rPr>
        <w:t xml:space="preserve"> el año se han ejecutado Q778.5 millones, correspondientes casi en su totalidad al Ministerio de Salud Pública y Asistencia Social y en una menor medida al Ministerio de Desarrollo Social.</w:t>
      </w:r>
      <w:r>
        <w:rPr>
          <w:rFonts w:ascii="Times New Roman" w:hAnsi="Times New Roman" w:cs="Times New Roman"/>
          <w:color w:val="FF0000"/>
        </w:rPr>
        <w:t xml:space="preserve"> </w:t>
      </w:r>
    </w:p>
    <w:p w14:paraId="1E6C28FE" w14:textId="77777777" w:rsidR="00CE5240" w:rsidRDefault="00B31260" w:rsidP="00CE5240">
      <w:pPr>
        <w:pStyle w:val="Sinespaciado"/>
        <w:jc w:val="both"/>
        <w:rPr>
          <w:rFonts w:ascii="Times New Roman" w:hAnsi="Times New Roman" w:cs="Times New Roman"/>
        </w:rPr>
      </w:pPr>
      <w:r>
        <w:rPr>
          <w:rFonts w:ascii="Times New Roman" w:hAnsi="Times New Roman" w:cs="Times New Roman"/>
        </w:rPr>
        <w:t xml:space="preserve">Dentro de los gastos, se encuentran la vacuna COVID-19 con Q137.5 millones y los servicios de prevención y tratamiento de COVID-19 con Q637.6 millones. </w:t>
      </w:r>
    </w:p>
    <w:p w14:paraId="03DD6E6F" w14:textId="77777777" w:rsidR="00CE5240" w:rsidRDefault="00CE5240" w:rsidP="00CE5240">
      <w:pPr>
        <w:pStyle w:val="Sinespaciado"/>
        <w:jc w:val="both"/>
        <w:rPr>
          <w:rFonts w:ascii="Times New Roman" w:hAnsi="Times New Roman" w:cs="Times New Roman"/>
        </w:rPr>
      </w:pPr>
    </w:p>
    <w:p w14:paraId="5E89116D" w14:textId="4D5653E6" w:rsidR="00B31260" w:rsidRPr="00CE5240" w:rsidRDefault="00B31260" w:rsidP="00CE5240">
      <w:pPr>
        <w:pStyle w:val="Sinespaciado"/>
        <w:jc w:val="both"/>
        <w:rPr>
          <w:rFonts w:ascii="Times New Roman" w:hAnsi="Times New Roman" w:cs="Times New Roman"/>
          <w:color w:val="FF0000"/>
        </w:rPr>
      </w:pPr>
      <w:r>
        <w:rPr>
          <w:rFonts w:ascii="Times New Roman" w:hAnsi="Times New Roman" w:cs="Times New Roman"/>
        </w:rPr>
        <w:t>Con el objeto de fortalecer la conformación del Fondo Emergente, el Ministerio de Salud Pública y Asistencia Social puso a disposición Q600 millones que correspondían a la adquisición de vacunas contra el virus COVID-19. Por lo cual, el presupuesto para la vacuna contra el COVID-19 experimentó una disminución.</w:t>
      </w:r>
    </w:p>
    <w:p w14:paraId="4B6E7277" w14:textId="77777777" w:rsidR="00B31260" w:rsidRDefault="00B31260" w:rsidP="00B31260">
      <w:pPr>
        <w:spacing w:after="0" w:line="240" w:lineRule="auto"/>
        <w:ind w:right="213"/>
        <w:jc w:val="both"/>
        <w:rPr>
          <w:rFonts w:ascii="Times New Roman" w:hAnsi="Times New Roman" w:cs="Times New Roman"/>
        </w:rPr>
      </w:pPr>
      <w:r>
        <w:rPr>
          <w:rFonts w:ascii="Times New Roman" w:hAnsi="Times New Roman" w:cs="Times New Roman"/>
        </w:rPr>
        <w:t xml:space="preserve">  </w:t>
      </w:r>
    </w:p>
    <w:p w14:paraId="672A2056" w14:textId="77777777" w:rsidR="00B31260" w:rsidRDefault="00B31260" w:rsidP="00B31260">
      <w:pPr>
        <w:pStyle w:val="Sinespaciado"/>
        <w:jc w:val="both"/>
        <w:rPr>
          <w:rFonts w:ascii="Times New Roman" w:hAnsi="Times New Roman" w:cs="Times New Roman"/>
        </w:rPr>
      </w:pPr>
      <w:r>
        <w:rPr>
          <w:rFonts w:ascii="Times New Roman" w:hAnsi="Times New Roman" w:cs="Times New Roman"/>
        </w:rPr>
        <w:t>Por su parte, el Ministerio de Desarrollo Social cuenta con un presupuesto de Q3.9 millones por intervenciones diversas por COVID-19, de las cuales se reporta una ejecución de Q3.4 millones.</w:t>
      </w:r>
    </w:p>
    <w:p w14:paraId="7F562C9E" w14:textId="77777777" w:rsidR="00B31260" w:rsidRPr="004577E8" w:rsidRDefault="00B31260" w:rsidP="00B31260">
      <w:pPr>
        <w:pStyle w:val="Sinespaciado"/>
        <w:jc w:val="center"/>
        <w:rPr>
          <w:rFonts w:ascii="Times New Roman" w:hAnsi="Times New Roman" w:cs="Times New Roman"/>
          <w:b/>
        </w:rPr>
      </w:pPr>
      <w:r w:rsidRPr="004577E8">
        <w:rPr>
          <w:rFonts w:ascii="Times New Roman" w:hAnsi="Times New Roman" w:cs="Times New Roman"/>
          <w:b/>
        </w:rPr>
        <w:t>Ejecución de gastos por COVID-19</w:t>
      </w:r>
    </w:p>
    <w:p w14:paraId="27FA9F30" w14:textId="77777777" w:rsidR="00B31260" w:rsidRPr="004577E8" w:rsidRDefault="00B31260" w:rsidP="00B31260">
      <w:pPr>
        <w:pStyle w:val="Sinespaciado"/>
        <w:jc w:val="center"/>
        <w:rPr>
          <w:rFonts w:ascii="Times New Roman" w:hAnsi="Times New Roman" w:cs="Times New Roman"/>
          <w:sz w:val="18"/>
          <w:szCs w:val="18"/>
        </w:rPr>
      </w:pPr>
      <w:r w:rsidRPr="004577E8">
        <w:rPr>
          <w:rFonts w:ascii="Times New Roman" w:hAnsi="Times New Roman" w:cs="Times New Roman"/>
          <w:sz w:val="18"/>
          <w:szCs w:val="18"/>
        </w:rPr>
        <w:t>Al 3</w:t>
      </w:r>
      <w:r>
        <w:rPr>
          <w:rFonts w:ascii="Times New Roman" w:hAnsi="Times New Roman" w:cs="Times New Roman"/>
          <w:sz w:val="18"/>
          <w:szCs w:val="18"/>
        </w:rPr>
        <w:t>1</w:t>
      </w:r>
      <w:r w:rsidRPr="004577E8">
        <w:rPr>
          <w:rFonts w:ascii="Times New Roman" w:hAnsi="Times New Roman" w:cs="Times New Roman"/>
          <w:sz w:val="18"/>
          <w:szCs w:val="18"/>
        </w:rPr>
        <w:t xml:space="preserve"> de </w:t>
      </w:r>
      <w:r>
        <w:rPr>
          <w:rFonts w:ascii="Times New Roman" w:hAnsi="Times New Roman" w:cs="Times New Roman"/>
          <w:sz w:val="18"/>
          <w:szCs w:val="18"/>
        </w:rPr>
        <w:t>juli</w:t>
      </w:r>
      <w:r w:rsidRPr="004577E8">
        <w:rPr>
          <w:rFonts w:ascii="Times New Roman" w:hAnsi="Times New Roman" w:cs="Times New Roman"/>
          <w:sz w:val="18"/>
          <w:szCs w:val="18"/>
        </w:rPr>
        <w:t>o 2021-2022</w:t>
      </w:r>
    </w:p>
    <w:p w14:paraId="54B9BC98" w14:textId="6C707ACF" w:rsidR="00B31260" w:rsidRDefault="00B31260" w:rsidP="00B31260">
      <w:pPr>
        <w:spacing w:after="0" w:line="240" w:lineRule="auto"/>
        <w:ind w:right="213"/>
        <w:jc w:val="both"/>
        <w:rPr>
          <w:rFonts w:ascii="Times New Roman" w:hAnsi="Times New Roman" w:cs="Times New Roman"/>
        </w:rPr>
      </w:pPr>
      <w:r w:rsidRPr="004577E8">
        <w:rPr>
          <w:rFonts w:ascii="Times New Roman" w:hAnsi="Times New Roman" w:cs="Times New Roman"/>
          <w:noProof/>
          <w:lang w:eastAsia="es-GT"/>
        </w:rPr>
        <w:drawing>
          <wp:inline distT="0" distB="0" distL="0" distR="0" wp14:anchorId="5E87EA6E" wp14:editId="3F3153A7">
            <wp:extent cx="2581275" cy="2057400"/>
            <wp:effectExtent l="0" t="0" r="0" b="0"/>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484E9FC" w14:textId="77777777" w:rsidR="00B31260" w:rsidRPr="004577E8" w:rsidRDefault="00B31260" w:rsidP="00B31260">
      <w:pPr>
        <w:spacing w:after="0" w:line="240" w:lineRule="auto"/>
        <w:jc w:val="both"/>
        <w:rPr>
          <w:rFonts w:ascii="Times New Roman" w:hAnsi="Times New Roman" w:cs="Times New Roman"/>
          <w:sz w:val="18"/>
        </w:rPr>
      </w:pPr>
      <w:r w:rsidRPr="004577E8">
        <w:rPr>
          <w:rFonts w:ascii="Times New Roman" w:hAnsi="Times New Roman" w:cs="Times New Roman"/>
          <w:sz w:val="16"/>
        </w:rPr>
        <w:t xml:space="preserve">Fuente: </w:t>
      </w:r>
      <w:r w:rsidRPr="004577E8">
        <w:rPr>
          <w:rFonts w:ascii="Times New Roman" w:hAnsi="Times New Roman" w:cs="Times New Roman"/>
          <w:sz w:val="18"/>
        </w:rPr>
        <w:t>Dirección de Análisis y Política Fiscal.</w:t>
      </w:r>
    </w:p>
    <w:p w14:paraId="2A114F6D" w14:textId="77777777" w:rsidR="00B31260" w:rsidRPr="00515068" w:rsidRDefault="00B31260" w:rsidP="00B31260">
      <w:pPr>
        <w:pStyle w:val="Sinespaciado"/>
        <w:jc w:val="both"/>
        <w:rPr>
          <w:rFonts w:ascii="Times New Roman" w:hAnsi="Times New Roman" w:cs="Times New Roman"/>
          <w:color w:val="FF0000"/>
          <w:sz w:val="14"/>
        </w:rPr>
      </w:pPr>
      <w:r w:rsidRPr="00515068">
        <w:rPr>
          <w:rFonts w:ascii="Times New Roman" w:hAnsi="Times New Roman" w:cs="Times New Roman"/>
          <w:color w:val="FF0000"/>
          <w:sz w:val="14"/>
        </w:rPr>
        <w:t xml:space="preserve"> </w:t>
      </w:r>
    </w:p>
    <w:p w14:paraId="7520CB35" w14:textId="77777777" w:rsidR="00B31260" w:rsidRDefault="00B31260" w:rsidP="00B31260">
      <w:pPr>
        <w:pStyle w:val="Sinespaciado"/>
        <w:ind w:right="71"/>
        <w:jc w:val="both"/>
        <w:rPr>
          <w:rFonts w:ascii="Times New Roman" w:hAnsi="Times New Roman" w:cs="Times New Roman"/>
        </w:rPr>
      </w:pPr>
      <w:r>
        <w:rPr>
          <w:rFonts w:ascii="Times New Roman" w:hAnsi="Times New Roman" w:cs="Times New Roman"/>
        </w:rPr>
        <w:t xml:space="preserve">Derivado de los esfuerzos antes mencionados, al cierre de julio de acuerdo al tablero de seguimiento de COVID-19 del MSPAS, se han administrado alrededor de 18.6 millones de dosis, de las cuales 8.4 millones corresponden a primera dosis, 6.5 millones corresponden a segunda dosis, 3.3 millones corresponden a la dosis de refuerzo. Por su parte, ha iniciado la vacunación con segunda dosis de refuerzo (cuarta dosis), de las cuales hay 316,985 personas vacunadas </w:t>
      </w:r>
    </w:p>
    <w:p w14:paraId="06209C74" w14:textId="77777777" w:rsidR="00B31260" w:rsidRDefault="00B31260" w:rsidP="00B31260">
      <w:pPr>
        <w:pStyle w:val="Sinespaciado"/>
        <w:ind w:right="71"/>
        <w:jc w:val="both"/>
        <w:rPr>
          <w:rFonts w:ascii="Times New Roman" w:hAnsi="Times New Roman" w:cs="Times New Roman"/>
        </w:rPr>
      </w:pPr>
    </w:p>
    <w:p w14:paraId="2C1ECCB5" w14:textId="77777777" w:rsidR="00B31260" w:rsidRDefault="00B31260" w:rsidP="00B31260">
      <w:pPr>
        <w:pStyle w:val="Sinespaciado"/>
        <w:ind w:right="71"/>
        <w:jc w:val="both"/>
        <w:rPr>
          <w:rFonts w:ascii="Times New Roman" w:hAnsi="Times New Roman" w:cs="Times New Roman"/>
        </w:rPr>
      </w:pPr>
      <w:r>
        <w:rPr>
          <w:rFonts w:ascii="Times New Roman" w:hAnsi="Times New Roman" w:cs="Times New Roman"/>
        </w:rPr>
        <w:t xml:space="preserve">De la primera dosis, el 42.7% corresponde a Moderna, 24.2% a </w:t>
      </w:r>
      <w:proofErr w:type="spellStart"/>
      <w:r>
        <w:rPr>
          <w:rFonts w:ascii="Times New Roman" w:hAnsi="Times New Roman" w:cs="Times New Roman"/>
        </w:rPr>
        <w:t>Astrazeneca</w:t>
      </w:r>
      <w:proofErr w:type="spellEnd"/>
      <w:r>
        <w:rPr>
          <w:rFonts w:ascii="Times New Roman" w:hAnsi="Times New Roman" w:cs="Times New Roman"/>
        </w:rPr>
        <w:t xml:space="preserve">, 18.7% a Sputnik y 14.5% a Pfizer, lo cual corresponde a donaciones y compras hechas por el gobierno de Guatemala. </w:t>
      </w:r>
    </w:p>
    <w:p w14:paraId="34A008EE" w14:textId="77777777" w:rsidR="00B31260" w:rsidRDefault="00B31260" w:rsidP="00B31260">
      <w:pPr>
        <w:pStyle w:val="Sinespaciado"/>
        <w:ind w:right="71"/>
        <w:jc w:val="both"/>
        <w:rPr>
          <w:rFonts w:ascii="Times New Roman" w:hAnsi="Times New Roman" w:cs="Times New Roman"/>
        </w:rPr>
      </w:pPr>
    </w:p>
    <w:p w14:paraId="7A836FBE" w14:textId="77777777" w:rsidR="00B31260" w:rsidRDefault="00B31260" w:rsidP="00B31260">
      <w:pPr>
        <w:pStyle w:val="Sinespaciado"/>
        <w:ind w:right="-46"/>
        <w:jc w:val="both"/>
        <w:rPr>
          <w:rFonts w:ascii="Times New Roman" w:hAnsi="Times New Roman" w:cs="Times New Roman"/>
        </w:rPr>
      </w:pPr>
      <w:r w:rsidRPr="004577E8">
        <w:rPr>
          <w:rFonts w:ascii="Times New Roman" w:hAnsi="Times New Roman" w:cs="Times New Roman"/>
        </w:rPr>
        <w:t>Por otr</w:t>
      </w:r>
      <w:r>
        <w:rPr>
          <w:rFonts w:ascii="Times New Roman" w:hAnsi="Times New Roman" w:cs="Times New Roman"/>
        </w:rPr>
        <w:t>a parte</w:t>
      </w:r>
      <w:r w:rsidRPr="004577E8">
        <w:rPr>
          <w:rFonts w:ascii="Times New Roman" w:hAnsi="Times New Roman" w:cs="Times New Roman"/>
        </w:rPr>
        <w:t xml:space="preserve">, también se le da seguimiento a la ejecución del gasto relacionado al Estado de Calamidad Pública por la depresión tropical ETA, </w:t>
      </w:r>
      <w:r>
        <w:rPr>
          <w:rFonts w:ascii="Times New Roman" w:hAnsi="Times New Roman" w:cs="Times New Roman"/>
        </w:rPr>
        <w:t>durante el año se han ejecutado Q340.7 millones, correspondientes en su totalidad al Ministerio de Comunicaciones, Infraestructura y Vivienda.</w:t>
      </w:r>
    </w:p>
    <w:p w14:paraId="40B94C35" w14:textId="77777777" w:rsidR="008F5AEA" w:rsidRDefault="008F5AEA" w:rsidP="00B31260">
      <w:pPr>
        <w:pStyle w:val="Sinespaciado"/>
        <w:jc w:val="both"/>
        <w:rPr>
          <w:rFonts w:ascii="Times New Roman" w:hAnsi="Times New Roman" w:cs="Times New Roman"/>
        </w:rPr>
      </w:pPr>
    </w:p>
    <w:p w14:paraId="7B461835" w14:textId="257F32F9" w:rsidR="00DF6AE8" w:rsidRDefault="00B31260" w:rsidP="00B31260">
      <w:pPr>
        <w:pStyle w:val="Sinespaciado"/>
        <w:jc w:val="both"/>
        <w:rPr>
          <w:rFonts w:ascii="Times New Roman" w:hAnsi="Times New Roman" w:cs="Times New Roman"/>
        </w:rPr>
      </w:pPr>
      <w:r>
        <w:rPr>
          <w:rFonts w:ascii="Times New Roman" w:hAnsi="Times New Roman" w:cs="Times New Roman"/>
        </w:rPr>
        <w:t>Se resalta que este subprograma no contaba con presupuesto inicial y debido a reprogramaciones que se llevaron a cabo cuenta con un presupuesto vigente de Q533.0 millones, el cual corresponde a intervenciones para el mantenimiento y reparación de bienes nacionales, arrendamiento de maquinaria y equipo y de medios de transporte.</w:t>
      </w:r>
    </w:p>
    <w:p w14:paraId="1BD32F22" w14:textId="0FC3F96E" w:rsidR="005A2672" w:rsidRDefault="005A2672" w:rsidP="00B31260">
      <w:pPr>
        <w:pStyle w:val="Sinespaciado"/>
        <w:jc w:val="both"/>
        <w:rPr>
          <w:rFonts w:ascii="Times New Roman" w:hAnsi="Times New Roman" w:cs="Times New Roman"/>
        </w:rPr>
      </w:pPr>
    </w:p>
    <w:p w14:paraId="6C44AEC6" w14:textId="21F1DC84" w:rsidR="005A2672" w:rsidRDefault="005A2672" w:rsidP="00B31260">
      <w:pPr>
        <w:pStyle w:val="Sinespaciado"/>
        <w:jc w:val="both"/>
        <w:rPr>
          <w:rFonts w:ascii="Times New Roman" w:hAnsi="Times New Roman" w:cs="Times New Roman"/>
        </w:rPr>
      </w:pPr>
    </w:p>
    <w:p w14:paraId="56A56DB9" w14:textId="236F2DC5" w:rsidR="005A2672" w:rsidRDefault="005A2672" w:rsidP="00B31260">
      <w:pPr>
        <w:pStyle w:val="Sinespaciado"/>
        <w:jc w:val="both"/>
        <w:rPr>
          <w:rFonts w:ascii="Times New Roman" w:hAnsi="Times New Roman" w:cs="Times New Roman"/>
        </w:rPr>
      </w:pPr>
    </w:p>
    <w:p w14:paraId="7B3BB70E" w14:textId="3CEA81C8" w:rsidR="005A2672" w:rsidRDefault="005A2672" w:rsidP="00B31260">
      <w:pPr>
        <w:pStyle w:val="Sinespaciado"/>
        <w:jc w:val="both"/>
        <w:rPr>
          <w:rFonts w:ascii="Times New Roman" w:hAnsi="Times New Roman" w:cs="Times New Roman"/>
        </w:rPr>
      </w:pPr>
    </w:p>
    <w:p w14:paraId="0B81AC80" w14:textId="08C371FC" w:rsidR="005A2672" w:rsidRDefault="005A2672" w:rsidP="00B31260">
      <w:pPr>
        <w:pStyle w:val="Sinespaciado"/>
        <w:jc w:val="both"/>
        <w:rPr>
          <w:rFonts w:ascii="Times New Roman" w:hAnsi="Times New Roman" w:cs="Times New Roman"/>
        </w:rPr>
      </w:pPr>
    </w:p>
    <w:p w14:paraId="4CF88EF6" w14:textId="769158F8" w:rsidR="005A2672" w:rsidRDefault="005A2672" w:rsidP="00B31260">
      <w:pPr>
        <w:pStyle w:val="Sinespaciado"/>
        <w:jc w:val="both"/>
        <w:rPr>
          <w:rFonts w:ascii="Times New Roman" w:hAnsi="Times New Roman" w:cs="Times New Roman"/>
        </w:rPr>
      </w:pPr>
    </w:p>
    <w:p w14:paraId="410F079F" w14:textId="77777777" w:rsidR="005A2672" w:rsidRPr="00B31260" w:rsidRDefault="005A2672" w:rsidP="00B31260">
      <w:pPr>
        <w:pStyle w:val="Sinespaciado"/>
        <w:jc w:val="both"/>
        <w:rPr>
          <w:rFonts w:ascii="Times New Roman" w:hAnsi="Times New Roman" w:cs="Times New Roman"/>
          <w:color w:val="FF0000"/>
        </w:rPr>
      </w:pPr>
    </w:p>
    <w:p w14:paraId="4B1B9E84" w14:textId="77777777" w:rsidR="00776700" w:rsidRPr="005334BA" w:rsidRDefault="00776700" w:rsidP="00776700">
      <w:pPr>
        <w:pStyle w:val="Sinespaciado"/>
        <w:ind w:right="213"/>
        <w:rPr>
          <w:rFonts w:ascii="Times New Roman" w:hAnsi="Times New Roman" w:cs="Times New Roman"/>
          <w:color w:val="FF0000"/>
          <w:sz w:val="28"/>
          <w:szCs w:val="24"/>
        </w:rPr>
      </w:pPr>
    </w:p>
    <w:p w14:paraId="7D9D1221" w14:textId="77777777" w:rsidR="00FA0E54" w:rsidRPr="005334BA" w:rsidRDefault="00FA0E54" w:rsidP="00776700">
      <w:pPr>
        <w:pStyle w:val="Sinespaciado"/>
        <w:ind w:right="213"/>
        <w:rPr>
          <w:rFonts w:ascii="Times New Roman" w:hAnsi="Times New Roman" w:cs="Times New Roman"/>
          <w:color w:val="FF0000"/>
          <w:sz w:val="28"/>
          <w:szCs w:val="24"/>
        </w:rPr>
        <w:sectPr w:rsidR="00FA0E54" w:rsidRPr="005334BA" w:rsidSect="008E00B7">
          <w:type w:val="continuous"/>
          <w:pgSz w:w="12240" w:h="15840"/>
          <w:pgMar w:top="1417" w:right="1701" w:bottom="1417" w:left="1701" w:header="708" w:footer="708" w:gutter="0"/>
          <w:cols w:num="2" w:space="708"/>
          <w:docGrid w:linePitch="360"/>
        </w:sectPr>
      </w:pPr>
    </w:p>
    <w:p w14:paraId="0DCD7693" w14:textId="77777777" w:rsidR="0071038C" w:rsidRPr="00B218D0" w:rsidRDefault="00E35916" w:rsidP="0071038C">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B218D0">
        <w:rPr>
          <w:rFonts w:ascii="Times New Roman" w:hAnsi="Times New Roman" w:cs="Times New Roman"/>
          <w:b/>
          <w:color w:val="FFFFFF" w:themeColor="background1"/>
          <w:sz w:val="24"/>
          <w:szCs w:val="24"/>
        </w:rPr>
        <w:t>Ejecución de la</w:t>
      </w:r>
      <w:r w:rsidR="001E5527" w:rsidRPr="00B218D0">
        <w:rPr>
          <w:rFonts w:ascii="Times New Roman" w:hAnsi="Times New Roman" w:cs="Times New Roman"/>
          <w:b/>
          <w:color w:val="FFFFFF" w:themeColor="background1"/>
          <w:sz w:val="24"/>
          <w:szCs w:val="24"/>
        </w:rPr>
        <w:t>s</w:t>
      </w:r>
      <w:r w:rsidRPr="00B218D0">
        <w:rPr>
          <w:rFonts w:ascii="Times New Roman" w:hAnsi="Times New Roman" w:cs="Times New Roman"/>
          <w:b/>
          <w:color w:val="FFFFFF" w:themeColor="background1"/>
          <w:sz w:val="24"/>
          <w:szCs w:val="24"/>
        </w:rPr>
        <w:t xml:space="preserve"> ampliaciones presupuestarias y otras actividades</w:t>
      </w:r>
    </w:p>
    <w:p w14:paraId="1E4A9F2D" w14:textId="77777777" w:rsidR="0071038C" w:rsidRPr="005334BA" w:rsidRDefault="0071038C" w:rsidP="0071038C">
      <w:pPr>
        <w:pStyle w:val="Sinespaciado"/>
        <w:rPr>
          <w:rFonts w:ascii="Times New Roman" w:hAnsi="Times New Roman" w:cs="Times New Roman"/>
          <w:color w:val="FF0000"/>
          <w:sz w:val="18"/>
          <w:szCs w:val="18"/>
        </w:rPr>
      </w:pPr>
    </w:p>
    <w:p w14:paraId="2FC9368C" w14:textId="77777777" w:rsidR="0071038C" w:rsidRPr="005334BA" w:rsidRDefault="0071038C" w:rsidP="0071038C">
      <w:pPr>
        <w:pStyle w:val="Textodeglobo"/>
        <w:jc w:val="both"/>
        <w:rPr>
          <w:rFonts w:ascii="Times New Roman" w:hAnsi="Times New Roman" w:cs="Times New Roman"/>
          <w:color w:val="FF0000"/>
          <w:sz w:val="22"/>
          <w:szCs w:val="22"/>
        </w:rPr>
        <w:sectPr w:rsidR="0071038C" w:rsidRPr="005334BA" w:rsidSect="00960BE9">
          <w:headerReference w:type="default" r:id="rId45"/>
          <w:footerReference w:type="default" r:id="rId46"/>
          <w:type w:val="continuous"/>
          <w:pgSz w:w="12240" w:h="15840"/>
          <w:pgMar w:top="1417" w:right="1701" w:bottom="1417" w:left="1701" w:header="708" w:footer="708" w:gutter="0"/>
          <w:cols w:space="708"/>
          <w:docGrid w:linePitch="360"/>
        </w:sectPr>
      </w:pPr>
    </w:p>
    <w:p w14:paraId="46F66711" w14:textId="45FD10E2" w:rsidR="00B218D0" w:rsidRDefault="00B218D0" w:rsidP="00B218D0">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En los últimos meses se ha observado la necesidad de una mayor intervención del Estado, derivado que existen factores externos que han impulsado los precios con un efecto </w:t>
      </w:r>
      <w:r>
        <w:rPr>
          <w:rFonts w:ascii="Times New Roman" w:hAnsi="Times New Roman" w:cs="Times New Roman"/>
          <w:sz w:val="22"/>
          <w:szCs w:val="22"/>
        </w:rPr>
        <w:t xml:space="preserve">negativo en el poder adquisitivo de los guatemaltecos, entre estos destacan las tensiones geopolíticas por la guerra entre Rusia y Ucrania, que ha generado problemas </w:t>
      </w:r>
      <w:r>
        <w:rPr>
          <w:rFonts w:ascii="Times New Roman" w:hAnsi="Times New Roman" w:cs="Times New Roman"/>
          <w:sz w:val="22"/>
          <w:szCs w:val="22"/>
        </w:rPr>
        <w:lastRenderedPageBreak/>
        <w:t xml:space="preserve">especulativos con presiones y volatilidad en los precios internacionales de algunos </w:t>
      </w:r>
      <w:proofErr w:type="spellStart"/>
      <w:r>
        <w:rPr>
          <w:rFonts w:ascii="Times New Roman" w:hAnsi="Times New Roman" w:cs="Times New Roman"/>
          <w:sz w:val="22"/>
          <w:szCs w:val="22"/>
        </w:rPr>
        <w:t>commodities</w:t>
      </w:r>
      <w:proofErr w:type="spellEnd"/>
      <w:r>
        <w:rPr>
          <w:rFonts w:ascii="Times New Roman" w:hAnsi="Times New Roman" w:cs="Times New Roman"/>
          <w:sz w:val="22"/>
          <w:szCs w:val="22"/>
        </w:rPr>
        <w:t>, así como efectos rezagados del COVID-19, como la crisis de contenedores en los principales puertos de Asia.</w:t>
      </w:r>
    </w:p>
    <w:p w14:paraId="75DCD4D5" w14:textId="77777777" w:rsidR="00B218D0" w:rsidRPr="007C49F4" w:rsidRDefault="00B218D0" w:rsidP="00B218D0">
      <w:pPr>
        <w:pStyle w:val="Textodeglobo"/>
        <w:jc w:val="both"/>
        <w:rPr>
          <w:rFonts w:ascii="Times New Roman" w:hAnsi="Times New Roman" w:cs="Times New Roman"/>
          <w:szCs w:val="22"/>
        </w:rPr>
      </w:pPr>
    </w:p>
    <w:p w14:paraId="33DDF188" w14:textId="77777777" w:rsidR="00B218D0" w:rsidRDefault="00B218D0" w:rsidP="00B218D0">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Derivado de ello, el gobierno ha adoptado una serie de medidas que se han materializado en ampliaciones presupuestarias, la primera fue la aprobación del Decreto 17-2022 “Ley de Apoyo Social Temporal a los Consumidores de Gas Propano” siendo un apoyo social temporal de los cilindros de gas propano con capacidad de 10, 20, 25 y 35 libras, con el objetivo de beneficiar a la población guatemalteca que consume dicho producto. </w:t>
      </w:r>
    </w:p>
    <w:p w14:paraId="6487B583" w14:textId="77777777" w:rsidR="00B218D0" w:rsidRDefault="00B218D0" w:rsidP="00B218D0">
      <w:pPr>
        <w:pStyle w:val="Textodeglobo"/>
        <w:jc w:val="both"/>
        <w:rPr>
          <w:rFonts w:ascii="Times New Roman" w:hAnsi="Times New Roman" w:cs="Times New Roman"/>
          <w:sz w:val="22"/>
          <w:szCs w:val="22"/>
        </w:rPr>
      </w:pPr>
    </w:p>
    <w:p w14:paraId="454B4AE4" w14:textId="77777777" w:rsidR="00B218D0" w:rsidRDefault="00B218D0" w:rsidP="00B218D0">
      <w:pPr>
        <w:pStyle w:val="Textodeglobo"/>
        <w:jc w:val="both"/>
        <w:rPr>
          <w:rFonts w:ascii="Times New Roman" w:hAnsi="Times New Roman" w:cs="Times New Roman"/>
          <w:sz w:val="22"/>
          <w:szCs w:val="22"/>
        </w:rPr>
      </w:pPr>
      <w:r>
        <w:rPr>
          <w:rFonts w:ascii="Times New Roman" w:hAnsi="Times New Roman" w:cs="Times New Roman"/>
          <w:sz w:val="22"/>
          <w:szCs w:val="22"/>
        </w:rPr>
        <w:t>Este Decreto constituye una extensión del Decreto 15-2021 que tuvo el mismo fin y estuvo vigente por 3 meses.</w:t>
      </w:r>
    </w:p>
    <w:p w14:paraId="7484E0AC" w14:textId="77777777" w:rsidR="00B218D0" w:rsidRDefault="00B218D0" w:rsidP="00B218D0">
      <w:pPr>
        <w:pStyle w:val="Textodeglobo"/>
        <w:jc w:val="both"/>
        <w:rPr>
          <w:rFonts w:ascii="Times New Roman" w:hAnsi="Times New Roman" w:cs="Times New Roman"/>
          <w:sz w:val="22"/>
          <w:szCs w:val="22"/>
        </w:rPr>
      </w:pPr>
    </w:p>
    <w:p w14:paraId="28AC0A24" w14:textId="77777777" w:rsidR="00B218D0" w:rsidRDefault="00B218D0" w:rsidP="00B218D0">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En junio nuevamente fue ampliado el subsidio por medio del Decreto 33-2022 que contiene reformas a la “Ley de Apoyo Social Temporal a los Consumidores de Gas Propano” otorgándose por un periodo de 2 meses más con un costo de Q70 millones adicionales a los Q150 millones aprobados anteriormente. </w:t>
      </w:r>
    </w:p>
    <w:p w14:paraId="6B0DD108" w14:textId="77777777" w:rsidR="00B218D0" w:rsidRDefault="00B218D0" w:rsidP="00B218D0">
      <w:pPr>
        <w:pStyle w:val="Textodeglobo"/>
        <w:jc w:val="both"/>
        <w:rPr>
          <w:rFonts w:ascii="Times New Roman" w:hAnsi="Times New Roman" w:cs="Times New Roman"/>
          <w:sz w:val="22"/>
          <w:szCs w:val="22"/>
        </w:rPr>
      </w:pPr>
    </w:p>
    <w:p w14:paraId="0C190477" w14:textId="77777777" w:rsidR="00B218D0" w:rsidRDefault="00B218D0" w:rsidP="00B218D0">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En total, esta medida de apoyo social a los consumidores de gas propano estaría vigente por un período de 8 meses (incluye los 3 decretos aprobados). </w:t>
      </w:r>
    </w:p>
    <w:p w14:paraId="36CCF3B7" w14:textId="77777777" w:rsidR="00B218D0" w:rsidRDefault="00B218D0" w:rsidP="00B218D0">
      <w:pPr>
        <w:pStyle w:val="Textodeglobo"/>
        <w:jc w:val="both"/>
        <w:rPr>
          <w:rFonts w:ascii="Times New Roman" w:hAnsi="Times New Roman" w:cs="Times New Roman"/>
          <w:sz w:val="22"/>
          <w:szCs w:val="22"/>
        </w:rPr>
      </w:pPr>
    </w:p>
    <w:p w14:paraId="6FAE8CF1"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 xml:space="preserve">El Ministerio de Energía y Minas, en coordinación con el Ministerio de Economía, verificará la adecuada implementación del apoyo social temporal. Para el financiamiento de esta medida se hace uso de recursos disponibles en caja y bancos. </w:t>
      </w:r>
    </w:p>
    <w:p w14:paraId="1661F51C" w14:textId="77777777" w:rsidR="00B218D0" w:rsidRDefault="00B218D0" w:rsidP="00B218D0">
      <w:pPr>
        <w:spacing w:after="0" w:line="240" w:lineRule="auto"/>
        <w:jc w:val="both"/>
        <w:rPr>
          <w:rFonts w:ascii="Times New Roman" w:hAnsi="Times New Roman" w:cs="Times New Roman"/>
        </w:rPr>
      </w:pPr>
    </w:p>
    <w:p w14:paraId="4704FAE1"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 xml:space="preserve">La segunda medida adoptada fue la aprobación del Decreto 20-2022 “Ley de Apoyo Social Temporal a los Consumidores de Diésel y Gasolina Regular” el cual es un apoyo social temporal a los consumidores de diésel y de gasolina regular. </w:t>
      </w:r>
    </w:p>
    <w:p w14:paraId="25195D0F" w14:textId="77777777" w:rsidR="00B218D0" w:rsidRDefault="00B218D0" w:rsidP="00B218D0">
      <w:pPr>
        <w:spacing w:after="0" w:line="240" w:lineRule="auto"/>
        <w:jc w:val="both"/>
        <w:rPr>
          <w:rFonts w:ascii="Times New Roman" w:hAnsi="Times New Roman" w:cs="Times New Roman"/>
        </w:rPr>
      </w:pPr>
    </w:p>
    <w:p w14:paraId="5913E1B0"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 xml:space="preserve">El apoyo social fue otorgado durante 2 meses, el monto de dicho apoyo fue de Q5.00 por cada </w:t>
      </w:r>
      <w:r>
        <w:rPr>
          <w:rFonts w:ascii="Times New Roman" w:hAnsi="Times New Roman" w:cs="Times New Roman"/>
        </w:rPr>
        <w:t xml:space="preserve">galón de diésel y de Q2.50 por cada galón de gasolina regular. </w:t>
      </w:r>
    </w:p>
    <w:p w14:paraId="6AC60396" w14:textId="77777777" w:rsidR="00B218D0" w:rsidRDefault="00B218D0" w:rsidP="00B218D0">
      <w:pPr>
        <w:spacing w:after="0" w:line="240" w:lineRule="auto"/>
        <w:jc w:val="both"/>
        <w:rPr>
          <w:rFonts w:ascii="Times New Roman" w:hAnsi="Times New Roman" w:cs="Times New Roman"/>
        </w:rPr>
      </w:pPr>
    </w:p>
    <w:p w14:paraId="49848BDA"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 xml:space="preserve">Para el financiamiento de esta medida fue necesaria la ampliación del Presupuesto por el monto de Q745.0 millones, para lo cual se hizo uso de recursos disponibles en caja y bancos. </w:t>
      </w:r>
    </w:p>
    <w:p w14:paraId="7CF5F57F" w14:textId="77777777" w:rsidR="00B218D0" w:rsidRDefault="00B218D0" w:rsidP="00B218D0">
      <w:pPr>
        <w:spacing w:after="0" w:line="240" w:lineRule="auto"/>
        <w:jc w:val="both"/>
        <w:rPr>
          <w:rFonts w:ascii="Times New Roman" w:hAnsi="Times New Roman" w:cs="Times New Roman"/>
        </w:rPr>
      </w:pPr>
    </w:p>
    <w:p w14:paraId="02D7F809"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No obstante, e</w:t>
      </w:r>
      <w:r w:rsidRPr="00CB2472">
        <w:rPr>
          <w:rFonts w:ascii="Times New Roman" w:hAnsi="Times New Roman" w:cs="Times New Roman"/>
        </w:rPr>
        <w:t>n mayo fue aprobado el Decreto 28-2022 “Reformas a la Ley de Apoyo</w:t>
      </w:r>
      <w:r>
        <w:rPr>
          <w:rFonts w:ascii="Times New Roman" w:hAnsi="Times New Roman" w:cs="Times New Roman"/>
        </w:rPr>
        <w:t xml:space="preserve"> </w:t>
      </w:r>
      <w:r w:rsidRPr="00CB2472">
        <w:rPr>
          <w:rFonts w:ascii="Times New Roman" w:hAnsi="Times New Roman" w:cs="Times New Roman"/>
        </w:rPr>
        <w:t>Social Temporal a los Consumidores de Diésel y Gasolina Regular Decreto 20-2022” con este</w:t>
      </w:r>
      <w:r>
        <w:rPr>
          <w:rFonts w:ascii="Times New Roman" w:hAnsi="Times New Roman" w:cs="Times New Roman"/>
        </w:rPr>
        <w:t xml:space="preserve"> </w:t>
      </w:r>
      <w:r w:rsidRPr="00CB2472">
        <w:rPr>
          <w:rFonts w:ascii="Times New Roman" w:hAnsi="Times New Roman" w:cs="Times New Roman"/>
        </w:rPr>
        <w:t>decreto se ampli</w:t>
      </w:r>
      <w:r>
        <w:rPr>
          <w:rFonts w:ascii="Times New Roman" w:hAnsi="Times New Roman" w:cs="Times New Roman"/>
        </w:rPr>
        <w:t>ó</w:t>
      </w:r>
      <w:r w:rsidRPr="00CB2472">
        <w:rPr>
          <w:rFonts w:ascii="Times New Roman" w:hAnsi="Times New Roman" w:cs="Times New Roman"/>
        </w:rPr>
        <w:t xml:space="preserve"> los beneficiarios, ya que</w:t>
      </w:r>
      <w:r>
        <w:rPr>
          <w:rFonts w:ascii="Times New Roman" w:hAnsi="Times New Roman" w:cs="Times New Roman"/>
        </w:rPr>
        <w:t xml:space="preserve"> se</w:t>
      </w:r>
      <w:r w:rsidRPr="00CB2472">
        <w:rPr>
          <w:rFonts w:ascii="Times New Roman" w:hAnsi="Times New Roman" w:cs="Times New Roman"/>
        </w:rPr>
        <w:t xml:space="preserve"> cubr</w:t>
      </w:r>
      <w:r>
        <w:rPr>
          <w:rFonts w:ascii="Times New Roman" w:hAnsi="Times New Roman" w:cs="Times New Roman"/>
        </w:rPr>
        <w:t>e</w:t>
      </w:r>
      <w:r w:rsidRPr="00CB2472">
        <w:rPr>
          <w:rFonts w:ascii="Times New Roman" w:hAnsi="Times New Roman" w:cs="Times New Roman"/>
        </w:rPr>
        <w:t xml:space="preserve"> a consumidores de diésel y de gasolinas</w:t>
      </w:r>
      <w:r>
        <w:rPr>
          <w:rFonts w:ascii="Times New Roman" w:hAnsi="Times New Roman" w:cs="Times New Roman"/>
        </w:rPr>
        <w:t xml:space="preserve"> </w:t>
      </w:r>
      <w:r w:rsidRPr="00CB2472">
        <w:rPr>
          <w:rFonts w:ascii="Times New Roman" w:hAnsi="Times New Roman" w:cs="Times New Roman"/>
        </w:rPr>
        <w:t>regular y superior, siendo el apoyo otorgado por dos meses más (en total la medida estaría vigente por</w:t>
      </w:r>
      <w:r>
        <w:rPr>
          <w:rFonts w:ascii="Times New Roman" w:hAnsi="Times New Roman" w:cs="Times New Roman"/>
        </w:rPr>
        <w:t xml:space="preserve"> </w:t>
      </w:r>
      <w:r w:rsidRPr="00CB2472">
        <w:rPr>
          <w:rFonts w:ascii="Times New Roman" w:hAnsi="Times New Roman" w:cs="Times New Roman"/>
        </w:rPr>
        <w:t>cuatro meses para consumidores de gasolina regular y diésel, mientras que para consumidores de</w:t>
      </w:r>
      <w:r>
        <w:rPr>
          <w:rFonts w:ascii="Times New Roman" w:hAnsi="Times New Roman" w:cs="Times New Roman"/>
        </w:rPr>
        <w:t xml:space="preserve"> </w:t>
      </w:r>
      <w:r w:rsidRPr="00CB2472">
        <w:rPr>
          <w:rFonts w:ascii="Times New Roman" w:hAnsi="Times New Roman" w:cs="Times New Roman"/>
        </w:rPr>
        <w:t xml:space="preserve">gasolina superior únicamente por dos meses). </w:t>
      </w:r>
      <w:bookmarkStart w:id="3" w:name="_Hlk105421453"/>
      <w:r w:rsidRPr="00CB2472">
        <w:rPr>
          <w:rFonts w:ascii="Times New Roman" w:hAnsi="Times New Roman" w:cs="Times New Roman"/>
        </w:rPr>
        <w:t>A partir del 31 de mayo el apoyo social</w:t>
      </w:r>
      <w:r>
        <w:rPr>
          <w:rFonts w:ascii="Times New Roman" w:hAnsi="Times New Roman" w:cs="Times New Roman"/>
        </w:rPr>
        <w:t xml:space="preserve"> </w:t>
      </w:r>
      <w:r w:rsidRPr="00CB2472">
        <w:rPr>
          <w:rFonts w:ascii="Times New Roman" w:hAnsi="Times New Roman" w:cs="Times New Roman"/>
        </w:rPr>
        <w:t>aument</w:t>
      </w:r>
      <w:r>
        <w:rPr>
          <w:rFonts w:ascii="Times New Roman" w:hAnsi="Times New Roman" w:cs="Times New Roman"/>
        </w:rPr>
        <w:t>o</w:t>
      </w:r>
      <w:r w:rsidRPr="00CB2472">
        <w:rPr>
          <w:rFonts w:ascii="Times New Roman" w:hAnsi="Times New Roman" w:cs="Times New Roman"/>
        </w:rPr>
        <w:t xml:space="preserve"> pasando a ser de Q7.00 por cada galón de diésel, de Q5.00 por cada galón de gasolina regular</w:t>
      </w:r>
      <w:r>
        <w:rPr>
          <w:rFonts w:ascii="Times New Roman" w:hAnsi="Times New Roman" w:cs="Times New Roman"/>
        </w:rPr>
        <w:t xml:space="preserve"> </w:t>
      </w:r>
      <w:r w:rsidRPr="00CB2472">
        <w:rPr>
          <w:rFonts w:ascii="Times New Roman" w:hAnsi="Times New Roman" w:cs="Times New Roman"/>
        </w:rPr>
        <w:t>y de Q5.00 por cada galón de gasolina superior.</w:t>
      </w:r>
    </w:p>
    <w:bookmarkEnd w:id="3"/>
    <w:p w14:paraId="32531E27" w14:textId="77777777" w:rsidR="00B218D0" w:rsidRDefault="00B218D0" w:rsidP="00B218D0">
      <w:pPr>
        <w:spacing w:after="0" w:line="240" w:lineRule="auto"/>
        <w:jc w:val="both"/>
        <w:rPr>
          <w:rFonts w:ascii="Times New Roman" w:hAnsi="Times New Roman" w:cs="Times New Roman"/>
        </w:rPr>
      </w:pPr>
    </w:p>
    <w:p w14:paraId="39B89071" w14:textId="77777777" w:rsidR="00B218D0" w:rsidRDefault="00B218D0" w:rsidP="00B218D0">
      <w:pPr>
        <w:spacing w:after="0" w:line="240" w:lineRule="auto"/>
        <w:jc w:val="both"/>
        <w:rPr>
          <w:rFonts w:ascii="Times New Roman" w:hAnsi="Times New Roman" w:cs="Times New Roman"/>
        </w:rPr>
      </w:pPr>
      <w:r w:rsidRPr="00CB2472">
        <w:rPr>
          <w:rFonts w:ascii="Times New Roman" w:hAnsi="Times New Roman" w:cs="Times New Roman"/>
        </w:rPr>
        <w:t>Derivado de lo anterior, el presupuesto fue ampliado por un monto de Q2,260 millones (incluye los</w:t>
      </w:r>
      <w:r>
        <w:rPr>
          <w:rFonts w:ascii="Times New Roman" w:hAnsi="Times New Roman" w:cs="Times New Roman"/>
        </w:rPr>
        <w:t xml:space="preserve"> </w:t>
      </w:r>
      <w:r w:rsidRPr="00CB2472">
        <w:rPr>
          <w:rFonts w:ascii="Times New Roman" w:hAnsi="Times New Roman" w:cs="Times New Roman"/>
        </w:rPr>
        <w:t>Q745 millones del decreto 20-2022), siendo la medida financiada con disminución de caja y bancos de</w:t>
      </w:r>
      <w:r>
        <w:rPr>
          <w:rFonts w:ascii="Times New Roman" w:hAnsi="Times New Roman" w:cs="Times New Roman"/>
        </w:rPr>
        <w:t xml:space="preserve"> </w:t>
      </w:r>
      <w:r w:rsidRPr="00CB2472">
        <w:rPr>
          <w:rFonts w:ascii="Times New Roman" w:hAnsi="Times New Roman" w:cs="Times New Roman"/>
        </w:rPr>
        <w:t>recursos del tesoro.</w:t>
      </w:r>
    </w:p>
    <w:p w14:paraId="788A1A76" w14:textId="77777777" w:rsidR="00B218D0" w:rsidRDefault="00B218D0" w:rsidP="00B218D0">
      <w:pPr>
        <w:spacing w:after="0" w:line="240" w:lineRule="auto"/>
        <w:jc w:val="both"/>
        <w:rPr>
          <w:rFonts w:ascii="Times New Roman" w:hAnsi="Times New Roman" w:cs="Times New Roman"/>
        </w:rPr>
      </w:pPr>
    </w:p>
    <w:p w14:paraId="652611C8" w14:textId="77777777" w:rsidR="00B218D0" w:rsidRDefault="00B218D0" w:rsidP="00B218D0">
      <w:pPr>
        <w:pStyle w:val="Sinespaciado"/>
        <w:jc w:val="both"/>
        <w:rPr>
          <w:rFonts w:ascii="Times New Roman" w:hAnsi="Times New Roman" w:cs="Times New Roman"/>
          <w:color w:val="000000" w:themeColor="text1"/>
          <w:lang w:val="es-MX"/>
        </w:rPr>
      </w:pPr>
      <w:r w:rsidRPr="00FF3142">
        <w:rPr>
          <w:rFonts w:ascii="Times New Roman" w:hAnsi="Times New Roman" w:cs="Times New Roman"/>
          <w:color w:val="000000" w:themeColor="text1"/>
          <w:lang w:val="es-MX"/>
        </w:rPr>
        <w:t>El 04 de agosto concluiría el subsidio a los combustibles, por lo cual las autoridades podrían tomar la decisión de ampliarlo, en el Congreso de la República se encuentra la iniciativa 6123 que dispone aprobar la ley de apoyo social únicamente para los consumidores de diésel, tomando en consideración que los precios han tenido una tendencia hacia la baja derivado de la posibilidad de una menor actividad económica mundial apoyada por el alza de las tasas de interés. El subsidio bajaría a Q5 por cada galón de diésel con un presupuesto que no debe exceder los Q400 millones que provendrían de saldos de caja.</w:t>
      </w:r>
    </w:p>
    <w:p w14:paraId="00851BAC" w14:textId="77777777" w:rsidR="00B218D0" w:rsidRDefault="00B218D0" w:rsidP="00B218D0">
      <w:pPr>
        <w:pStyle w:val="Sinespaciado"/>
        <w:jc w:val="both"/>
        <w:rPr>
          <w:rFonts w:ascii="Times New Roman" w:hAnsi="Times New Roman" w:cs="Times New Roman"/>
          <w:color w:val="000000" w:themeColor="text1"/>
          <w:lang w:val="es-MX"/>
        </w:rPr>
      </w:pPr>
    </w:p>
    <w:p w14:paraId="0D834C2F"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 xml:space="preserve">La tercera medida adoptada fue la aprobación del Decreto 21-2022 “Ley para fortalecer el Mantenimiento y Construcción de </w:t>
      </w:r>
      <w:r>
        <w:rPr>
          <w:rFonts w:ascii="Times New Roman" w:hAnsi="Times New Roman" w:cs="Times New Roman"/>
        </w:rPr>
        <w:lastRenderedPageBreak/>
        <w:t xml:space="preserve">Infraestructura Estratégica” siendo el objeto fortalecer el mantenimiento y construcción de infraestructura estratégica, así como la recuperación de la red vial. </w:t>
      </w:r>
    </w:p>
    <w:p w14:paraId="010E717C" w14:textId="77777777" w:rsidR="00B218D0" w:rsidRDefault="00B218D0" w:rsidP="00B218D0">
      <w:pPr>
        <w:spacing w:after="0" w:line="240" w:lineRule="auto"/>
        <w:jc w:val="both"/>
        <w:rPr>
          <w:rFonts w:ascii="Times New Roman" w:hAnsi="Times New Roman" w:cs="Times New Roman"/>
          <w:color w:val="000000" w:themeColor="text1"/>
        </w:rPr>
      </w:pPr>
    </w:p>
    <w:p w14:paraId="222448D3"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color w:val="000000" w:themeColor="text1"/>
        </w:rPr>
        <w:t xml:space="preserve">En junio el Decreto 21-2022 sufrió modificaciones, por medio del Decreto 36-2022, ante la necesidad de reorientar recursos de dicho decreto hasta por un monto de Q400 millones para destinarlos al fortalecimiento del Fondo Emergente, lo cual permitirá mitigar los daños ocasionados por los fenómenos naturales que han afectado al país, por ello el presupuesto del Decreto 21-2022 descendió hasta ubicarse en Q2,791.2 millones. </w:t>
      </w:r>
    </w:p>
    <w:p w14:paraId="650A8D46" w14:textId="77777777" w:rsidR="00B218D0" w:rsidRDefault="00B218D0" w:rsidP="00B218D0">
      <w:pPr>
        <w:spacing w:after="0" w:line="240" w:lineRule="auto"/>
        <w:jc w:val="both"/>
        <w:rPr>
          <w:rFonts w:ascii="Times New Roman" w:hAnsi="Times New Roman" w:cs="Times New Roman"/>
        </w:rPr>
      </w:pPr>
    </w:p>
    <w:p w14:paraId="60DA901E"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La cuarta medida fue la aprobación del Decreto 25-2022 “Ley de Fortalecimiento al Aporte Social de la Tarifa Eléctrica” garantizando recursos de abril a diciembre del 2022, siendo el apoyo social temporal enfocado en usuarios regulados de distribución final de energía eléctrica que consuman mensualmente entre 89 kWh hasta 100 kWh al mes pagando Q1.00 por kWh. Anteriormente, la tarifa social únicamente aplicaba a rangos de consumo de 1 a 88 kWh, con el nuevo rango de consumo se incorporarían alrededor de 173,176 de hogares beneficiados por la tarifa social.</w:t>
      </w:r>
    </w:p>
    <w:p w14:paraId="3BD7B8FF"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 xml:space="preserve">  </w:t>
      </w:r>
    </w:p>
    <w:p w14:paraId="5DE0F044"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 xml:space="preserve">La medida cuenta con un presupuesto de Q90.0 millones, que estaría siendo financiado con caja y bancos destinado al Instituto Nacional de Electrificación (INDE). </w:t>
      </w:r>
    </w:p>
    <w:p w14:paraId="196E548C" w14:textId="77777777" w:rsidR="00B218D0" w:rsidRDefault="00B218D0" w:rsidP="00B218D0">
      <w:pPr>
        <w:spacing w:after="0" w:line="240" w:lineRule="auto"/>
        <w:jc w:val="both"/>
        <w:rPr>
          <w:rFonts w:ascii="Times New Roman" w:hAnsi="Times New Roman" w:cs="Times New Roman"/>
        </w:rPr>
      </w:pPr>
    </w:p>
    <w:p w14:paraId="38AE2B4B" w14:textId="77777777" w:rsidR="00B218D0" w:rsidRPr="00FF3142" w:rsidRDefault="00B218D0" w:rsidP="00B218D0">
      <w:pPr>
        <w:spacing w:after="0" w:line="240" w:lineRule="auto"/>
        <w:jc w:val="both"/>
        <w:rPr>
          <w:rFonts w:ascii="Times New Roman" w:hAnsi="Times New Roman" w:cs="Times New Roman"/>
        </w:rPr>
      </w:pPr>
      <w:r w:rsidRPr="00FF3142">
        <w:rPr>
          <w:rFonts w:ascii="Times New Roman" w:hAnsi="Times New Roman" w:cs="Times New Roman"/>
        </w:rPr>
        <w:t>En el Congreso de la República también se encuentra la iniciativa 6124 que dispone aprobar reformas al Decreto 25-2022, con lo cual se busca ampliar a los beneficiarios del aporte social a la energía eléctrica al cubrir a los usuarios regulados que consuman entre 101 kWh hasta 125 kWh a partir de la vigencia del decreto hasta el 31 de diciembre del 2022.</w:t>
      </w:r>
    </w:p>
    <w:p w14:paraId="0CBFAB13" w14:textId="77777777" w:rsidR="00B218D0" w:rsidRPr="00FF3142" w:rsidRDefault="00B218D0" w:rsidP="00B218D0">
      <w:pPr>
        <w:spacing w:after="0" w:line="240" w:lineRule="auto"/>
        <w:jc w:val="both"/>
        <w:rPr>
          <w:rFonts w:ascii="Times New Roman" w:hAnsi="Times New Roman" w:cs="Times New Roman"/>
        </w:rPr>
      </w:pPr>
    </w:p>
    <w:p w14:paraId="3012AEAD" w14:textId="77777777" w:rsidR="00B218D0" w:rsidRDefault="00B218D0" w:rsidP="00B218D0">
      <w:pPr>
        <w:spacing w:after="0" w:line="240" w:lineRule="auto"/>
        <w:jc w:val="both"/>
        <w:rPr>
          <w:rFonts w:ascii="Times New Roman" w:hAnsi="Times New Roman" w:cs="Times New Roman"/>
        </w:rPr>
      </w:pPr>
      <w:r w:rsidRPr="00FF3142">
        <w:rPr>
          <w:rFonts w:ascii="Times New Roman" w:hAnsi="Times New Roman" w:cs="Times New Roman"/>
        </w:rPr>
        <w:t>Por ello se ampliaría el presupuesto en Q137.5 millones para cubrir al grupo de 101 a 125 kWh, siendo financiado con recursos de caja.</w:t>
      </w:r>
    </w:p>
    <w:p w14:paraId="57C3F438" w14:textId="77777777" w:rsidR="00B218D0" w:rsidRDefault="00B218D0" w:rsidP="00B218D0">
      <w:pPr>
        <w:spacing w:after="0" w:line="240" w:lineRule="auto"/>
        <w:jc w:val="both"/>
        <w:rPr>
          <w:rFonts w:ascii="Times New Roman" w:hAnsi="Times New Roman" w:cs="Times New Roman"/>
        </w:rPr>
      </w:pPr>
    </w:p>
    <w:p w14:paraId="137CEC3A" w14:textId="77777777" w:rsidR="00B218D0" w:rsidRDefault="00B218D0" w:rsidP="00B218D0">
      <w:pPr>
        <w:spacing w:after="0" w:line="240" w:lineRule="auto"/>
        <w:jc w:val="both"/>
        <w:rPr>
          <w:rFonts w:ascii="Times New Roman" w:hAnsi="Times New Roman" w:cs="Times New Roman"/>
        </w:rPr>
      </w:pPr>
      <w:r>
        <w:rPr>
          <w:rFonts w:ascii="Times New Roman" w:hAnsi="Times New Roman" w:cs="Times New Roman"/>
        </w:rPr>
        <w:t xml:space="preserve">Asimismo, se está implementando dentro del MAGA el programa de estipendio por acciones, esta iniciativa busca restaurar las unidades productivas de familias agricultoras de infra subsistencia y subsistencia, afectadas por las tormentas tropicales Eta e Iota en 2020. </w:t>
      </w:r>
    </w:p>
    <w:p w14:paraId="3A7F256B" w14:textId="77777777" w:rsidR="00B218D0" w:rsidRDefault="00B218D0" w:rsidP="00B218D0">
      <w:pPr>
        <w:spacing w:after="0" w:line="240" w:lineRule="auto"/>
        <w:jc w:val="both"/>
        <w:rPr>
          <w:rFonts w:ascii="Times New Roman" w:hAnsi="Times New Roman" w:cs="Times New Roman"/>
        </w:rPr>
      </w:pPr>
    </w:p>
    <w:p w14:paraId="3ACB4420" w14:textId="77777777" w:rsidR="00B218D0" w:rsidRDefault="00B218D0" w:rsidP="00B218D0">
      <w:pPr>
        <w:pStyle w:val="Sinespaciado"/>
        <w:jc w:val="both"/>
        <w:rPr>
          <w:rFonts w:ascii="Times New Roman" w:hAnsi="Times New Roman" w:cs="Times New Roman"/>
        </w:rPr>
      </w:pPr>
      <w:r>
        <w:rPr>
          <w:rFonts w:ascii="Times New Roman" w:hAnsi="Times New Roman" w:cs="Times New Roman"/>
        </w:rPr>
        <w:t>Las familias beneficiadas realizan diversos trabajos, que luego de verificación por parte del MAGA recibirán el beneficio económico por Q1,000. Esta medida no requiere ampliación presupuestaria, es por medio de readecuaciones presupuestarias.</w:t>
      </w:r>
    </w:p>
    <w:p w14:paraId="230159B1" w14:textId="77777777" w:rsidR="00B218D0" w:rsidRDefault="00B218D0" w:rsidP="00B218D0">
      <w:pPr>
        <w:pStyle w:val="Sinespaciado"/>
        <w:jc w:val="both"/>
        <w:rPr>
          <w:rFonts w:ascii="Times New Roman" w:hAnsi="Times New Roman" w:cs="Times New Roman"/>
        </w:rPr>
      </w:pPr>
    </w:p>
    <w:p w14:paraId="05DA9B85" w14:textId="77777777" w:rsidR="00B218D0" w:rsidRDefault="00B218D0" w:rsidP="00B218D0">
      <w:pPr>
        <w:pStyle w:val="Sinespaciado"/>
        <w:jc w:val="both"/>
        <w:rPr>
          <w:rFonts w:ascii="Times New Roman" w:hAnsi="Times New Roman" w:cs="Times New Roman"/>
        </w:rPr>
      </w:pPr>
      <w:r>
        <w:rPr>
          <w:rFonts w:ascii="Times New Roman" w:hAnsi="Times New Roman" w:cs="Times New Roman"/>
        </w:rPr>
        <w:t xml:space="preserve">Respecto a la ejecución de la totalidad de estas medidas, se han ejecutado Q2,206.5 millones, con un grado de ejecución del 39.6%, de las cuales Q1,806.5 millones, corresponden al subsidio a los consumidores combustibles, Q259.3 millones corresponden al subsidio del gas propano, Q90 millones corresponden al aporte social de la tarifa eléctrica y Q50.8 millones, corresponden a los estipendios dados por el MAGA en apoyo a la agricultura familiar para fortalecer la economía campesina. </w:t>
      </w:r>
    </w:p>
    <w:p w14:paraId="2E8CE3FB" w14:textId="77777777" w:rsidR="00B218D0" w:rsidRDefault="00B218D0" w:rsidP="00B218D0">
      <w:pPr>
        <w:pStyle w:val="Sinespaciado"/>
        <w:jc w:val="both"/>
        <w:rPr>
          <w:rFonts w:ascii="Times New Roman" w:hAnsi="Times New Roman" w:cs="Times New Roman"/>
        </w:rPr>
      </w:pPr>
    </w:p>
    <w:p w14:paraId="6E12E388" w14:textId="77777777" w:rsidR="00B218D0" w:rsidRPr="005E386C" w:rsidRDefault="00B218D0" w:rsidP="00B218D0">
      <w:pPr>
        <w:pStyle w:val="Sinespaciado"/>
        <w:jc w:val="center"/>
        <w:rPr>
          <w:rFonts w:ascii="Times New Roman" w:hAnsi="Times New Roman" w:cs="Times New Roman"/>
          <w:b/>
        </w:rPr>
      </w:pPr>
      <w:r>
        <w:rPr>
          <w:rFonts w:ascii="Times New Roman" w:hAnsi="Times New Roman" w:cs="Times New Roman"/>
          <w:b/>
        </w:rPr>
        <w:t>Ejecución de Subsidios y otras actividades</w:t>
      </w:r>
    </w:p>
    <w:p w14:paraId="65AFBFF5" w14:textId="77777777" w:rsidR="00B218D0" w:rsidRPr="005E386C" w:rsidRDefault="00B218D0" w:rsidP="00B218D0">
      <w:pPr>
        <w:pStyle w:val="Sinespaciado"/>
        <w:jc w:val="center"/>
        <w:rPr>
          <w:rFonts w:ascii="Times New Roman" w:hAnsi="Times New Roman" w:cs="Times New Roman"/>
        </w:rPr>
      </w:pPr>
      <w:r w:rsidRPr="00D87077">
        <w:rPr>
          <w:rFonts w:ascii="Times New Roman" w:hAnsi="Times New Roman" w:cs="Times New Roman"/>
          <w:sz w:val="20"/>
          <w:szCs w:val="20"/>
        </w:rPr>
        <w:t>Ejecución al 3</w:t>
      </w:r>
      <w:r>
        <w:rPr>
          <w:rFonts w:ascii="Times New Roman" w:hAnsi="Times New Roman" w:cs="Times New Roman"/>
          <w:sz w:val="20"/>
          <w:szCs w:val="20"/>
        </w:rPr>
        <w:t>1</w:t>
      </w:r>
      <w:r w:rsidRPr="00D87077">
        <w:rPr>
          <w:rFonts w:ascii="Times New Roman" w:hAnsi="Times New Roman" w:cs="Times New Roman"/>
          <w:sz w:val="20"/>
          <w:szCs w:val="20"/>
        </w:rPr>
        <w:t xml:space="preserve"> de ju</w:t>
      </w:r>
      <w:r>
        <w:rPr>
          <w:rFonts w:ascii="Times New Roman" w:hAnsi="Times New Roman" w:cs="Times New Roman"/>
          <w:sz w:val="20"/>
          <w:szCs w:val="20"/>
        </w:rPr>
        <w:t>l</w:t>
      </w:r>
      <w:r w:rsidRPr="00D87077">
        <w:rPr>
          <w:rFonts w:ascii="Times New Roman" w:hAnsi="Times New Roman" w:cs="Times New Roman"/>
          <w:sz w:val="20"/>
          <w:szCs w:val="20"/>
        </w:rPr>
        <w:t>io de 2022</w:t>
      </w:r>
    </w:p>
    <w:p w14:paraId="2263F50B" w14:textId="77777777" w:rsidR="00B218D0" w:rsidRDefault="00B218D0" w:rsidP="00B218D0">
      <w:pPr>
        <w:pStyle w:val="Sinespaciado"/>
        <w:jc w:val="center"/>
        <w:rPr>
          <w:rFonts w:ascii="Times New Roman" w:hAnsi="Times New Roman" w:cs="Times New Roman"/>
          <w:sz w:val="20"/>
        </w:rPr>
      </w:pPr>
      <w:r w:rsidRPr="005E386C">
        <w:rPr>
          <w:rFonts w:ascii="Times New Roman" w:hAnsi="Times New Roman" w:cs="Times New Roman"/>
          <w:sz w:val="20"/>
        </w:rPr>
        <w:t>Cifras en millones de quetzales y porcentajes</w:t>
      </w:r>
    </w:p>
    <w:p w14:paraId="6FBC7512" w14:textId="77777777" w:rsidR="00B218D0" w:rsidRDefault="00B218D0" w:rsidP="00B218D0">
      <w:pPr>
        <w:pStyle w:val="Sinespaciado"/>
        <w:jc w:val="center"/>
        <w:rPr>
          <w:rFonts w:ascii="Times New Roman" w:hAnsi="Times New Roman" w:cs="Times New Roman"/>
          <w:sz w:val="20"/>
        </w:rPr>
      </w:pPr>
    </w:p>
    <w:p w14:paraId="2BE417B8" w14:textId="77777777" w:rsidR="00B218D0" w:rsidRPr="005E386C" w:rsidRDefault="00B218D0" w:rsidP="00B218D0">
      <w:pPr>
        <w:pStyle w:val="Sinespaciado"/>
        <w:jc w:val="center"/>
        <w:rPr>
          <w:rFonts w:ascii="Times New Roman" w:hAnsi="Times New Roman" w:cs="Times New Roman"/>
          <w:sz w:val="20"/>
        </w:rPr>
      </w:pPr>
      <w:r>
        <w:rPr>
          <w:rFonts w:ascii="Times New Roman" w:hAnsi="Times New Roman" w:cs="Times New Roman"/>
          <w:noProof/>
          <w:sz w:val="20"/>
          <w:lang w:eastAsia="es-GT"/>
        </w:rPr>
        <w:drawing>
          <wp:inline distT="0" distB="0" distL="0" distR="0" wp14:anchorId="6E94D75A" wp14:editId="5F16791A">
            <wp:extent cx="2581275" cy="2558956"/>
            <wp:effectExtent l="0" t="0" r="0" b="0"/>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6EC223" w14:textId="77777777" w:rsidR="00B218D0" w:rsidRPr="007448B4" w:rsidRDefault="00B218D0" w:rsidP="00B218D0">
      <w:pPr>
        <w:pStyle w:val="Sinespaciado"/>
        <w:jc w:val="both"/>
        <w:rPr>
          <w:rFonts w:ascii="Times New Roman" w:hAnsi="Times New Roman" w:cs="Times New Roman"/>
          <w:sz w:val="14"/>
        </w:rPr>
      </w:pPr>
      <w:r w:rsidRPr="005E386C">
        <w:rPr>
          <w:rFonts w:ascii="Times New Roman" w:hAnsi="Times New Roman" w:cs="Times New Roman"/>
          <w:sz w:val="14"/>
          <w:szCs w:val="16"/>
        </w:rPr>
        <w:t>Fuente: Dirección de Análisis y Política Fiscal.</w:t>
      </w:r>
      <w:r w:rsidRPr="005E386C">
        <w:rPr>
          <w:rFonts w:ascii="Times New Roman" w:hAnsi="Times New Roman" w:cs="Times New Roman"/>
        </w:rPr>
        <w:t xml:space="preserve"> </w:t>
      </w:r>
    </w:p>
    <w:p w14:paraId="7C1A9FD0" w14:textId="77777777" w:rsidR="00B218D0" w:rsidRDefault="00B218D0" w:rsidP="00B218D0">
      <w:pPr>
        <w:pStyle w:val="Sinespaciado"/>
        <w:jc w:val="both"/>
        <w:rPr>
          <w:rFonts w:ascii="Times New Roman" w:hAnsi="Times New Roman" w:cs="Times New Roman"/>
          <w:color w:val="FF0000"/>
        </w:rPr>
      </w:pPr>
    </w:p>
    <w:p w14:paraId="2471EC5E" w14:textId="77777777" w:rsidR="00B218D0" w:rsidRPr="00515068" w:rsidRDefault="00B218D0" w:rsidP="00B218D0">
      <w:pPr>
        <w:pStyle w:val="Sinespaciado"/>
        <w:jc w:val="both"/>
        <w:rPr>
          <w:rFonts w:ascii="Times New Roman" w:hAnsi="Times New Roman" w:cs="Times New Roman"/>
          <w:color w:val="FF0000"/>
          <w:sz w:val="14"/>
        </w:rPr>
      </w:pPr>
      <w:r w:rsidRPr="00283BEA">
        <w:rPr>
          <w:rFonts w:ascii="Times New Roman" w:hAnsi="Times New Roman" w:cs="Times New Roman"/>
        </w:rPr>
        <w:t>Res</w:t>
      </w:r>
      <w:r>
        <w:rPr>
          <w:rFonts w:ascii="Times New Roman" w:hAnsi="Times New Roman" w:cs="Times New Roman"/>
        </w:rPr>
        <w:t xml:space="preserve">pecto a los receptores del subsidio al gas propano y gasolina regular, superior y diésel, resalta que Zeta Gas y </w:t>
      </w:r>
      <w:proofErr w:type="spellStart"/>
      <w:r>
        <w:rPr>
          <w:rFonts w:ascii="Times New Roman" w:hAnsi="Times New Roman" w:cs="Times New Roman"/>
        </w:rPr>
        <w:t>Chevron</w:t>
      </w:r>
      <w:proofErr w:type="spellEnd"/>
      <w:r>
        <w:rPr>
          <w:rFonts w:ascii="Times New Roman" w:hAnsi="Times New Roman" w:cs="Times New Roman"/>
        </w:rPr>
        <w:t xml:space="preserve"> son las </w:t>
      </w:r>
      <w:r>
        <w:rPr>
          <w:rFonts w:ascii="Times New Roman" w:hAnsi="Times New Roman" w:cs="Times New Roman"/>
        </w:rPr>
        <w:lastRenderedPageBreak/>
        <w:t>empresas privadas que más han recibido transferencias por este concepto.</w:t>
      </w:r>
    </w:p>
    <w:p w14:paraId="4185AB17" w14:textId="77777777" w:rsidR="00B218D0" w:rsidRDefault="00B218D0" w:rsidP="00B218D0">
      <w:pPr>
        <w:pStyle w:val="Sinespaciado"/>
        <w:jc w:val="both"/>
        <w:rPr>
          <w:rFonts w:ascii="Times New Roman" w:hAnsi="Times New Roman" w:cs="Times New Roman"/>
          <w:sz w:val="14"/>
        </w:rPr>
      </w:pPr>
    </w:p>
    <w:p w14:paraId="4FD43557" w14:textId="77777777" w:rsidR="005A2672" w:rsidRDefault="005A2672" w:rsidP="00B218D0">
      <w:pPr>
        <w:pStyle w:val="Sinespaciado"/>
        <w:jc w:val="center"/>
        <w:rPr>
          <w:rFonts w:ascii="Times New Roman" w:hAnsi="Times New Roman" w:cs="Times New Roman"/>
          <w:b/>
        </w:rPr>
      </w:pPr>
    </w:p>
    <w:p w14:paraId="2FA27354" w14:textId="77777777" w:rsidR="005A2672" w:rsidRDefault="005A2672" w:rsidP="00B218D0">
      <w:pPr>
        <w:pStyle w:val="Sinespaciado"/>
        <w:jc w:val="center"/>
        <w:rPr>
          <w:rFonts w:ascii="Times New Roman" w:hAnsi="Times New Roman" w:cs="Times New Roman"/>
          <w:b/>
        </w:rPr>
      </w:pPr>
    </w:p>
    <w:p w14:paraId="59CACDFE" w14:textId="77777777" w:rsidR="005A2672" w:rsidRDefault="005A2672" w:rsidP="00B218D0">
      <w:pPr>
        <w:pStyle w:val="Sinespaciado"/>
        <w:jc w:val="center"/>
        <w:rPr>
          <w:rFonts w:ascii="Times New Roman" w:hAnsi="Times New Roman" w:cs="Times New Roman"/>
          <w:b/>
        </w:rPr>
      </w:pPr>
    </w:p>
    <w:p w14:paraId="389818EE" w14:textId="77777777" w:rsidR="005A2672" w:rsidRDefault="005A2672" w:rsidP="00B218D0">
      <w:pPr>
        <w:pStyle w:val="Sinespaciado"/>
        <w:jc w:val="center"/>
        <w:rPr>
          <w:rFonts w:ascii="Times New Roman" w:hAnsi="Times New Roman" w:cs="Times New Roman"/>
          <w:b/>
        </w:rPr>
      </w:pPr>
    </w:p>
    <w:p w14:paraId="5119E025" w14:textId="77777777" w:rsidR="005A2672" w:rsidRDefault="005A2672" w:rsidP="00B218D0">
      <w:pPr>
        <w:pStyle w:val="Sinespaciado"/>
        <w:jc w:val="center"/>
        <w:rPr>
          <w:rFonts w:ascii="Times New Roman" w:hAnsi="Times New Roman" w:cs="Times New Roman"/>
          <w:b/>
        </w:rPr>
      </w:pPr>
    </w:p>
    <w:p w14:paraId="1210BCDE" w14:textId="77777777" w:rsidR="005A2672" w:rsidRDefault="005A2672" w:rsidP="00B218D0">
      <w:pPr>
        <w:pStyle w:val="Sinespaciado"/>
        <w:jc w:val="center"/>
        <w:rPr>
          <w:rFonts w:ascii="Times New Roman" w:hAnsi="Times New Roman" w:cs="Times New Roman"/>
          <w:b/>
        </w:rPr>
      </w:pPr>
    </w:p>
    <w:p w14:paraId="1D4A7CDE" w14:textId="77777777" w:rsidR="005A2672" w:rsidRDefault="005A2672" w:rsidP="00B218D0">
      <w:pPr>
        <w:pStyle w:val="Sinespaciado"/>
        <w:jc w:val="center"/>
        <w:rPr>
          <w:rFonts w:ascii="Times New Roman" w:hAnsi="Times New Roman" w:cs="Times New Roman"/>
          <w:b/>
        </w:rPr>
      </w:pPr>
    </w:p>
    <w:p w14:paraId="4EB31043" w14:textId="77777777" w:rsidR="005A2672" w:rsidRDefault="005A2672" w:rsidP="00B218D0">
      <w:pPr>
        <w:pStyle w:val="Sinespaciado"/>
        <w:jc w:val="center"/>
        <w:rPr>
          <w:rFonts w:ascii="Times New Roman" w:hAnsi="Times New Roman" w:cs="Times New Roman"/>
          <w:b/>
        </w:rPr>
      </w:pPr>
    </w:p>
    <w:p w14:paraId="40015C22" w14:textId="4683B920" w:rsidR="00B218D0" w:rsidRPr="001E5527" w:rsidRDefault="00B218D0" w:rsidP="00B218D0">
      <w:pPr>
        <w:pStyle w:val="Sinespaciado"/>
        <w:jc w:val="center"/>
        <w:rPr>
          <w:rFonts w:ascii="Times New Roman" w:hAnsi="Times New Roman" w:cs="Times New Roman"/>
          <w:b/>
        </w:rPr>
      </w:pPr>
      <w:r w:rsidRPr="001E5527">
        <w:rPr>
          <w:rFonts w:ascii="Times New Roman" w:hAnsi="Times New Roman" w:cs="Times New Roman"/>
          <w:b/>
        </w:rPr>
        <w:t>Empresas Privadas Receptoras</w:t>
      </w:r>
    </w:p>
    <w:p w14:paraId="0F3868D5" w14:textId="77777777" w:rsidR="00B218D0" w:rsidRDefault="00B218D0" w:rsidP="00B218D0">
      <w:pPr>
        <w:pStyle w:val="Sinespaciado"/>
        <w:jc w:val="center"/>
        <w:rPr>
          <w:rFonts w:ascii="Times New Roman" w:hAnsi="Times New Roman" w:cs="Times New Roman"/>
          <w:sz w:val="20"/>
        </w:rPr>
      </w:pPr>
      <w:r w:rsidRPr="001E5527">
        <w:rPr>
          <w:rFonts w:ascii="Times New Roman" w:hAnsi="Times New Roman" w:cs="Times New Roman"/>
          <w:sz w:val="20"/>
        </w:rPr>
        <w:t>Cifras en millones de quetzales</w:t>
      </w:r>
    </w:p>
    <w:p w14:paraId="021A7D1D" w14:textId="77777777" w:rsidR="00B218D0" w:rsidRPr="001E5527" w:rsidRDefault="00B218D0" w:rsidP="00B218D0">
      <w:pPr>
        <w:pStyle w:val="Sinespaciado"/>
        <w:jc w:val="center"/>
        <w:rPr>
          <w:rFonts w:ascii="Times New Roman" w:hAnsi="Times New Roman" w:cs="Times New Roman"/>
          <w:sz w:val="14"/>
        </w:rPr>
      </w:pPr>
      <w:r w:rsidRPr="00A1643B">
        <w:rPr>
          <w:noProof/>
          <w:lang w:eastAsia="es-GT"/>
        </w:rPr>
        <w:drawing>
          <wp:inline distT="0" distB="0" distL="0" distR="0" wp14:anchorId="7C30B960" wp14:editId="00D2F3EA">
            <wp:extent cx="2975892" cy="116205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0515" cy="1171665"/>
                    </a:xfrm>
                    <a:prstGeom prst="rect">
                      <a:avLst/>
                    </a:prstGeom>
                    <a:noFill/>
                    <a:ln>
                      <a:noFill/>
                    </a:ln>
                  </pic:spPr>
                </pic:pic>
              </a:graphicData>
            </a:graphic>
          </wp:inline>
        </w:drawing>
      </w:r>
    </w:p>
    <w:p w14:paraId="553E7159" w14:textId="4D3E6AD2" w:rsidR="00B218D0" w:rsidRPr="005334BA" w:rsidRDefault="00B218D0" w:rsidP="00B218D0">
      <w:pPr>
        <w:pStyle w:val="Textodeglobo"/>
        <w:jc w:val="both"/>
        <w:rPr>
          <w:rFonts w:ascii="Times New Roman" w:hAnsi="Times New Roman" w:cs="Times New Roman"/>
          <w:color w:val="FF0000"/>
          <w:sz w:val="24"/>
          <w:szCs w:val="22"/>
        </w:rPr>
      </w:pPr>
      <w:r w:rsidRPr="001E5527">
        <w:rPr>
          <w:rFonts w:ascii="Times New Roman" w:hAnsi="Times New Roman" w:cs="Times New Roman"/>
          <w:sz w:val="14"/>
          <w:szCs w:val="18"/>
        </w:rPr>
        <w:t>Fuente: SICOIN</w:t>
      </w:r>
    </w:p>
    <w:p w14:paraId="16F34A58" w14:textId="77777777" w:rsidR="00CE5240" w:rsidRPr="005334BA" w:rsidRDefault="00CE5240" w:rsidP="0071038C">
      <w:pPr>
        <w:pStyle w:val="Sinespaciado"/>
        <w:rPr>
          <w:rFonts w:ascii="Times New Roman" w:hAnsi="Times New Roman" w:cs="Times New Roman"/>
          <w:color w:val="FF0000"/>
          <w:sz w:val="12"/>
          <w:szCs w:val="18"/>
        </w:rPr>
        <w:sectPr w:rsidR="00CE5240" w:rsidRPr="005334BA" w:rsidSect="0071038C">
          <w:type w:val="continuous"/>
          <w:pgSz w:w="12240" w:h="15840"/>
          <w:pgMar w:top="1417" w:right="1701" w:bottom="1417" w:left="1701" w:header="708" w:footer="708" w:gutter="0"/>
          <w:cols w:num="2" w:space="708"/>
          <w:docGrid w:linePitch="360"/>
        </w:sectPr>
      </w:pPr>
    </w:p>
    <w:p w14:paraId="4F92611A" w14:textId="77777777" w:rsidR="00776700" w:rsidRPr="005334BA" w:rsidRDefault="00776700" w:rsidP="00776700">
      <w:pPr>
        <w:pStyle w:val="Sinespaciado"/>
        <w:ind w:right="213"/>
        <w:rPr>
          <w:rFonts w:ascii="Times New Roman" w:hAnsi="Times New Roman" w:cs="Times New Roman"/>
          <w:color w:val="FF0000"/>
          <w:sz w:val="8"/>
        </w:rPr>
      </w:pPr>
    </w:p>
    <w:p w14:paraId="3DA3F17F" w14:textId="77777777" w:rsidR="00776700" w:rsidRPr="005334BA" w:rsidRDefault="00776700" w:rsidP="00776700">
      <w:pPr>
        <w:spacing w:after="0"/>
        <w:rPr>
          <w:rFonts w:ascii="Times New Roman" w:hAnsi="Times New Roman" w:cs="Times New Roman"/>
          <w:color w:val="FF0000"/>
          <w:sz w:val="14"/>
        </w:rPr>
        <w:sectPr w:rsidR="00776700" w:rsidRPr="005334BA" w:rsidSect="00960BE9">
          <w:type w:val="continuous"/>
          <w:pgSz w:w="12240" w:h="15840"/>
          <w:pgMar w:top="1417" w:right="1701" w:bottom="1417" w:left="1701" w:header="708" w:footer="708" w:gutter="0"/>
          <w:cols w:space="708"/>
          <w:docGrid w:linePitch="360"/>
        </w:sectPr>
      </w:pPr>
    </w:p>
    <w:p w14:paraId="557460D0" w14:textId="77777777" w:rsidR="008E00B7" w:rsidRPr="00721A61" w:rsidRDefault="00776700"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721A61">
        <w:rPr>
          <w:rFonts w:ascii="Times New Roman" w:hAnsi="Times New Roman" w:cs="Times New Roman"/>
          <w:b/>
          <w:color w:val="FFFFFF" w:themeColor="background1"/>
          <w:sz w:val="24"/>
          <w:szCs w:val="24"/>
        </w:rPr>
        <w:t>Ambientes macroeconómicos (externo e interno)</w:t>
      </w:r>
    </w:p>
    <w:p w14:paraId="6CB2F6EF" w14:textId="77777777" w:rsidR="00776700" w:rsidRPr="005334BA" w:rsidRDefault="00776700" w:rsidP="00C76B98">
      <w:pPr>
        <w:pStyle w:val="Sinespaciado"/>
        <w:rPr>
          <w:rFonts w:ascii="Times New Roman" w:hAnsi="Times New Roman" w:cs="Times New Roman"/>
          <w:color w:val="FF0000"/>
          <w:sz w:val="18"/>
          <w:szCs w:val="18"/>
        </w:rPr>
      </w:pPr>
    </w:p>
    <w:p w14:paraId="28B813D4" w14:textId="77777777" w:rsidR="00776700" w:rsidRPr="005334BA" w:rsidRDefault="00776700" w:rsidP="00776700">
      <w:pPr>
        <w:spacing w:after="0"/>
        <w:rPr>
          <w:rFonts w:ascii="Times New Roman" w:hAnsi="Times New Roman" w:cs="Times New Roman"/>
          <w:color w:val="FF0000"/>
          <w:sz w:val="18"/>
        </w:rPr>
        <w:sectPr w:rsidR="00776700" w:rsidRPr="005334BA" w:rsidSect="00960BE9">
          <w:headerReference w:type="default" r:id="rId49"/>
          <w:footerReference w:type="default" r:id="rId50"/>
          <w:type w:val="continuous"/>
          <w:pgSz w:w="12240" w:h="15840"/>
          <w:pgMar w:top="1417" w:right="1701" w:bottom="1417" w:left="1701" w:header="708" w:footer="708" w:gutter="0"/>
          <w:cols w:space="708"/>
          <w:docGrid w:linePitch="360"/>
        </w:sectPr>
      </w:pPr>
    </w:p>
    <w:p w14:paraId="7012E521" w14:textId="3C0492D9" w:rsidR="00FC0ED3" w:rsidRPr="00215D81" w:rsidRDefault="00993EED" w:rsidP="00993EED">
      <w:pPr>
        <w:pStyle w:val="Textodeglobo"/>
        <w:jc w:val="both"/>
        <w:rPr>
          <w:rFonts w:ascii="Times New Roman" w:hAnsi="Times New Roman" w:cs="Times New Roman"/>
          <w:sz w:val="22"/>
          <w:szCs w:val="22"/>
        </w:rPr>
      </w:pPr>
      <w:r w:rsidRPr="00993EED">
        <w:rPr>
          <w:rFonts w:ascii="Times New Roman" w:hAnsi="Times New Roman" w:cs="Times New Roman"/>
          <w:sz w:val="22"/>
          <w:szCs w:val="22"/>
        </w:rPr>
        <w:t>Este mes el Fondo Monetario internacional (FMI) publicó una actualización de sus proyecciones de la economía global, en donde reveló que tendría un crecimiento menor al esperado a inicio del año; el crecimiento global</w:t>
      </w:r>
      <w:r w:rsidR="00215D81">
        <w:rPr>
          <w:rFonts w:ascii="Times New Roman" w:hAnsi="Times New Roman" w:cs="Times New Roman"/>
          <w:sz w:val="22"/>
          <w:szCs w:val="22"/>
        </w:rPr>
        <w:t xml:space="preserve"> para </w:t>
      </w:r>
      <w:r w:rsidR="00215D81" w:rsidRPr="00993EED">
        <w:rPr>
          <w:rFonts w:ascii="Times New Roman" w:hAnsi="Times New Roman" w:cs="Times New Roman"/>
          <w:sz w:val="22"/>
          <w:szCs w:val="22"/>
        </w:rPr>
        <w:t>este año</w:t>
      </w:r>
      <w:r w:rsidRPr="00993EED">
        <w:rPr>
          <w:rFonts w:ascii="Times New Roman" w:hAnsi="Times New Roman" w:cs="Times New Roman"/>
          <w:sz w:val="22"/>
          <w:szCs w:val="22"/>
        </w:rPr>
        <w:t xml:space="preserve"> sería de hasta 3.2%, menor a la proyección de abril, cuando esperaba un crecimiento del PIB mundial de 3.6%, atribuido principalmente a los actuales riegos globales, los cuales ya habían sido advertidos </w:t>
      </w:r>
      <w:r w:rsidRPr="00215D81">
        <w:rPr>
          <w:rFonts w:ascii="Times New Roman" w:hAnsi="Times New Roman" w:cs="Times New Roman"/>
          <w:sz w:val="22"/>
          <w:szCs w:val="22"/>
        </w:rPr>
        <w:t>anteriormente.</w:t>
      </w:r>
    </w:p>
    <w:p w14:paraId="14558C82" w14:textId="12B2E66E" w:rsidR="00721A61" w:rsidRPr="00215D81" w:rsidRDefault="00721A61" w:rsidP="00FC0ED3">
      <w:pPr>
        <w:pStyle w:val="Textodeglobo"/>
        <w:jc w:val="both"/>
        <w:rPr>
          <w:rFonts w:ascii="Times New Roman" w:hAnsi="Times New Roman" w:cs="Times New Roman"/>
          <w:sz w:val="22"/>
          <w:szCs w:val="22"/>
        </w:rPr>
      </w:pPr>
    </w:p>
    <w:p w14:paraId="6307500A" w14:textId="1BCC3A08" w:rsidR="00993EED" w:rsidRPr="00215D81" w:rsidRDefault="00993EED" w:rsidP="00993EED">
      <w:pPr>
        <w:pStyle w:val="Textodeglobo"/>
        <w:jc w:val="both"/>
        <w:rPr>
          <w:rFonts w:ascii="Times New Roman" w:hAnsi="Times New Roman" w:cs="Times New Roman"/>
          <w:sz w:val="22"/>
          <w:szCs w:val="22"/>
        </w:rPr>
      </w:pPr>
      <w:r w:rsidRPr="00215D81">
        <w:rPr>
          <w:rFonts w:ascii="Times New Roman" w:hAnsi="Times New Roman" w:cs="Times New Roman"/>
          <w:sz w:val="22"/>
          <w:szCs w:val="22"/>
        </w:rPr>
        <w:t>El</w:t>
      </w:r>
      <w:r w:rsidR="00215D81" w:rsidRPr="00215D81">
        <w:rPr>
          <w:rFonts w:ascii="Times New Roman" w:hAnsi="Times New Roman" w:cs="Times New Roman"/>
          <w:sz w:val="22"/>
          <w:szCs w:val="22"/>
        </w:rPr>
        <w:t xml:space="preserve"> FMI</w:t>
      </w:r>
      <w:r w:rsidR="00421FDB">
        <w:rPr>
          <w:rFonts w:ascii="Times New Roman" w:hAnsi="Times New Roman" w:cs="Times New Roman"/>
          <w:sz w:val="22"/>
          <w:szCs w:val="22"/>
        </w:rPr>
        <w:t xml:space="preserve"> indicó</w:t>
      </w:r>
      <w:r w:rsidRPr="00215D81">
        <w:rPr>
          <w:rFonts w:ascii="Times New Roman" w:hAnsi="Times New Roman" w:cs="Times New Roman"/>
          <w:sz w:val="22"/>
          <w:szCs w:val="22"/>
        </w:rPr>
        <w:t xml:space="preserve"> que las grandes economías de Europa se están resintiendo más de lo esperado por culpa de los efectos colaterales </w:t>
      </w:r>
      <w:r w:rsidR="00421FDB">
        <w:rPr>
          <w:rFonts w:ascii="Times New Roman" w:hAnsi="Times New Roman" w:cs="Times New Roman"/>
          <w:sz w:val="22"/>
          <w:szCs w:val="22"/>
        </w:rPr>
        <w:t>de la invasión rusa en Ucrania, p</w:t>
      </w:r>
      <w:r w:rsidRPr="00215D81">
        <w:rPr>
          <w:rFonts w:ascii="Times New Roman" w:hAnsi="Times New Roman" w:cs="Times New Roman"/>
          <w:sz w:val="22"/>
          <w:szCs w:val="22"/>
        </w:rPr>
        <w:t>or</w:t>
      </w:r>
      <w:r w:rsidR="00215D81" w:rsidRPr="00215D81">
        <w:rPr>
          <w:rFonts w:ascii="Times New Roman" w:hAnsi="Times New Roman" w:cs="Times New Roman"/>
          <w:sz w:val="22"/>
          <w:szCs w:val="22"/>
        </w:rPr>
        <w:t xml:space="preserve"> ello, redujo </w:t>
      </w:r>
      <w:r w:rsidRPr="00215D81">
        <w:rPr>
          <w:rFonts w:ascii="Times New Roman" w:hAnsi="Times New Roman" w:cs="Times New Roman"/>
          <w:sz w:val="22"/>
          <w:szCs w:val="22"/>
        </w:rPr>
        <w:t>sus previsiones para la zona euro en dos</w:t>
      </w:r>
      <w:r w:rsidR="00421FDB">
        <w:rPr>
          <w:rFonts w:ascii="Times New Roman" w:hAnsi="Times New Roman" w:cs="Times New Roman"/>
          <w:sz w:val="22"/>
          <w:szCs w:val="22"/>
        </w:rPr>
        <w:t xml:space="preserve"> décimas para</w:t>
      </w:r>
      <w:r w:rsidRPr="00215D81">
        <w:rPr>
          <w:rFonts w:ascii="Times New Roman" w:hAnsi="Times New Roman" w:cs="Times New Roman"/>
          <w:sz w:val="22"/>
          <w:szCs w:val="22"/>
        </w:rPr>
        <w:t xml:space="preserve"> 2022, hasta el 2.6% y en 1.1 puntos para 2023, año en el que ahora augura un crecimiento de sólo el 1.2% para los países de la moneda única.</w:t>
      </w:r>
      <w:r w:rsidR="00215D81" w:rsidRPr="00215D81">
        <w:rPr>
          <w:rFonts w:ascii="Times New Roman" w:hAnsi="Times New Roman" w:cs="Times New Roman"/>
          <w:sz w:val="22"/>
          <w:szCs w:val="22"/>
        </w:rPr>
        <w:t xml:space="preserve"> T</w:t>
      </w:r>
      <w:r w:rsidR="00421FDB">
        <w:rPr>
          <w:rFonts w:ascii="Times New Roman" w:hAnsi="Times New Roman" w:cs="Times New Roman"/>
          <w:sz w:val="22"/>
          <w:szCs w:val="22"/>
        </w:rPr>
        <w:t>ambién empeoran</w:t>
      </w:r>
      <w:r w:rsidRPr="00215D81">
        <w:rPr>
          <w:rFonts w:ascii="Times New Roman" w:hAnsi="Times New Roman" w:cs="Times New Roman"/>
          <w:sz w:val="22"/>
          <w:szCs w:val="22"/>
        </w:rPr>
        <w:t xml:space="preserve"> las previsiones para la principal economía europea, Alemania, sólo crecerá el 1.2% este año (nueve décimas por debajo d</w:t>
      </w:r>
      <w:r w:rsidR="00215D81" w:rsidRPr="00215D81">
        <w:rPr>
          <w:rFonts w:ascii="Times New Roman" w:hAnsi="Times New Roman" w:cs="Times New Roman"/>
          <w:sz w:val="22"/>
          <w:szCs w:val="22"/>
        </w:rPr>
        <w:t>e la anterior previsión) y el 0.</w:t>
      </w:r>
      <w:r w:rsidRPr="00215D81">
        <w:rPr>
          <w:rFonts w:ascii="Times New Roman" w:hAnsi="Times New Roman" w:cs="Times New Roman"/>
          <w:sz w:val="22"/>
          <w:szCs w:val="22"/>
        </w:rPr>
        <w:t>8% en 2023 (1.9% menos).</w:t>
      </w:r>
    </w:p>
    <w:p w14:paraId="2A96832D" w14:textId="77777777" w:rsidR="00993EED" w:rsidRPr="00215D81" w:rsidRDefault="00993EED" w:rsidP="00993EED">
      <w:pPr>
        <w:pStyle w:val="Textodeglobo"/>
        <w:jc w:val="both"/>
        <w:rPr>
          <w:rFonts w:ascii="Times New Roman" w:hAnsi="Times New Roman" w:cs="Times New Roman"/>
          <w:sz w:val="22"/>
          <w:szCs w:val="22"/>
        </w:rPr>
      </w:pPr>
    </w:p>
    <w:p w14:paraId="7E7A73C6" w14:textId="65478A85" w:rsidR="00993EED" w:rsidRPr="00215D81" w:rsidRDefault="00993EED" w:rsidP="00993EED">
      <w:pPr>
        <w:pStyle w:val="Textodeglobo"/>
        <w:jc w:val="both"/>
        <w:rPr>
          <w:rFonts w:ascii="Times New Roman" w:hAnsi="Times New Roman" w:cs="Times New Roman"/>
          <w:sz w:val="22"/>
          <w:szCs w:val="22"/>
        </w:rPr>
      </w:pPr>
      <w:r w:rsidRPr="00215D81">
        <w:rPr>
          <w:rFonts w:ascii="Times New Roman" w:hAnsi="Times New Roman" w:cs="Times New Roman"/>
          <w:sz w:val="22"/>
          <w:szCs w:val="22"/>
        </w:rPr>
        <w:t>La primera economía mundial, Estados Unidos, sufre una importa</w:t>
      </w:r>
      <w:r w:rsidR="00215D81" w:rsidRPr="00215D81">
        <w:rPr>
          <w:rFonts w:ascii="Times New Roman" w:hAnsi="Times New Roman" w:cs="Times New Roman"/>
          <w:sz w:val="22"/>
          <w:szCs w:val="22"/>
        </w:rPr>
        <w:t>nte revisión en las previsiones, par</w:t>
      </w:r>
      <w:r w:rsidR="008F5AEA">
        <w:rPr>
          <w:rFonts w:ascii="Times New Roman" w:hAnsi="Times New Roman" w:cs="Times New Roman"/>
          <w:sz w:val="22"/>
          <w:szCs w:val="22"/>
        </w:rPr>
        <w:t>a</w:t>
      </w:r>
      <w:r w:rsidR="00215D81" w:rsidRPr="00215D81">
        <w:rPr>
          <w:rFonts w:ascii="Times New Roman" w:hAnsi="Times New Roman" w:cs="Times New Roman"/>
          <w:sz w:val="22"/>
          <w:szCs w:val="22"/>
        </w:rPr>
        <w:t xml:space="preserve"> este año quedaría un crecimiento de </w:t>
      </w:r>
      <w:r w:rsidRPr="00215D81">
        <w:rPr>
          <w:rFonts w:ascii="Times New Roman" w:hAnsi="Times New Roman" w:cs="Times New Roman"/>
          <w:sz w:val="22"/>
          <w:szCs w:val="22"/>
        </w:rPr>
        <w:t xml:space="preserve">2.3% y 1% </w:t>
      </w:r>
      <w:r w:rsidR="00215D81" w:rsidRPr="00215D81">
        <w:rPr>
          <w:rFonts w:ascii="Times New Roman" w:hAnsi="Times New Roman" w:cs="Times New Roman"/>
          <w:sz w:val="22"/>
          <w:szCs w:val="22"/>
        </w:rPr>
        <w:t>para el 2023</w:t>
      </w:r>
      <w:r w:rsidRPr="00215D81">
        <w:rPr>
          <w:rFonts w:ascii="Times New Roman" w:hAnsi="Times New Roman" w:cs="Times New Roman"/>
          <w:sz w:val="22"/>
          <w:szCs w:val="22"/>
        </w:rPr>
        <w:t xml:space="preserve">, 1.4% y 1.3% menos que </w:t>
      </w:r>
      <w:r w:rsidR="00215D81" w:rsidRPr="00215D81">
        <w:rPr>
          <w:rFonts w:ascii="Times New Roman" w:hAnsi="Times New Roman" w:cs="Times New Roman"/>
          <w:sz w:val="22"/>
          <w:szCs w:val="22"/>
        </w:rPr>
        <w:t>en sus estimaciones anteriores. L</w:t>
      </w:r>
      <w:r w:rsidRPr="00215D81">
        <w:rPr>
          <w:rFonts w:ascii="Times New Roman" w:hAnsi="Times New Roman" w:cs="Times New Roman"/>
          <w:sz w:val="22"/>
          <w:szCs w:val="22"/>
        </w:rPr>
        <w:t>a segunda gran economía del mundo, China, crecerá 3.3% este año (1.1% menos de lo anteriormente</w:t>
      </w:r>
      <w:r w:rsidR="00215D81" w:rsidRPr="00215D81">
        <w:rPr>
          <w:rFonts w:ascii="Times New Roman" w:hAnsi="Times New Roman" w:cs="Times New Roman"/>
          <w:sz w:val="22"/>
          <w:szCs w:val="22"/>
        </w:rPr>
        <w:t xml:space="preserve"> calculado) y el 4.6% el 2023</w:t>
      </w:r>
      <w:r w:rsidRPr="00215D81">
        <w:rPr>
          <w:rFonts w:ascii="Times New Roman" w:hAnsi="Times New Roman" w:cs="Times New Roman"/>
          <w:sz w:val="22"/>
          <w:szCs w:val="22"/>
        </w:rPr>
        <w:t>, medio punto menos.</w:t>
      </w:r>
    </w:p>
    <w:p w14:paraId="4803BCFD" w14:textId="569ED789" w:rsidR="00993EED" w:rsidRPr="00215D81" w:rsidRDefault="00993EED" w:rsidP="00993EED">
      <w:pPr>
        <w:pStyle w:val="Textodeglobo"/>
        <w:jc w:val="both"/>
        <w:rPr>
          <w:rFonts w:ascii="Times New Roman" w:hAnsi="Times New Roman" w:cs="Times New Roman"/>
          <w:sz w:val="22"/>
          <w:szCs w:val="22"/>
        </w:rPr>
      </w:pPr>
    </w:p>
    <w:p w14:paraId="26BF8959" w14:textId="10F0CFE5" w:rsidR="00993EED" w:rsidRDefault="00993EED" w:rsidP="00993EED">
      <w:pPr>
        <w:pStyle w:val="Textodeglobo"/>
        <w:jc w:val="both"/>
        <w:rPr>
          <w:rFonts w:ascii="Times New Roman" w:hAnsi="Times New Roman" w:cs="Times New Roman"/>
          <w:sz w:val="22"/>
          <w:szCs w:val="22"/>
        </w:rPr>
      </w:pPr>
      <w:r w:rsidRPr="00215D81">
        <w:rPr>
          <w:rFonts w:ascii="Times New Roman" w:hAnsi="Times New Roman" w:cs="Times New Roman"/>
          <w:sz w:val="22"/>
          <w:szCs w:val="22"/>
        </w:rPr>
        <w:t xml:space="preserve">Latinoamérica es de las pocas regiones que ve mejorada la previsión del Fondo para este año, </w:t>
      </w:r>
      <w:r w:rsidRPr="00215D81">
        <w:rPr>
          <w:rFonts w:ascii="Times New Roman" w:hAnsi="Times New Roman" w:cs="Times New Roman"/>
          <w:sz w:val="22"/>
          <w:szCs w:val="22"/>
        </w:rPr>
        <w:t>que se sitúa ahora en el 3%, medio punto más, aunque empeora la de 2023, año en el que se calcula un av</w:t>
      </w:r>
      <w:r w:rsidR="00215D81" w:rsidRPr="00215D81">
        <w:rPr>
          <w:rFonts w:ascii="Times New Roman" w:hAnsi="Times New Roman" w:cs="Times New Roman"/>
          <w:sz w:val="22"/>
          <w:szCs w:val="22"/>
        </w:rPr>
        <w:t xml:space="preserve">ance del 2%, medio punto menos.  Las dos principales economías </w:t>
      </w:r>
      <w:r w:rsidRPr="00215D81">
        <w:rPr>
          <w:rFonts w:ascii="Times New Roman" w:hAnsi="Times New Roman" w:cs="Times New Roman"/>
          <w:sz w:val="22"/>
          <w:szCs w:val="22"/>
        </w:rPr>
        <w:t xml:space="preserve">latinoamericanas, Brasil y México, mejoran las previsiones de este </w:t>
      </w:r>
      <w:r w:rsidR="00215D81" w:rsidRPr="00215D81">
        <w:rPr>
          <w:rFonts w:ascii="Times New Roman" w:hAnsi="Times New Roman" w:cs="Times New Roman"/>
          <w:sz w:val="22"/>
          <w:szCs w:val="22"/>
        </w:rPr>
        <w:t>año,</w:t>
      </w:r>
      <w:r w:rsidRPr="00215D81">
        <w:rPr>
          <w:rFonts w:ascii="Times New Roman" w:hAnsi="Times New Roman" w:cs="Times New Roman"/>
          <w:sz w:val="22"/>
          <w:szCs w:val="22"/>
        </w:rPr>
        <w:t xml:space="preserve"> aunque ti</w:t>
      </w:r>
      <w:r w:rsidR="00215D81" w:rsidRPr="00215D81">
        <w:rPr>
          <w:rFonts w:ascii="Times New Roman" w:hAnsi="Times New Roman" w:cs="Times New Roman"/>
          <w:sz w:val="22"/>
          <w:szCs w:val="22"/>
        </w:rPr>
        <w:t>enen peor estimación para 2023.  En Brasil la economía crecerá</w:t>
      </w:r>
      <w:r w:rsidRPr="00215D81">
        <w:rPr>
          <w:rFonts w:ascii="Times New Roman" w:hAnsi="Times New Roman" w:cs="Times New Roman"/>
          <w:sz w:val="22"/>
          <w:szCs w:val="22"/>
        </w:rPr>
        <w:t xml:space="preserve"> 1.7% este</w:t>
      </w:r>
      <w:r w:rsidR="00215D81" w:rsidRPr="00215D81">
        <w:rPr>
          <w:rFonts w:ascii="Times New Roman" w:hAnsi="Times New Roman" w:cs="Times New Roman"/>
          <w:sz w:val="22"/>
          <w:szCs w:val="22"/>
        </w:rPr>
        <w:t xml:space="preserve"> año, nueve décimas más, y el 1.</w:t>
      </w:r>
      <w:r w:rsidRPr="00215D81">
        <w:rPr>
          <w:rFonts w:ascii="Times New Roman" w:hAnsi="Times New Roman" w:cs="Times New Roman"/>
          <w:sz w:val="22"/>
          <w:szCs w:val="22"/>
        </w:rPr>
        <w:t xml:space="preserve">1% el que viene, tres décimas menos, mientras que el avance de México será del 2.4% este año (cuatro décimas </w:t>
      </w:r>
      <w:r w:rsidR="00215D81" w:rsidRPr="00215D81">
        <w:rPr>
          <w:rFonts w:ascii="Times New Roman" w:hAnsi="Times New Roman" w:cs="Times New Roman"/>
          <w:sz w:val="22"/>
          <w:szCs w:val="22"/>
        </w:rPr>
        <w:t>más) y del 1.2% el que viene (1.</w:t>
      </w:r>
      <w:r w:rsidRPr="00215D81">
        <w:rPr>
          <w:rFonts w:ascii="Times New Roman" w:hAnsi="Times New Roman" w:cs="Times New Roman"/>
          <w:sz w:val="22"/>
          <w:szCs w:val="22"/>
        </w:rPr>
        <w:t>3 puntos menos).</w:t>
      </w:r>
    </w:p>
    <w:p w14:paraId="01643114" w14:textId="77777777" w:rsidR="00215D81" w:rsidRPr="00215D81" w:rsidRDefault="00215D81" w:rsidP="00993EED">
      <w:pPr>
        <w:pStyle w:val="Textodeglobo"/>
        <w:jc w:val="both"/>
        <w:rPr>
          <w:rFonts w:ascii="Times New Roman" w:hAnsi="Times New Roman" w:cs="Times New Roman"/>
          <w:sz w:val="22"/>
          <w:szCs w:val="22"/>
        </w:rPr>
      </w:pPr>
    </w:p>
    <w:p w14:paraId="1FED2178" w14:textId="547F311F" w:rsidR="00FC0ED3" w:rsidRPr="00721A61" w:rsidRDefault="00721A61" w:rsidP="00721A61">
      <w:pPr>
        <w:pStyle w:val="Textodeglobo"/>
        <w:jc w:val="center"/>
        <w:rPr>
          <w:rFonts w:ascii="Times New Roman" w:hAnsi="Times New Roman" w:cs="Times New Roman"/>
          <w:b/>
          <w:sz w:val="22"/>
          <w:szCs w:val="22"/>
        </w:rPr>
      </w:pPr>
      <w:r w:rsidRPr="00721A61">
        <w:rPr>
          <w:rFonts w:ascii="Times New Roman" w:hAnsi="Times New Roman" w:cs="Times New Roman"/>
          <w:b/>
          <w:sz w:val="22"/>
          <w:szCs w:val="22"/>
        </w:rPr>
        <w:t>Perspectivas de la economía mundial, Fondo Monetario Internacional</w:t>
      </w:r>
    </w:p>
    <w:p w14:paraId="2E8C45A9" w14:textId="2F277FFF" w:rsidR="00721A61" w:rsidRPr="00721A61" w:rsidRDefault="00721A61" w:rsidP="00721A61">
      <w:pPr>
        <w:pStyle w:val="Textodeglobo"/>
        <w:jc w:val="center"/>
        <w:rPr>
          <w:rFonts w:ascii="Times New Roman" w:hAnsi="Times New Roman" w:cs="Times New Roman"/>
          <w:sz w:val="20"/>
          <w:szCs w:val="22"/>
        </w:rPr>
      </w:pPr>
      <w:r w:rsidRPr="00721A61">
        <w:rPr>
          <w:rFonts w:ascii="Times New Roman" w:hAnsi="Times New Roman" w:cs="Times New Roman"/>
          <w:sz w:val="20"/>
          <w:szCs w:val="22"/>
        </w:rPr>
        <w:t>PIB real, variación porcentual anual</w:t>
      </w:r>
    </w:p>
    <w:p w14:paraId="30DB0115" w14:textId="651E806E" w:rsidR="00721A61" w:rsidRDefault="00721A61" w:rsidP="00FC0ED3">
      <w:pPr>
        <w:pStyle w:val="Textodeglobo"/>
        <w:jc w:val="both"/>
        <w:rPr>
          <w:rFonts w:ascii="Times New Roman" w:hAnsi="Times New Roman" w:cs="Times New Roman"/>
          <w:color w:val="FF0000"/>
          <w:sz w:val="18"/>
          <w:szCs w:val="22"/>
        </w:rPr>
      </w:pPr>
      <w:r w:rsidRPr="00721A61">
        <w:rPr>
          <w:noProof/>
          <w:lang w:eastAsia="es-GT"/>
        </w:rPr>
        <w:drawing>
          <wp:inline distT="0" distB="0" distL="0" distR="0" wp14:anchorId="226FBAC2" wp14:editId="502F70CF">
            <wp:extent cx="2580581" cy="23717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7854" cy="2396791"/>
                    </a:xfrm>
                    <a:prstGeom prst="rect">
                      <a:avLst/>
                    </a:prstGeom>
                    <a:noFill/>
                    <a:ln>
                      <a:noFill/>
                    </a:ln>
                  </pic:spPr>
                </pic:pic>
              </a:graphicData>
            </a:graphic>
          </wp:inline>
        </w:drawing>
      </w:r>
    </w:p>
    <w:p w14:paraId="6688E400" w14:textId="506CA198" w:rsidR="00721A61" w:rsidRPr="00721A61" w:rsidRDefault="00721A61" w:rsidP="00FC0ED3">
      <w:pPr>
        <w:pStyle w:val="Textodeglobo"/>
        <w:jc w:val="both"/>
        <w:rPr>
          <w:rFonts w:ascii="Times New Roman" w:hAnsi="Times New Roman" w:cs="Times New Roman"/>
          <w:szCs w:val="22"/>
        </w:rPr>
      </w:pPr>
      <w:r w:rsidRPr="00721A61">
        <w:rPr>
          <w:rFonts w:ascii="Times New Roman" w:hAnsi="Times New Roman" w:cs="Times New Roman"/>
          <w:szCs w:val="22"/>
        </w:rPr>
        <w:t>Fuente: FMI, actualización de Perspectivas de la economía mundial, julio de 2022.</w:t>
      </w:r>
    </w:p>
    <w:p w14:paraId="04C61B85" w14:textId="77777777" w:rsidR="00721A61" w:rsidRPr="00CE5240" w:rsidRDefault="00721A61" w:rsidP="00FC0ED3">
      <w:pPr>
        <w:pStyle w:val="Textodeglobo"/>
        <w:jc w:val="both"/>
        <w:rPr>
          <w:rFonts w:ascii="Times New Roman" w:hAnsi="Times New Roman" w:cs="Times New Roman"/>
          <w:color w:val="FF0000"/>
          <w:sz w:val="10"/>
          <w:szCs w:val="22"/>
        </w:rPr>
      </w:pPr>
    </w:p>
    <w:p w14:paraId="06761074" w14:textId="5BF1B8D6" w:rsidR="00FC0ED3" w:rsidRDefault="007876AF" w:rsidP="00D43859">
      <w:pPr>
        <w:pStyle w:val="Textodeglobo"/>
        <w:jc w:val="both"/>
        <w:rPr>
          <w:rFonts w:ascii="Times New Roman" w:hAnsi="Times New Roman" w:cs="Times New Roman"/>
          <w:sz w:val="22"/>
          <w:szCs w:val="22"/>
        </w:rPr>
      </w:pPr>
      <w:r>
        <w:rPr>
          <w:rFonts w:ascii="Times New Roman" w:hAnsi="Times New Roman" w:cs="Times New Roman"/>
          <w:sz w:val="22"/>
          <w:szCs w:val="22"/>
        </w:rPr>
        <w:t>E</w:t>
      </w:r>
      <w:r w:rsidR="00421FDB" w:rsidRPr="00D43859">
        <w:rPr>
          <w:rFonts w:ascii="Times New Roman" w:hAnsi="Times New Roman" w:cs="Times New Roman"/>
          <w:sz w:val="22"/>
          <w:szCs w:val="22"/>
        </w:rPr>
        <w:t xml:space="preserve">ntre lo más relevante acontecido en julio, se destaca la decisión de la Reserva Federal de Estados Unidos de aumentar los tipos de interés en tres cuartos de punto, hasta dejarlos entre 2% y 2.25%, como estrategia para frenar </w:t>
      </w:r>
      <w:r w:rsidR="00421FDB" w:rsidRPr="00D43859">
        <w:rPr>
          <w:rFonts w:ascii="Times New Roman" w:hAnsi="Times New Roman" w:cs="Times New Roman"/>
          <w:sz w:val="22"/>
          <w:szCs w:val="22"/>
        </w:rPr>
        <w:lastRenderedPageBreak/>
        <w:t>las actuales presiones inflacionarias.  Dicha decisión se dio junto con la publicación de las cifras del PIB correspondiente</w:t>
      </w:r>
      <w:r w:rsidR="00D43859" w:rsidRPr="00D43859">
        <w:rPr>
          <w:rFonts w:ascii="Times New Roman" w:hAnsi="Times New Roman" w:cs="Times New Roman"/>
          <w:sz w:val="22"/>
          <w:szCs w:val="22"/>
        </w:rPr>
        <w:t>s</w:t>
      </w:r>
      <w:r w:rsidR="00421FDB" w:rsidRPr="00D43859">
        <w:rPr>
          <w:rFonts w:ascii="Times New Roman" w:hAnsi="Times New Roman" w:cs="Times New Roman"/>
          <w:sz w:val="22"/>
          <w:szCs w:val="22"/>
        </w:rPr>
        <w:t xml:space="preserve"> al segundo trimestre, </w:t>
      </w:r>
      <w:r w:rsidR="00D43859" w:rsidRPr="00D43859">
        <w:rPr>
          <w:rFonts w:ascii="Times New Roman" w:hAnsi="Times New Roman" w:cs="Times New Roman"/>
          <w:sz w:val="22"/>
          <w:szCs w:val="22"/>
        </w:rPr>
        <w:t>que mostraron una disminución del 0.2% en un contexto de inflación desbocada y de crisis global derivada de la guerra de Ucrania.  El PIB de Estados Unidos encadena así dos trimestres de caídas, según confirma el dato publicado por la Oficina de Estadísticas Laborales (BEA), lo que tradicionalmente se considera una recesión técnica.</w:t>
      </w:r>
    </w:p>
    <w:p w14:paraId="4D6423B5" w14:textId="3C212256" w:rsidR="00D43859" w:rsidRPr="00CE5240" w:rsidRDefault="00D43859" w:rsidP="00D43859">
      <w:pPr>
        <w:pStyle w:val="Textodeglobo"/>
        <w:jc w:val="both"/>
        <w:rPr>
          <w:rFonts w:ascii="Times New Roman" w:hAnsi="Times New Roman" w:cs="Times New Roman"/>
          <w:szCs w:val="22"/>
        </w:rPr>
      </w:pPr>
    </w:p>
    <w:p w14:paraId="5E2F14E8" w14:textId="17D82CB6" w:rsidR="00D43859" w:rsidRPr="00D43859" w:rsidRDefault="00D43859" w:rsidP="00D43859">
      <w:pPr>
        <w:pStyle w:val="Textodeglobo"/>
        <w:jc w:val="both"/>
        <w:rPr>
          <w:rFonts w:ascii="Times New Roman" w:hAnsi="Times New Roman" w:cs="Times New Roman"/>
          <w:sz w:val="22"/>
          <w:szCs w:val="22"/>
        </w:rPr>
      </w:pPr>
      <w:r>
        <w:rPr>
          <w:rFonts w:ascii="Times New Roman" w:hAnsi="Times New Roman" w:cs="Times New Roman"/>
          <w:sz w:val="22"/>
          <w:szCs w:val="22"/>
        </w:rPr>
        <w:t>En la zona euro, l</w:t>
      </w:r>
      <w:r w:rsidRPr="00D43859">
        <w:rPr>
          <w:rFonts w:ascii="Times New Roman" w:hAnsi="Times New Roman" w:cs="Times New Roman"/>
          <w:sz w:val="22"/>
          <w:szCs w:val="22"/>
        </w:rPr>
        <w:t>os consumidores se preparan para que la economía se contraiga</w:t>
      </w:r>
      <w:r>
        <w:rPr>
          <w:rFonts w:ascii="Times New Roman" w:hAnsi="Times New Roman" w:cs="Times New Roman"/>
          <w:sz w:val="22"/>
          <w:szCs w:val="22"/>
        </w:rPr>
        <w:t xml:space="preserve"> m</w:t>
      </w:r>
      <w:r w:rsidR="00421C7D">
        <w:rPr>
          <w:rFonts w:ascii="Times New Roman" w:hAnsi="Times New Roman" w:cs="Times New Roman"/>
          <w:sz w:val="22"/>
          <w:szCs w:val="22"/>
        </w:rPr>
        <w:t xml:space="preserve">ás de lo esperado </w:t>
      </w:r>
      <w:r w:rsidRPr="00D43859">
        <w:rPr>
          <w:rFonts w:ascii="Times New Roman" w:hAnsi="Times New Roman" w:cs="Times New Roman"/>
          <w:sz w:val="22"/>
          <w:szCs w:val="22"/>
        </w:rPr>
        <w:t xml:space="preserve">y para que la alta inflación siga mermando sus ingresos en el próximo año, según mostró </w:t>
      </w:r>
      <w:r>
        <w:rPr>
          <w:rFonts w:ascii="Times New Roman" w:hAnsi="Times New Roman" w:cs="Times New Roman"/>
          <w:sz w:val="22"/>
          <w:szCs w:val="22"/>
        </w:rPr>
        <w:t>el resultado de l</w:t>
      </w:r>
      <w:r w:rsidRPr="00D43859">
        <w:rPr>
          <w:rFonts w:ascii="Times New Roman" w:hAnsi="Times New Roman" w:cs="Times New Roman"/>
          <w:sz w:val="22"/>
          <w:szCs w:val="22"/>
        </w:rPr>
        <w:t>a Encuesta de Expectativas de los Consumidores (EEC)</w:t>
      </w:r>
      <w:r>
        <w:rPr>
          <w:rFonts w:ascii="Times New Roman" w:hAnsi="Times New Roman" w:cs="Times New Roman"/>
          <w:sz w:val="22"/>
          <w:szCs w:val="22"/>
        </w:rPr>
        <w:t xml:space="preserve"> del Banco Central Europeo.</w:t>
      </w:r>
      <w:r w:rsidRPr="00D43859">
        <w:rPr>
          <w:rFonts w:ascii="Times New Roman" w:hAnsi="Times New Roman" w:cs="Times New Roman"/>
          <w:sz w:val="22"/>
          <w:szCs w:val="22"/>
        </w:rPr>
        <w:t xml:space="preserve"> </w:t>
      </w:r>
      <w:r>
        <w:rPr>
          <w:rFonts w:ascii="Times New Roman" w:hAnsi="Times New Roman" w:cs="Times New Roman"/>
          <w:sz w:val="22"/>
          <w:szCs w:val="22"/>
        </w:rPr>
        <w:t xml:space="preserve">Dicha </w:t>
      </w:r>
      <w:r w:rsidRPr="00D43859">
        <w:rPr>
          <w:rFonts w:ascii="Times New Roman" w:hAnsi="Times New Roman" w:cs="Times New Roman"/>
          <w:sz w:val="22"/>
          <w:szCs w:val="22"/>
        </w:rPr>
        <w:t xml:space="preserve">encuesta mensual recoge información puntual sobre las percepciones y expectativas de los consumidores, así como su comportamiento económico </w:t>
      </w:r>
      <w:r>
        <w:rPr>
          <w:rFonts w:ascii="Times New Roman" w:hAnsi="Times New Roman" w:cs="Times New Roman"/>
          <w:sz w:val="22"/>
          <w:szCs w:val="22"/>
        </w:rPr>
        <w:t xml:space="preserve">y financiero.  </w:t>
      </w:r>
      <w:r w:rsidRPr="00D43859">
        <w:rPr>
          <w:rFonts w:ascii="Times New Roman" w:hAnsi="Times New Roman" w:cs="Times New Roman"/>
          <w:sz w:val="22"/>
          <w:szCs w:val="22"/>
        </w:rPr>
        <w:t>En comparación con el mes de mayo, los consumidores se han vuelto más pesimistas y esperan ahora que dent</w:t>
      </w:r>
      <w:r w:rsidR="00421C7D">
        <w:rPr>
          <w:rFonts w:ascii="Times New Roman" w:hAnsi="Times New Roman" w:cs="Times New Roman"/>
          <w:sz w:val="22"/>
          <w:szCs w:val="22"/>
        </w:rPr>
        <w:t>ro de 12 meses la inflación sea</w:t>
      </w:r>
      <w:r w:rsidRPr="00D43859">
        <w:rPr>
          <w:rFonts w:ascii="Times New Roman" w:hAnsi="Times New Roman" w:cs="Times New Roman"/>
          <w:sz w:val="22"/>
          <w:szCs w:val="22"/>
        </w:rPr>
        <w:t xml:space="preserve"> mayor; el crecimiento de los ingresos se mantendrá sin cambios, mientras que el gasto nominal aumentará considerablemente más que los ingresos.</w:t>
      </w:r>
      <w:r>
        <w:rPr>
          <w:rFonts w:ascii="Times New Roman" w:hAnsi="Times New Roman" w:cs="Times New Roman"/>
          <w:sz w:val="22"/>
          <w:szCs w:val="22"/>
        </w:rPr>
        <w:t xml:space="preserve">  </w:t>
      </w:r>
      <w:r w:rsidRPr="00D43859">
        <w:rPr>
          <w:rFonts w:ascii="Times New Roman" w:hAnsi="Times New Roman" w:cs="Times New Roman"/>
          <w:sz w:val="22"/>
          <w:szCs w:val="22"/>
        </w:rPr>
        <w:t>La inflación percibida por los consumidores en los últimos 12 meses aumentó notablemente, al igual que sus expectativas de inflación futura. La mediana de la tasa de inflación percibida en los últimos 12 meses aumentó al 7,2% desde el 6,6% de mayo, mientras que la expectativa media de inflación a 12 meses vista sólo subió al 5%.</w:t>
      </w:r>
    </w:p>
    <w:p w14:paraId="7A61DE32" w14:textId="5E7A5DB5" w:rsidR="00004F98" w:rsidRDefault="00004F98" w:rsidP="00FC0ED3">
      <w:pPr>
        <w:pStyle w:val="Textodeglobo"/>
        <w:jc w:val="both"/>
        <w:rPr>
          <w:rFonts w:ascii="Times New Roman" w:hAnsi="Times New Roman" w:cs="Times New Roman"/>
          <w:color w:val="FF0000"/>
          <w:szCs w:val="22"/>
        </w:rPr>
      </w:pPr>
    </w:p>
    <w:p w14:paraId="1769C777" w14:textId="3CB3147A" w:rsidR="00421C7D" w:rsidRPr="00421C7D" w:rsidRDefault="00421C7D" w:rsidP="00FC0ED3">
      <w:pPr>
        <w:pStyle w:val="Textodeglobo"/>
        <w:jc w:val="both"/>
        <w:rPr>
          <w:rFonts w:ascii="Times New Roman" w:hAnsi="Times New Roman" w:cs="Times New Roman"/>
          <w:sz w:val="22"/>
          <w:szCs w:val="22"/>
        </w:rPr>
      </w:pPr>
      <w:r w:rsidRPr="00421C7D">
        <w:rPr>
          <w:rFonts w:ascii="Times New Roman" w:hAnsi="Times New Roman" w:cs="Times New Roman"/>
          <w:sz w:val="22"/>
          <w:szCs w:val="22"/>
        </w:rPr>
        <w:t xml:space="preserve">El producto interno bruto (PIB) de </w:t>
      </w:r>
      <w:r>
        <w:rPr>
          <w:rFonts w:ascii="Times New Roman" w:hAnsi="Times New Roman" w:cs="Times New Roman"/>
          <w:sz w:val="22"/>
          <w:szCs w:val="22"/>
        </w:rPr>
        <w:t>China</w:t>
      </w:r>
      <w:r w:rsidRPr="00421C7D">
        <w:rPr>
          <w:rFonts w:ascii="Times New Roman" w:hAnsi="Times New Roman" w:cs="Times New Roman"/>
          <w:sz w:val="22"/>
          <w:szCs w:val="22"/>
        </w:rPr>
        <w:t xml:space="preserve"> se expandió </w:t>
      </w:r>
      <w:r>
        <w:rPr>
          <w:rFonts w:ascii="Times New Roman" w:hAnsi="Times New Roman" w:cs="Times New Roman"/>
          <w:sz w:val="22"/>
          <w:szCs w:val="22"/>
        </w:rPr>
        <w:t>un 0.</w:t>
      </w:r>
      <w:r w:rsidRPr="00421C7D">
        <w:rPr>
          <w:rFonts w:ascii="Times New Roman" w:hAnsi="Times New Roman" w:cs="Times New Roman"/>
          <w:sz w:val="22"/>
          <w:szCs w:val="22"/>
        </w:rPr>
        <w:t>4% durante los tres meses que terminaron el 30 de junio, en comparación con el mismo período del año anterior,</w:t>
      </w:r>
      <w:r>
        <w:rPr>
          <w:rFonts w:ascii="Times New Roman" w:hAnsi="Times New Roman" w:cs="Times New Roman"/>
          <w:sz w:val="22"/>
          <w:szCs w:val="22"/>
        </w:rPr>
        <w:t xml:space="preserve"> </w:t>
      </w:r>
      <w:r w:rsidRPr="00421C7D">
        <w:rPr>
          <w:rFonts w:ascii="Times New Roman" w:hAnsi="Times New Roman" w:cs="Times New Roman"/>
          <w:sz w:val="22"/>
          <w:szCs w:val="22"/>
        </w:rPr>
        <w:t xml:space="preserve">el peor </w:t>
      </w:r>
      <w:r w:rsidRPr="00421C7D">
        <w:rPr>
          <w:rFonts w:ascii="Times New Roman" w:hAnsi="Times New Roman" w:cs="Times New Roman"/>
          <w:sz w:val="22"/>
          <w:szCs w:val="22"/>
        </w:rPr>
        <w:t>desempeño trimestral de su economía en más de dos años, tras sufrir meses de estrictos confinamientos por el covid-19 que ca</w:t>
      </w:r>
      <w:r>
        <w:rPr>
          <w:rFonts w:ascii="Times New Roman" w:hAnsi="Times New Roman" w:cs="Times New Roman"/>
          <w:sz w:val="22"/>
          <w:szCs w:val="22"/>
        </w:rPr>
        <w:t>usaron estragos en todo el país, según</w:t>
      </w:r>
      <w:r w:rsidRPr="00421C7D">
        <w:rPr>
          <w:rFonts w:ascii="Times New Roman" w:hAnsi="Times New Roman" w:cs="Times New Roman"/>
          <w:sz w:val="22"/>
          <w:szCs w:val="22"/>
        </w:rPr>
        <w:t xml:space="preserve"> informó la Oficina Nacional de Estadísticas (NBS, por sus siglas en inglés).</w:t>
      </w:r>
    </w:p>
    <w:p w14:paraId="3CD6D49D" w14:textId="7C0C8F36" w:rsidR="00D43859" w:rsidRPr="00D43859" w:rsidRDefault="00D43859" w:rsidP="00D43859">
      <w:pPr>
        <w:pStyle w:val="Textodeglobo"/>
        <w:jc w:val="both"/>
        <w:rPr>
          <w:rFonts w:ascii="Times New Roman" w:hAnsi="Times New Roman" w:cs="Times New Roman"/>
          <w:sz w:val="22"/>
          <w:szCs w:val="22"/>
        </w:rPr>
      </w:pPr>
      <w:r w:rsidRPr="00D43859">
        <w:rPr>
          <w:rFonts w:ascii="Times New Roman" w:hAnsi="Times New Roman" w:cs="Times New Roman"/>
          <w:sz w:val="22"/>
          <w:szCs w:val="22"/>
        </w:rPr>
        <w:t>La Comisión Económica para América Latina y el Caribe (CEPAL), a través de su División de Estadísticas, presentó una actualización del cambio de año de referencia en las series regionales referidas a cuentas nacionales, sector externo y precios al año 2018 para los países de América Latina y el Caribe.</w:t>
      </w:r>
      <w:r>
        <w:rPr>
          <w:rFonts w:ascii="Times New Roman" w:hAnsi="Times New Roman" w:cs="Times New Roman"/>
          <w:sz w:val="22"/>
          <w:szCs w:val="22"/>
        </w:rPr>
        <w:t xml:space="preserve">  </w:t>
      </w:r>
      <w:r w:rsidRPr="00D43859">
        <w:rPr>
          <w:rFonts w:ascii="Times New Roman" w:hAnsi="Times New Roman" w:cs="Times New Roman"/>
          <w:sz w:val="22"/>
          <w:szCs w:val="22"/>
        </w:rPr>
        <w:t>Las nuevas series registran un crecimiento para el año 2021</w:t>
      </w:r>
      <w:r>
        <w:rPr>
          <w:rFonts w:ascii="Times New Roman" w:hAnsi="Times New Roman" w:cs="Times New Roman"/>
          <w:sz w:val="22"/>
          <w:szCs w:val="22"/>
        </w:rPr>
        <w:t xml:space="preserve"> del PIB agregado regional de 6.</w:t>
      </w:r>
      <w:r w:rsidRPr="00D43859">
        <w:rPr>
          <w:rFonts w:ascii="Times New Roman" w:hAnsi="Times New Roman" w:cs="Times New Roman"/>
          <w:sz w:val="22"/>
          <w:szCs w:val="22"/>
        </w:rPr>
        <w:t xml:space="preserve">6%, mientras que la caída del año 2020 se mantiene en </w:t>
      </w:r>
      <w:r>
        <w:rPr>
          <w:rFonts w:ascii="Times New Roman" w:hAnsi="Times New Roman" w:cs="Times New Roman"/>
          <w:sz w:val="22"/>
          <w:szCs w:val="22"/>
        </w:rPr>
        <w:t>6.</w:t>
      </w:r>
      <w:r w:rsidRPr="00D43859">
        <w:rPr>
          <w:rFonts w:ascii="Times New Roman" w:hAnsi="Times New Roman" w:cs="Times New Roman"/>
          <w:sz w:val="22"/>
          <w:szCs w:val="22"/>
        </w:rPr>
        <w:t xml:space="preserve">8, comparados con </w:t>
      </w:r>
      <w:r>
        <w:rPr>
          <w:rFonts w:ascii="Times New Roman" w:hAnsi="Times New Roman" w:cs="Times New Roman"/>
          <w:sz w:val="22"/>
          <w:szCs w:val="22"/>
        </w:rPr>
        <w:t>el año inmediatamente anterior.  E</w:t>
      </w:r>
      <w:r w:rsidRPr="00D43859">
        <w:rPr>
          <w:rFonts w:ascii="Times New Roman" w:hAnsi="Times New Roman" w:cs="Times New Roman"/>
          <w:sz w:val="22"/>
          <w:szCs w:val="22"/>
        </w:rPr>
        <w:t>l crecimiento del PIB regional con el nuevo año de r</w:t>
      </w:r>
      <w:r>
        <w:rPr>
          <w:rFonts w:ascii="Times New Roman" w:hAnsi="Times New Roman" w:cs="Times New Roman"/>
          <w:sz w:val="22"/>
          <w:szCs w:val="22"/>
        </w:rPr>
        <w:t>eferencia muestra una tasa de 0.</w:t>
      </w:r>
      <w:r w:rsidRPr="00D43859">
        <w:rPr>
          <w:rFonts w:ascii="Times New Roman" w:hAnsi="Times New Roman" w:cs="Times New Roman"/>
          <w:sz w:val="22"/>
          <w:szCs w:val="22"/>
        </w:rPr>
        <w:t>8% para el período 20</w:t>
      </w:r>
      <w:r>
        <w:rPr>
          <w:rFonts w:ascii="Times New Roman" w:hAnsi="Times New Roman" w:cs="Times New Roman"/>
          <w:sz w:val="22"/>
          <w:szCs w:val="22"/>
        </w:rPr>
        <w:t>11-2020 superior a la tasa de 0.</w:t>
      </w:r>
      <w:r w:rsidRPr="00D43859">
        <w:rPr>
          <w:rFonts w:ascii="Times New Roman" w:hAnsi="Times New Roman" w:cs="Times New Roman"/>
          <w:sz w:val="22"/>
          <w:szCs w:val="22"/>
        </w:rPr>
        <w:t xml:space="preserve">5% que se obtenía utilizando el año 2010 como año de referencia.  </w:t>
      </w:r>
    </w:p>
    <w:p w14:paraId="5C5B12F2" w14:textId="37C8D99A" w:rsidR="00D43859" w:rsidRPr="005334BA" w:rsidRDefault="00D43859" w:rsidP="00FC0ED3">
      <w:pPr>
        <w:pStyle w:val="Textodeglobo"/>
        <w:jc w:val="both"/>
        <w:rPr>
          <w:rFonts w:ascii="Times New Roman" w:hAnsi="Times New Roman" w:cs="Times New Roman"/>
          <w:color w:val="FF0000"/>
          <w:szCs w:val="22"/>
        </w:rPr>
      </w:pPr>
    </w:p>
    <w:p w14:paraId="77539B0C" w14:textId="77777777" w:rsidR="00004F98" w:rsidRDefault="00004F98" w:rsidP="00C10066">
      <w:pPr>
        <w:pStyle w:val="Sinespaciado"/>
        <w:jc w:val="both"/>
        <w:rPr>
          <w:rFonts w:ascii="Times New Roman" w:hAnsi="Times New Roman" w:cs="Times New Roman"/>
          <w:sz w:val="14"/>
        </w:rPr>
      </w:pPr>
    </w:p>
    <w:p w14:paraId="2F2F0876" w14:textId="77777777" w:rsidR="008F5AEA" w:rsidRDefault="008F5AEA" w:rsidP="00C10066">
      <w:pPr>
        <w:pStyle w:val="Sinespaciado"/>
        <w:jc w:val="both"/>
        <w:rPr>
          <w:rFonts w:ascii="Times New Roman" w:hAnsi="Times New Roman" w:cs="Times New Roman"/>
          <w:sz w:val="14"/>
        </w:rPr>
      </w:pPr>
    </w:p>
    <w:p w14:paraId="3625B0E4" w14:textId="77777777" w:rsidR="008F5AEA" w:rsidRDefault="008F5AEA" w:rsidP="00C10066">
      <w:pPr>
        <w:pStyle w:val="Sinespaciado"/>
        <w:jc w:val="both"/>
        <w:rPr>
          <w:rFonts w:ascii="Times New Roman" w:hAnsi="Times New Roman" w:cs="Times New Roman"/>
          <w:sz w:val="14"/>
        </w:rPr>
      </w:pPr>
    </w:p>
    <w:p w14:paraId="18F8DCB9" w14:textId="77777777" w:rsidR="008F5AEA" w:rsidRDefault="008F5AEA" w:rsidP="00C10066">
      <w:pPr>
        <w:pStyle w:val="Sinespaciado"/>
        <w:jc w:val="both"/>
        <w:rPr>
          <w:rFonts w:ascii="Times New Roman" w:hAnsi="Times New Roman" w:cs="Times New Roman"/>
          <w:sz w:val="14"/>
        </w:rPr>
      </w:pPr>
    </w:p>
    <w:p w14:paraId="74894DE8" w14:textId="77777777" w:rsidR="008F5AEA" w:rsidRDefault="008F5AEA" w:rsidP="00C10066">
      <w:pPr>
        <w:pStyle w:val="Sinespaciado"/>
        <w:jc w:val="both"/>
        <w:rPr>
          <w:rFonts w:ascii="Times New Roman" w:hAnsi="Times New Roman" w:cs="Times New Roman"/>
          <w:sz w:val="14"/>
        </w:rPr>
      </w:pPr>
    </w:p>
    <w:p w14:paraId="5EFC609F" w14:textId="77777777" w:rsidR="008F5AEA" w:rsidRDefault="008F5AEA" w:rsidP="00C10066">
      <w:pPr>
        <w:pStyle w:val="Sinespaciado"/>
        <w:jc w:val="both"/>
        <w:rPr>
          <w:rFonts w:ascii="Times New Roman" w:hAnsi="Times New Roman" w:cs="Times New Roman"/>
          <w:sz w:val="14"/>
        </w:rPr>
      </w:pPr>
    </w:p>
    <w:p w14:paraId="750E865C" w14:textId="77777777" w:rsidR="008F5AEA" w:rsidRDefault="008F5AEA" w:rsidP="00C10066">
      <w:pPr>
        <w:pStyle w:val="Sinespaciado"/>
        <w:jc w:val="both"/>
        <w:rPr>
          <w:rFonts w:ascii="Times New Roman" w:hAnsi="Times New Roman" w:cs="Times New Roman"/>
          <w:sz w:val="14"/>
        </w:rPr>
      </w:pPr>
    </w:p>
    <w:p w14:paraId="04C997D1" w14:textId="77777777" w:rsidR="008F5AEA" w:rsidRDefault="008F5AEA" w:rsidP="00C10066">
      <w:pPr>
        <w:pStyle w:val="Sinespaciado"/>
        <w:jc w:val="both"/>
        <w:rPr>
          <w:rFonts w:ascii="Times New Roman" w:hAnsi="Times New Roman" w:cs="Times New Roman"/>
          <w:sz w:val="14"/>
        </w:rPr>
      </w:pPr>
    </w:p>
    <w:p w14:paraId="40E2D4E0" w14:textId="77777777" w:rsidR="008F5AEA" w:rsidRDefault="008F5AEA" w:rsidP="00C10066">
      <w:pPr>
        <w:pStyle w:val="Sinespaciado"/>
        <w:jc w:val="both"/>
        <w:rPr>
          <w:rFonts w:ascii="Times New Roman" w:hAnsi="Times New Roman" w:cs="Times New Roman"/>
          <w:sz w:val="14"/>
        </w:rPr>
      </w:pPr>
    </w:p>
    <w:p w14:paraId="75E02696" w14:textId="77777777" w:rsidR="008F5AEA" w:rsidRDefault="008F5AEA" w:rsidP="00C10066">
      <w:pPr>
        <w:pStyle w:val="Sinespaciado"/>
        <w:jc w:val="both"/>
        <w:rPr>
          <w:rFonts w:ascii="Times New Roman" w:hAnsi="Times New Roman" w:cs="Times New Roman"/>
          <w:sz w:val="14"/>
        </w:rPr>
      </w:pPr>
    </w:p>
    <w:p w14:paraId="1C585BD4" w14:textId="77777777" w:rsidR="008F5AEA" w:rsidRDefault="008F5AEA" w:rsidP="00C10066">
      <w:pPr>
        <w:pStyle w:val="Sinespaciado"/>
        <w:jc w:val="both"/>
        <w:rPr>
          <w:rFonts w:ascii="Times New Roman" w:hAnsi="Times New Roman" w:cs="Times New Roman"/>
          <w:sz w:val="14"/>
        </w:rPr>
      </w:pPr>
    </w:p>
    <w:p w14:paraId="7615D966" w14:textId="77777777" w:rsidR="008F5AEA" w:rsidRDefault="008F5AEA" w:rsidP="00C10066">
      <w:pPr>
        <w:pStyle w:val="Sinespaciado"/>
        <w:jc w:val="both"/>
        <w:rPr>
          <w:rFonts w:ascii="Times New Roman" w:hAnsi="Times New Roman" w:cs="Times New Roman"/>
          <w:sz w:val="14"/>
        </w:rPr>
      </w:pPr>
    </w:p>
    <w:p w14:paraId="656788F8" w14:textId="77777777" w:rsidR="008F5AEA" w:rsidRDefault="008F5AEA" w:rsidP="00C10066">
      <w:pPr>
        <w:pStyle w:val="Sinespaciado"/>
        <w:jc w:val="both"/>
        <w:rPr>
          <w:rFonts w:ascii="Times New Roman" w:hAnsi="Times New Roman" w:cs="Times New Roman"/>
          <w:sz w:val="14"/>
        </w:rPr>
      </w:pPr>
    </w:p>
    <w:p w14:paraId="6ECD1E00" w14:textId="77777777" w:rsidR="008F5AEA" w:rsidRDefault="008F5AEA" w:rsidP="00C10066">
      <w:pPr>
        <w:pStyle w:val="Sinespaciado"/>
        <w:jc w:val="both"/>
        <w:rPr>
          <w:rFonts w:ascii="Times New Roman" w:hAnsi="Times New Roman" w:cs="Times New Roman"/>
          <w:sz w:val="14"/>
        </w:rPr>
      </w:pPr>
    </w:p>
    <w:p w14:paraId="2D8184BF" w14:textId="77777777" w:rsidR="008F5AEA" w:rsidRDefault="008F5AEA" w:rsidP="00C10066">
      <w:pPr>
        <w:pStyle w:val="Sinespaciado"/>
        <w:jc w:val="both"/>
        <w:rPr>
          <w:rFonts w:ascii="Times New Roman" w:hAnsi="Times New Roman" w:cs="Times New Roman"/>
          <w:sz w:val="14"/>
        </w:rPr>
      </w:pPr>
    </w:p>
    <w:p w14:paraId="716473BD" w14:textId="77777777" w:rsidR="008F5AEA" w:rsidRDefault="008F5AEA" w:rsidP="00C10066">
      <w:pPr>
        <w:pStyle w:val="Sinespaciado"/>
        <w:jc w:val="both"/>
        <w:rPr>
          <w:rFonts w:ascii="Times New Roman" w:hAnsi="Times New Roman" w:cs="Times New Roman"/>
          <w:sz w:val="14"/>
        </w:rPr>
      </w:pPr>
    </w:p>
    <w:p w14:paraId="164505F0" w14:textId="77777777" w:rsidR="008F5AEA" w:rsidRDefault="008F5AEA" w:rsidP="00C10066">
      <w:pPr>
        <w:pStyle w:val="Sinespaciado"/>
        <w:jc w:val="both"/>
        <w:rPr>
          <w:rFonts w:ascii="Times New Roman" w:hAnsi="Times New Roman" w:cs="Times New Roman"/>
          <w:sz w:val="14"/>
        </w:rPr>
      </w:pPr>
    </w:p>
    <w:p w14:paraId="63228136" w14:textId="77777777" w:rsidR="008F5AEA" w:rsidRDefault="008F5AEA" w:rsidP="00C10066">
      <w:pPr>
        <w:pStyle w:val="Sinespaciado"/>
        <w:jc w:val="both"/>
        <w:rPr>
          <w:rFonts w:ascii="Times New Roman" w:hAnsi="Times New Roman" w:cs="Times New Roman"/>
          <w:sz w:val="14"/>
        </w:rPr>
      </w:pPr>
    </w:p>
    <w:p w14:paraId="1C136D55" w14:textId="77777777" w:rsidR="008F5AEA" w:rsidRDefault="008F5AEA" w:rsidP="00C10066">
      <w:pPr>
        <w:pStyle w:val="Sinespaciado"/>
        <w:jc w:val="both"/>
        <w:rPr>
          <w:rFonts w:ascii="Times New Roman" w:hAnsi="Times New Roman" w:cs="Times New Roman"/>
          <w:sz w:val="14"/>
        </w:rPr>
      </w:pPr>
    </w:p>
    <w:p w14:paraId="73499058" w14:textId="77777777" w:rsidR="008F5AEA" w:rsidRDefault="008F5AEA" w:rsidP="00C10066">
      <w:pPr>
        <w:pStyle w:val="Sinespaciado"/>
        <w:jc w:val="both"/>
        <w:rPr>
          <w:rFonts w:ascii="Times New Roman" w:hAnsi="Times New Roman" w:cs="Times New Roman"/>
          <w:sz w:val="14"/>
        </w:rPr>
      </w:pPr>
    </w:p>
    <w:p w14:paraId="188FC357" w14:textId="77777777" w:rsidR="008F5AEA" w:rsidRDefault="008F5AEA" w:rsidP="00C10066">
      <w:pPr>
        <w:pStyle w:val="Sinespaciado"/>
        <w:jc w:val="both"/>
        <w:rPr>
          <w:rFonts w:ascii="Times New Roman" w:hAnsi="Times New Roman" w:cs="Times New Roman"/>
          <w:sz w:val="14"/>
        </w:rPr>
      </w:pPr>
    </w:p>
    <w:p w14:paraId="30D57E34" w14:textId="77777777" w:rsidR="008F5AEA" w:rsidRDefault="008F5AEA" w:rsidP="00C10066">
      <w:pPr>
        <w:pStyle w:val="Sinespaciado"/>
        <w:jc w:val="both"/>
        <w:rPr>
          <w:rFonts w:ascii="Times New Roman" w:hAnsi="Times New Roman" w:cs="Times New Roman"/>
          <w:sz w:val="14"/>
        </w:rPr>
      </w:pPr>
    </w:p>
    <w:p w14:paraId="1A48DE92" w14:textId="77777777" w:rsidR="008F5AEA" w:rsidRDefault="008F5AEA" w:rsidP="00C10066">
      <w:pPr>
        <w:pStyle w:val="Sinespaciado"/>
        <w:jc w:val="both"/>
        <w:rPr>
          <w:rFonts w:ascii="Times New Roman" w:hAnsi="Times New Roman" w:cs="Times New Roman"/>
          <w:sz w:val="14"/>
        </w:rPr>
      </w:pPr>
    </w:p>
    <w:p w14:paraId="43FC280E" w14:textId="77777777" w:rsidR="008F5AEA" w:rsidRDefault="008F5AEA" w:rsidP="00C10066">
      <w:pPr>
        <w:pStyle w:val="Sinespaciado"/>
        <w:jc w:val="both"/>
        <w:rPr>
          <w:rFonts w:ascii="Times New Roman" w:hAnsi="Times New Roman" w:cs="Times New Roman"/>
          <w:sz w:val="14"/>
        </w:rPr>
      </w:pPr>
    </w:p>
    <w:p w14:paraId="0C9FEA28" w14:textId="77777777" w:rsidR="00BB357A" w:rsidRDefault="00BB357A" w:rsidP="00C10066">
      <w:pPr>
        <w:pStyle w:val="Sinespaciado"/>
        <w:jc w:val="both"/>
        <w:rPr>
          <w:rFonts w:ascii="Times New Roman" w:hAnsi="Times New Roman" w:cs="Times New Roman"/>
          <w:sz w:val="14"/>
        </w:rPr>
      </w:pPr>
    </w:p>
    <w:p w14:paraId="48D088AA" w14:textId="77777777" w:rsidR="00BB357A" w:rsidRDefault="00BB357A" w:rsidP="00C10066">
      <w:pPr>
        <w:pStyle w:val="Sinespaciado"/>
        <w:jc w:val="both"/>
        <w:rPr>
          <w:rFonts w:ascii="Times New Roman" w:hAnsi="Times New Roman" w:cs="Times New Roman"/>
          <w:sz w:val="14"/>
        </w:rPr>
      </w:pPr>
    </w:p>
    <w:p w14:paraId="3E4B87DC" w14:textId="77777777" w:rsidR="00BB357A" w:rsidRDefault="00BB357A" w:rsidP="00C10066">
      <w:pPr>
        <w:pStyle w:val="Sinespaciado"/>
        <w:jc w:val="both"/>
        <w:rPr>
          <w:rFonts w:ascii="Times New Roman" w:hAnsi="Times New Roman" w:cs="Times New Roman"/>
          <w:sz w:val="14"/>
        </w:rPr>
      </w:pPr>
    </w:p>
    <w:p w14:paraId="2E487C72" w14:textId="77777777" w:rsidR="00BB357A" w:rsidRDefault="00BB357A" w:rsidP="00C10066">
      <w:pPr>
        <w:pStyle w:val="Sinespaciado"/>
        <w:jc w:val="both"/>
        <w:rPr>
          <w:rFonts w:ascii="Times New Roman" w:hAnsi="Times New Roman" w:cs="Times New Roman"/>
          <w:sz w:val="14"/>
        </w:rPr>
      </w:pPr>
    </w:p>
    <w:p w14:paraId="3AF8A945" w14:textId="72A7E6A7" w:rsidR="00BB357A" w:rsidRPr="003B043B" w:rsidRDefault="00BB357A" w:rsidP="00C10066">
      <w:pPr>
        <w:pStyle w:val="Sinespaciado"/>
        <w:jc w:val="both"/>
        <w:rPr>
          <w:rFonts w:ascii="Times New Roman" w:hAnsi="Times New Roman" w:cs="Times New Roman"/>
          <w:sz w:val="14"/>
        </w:rPr>
        <w:sectPr w:rsidR="00BB357A" w:rsidRPr="003B043B" w:rsidSect="00776700">
          <w:type w:val="continuous"/>
          <w:pgSz w:w="12240" w:h="15840"/>
          <w:pgMar w:top="1417" w:right="1701" w:bottom="1417" w:left="1701" w:header="708" w:footer="708" w:gutter="0"/>
          <w:cols w:num="2" w:space="708"/>
          <w:docGrid w:linePitch="360"/>
        </w:sectPr>
      </w:pPr>
    </w:p>
    <w:p w14:paraId="70829754" w14:textId="77777777" w:rsidR="0071038C" w:rsidRPr="005334BA" w:rsidRDefault="0071038C" w:rsidP="0071038C">
      <w:pPr>
        <w:spacing w:after="0"/>
        <w:rPr>
          <w:rFonts w:ascii="Times New Roman" w:hAnsi="Times New Roman" w:cs="Times New Roman"/>
          <w:color w:val="FF0000"/>
        </w:rPr>
        <w:sectPr w:rsidR="0071038C" w:rsidRPr="005334BA" w:rsidSect="00960BE9">
          <w:type w:val="continuous"/>
          <w:pgSz w:w="12240" w:h="15840"/>
          <w:pgMar w:top="1417" w:right="1701" w:bottom="1417" w:left="1701" w:header="708" w:footer="708" w:gutter="0"/>
          <w:cols w:space="708"/>
          <w:docGrid w:linePitch="360"/>
        </w:sectPr>
      </w:pPr>
    </w:p>
    <w:p w14:paraId="28AECD39" w14:textId="15572850" w:rsidR="00351257" w:rsidRPr="005334BA" w:rsidRDefault="00351257" w:rsidP="00351257">
      <w:pPr>
        <w:spacing w:after="0"/>
        <w:rPr>
          <w:rFonts w:ascii="Times New Roman" w:hAnsi="Times New Roman" w:cs="Times New Roman"/>
          <w:color w:val="FF0000"/>
          <w:sz w:val="18"/>
          <w:szCs w:val="18"/>
        </w:rPr>
      </w:pPr>
      <w:r w:rsidRPr="00351257">
        <w:rPr>
          <w:noProof/>
        </w:rPr>
        <w:lastRenderedPageBreak/>
        <w:drawing>
          <wp:inline distT="0" distB="0" distL="0" distR="0" wp14:anchorId="61BAE988" wp14:editId="02780107">
            <wp:extent cx="8074716" cy="5822315"/>
            <wp:effectExtent l="0" t="0" r="254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075946" cy="5823202"/>
                    </a:xfrm>
                    <a:prstGeom prst="rect">
                      <a:avLst/>
                    </a:prstGeom>
                  </pic:spPr>
                </pic:pic>
              </a:graphicData>
            </a:graphic>
          </wp:inline>
        </w:drawing>
      </w:r>
      <w:r>
        <w:rPr>
          <w:rFonts w:ascii="Times New Roman" w:hAnsi="Times New Roman" w:cs="Times New Roman"/>
          <w:color w:val="FF0000"/>
        </w:rPr>
        <w:tab/>
      </w:r>
    </w:p>
    <w:sectPr w:rsidR="00351257" w:rsidRPr="005334BA" w:rsidSect="00351257">
      <w:headerReference w:type="default" r:id="rId53"/>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ED2A8" w14:textId="77777777" w:rsidR="00350ED6" w:rsidRDefault="00350ED6" w:rsidP="008030B6">
      <w:pPr>
        <w:spacing w:after="0" w:line="240" w:lineRule="auto"/>
      </w:pPr>
      <w:r>
        <w:separator/>
      </w:r>
    </w:p>
  </w:endnote>
  <w:endnote w:type="continuationSeparator" w:id="0">
    <w:p w14:paraId="152CD464" w14:textId="77777777" w:rsidR="00350ED6" w:rsidRDefault="00350ED6"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29EC2DE" w14:textId="58584AD0" w:rsidR="009D2F40" w:rsidRPr="006906B8" w:rsidRDefault="009D2F40"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7876AF">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4FA6AD51" w14:textId="77777777" w:rsidR="009D2F40" w:rsidRDefault="009D2F40">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D17EE46" w14:textId="77777777" w:rsidR="009D2F40" w:rsidRPr="008030B6" w:rsidRDefault="009D2F4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6302AC">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1CB956" w14:textId="77777777" w:rsidR="009D2F40" w:rsidRDefault="009D2F40">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5396A988" w:rsidR="009D2F40" w:rsidRPr="006906B8" w:rsidRDefault="009D2F4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7876AF">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9D2F40" w:rsidRDefault="009D2F40">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15CD4EEF" w14:textId="44C77AD7" w:rsidR="009D2F40" w:rsidRPr="008030B6" w:rsidRDefault="009D2F40">
        <w:pPr>
          <w:pStyle w:val="Piedepgina"/>
          <w:jc w:val="right"/>
          <w:rPr>
            <w:rFonts w:asciiTheme="majorHAnsi" w:hAnsiTheme="majorHAnsi" w:cs="Times New Roman"/>
            <w:b/>
            <w:color w:val="5B9BD5" w:themeColor="accent1"/>
            <w:sz w:val="20"/>
          </w:rPr>
        </w:pPr>
        <w:r w:rsidRPr="00C85B13">
          <w:rPr>
            <w:lang w:val="es-ES"/>
          </w:rPr>
          <w:t xml:space="preserve">Página | </w:t>
        </w:r>
        <w:r w:rsidRPr="00C85B13">
          <w:rPr>
            <w:lang w:val="es-ES"/>
          </w:rPr>
          <w:fldChar w:fldCharType="begin"/>
        </w:r>
        <w:r w:rsidRPr="00C85B13">
          <w:rPr>
            <w:lang w:val="es-ES"/>
          </w:rPr>
          <w:instrText>PAGE   \* MERGEFORMAT</w:instrText>
        </w:r>
        <w:r w:rsidRPr="00C85B13">
          <w:rPr>
            <w:lang w:val="es-ES"/>
          </w:rPr>
          <w:fldChar w:fldCharType="separate"/>
        </w:r>
        <w:r w:rsidR="007876AF">
          <w:rPr>
            <w:noProof/>
            <w:lang w:val="es-ES"/>
          </w:rPr>
          <w:t>12</w:t>
        </w:r>
        <w:r w:rsidRPr="00C85B13">
          <w:rPr>
            <w:lang w:val="es-ES"/>
          </w:rPr>
          <w:fldChar w:fldCharType="end"/>
        </w:r>
        <w:r w:rsidRPr="008030B6">
          <w:rPr>
            <w:rFonts w:asciiTheme="majorHAnsi" w:hAnsiTheme="majorHAnsi" w:cs="Times New Roman"/>
            <w:b/>
            <w:color w:val="5B9BD5" w:themeColor="accent1"/>
            <w:sz w:val="20"/>
            <w:lang w:val="es-ES"/>
          </w:rPr>
          <w:t xml:space="preserve"> </w:t>
        </w:r>
      </w:p>
    </w:sdtContent>
  </w:sdt>
  <w:p w14:paraId="0059DCDA" w14:textId="77777777" w:rsidR="009D2F40" w:rsidRDefault="009D2F40">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107E57B" w14:textId="1D0EFC07" w:rsidR="009D2F40" w:rsidRPr="006906B8" w:rsidRDefault="009D2F4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7876AF">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6FB8643" w14:textId="77777777" w:rsidR="009D2F40" w:rsidRDefault="009D2F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9D2F40" w:rsidRPr="008030B6" w:rsidRDefault="009D2F4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9D2F40" w:rsidRDefault="009D2F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6D589B8D" w:rsidR="009D2F40" w:rsidRPr="006906B8" w:rsidRDefault="009D2F4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77777777" w:rsidR="009D2F40" w:rsidRDefault="009D2F4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85F74ED" w14:textId="03893452" w:rsidR="009D2F40" w:rsidRPr="006906B8" w:rsidRDefault="009D2F4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7876AF">
          <w:rPr>
            <w:rFonts w:asciiTheme="majorHAnsi" w:hAnsiTheme="majorHAnsi" w:cs="Arial"/>
            <w:noProof/>
            <w:color w:val="323E4F" w:themeColor="text2" w:themeShade="BF"/>
            <w:sz w:val="20"/>
            <w:szCs w:val="20"/>
            <w:lang w:val="es-MX"/>
          </w:rPr>
          <w:t>4</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1157891" w14:textId="77777777" w:rsidR="009D2F40" w:rsidRDefault="009D2F4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132059525"/>
      <w:docPartObj>
        <w:docPartGallery w:val="Page Numbers (Bottom of Page)"/>
        <w:docPartUnique/>
      </w:docPartObj>
    </w:sdtPr>
    <w:sdtEndPr>
      <w:rPr>
        <w:rFonts w:asciiTheme="majorHAnsi" w:hAnsiTheme="majorHAnsi" w:cs="Times New Roman"/>
        <w:b/>
        <w:color w:val="5B9BD5" w:themeColor="accent1"/>
        <w:sz w:val="20"/>
      </w:rPr>
    </w:sdtEndPr>
    <w:sdtContent>
      <w:p w14:paraId="4D8BD09D" w14:textId="59DD43F8" w:rsidR="009D2F40" w:rsidRPr="008030B6" w:rsidRDefault="009D2F4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A02F83">
          <w:rPr>
            <w:rFonts w:asciiTheme="majorHAnsi" w:hAnsiTheme="majorHAnsi" w:cs="Times New Roman"/>
            <w:b/>
            <w:noProof/>
            <w:color w:val="5B9BD5" w:themeColor="accent1"/>
            <w:sz w:val="20"/>
            <w:lang w:val="es-ES"/>
          </w:rPr>
          <w:t>5</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07CF0017" w14:textId="77777777" w:rsidR="009D2F40" w:rsidRDefault="009D2F40">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122C8264" w14:textId="414C661B" w:rsidR="009D2F40" w:rsidRPr="006906B8" w:rsidRDefault="009D2F4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7876AF">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5092ED7A" w14:textId="77777777" w:rsidR="009D2F40" w:rsidRDefault="009D2F40">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1C99F50E" w:rsidR="009D2F40" w:rsidRPr="000D411C" w:rsidRDefault="009D2F40">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7876AF">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9D2F40" w:rsidRDefault="009D2F40">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874220956"/>
      <w:docPartObj>
        <w:docPartGallery w:val="Page Numbers (Bottom of Page)"/>
        <w:docPartUnique/>
      </w:docPartObj>
    </w:sdtPr>
    <w:sdtEndPr>
      <w:rPr>
        <w:rFonts w:asciiTheme="majorHAnsi" w:hAnsiTheme="majorHAnsi" w:cs="Times New Roman"/>
        <w:b/>
        <w:color w:val="5B9BD5" w:themeColor="accent1"/>
        <w:sz w:val="20"/>
      </w:rPr>
    </w:sdtEndPr>
    <w:sdtContent>
      <w:p w14:paraId="010280F2" w14:textId="77777777" w:rsidR="009D2F40" w:rsidRPr="008030B6" w:rsidRDefault="009D2F40">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1A7D31">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81965B5" w14:textId="77777777" w:rsidR="009D2F40" w:rsidRDefault="009D2F40">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94857603"/>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64EB2DB0" w14:textId="2BD29D18" w:rsidR="009D2F40" w:rsidRPr="006906B8" w:rsidRDefault="009D2F40">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CE5240">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2D449B05" w14:textId="77777777" w:rsidR="009D2F40" w:rsidRDefault="009D2F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4FC8C" w14:textId="77777777" w:rsidR="00350ED6" w:rsidRDefault="00350ED6" w:rsidP="008030B6">
      <w:pPr>
        <w:spacing w:after="0" w:line="240" w:lineRule="auto"/>
      </w:pPr>
      <w:r>
        <w:separator/>
      </w:r>
    </w:p>
  </w:footnote>
  <w:footnote w:type="continuationSeparator" w:id="0">
    <w:p w14:paraId="55235D54" w14:textId="77777777" w:rsidR="00350ED6" w:rsidRDefault="00350ED6"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7F26C75F" wp14:editId="0DBB901C">
              <wp:simplePos x="0" y="0"/>
              <wp:positionH relativeFrom="column">
                <wp:posOffset>662940</wp:posOffset>
              </wp:positionH>
              <wp:positionV relativeFrom="paragraph">
                <wp:posOffset>-401955</wp:posOffset>
              </wp:positionV>
              <wp:extent cx="2600325" cy="781050"/>
              <wp:effectExtent l="0" t="0" r="9525"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bg1"/>
                      </a:solidFill>
                      <a:ln w="6350">
                        <a:noFill/>
                      </a:ln>
                    </wps:spPr>
                    <wps:txbx>
                      <w:txbxContent>
                        <w:p w14:paraId="17C85BB9"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739442"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0B8FD3"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B998890"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2577547A"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julio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6C75F" id="_x0000_t202" coordsize="21600,21600" o:spt="202" path="m,l,21600r21600,l21600,xe">
              <v:stroke joinstyle="miter"/>
              <v:path gradientshapeok="t" o:connecttype="rect"/>
            </v:shapetype>
            <v:shape id="Cuadro de texto 224" o:spid="_x0000_s1027" type="#_x0000_t202" style="position:absolute;left:0;text-align:left;margin-left:52.2pt;margin-top:-31.65pt;width:204.7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" fillcolor="white [3212]" stroked="f" strokeweight=".5pt">
              <v:textbox>
                <w:txbxContent>
                  <w:p w14:paraId="17C85BB9"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739442"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0B8FD3"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B998890"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2577547A"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julio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6F943ABD" wp14:editId="249E6A2F">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618" w14:textId="11DE2E79"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7696" behindDoc="1" locked="0" layoutInCell="1" allowOverlap="1" wp14:anchorId="64DDF87A" wp14:editId="13A99973">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7D4BAF3" w14:textId="59A2561D" w:rsidR="009D2F40" w:rsidRPr="008030B6" w:rsidRDefault="009D2F40" w:rsidP="005A2672">
    <w:pPr>
      <w:pStyle w:val="Encabezado"/>
      <w:tabs>
        <w:tab w:val="left" w:pos="1276"/>
      </w:tabs>
      <w:rPr>
        <w:lang w:val="es-MX"/>
      </w:rPr>
    </w:pPr>
    <w:r>
      <w:rPr>
        <w:rFonts w:ascii="Arial Black" w:hAnsi="Arial Black" w:cs="Times New Roman"/>
        <w:b/>
        <w:color w:val="5B9BD5" w:themeColor="accent1"/>
        <w:lang w:val="es-MX"/>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8176" behindDoc="0" locked="0" layoutInCell="1" allowOverlap="1" wp14:anchorId="34208B44" wp14:editId="5F8B8C3D">
              <wp:simplePos x="0" y="0"/>
              <wp:positionH relativeFrom="column">
                <wp:posOffset>679450</wp:posOffset>
              </wp:positionH>
              <wp:positionV relativeFrom="paragraph">
                <wp:posOffset>-389255</wp:posOffset>
              </wp:positionV>
              <wp:extent cx="2673985" cy="781050"/>
              <wp:effectExtent l="0" t="0" r="0"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22B3EC72"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82A3E8"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DD6FAF6"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B6676A1"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4E1A7FF" w14:textId="07316B01"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08B44" id="_x0000_t202" coordsize="21600,21600" o:spt="202" path="m,l,21600r21600,l21600,xe">
              <v:stroke joinstyle="miter"/>
              <v:path gradientshapeok="t" o:connecttype="rect"/>
            </v:shapetype>
            <v:shape id="Cuadro de texto 231" o:spid="_x0000_s1033" type="#_x0000_t202" style="position:absolute;left:0;text-align:left;margin-left:53.5pt;margin-top:-30.65pt;width:210.55pt;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" fillcolor="white [3212]" stroked="f" strokeweight=".5pt">
              <v:textbox>
                <w:txbxContent>
                  <w:p w14:paraId="22B3EC72"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82A3E8"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DD6FAF6"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B6676A1"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4E1A7FF" w14:textId="07316B01"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9744" behindDoc="1" locked="0" layoutInCell="1" allowOverlap="1" wp14:anchorId="078FE684" wp14:editId="368B0E13">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7AED004" w14:textId="77777777" w:rsidR="009D2F40" w:rsidRPr="008030B6" w:rsidRDefault="009D2F40"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4E99"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0464" behindDoc="0" locked="0" layoutInCell="1" allowOverlap="1" wp14:anchorId="0FA7CA9E" wp14:editId="3314CF77">
              <wp:simplePos x="0" y="0"/>
              <wp:positionH relativeFrom="column">
                <wp:posOffset>670560</wp:posOffset>
              </wp:positionH>
              <wp:positionV relativeFrom="paragraph">
                <wp:posOffset>-397570</wp:posOffset>
              </wp:positionV>
              <wp:extent cx="2673985" cy="781050"/>
              <wp:effectExtent l="0" t="0" r="0" b="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0B209F6D" w14:textId="77777777" w:rsidR="009D2F40" w:rsidRPr="00F45C80" w:rsidRDefault="009D2F40"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D90E253" w14:textId="77777777" w:rsidR="009D2F40" w:rsidRPr="00F45C80" w:rsidRDefault="009D2F40"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A47802A" w14:textId="77777777" w:rsidR="009D2F40" w:rsidRPr="00F45C80" w:rsidRDefault="009D2F40"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40CA864" w14:textId="77777777" w:rsidR="009D2F40" w:rsidRPr="00F45C80" w:rsidRDefault="009D2F40"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4A4FC10" w14:textId="0F5332E9" w:rsidR="009D2F40" w:rsidRPr="00F45C80" w:rsidRDefault="009D2F40"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7CA9E" id="_x0000_t202" coordsize="21600,21600" o:spt="202" path="m,l,21600r21600,l21600,xe">
              <v:stroke joinstyle="miter"/>
              <v:path gradientshapeok="t" o:connecttype="rect"/>
            </v:shapetype>
            <v:shape id="Cuadro de texto 59" o:spid="_x0000_s1034" type="#_x0000_t202" style="position:absolute;left:0;text-align:left;margin-left:52.8pt;margin-top:-31.3pt;width:210.55pt;height: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" fillcolor="white [3212]" stroked="f" strokeweight=".5pt">
              <v:textbox>
                <w:txbxContent>
                  <w:p w14:paraId="0B209F6D" w14:textId="77777777" w:rsidR="009D2F40" w:rsidRPr="00F45C80" w:rsidRDefault="009D2F40"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D90E253" w14:textId="77777777" w:rsidR="009D2F40" w:rsidRPr="00F45C80" w:rsidRDefault="009D2F40"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A47802A" w14:textId="77777777" w:rsidR="009D2F40" w:rsidRPr="00F45C80" w:rsidRDefault="009D2F40"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40CA864" w14:textId="77777777" w:rsidR="009D2F40" w:rsidRPr="00F45C80" w:rsidRDefault="009D2F40"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4A4FC10" w14:textId="0F5332E9" w:rsidR="009D2F40" w:rsidRPr="00F45C80" w:rsidRDefault="009D2F40"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1792" behindDoc="1" locked="0" layoutInCell="1" allowOverlap="1" wp14:anchorId="4067C752" wp14:editId="68566C61">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86410E9" w14:textId="77777777" w:rsidR="009D2F40" w:rsidRPr="008030B6" w:rsidRDefault="009D2F40">
    <w:pPr>
      <w:pStyle w:val="Encabezado"/>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0224" behindDoc="0" locked="0" layoutInCell="1" allowOverlap="1" wp14:anchorId="5688AC0A" wp14:editId="543CDD90">
              <wp:simplePos x="0" y="0"/>
              <wp:positionH relativeFrom="column">
                <wp:posOffset>672465</wp:posOffset>
              </wp:positionH>
              <wp:positionV relativeFrom="paragraph">
                <wp:posOffset>-373380</wp:posOffset>
              </wp:positionV>
              <wp:extent cx="2647950" cy="781050"/>
              <wp:effectExtent l="0" t="0" r="0" b="0"/>
              <wp:wrapSquare wrapText="bothSides"/>
              <wp:docPr id="232" name="Cuadro de texto 232"/>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bg1"/>
                      </a:solidFill>
                      <a:ln w="6350">
                        <a:noFill/>
                      </a:ln>
                    </wps:spPr>
                    <wps:txbx>
                      <w:txbxContent>
                        <w:p w14:paraId="7C20C602"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0592B59"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7E0A91B"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0C45E5B"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6491F6" w14:textId="56C07895"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julio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8AC0A" id="_x0000_t202" coordsize="21600,21600" o:spt="202" path="m,l,21600r21600,l21600,xe">
              <v:stroke joinstyle="miter"/>
              <v:path gradientshapeok="t" o:connecttype="rect"/>
            </v:shapetype>
            <v:shape id="Cuadro de texto 232" o:spid="_x0000_s1035" type="#_x0000_t202" style="position:absolute;left:0;text-align:left;margin-left:52.95pt;margin-top:-29.4pt;width:208.5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" fillcolor="white [3212]" stroked="f" strokeweight=".5pt">
              <v:textbox>
                <w:txbxContent>
                  <w:p w14:paraId="7C20C602"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0592B59"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7E0A91B"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0C45E5B"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6491F6" w14:textId="56C07895"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julio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3840" behindDoc="1" locked="0" layoutInCell="1" allowOverlap="1" wp14:anchorId="3E0CC6AA" wp14:editId="0B2E2A13">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4145C5F" w14:textId="77777777" w:rsidR="009D2F40" w:rsidRPr="008030B6" w:rsidRDefault="009D2F40" w:rsidP="006906B8">
    <w:pPr>
      <w:pStyle w:val="Encabezado"/>
      <w:tabs>
        <w:tab w:val="left" w:pos="1276"/>
      </w:tabs>
      <w:rPr>
        <w:lang w:val="es-MX"/>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D8A8" w14:textId="77777777" w:rsidR="00351257" w:rsidRDefault="00351257"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6608" behindDoc="0" locked="0" layoutInCell="1" allowOverlap="1" wp14:anchorId="42266533" wp14:editId="56051C09">
              <wp:simplePos x="0" y="0"/>
              <wp:positionH relativeFrom="column">
                <wp:posOffset>681990</wp:posOffset>
              </wp:positionH>
              <wp:positionV relativeFrom="paragraph">
                <wp:posOffset>-354330</wp:posOffset>
              </wp:positionV>
              <wp:extent cx="2705100" cy="781050"/>
              <wp:effectExtent l="0" t="0" r="0" b="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2705100" cy="781050"/>
                      </a:xfrm>
                      <a:prstGeom prst="rect">
                        <a:avLst/>
                      </a:prstGeom>
                      <a:solidFill>
                        <a:schemeClr val="bg1"/>
                      </a:solidFill>
                      <a:ln w="6350">
                        <a:noFill/>
                      </a:ln>
                    </wps:spPr>
                    <wps:txbx>
                      <w:txbxContent>
                        <w:p w14:paraId="275DC2BD" w14:textId="77777777" w:rsidR="00351257" w:rsidRPr="00F45C80" w:rsidRDefault="00351257"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3048C6C" w14:textId="77777777" w:rsidR="00351257" w:rsidRPr="00F45C80" w:rsidRDefault="00351257"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08BFB2D" w14:textId="77777777" w:rsidR="00351257" w:rsidRPr="00F45C80" w:rsidRDefault="00351257"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52FD56C" w14:textId="77777777" w:rsidR="00351257" w:rsidRPr="00F45C80" w:rsidRDefault="00351257"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1B759C" w14:textId="77777777" w:rsidR="00351257" w:rsidRPr="00F45C80" w:rsidRDefault="00351257"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66533" id="_x0000_t202" coordsize="21600,21600" o:spt="202" path="m,l,21600r21600,l21600,xe">
              <v:stroke joinstyle="miter"/>
              <v:path gradientshapeok="t" o:connecttype="rect"/>
            </v:shapetype>
            <v:shape id="Cuadro de texto 45" o:spid="_x0000_s1036" type="#_x0000_t202" style="position:absolute;left:0;text-align:left;margin-left:53.7pt;margin-top:-27.9pt;width:213pt;height: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" fillcolor="white [3212]" stroked="f" strokeweight=".5pt">
              <v:textbox>
                <w:txbxContent>
                  <w:p w14:paraId="275DC2BD" w14:textId="77777777" w:rsidR="00351257" w:rsidRPr="00F45C80" w:rsidRDefault="00351257"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3048C6C" w14:textId="77777777" w:rsidR="00351257" w:rsidRPr="00F45C80" w:rsidRDefault="00351257"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08BFB2D" w14:textId="77777777" w:rsidR="00351257" w:rsidRPr="00F45C80" w:rsidRDefault="00351257"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52FD56C" w14:textId="77777777" w:rsidR="00351257" w:rsidRPr="00F45C80" w:rsidRDefault="00351257"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1B759C" w14:textId="77777777" w:rsidR="00351257" w:rsidRPr="00F45C80" w:rsidRDefault="00351257"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715584" behindDoc="1" locked="0" layoutInCell="1" allowOverlap="1" wp14:anchorId="1D115C30" wp14:editId="3E0A6BE3">
          <wp:simplePos x="0" y="0"/>
          <wp:positionH relativeFrom="column">
            <wp:posOffset>-1076325</wp:posOffset>
          </wp:positionH>
          <wp:positionV relativeFrom="paragraph">
            <wp:posOffset>-734060</wp:posOffset>
          </wp:positionV>
          <wp:extent cx="3093621" cy="1283913"/>
          <wp:effectExtent l="0" t="0" r="0" b="0"/>
          <wp:wrapNone/>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1338FF4" w14:textId="77777777" w:rsidR="00351257" w:rsidRPr="008030B6" w:rsidRDefault="00351257"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1993"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6C5C5AEC" wp14:editId="2E190560">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9D2F40" w:rsidRPr="008030B6" w:rsidRDefault="009D2F40"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9D2F40" w:rsidRPr="008030B6" w:rsidRDefault="009D2F40"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9D2F40" w:rsidRPr="008030B6" w:rsidRDefault="009D2F40">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10EFEE3F" wp14:editId="5F93AD78">
              <wp:simplePos x="0" y="0"/>
              <wp:positionH relativeFrom="column">
                <wp:posOffset>662940</wp:posOffset>
              </wp:positionH>
              <wp:positionV relativeFrom="paragraph">
                <wp:posOffset>-392430</wp:posOffset>
              </wp:positionV>
              <wp:extent cx="2657475" cy="781050"/>
              <wp:effectExtent l="0" t="0" r="9525" b="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657475" cy="781050"/>
                      </a:xfrm>
                      <a:prstGeom prst="rect">
                        <a:avLst/>
                      </a:prstGeom>
                      <a:solidFill>
                        <a:schemeClr val="bg1"/>
                      </a:solidFill>
                      <a:ln w="6350">
                        <a:noFill/>
                      </a:ln>
                    </wps:spPr>
                    <wps:txbx>
                      <w:txbxContent>
                        <w:p w14:paraId="1AF0BDA1"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188B710" w14:textId="77777777"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28" type="#_x0000_t202" style="position:absolute;left:0;text-align:left;margin-left:52.2pt;margin-top:-30.9pt;width:209.2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" fillcolor="white [3212]" stroked="f" strokeweight=".5pt">
              <v:textbox>
                <w:txbxContent>
                  <w:p w14:paraId="1AF0BDA1"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188B710" w14:textId="77777777"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junio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3F72B27B" wp14:editId="2E35E304">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9D2F40" w:rsidRPr="008030B6" w:rsidRDefault="009D2F40"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3536" behindDoc="0" locked="0" layoutInCell="1" allowOverlap="1" wp14:anchorId="6452CB1F" wp14:editId="574746B7">
              <wp:simplePos x="0" y="0"/>
              <wp:positionH relativeFrom="column">
                <wp:posOffset>698740</wp:posOffset>
              </wp:positionH>
              <wp:positionV relativeFrom="paragraph">
                <wp:posOffset>-337365</wp:posOffset>
              </wp:positionV>
              <wp:extent cx="2800350" cy="78105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6C436F74"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217AE5F"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896ED2"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6D2EF3"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AF171D" w14:textId="489E70F1" w:rsidR="009D2F40" w:rsidRPr="00F45C80" w:rsidRDefault="009D2F40"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 </w:t>
                          </w:r>
                          <w:r w:rsidRPr="00F45C80">
                            <w:rPr>
                              <w:rFonts w:asciiTheme="majorHAnsi" w:hAnsiTheme="majorHAnsi" w:cs="Arial"/>
                              <w:color w:val="323E4F" w:themeColor="text2" w:themeShade="BF"/>
                              <w:sz w:val="18"/>
                              <w:szCs w:val="20"/>
                              <w:lang w:val="es-MX"/>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2CB1F" id="_x0000_t202" coordsize="21600,21600" o:spt="202" path="m,l,21600r21600,l21600,xe">
              <v:stroke joinstyle="miter"/>
              <v:path gradientshapeok="t" o:connecttype="rect"/>
            </v:shapetype>
            <v:shape id="Cuadro de texto 22" o:spid="_x0000_s1029" type="#_x0000_t202" style="position:absolute;left:0;text-align:left;margin-left:55pt;margin-top:-26.55pt;width:220.5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" fillcolor="white [3212]" stroked="f" strokeweight=".5pt">
              <v:textbox>
                <w:txbxContent>
                  <w:p w14:paraId="6C436F74"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217AE5F"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896ED2"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6D2EF3"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AF171D" w14:textId="489E70F1" w:rsidR="009D2F40" w:rsidRPr="00F45C80" w:rsidRDefault="009D2F40"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 </w:t>
                    </w:r>
                    <w:r w:rsidRPr="00F45C80">
                      <w:rPr>
                        <w:rFonts w:asciiTheme="majorHAnsi" w:hAnsiTheme="majorHAnsi" w:cs="Arial"/>
                        <w:color w:val="323E4F" w:themeColor="text2" w:themeShade="BF"/>
                        <w:sz w:val="18"/>
                        <w:szCs w:val="20"/>
                        <w:lang w:val="es-MX"/>
                      </w:rPr>
                      <w:t>2022</w:t>
                    </w:r>
                  </w:p>
                </w:txbxContent>
              </v:textbox>
              <w10:wrap type="square"/>
            </v:shape>
          </w:pict>
        </mc:Fallback>
      </mc:AlternateContent>
    </w:r>
    <w:r>
      <w:rPr>
        <w:noProof/>
        <w:lang w:eastAsia="es-GT"/>
      </w:rPr>
      <w:drawing>
        <wp:anchor distT="0" distB="0" distL="114300" distR="114300" simplePos="0" relativeHeight="251712512" behindDoc="1" locked="0" layoutInCell="1" allowOverlap="1" wp14:anchorId="6470CE3E" wp14:editId="56A512B7">
          <wp:simplePos x="0" y="0"/>
          <wp:positionH relativeFrom="column">
            <wp:posOffset>-1076325</wp:posOffset>
          </wp:positionH>
          <wp:positionV relativeFrom="paragraph">
            <wp:posOffset>-734060</wp:posOffset>
          </wp:positionV>
          <wp:extent cx="3093621" cy="1283913"/>
          <wp:effectExtent l="0" t="0" r="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6664D10" w14:textId="77777777" w:rsidR="009D2F40" w:rsidRPr="008030B6" w:rsidRDefault="009D2F40"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40E0E"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5408" behindDoc="1" locked="0" layoutInCell="1" allowOverlap="1" wp14:anchorId="15CBC96E" wp14:editId="45FB375C">
          <wp:simplePos x="0" y="0"/>
          <wp:positionH relativeFrom="column">
            <wp:posOffset>-1076325</wp:posOffset>
          </wp:positionH>
          <wp:positionV relativeFrom="paragraph">
            <wp:posOffset>-734060</wp:posOffset>
          </wp:positionV>
          <wp:extent cx="3093621" cy="1283913"/>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5ABFBD1" w14:textId="77777777" w:rsidR="009D2F40" w:rsidRPr="008030B6" w:rsidRDefault="009D2F40"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1E83468" w14:textId="77777777" w:rsidR="009D2F40" w:rsidRPr="008030B6" w:rsidRDefault="009D2F40"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442F2517" w14:textId="77777777" w:rsidR="009D2F40" w:rsidRPr="008030B6" w:rsidRDefault="009D2F40">
    <w:pPr>
      <w:pStyle w:val="Encabezado"/>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4080" behindDoc="0" locked="0" layoutInCell="1" allowOverlap="1" wp14:anchorId="51879951" wp14:editId="5A118A8C">
              <wp:simplePos x="0" y="0"/>
              <wp:positionH relativeFrom="column">
                <wp:posOffset>662940</wp:posOffset>
              </wp:positionH>
              <wp:positionV relativeFrom="paragraph">
                <wp:posOffset>-363855</wp:posOffset>
              </wp:positionV>
              <wp:extent cx="2800350" cy="781050"/>
              <wp:effectExtent l="0" t="0" r="0" b="0"/>
              <wp:wrapSquare wrapText="bothSides"/>
              <wp:docPr id="229" name="Cuadro de texto 229"/>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43B3281E"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16CCA8"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4B626FE"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B02AF93"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11650F3" w14:textId="1CA1D4BD"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79951" id="_x0000_t202" coordsize="21600,21600" o:spt="202" path="m,l,21600r21600,l21600,xe">
              <v:stroke joinstyle="miter"/>
              <v:path gradientshapeok="t" o:connecttype="rect"/>
            </v:shapetype>
            <v:shape id="Cuadro de texto 229" o:spid="_x0000_s1030" type="#_x0000_t202" style="position:absolute;left:0;text-align:left;margin-left:52.2pt;margin-top:-28.65pt;width:220.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" fillcolor="white [3212]" stroked="f" strokeweight=".5pt">
              <v:textbox>
                <w:txbxContent>
                  <w:p w14:paraId="43B3281E"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16CCA8"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4B626FE"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B02AF93"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11650F3" w14:textId="1CA1D4BD"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7456" behindDoc="1" locked="0" layoutInCell="1" allowOverlap="1" wp14:anchorId="6DFCF9B1" wp14:editId="1D03FD87">
          <wp:simplePos x="0" y="0"/>
          <wp:positionH relativeFrom="column">
            <wp:posOffset>-1076325</wp:posOffset>
          </wp:positionH>
          <wp:positionV relativeFrom="paragraph">
            <wp:posOffset>-734060</wp:posOffset>
          </wp:positionV>
          <wp:extent cx="3093621" cy="1283913"/>
          <wp:effectExtent l="0" t="0" r="0" b="0"/>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F8A8923" w14:textId="77777777" w:rsidR="009D2F40" w:rsidRPr="008030B6" w:rsidRDefault="009D2F40" w:rsidP="006906B8">
    <w:pPr>
      <w:pStyle w:val="Encabezado"/>
      <w:tabs>
        <w:tab w:val="left" w:pos="1276"/>
      </w:tabs>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4320" behindDoc="0" locked="0" layoutInCell="1" allowOverlap="1" wp14:anchorId="3D21F232" wp14:editId="5A552CF2">
              <wp:simplePos x="0" y="0"/>
              <wp:positionH relativeFrom="column">
                <wp:posOffset>687393</wp:posOffset>
              </wp:positionH>
              <wp:positionV relativeFrom="paragraph">
                <wp:posOffset>-351910</wp:posOffset>
              </wp:positionV>
              <wp:extent cx="2800350" cy="78105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20FCC50E"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6511B74F" w:rsidR="009D2F40" w:rsidRPr="00F45C80" w:rsidRDefault="009D2F40"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1F232" id="_x0000_t202" coordsize="21600,21600" o:spt="202" path="m,l,21600r21600,l21600,xe">
              <v:stroke joinstyle="miter"/>
              <v:path gradientshapeok="t" o:connecttype="rect"/>
            </v:shapetype>
            <v:shape id="Cuadro de texto 245" o:spid="_x0000_s1031" type="#_x0000_t202" style="position:absolute;left:0;text-align:left;margin-left:54.15pt;margin-top:-27.7pt;width:220.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" fillcolor="white [3212]" stroked="f" strokeweight=".5pt">
              <v:textbox>
                <w:txbxContent>
                  <w:p w14:paraId="20FCC50E"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9D2F40" w:rsidRPr="00F45C80" w:rsidRDefault="009D2F40"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6511B74F" w:rsidR="009D2F40" w:rsidRPr="00F45C80" w:rsidRDefault="009D2F40"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1552" behindDoc="1" locked="0" layoutInCell="1" allowOverlap="1" wp14:anchorId="10AA3661" wp14:editId="6CF4E161">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E1A1690" w14:textId="77777777" w:rsidR="009D2F40" w:rsidRDefault="009D2F40"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9D2F40" w:rsidRPr="002C0967" w:rsidRDefault="009D2F40" w:rsidP="002C0967">
    <w:pPr>
      <w:pStyle w:val="Encabezado"/>
      <w:tabs>
        <w:tab w:val="left" w:pos="1276"/>
      </w:tabs>
      <w:rPr>
        <w:rFonts w:asciiTheme="majorHAnsi" w:hAnsiTheme="majorHAnsi" w:cs="Arial"/>
        <w:b/>
        <w:color w:val="5B9BD5" w:themeColor="accent1"/>
        <w:sz w:val="10"/>
        <w:lang w:val="es-MX"/>
      </w:rPr>
    </w:pPr>
  </w:p>
  <w:p w14:paraId="6CA87F21" w14:textId="77777777" w:rsidR="009D2F40" w:rsidRPr="008030B6" w:rsidRDefault="009D2F40">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641B"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3600" behindDoc="1" locked="0" layoutInCell="1" allowOverlap="1" wp14:anchorId="097744A5" wp14:editId="3F9131E7">
          <wp:simplePos x="0" y="0"/>
          <wp:positionH relativeFrom="column">
            <wp:posOffset>-1076325</wp:posOffset>
          </wp:positionH>
          <wp:positionV relativeFrom="paragraph">
            <wp:posOffset>-734060</wp:posOffset>
          </wp:positionV>
          <wp:extent cx="3093621" cy="1283913"/>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65D6747" w14:textId="77777777" w:rsidR="009D2F40" w:rsidRPr="008030B6" w:rsidRDefault="009D2F40"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584FF837" w14:textId="77777777" w:rsidR="009D2F40" w:rsidRPr="008030B6" w:rsidRDefault="009D2F40"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EF245A0" w14:textId="77777777" w:rsidR="009D2F40" w:rsidRPr="008030B6" w:rsidRDefault="009D2F40">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8BA9" w14:textId="77777777" w:rsidR="009D2F40" w:rsidRDefault="009D2F40"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6128" behindDoc="0" locked="0" layoutInCell="1" allowOverlap="1" wp14:anchorId="40343B17" wp14:editId="2ECBC8D5">
              <wp:simplePos x="0" y="0"/>
              <wp:positionH relativeFrom="column">
                <wp:posOffset>672465</wp:posOffset>
              </wp:positionH>
              <wp:positionV relativeFrom="paragraph">
                <wp:posOffset>-392430</wp:posOffset>
              </wp:positionV>
              <wp:extent cx="2590800" cy="781050"/>
              <wp:effectExtent l="0" t="0" r="0" b="0"/>
              <wp:wrapSquare wrapText="bothSides"/>
              <wp:docPr id="230" name="Cuadro de texto 230"/>
              <wp:cNvGraphicFramePr/>
              <a:graphic xmlns:a="http://schemas.openxmlformats.org/drawingml/2006/main">
                <a:graphicData uri="http://schemas.microsoft.com/office/word/2010/wordprocessingShape">
                  <wps:wsp>
                    <wps:cNvSpPr txBox="1"/>
                    <wps:spPr>
                      <a:xfrm>
                        <a:off x="0" y="0"/>
                        <a:ext cx="2590800" cy="781050"/>
                      </a:xfrm>
                      <a:prstGeom prst="rect">
                        <a:avLst/>
                      </a:prstGeom>
                      <a:solidFill>
                        <a:schemeClr val="bg1"/>
                      </a:solidFill>
                      <a:ln w="6350">
                        <a:noFill/>
                      </a:ln>
                    </wps:spPr>
                    <wps:txbx>
                      <w:txbxContent>
                        <w:p w14:paraId="77E72461"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96B86CF"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D1FB0DB"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33D08C90"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62AD4355" w14:textId="679E0D5C"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43B17" id="_x0000_t202" coordsize="21600,21600" o:spt="202" path="m,l,21600r21600,l21600,xe">
              <v:stroke joinstyle="miter"/>
              <v:path gradientshapeok="t" o:connecttype="rect"/>
            </v:shapetype>
            <v:shape id="Cuadro de texto 230" o:spid="_x0000_s1032" type="#_x0000_t202" style="position:absolute;left:0;text-align:left;margin-left:52.95pt;margin-top:-30.9pt;width:204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" fillcolor="white [3212]" stroked="f" strokeweight=".5pt">
              <v:textbox>
                <w:txbxContent>
                  <w:p w14:paraId="77E72461"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96B86CF"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D1FB0DB"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33D08C90" w14:textId="77777777" w:rsidR="009D2F40" w:rsidRPr="00F45C80" w:rsidRDefault="009D2F40"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62AD4355" w14:textId="679E0D5C" w:rsidR="009D2F40" w:rsidRPr="00F45C80" w:rsidRDefault="009D2F40"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julio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5648" behindDoc="1" locked="0" layoutInCell="1" allowOverlap="1" wp14:anchorId="5AE4674C" wp14:editId="075BB93C">
          <wp:simplePos x="0" y="0"/>
          <wp:positionH relativeFrom="column">
            <wp:posOffset>-1076325</wp:posOffset>
          </wp:positionH>
          <wp:positionV relativeFrom="paragraph">
            <wp:posOffset>-734060</wp:posOffset>
          </wp:positionV>
          <wp:extent cx="3093621" cy="1283913"/>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2BC8CEB" w14:textId="77777777" w:rsidR="009D2F40" w:rsidRPr="008030B6" w:rsidRDefault="009D2F40"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3098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4405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4F98"/>
    <w:rsid w:val="00006406"/>
    <w:rsid w:val="000075D4"/>
    <w:rsid w:val="00010AD5"/>
    <w:rsid w:val="00011AE9"/>
    <w:rsid w:val="00013059"/>
    <w:rsid w:val="000150E7"/>
    <w:rsid w:val="00015E02"/>
    <w:rsid w:val="0002331B"/>
    <w:rsid w:val="00037748"/>
    <w:rsid w:val="00040839"/>
    <w:rsid w:val="00055701"/>
    <w:rsid w:val="00055C7A"/>
    <w:rsid w:val="0006294D"/>
    <w:rsid w:val="000650ED"/>
    <w:rsid w:val="000908C0"/>
    <w:rsid w:val="00093D7C"/>
    <w:rsid w:val="00095D7D"/>
    <w:rsid w:val="000B3BF1"/>
    <w:rsid w:val="000D411C"/>
    <w:rsid w:val="000E4207"/>
    <w:rsid w:val="000E7E29"/>
    <w:rsid w:val="000F2612"/>
    <w:rsid w:val="000F63A0"/>
    <w:rsid w:val="001042A3"/>
    <w:rsid w:val="00112F6C"/>
    <w:rsid w:val="0011435E"/>
    <w:rsid w:val="001A7D31"/>
    <w:rsid w:val="001B456C"/>
    <w:rsid w:val="001C01B8"/>
    <w:rsid w:val="001C3AFC"/>
    <w:rsid w:val="001C5B4A"/>
    <w:rsid w:val="001E5527"/>
    <w:rsid w:val="001F3983"/>
    <w:rsid w:val="002023FA"/>
    <w:rsid w:val="00215D81"/>
    <w:rsid w:val="0021637E"/>
    <w:rsid w:val="0022064E"/>
    <w:rsid w:val="0023120C"/>
    <w:rsid w:val="00233911"/>
    <w:rsid w:val="0024077F"/>
    <w:rsid w:val="00243E44"/>
    <w:rsid w:val="00250970"/>
    <w:rsid w:val="00250C9B"/>
    <w:rsid w:val="00251076"/>
    <w:rsid w:val="00252096"/>
    <w:rsid w:val="00260D42"/>
    <w:rsid w:val="002617F1"/>
    <w:rsid w:val="00283D03"/>
    <w:rsid w:val="00285F51"/>
    <w:rsid w:val="00286DB5"/>
    <w:rsid w:val="002C0967"/>
    <w:rsid w:val="002C0D64"/>
    <w:rsid w:val="002C5760"/>
    <w:rsid w:val="00350ED6"/>
    <w:rsid w:val="00351257"/>
    <w:rsid w:val="00371E68"/>
    <w:rsid w:val="0037734C"/>
    <w:rsid w:val="003854FF"/>
    <w:rsid w:val="003860E1"/>
    <w:rsid w:val="0039212B"/>
    <w:rsid w:val="00395039"/>
    <w:rsid w:val="003A48F5"/>
    <w:rsid w:val="003B043B"/>
    <w:rsid w:val="003B53FC"/>
    <w:rsid w:val="0040097F"/>
    <w:rsid w:val="00421C7D"/>
    <w:rsid w:val="00421FDB"/>
    <w:rsid w:val="004229AD"/>
    <w:rsid w:val="00451C7E"/>
    <w:rsid w:val="004577E8"/>
    <w:rsid w:val="00467154"/>
    <w:rsid w:val="004747BE"/>
    <w:rsid w:val="0049255C"/>
    <w:rsid w:val="00492F01"/>
    <w:rsid w:val="004A0389"/>
    <w:rsid w:val="004A768C"/>
    <w:rsid w:val="004B0480"/>
    <w:rsid w:val="004B1AE0"/>
    <w:rsid w:val="004B368F"/>
    <w:rsid w:val="004C41E9"/>
    <w:rsid w:val="004E4CAA"/>
    <w:rsid w:val="004F07CD"/>
    <w:rsid w:val="004F6834"/>
    <w:rsid w:val="00501CF3"/>
    <w:rsid w:val="00511BE9"/>
    <w:rsid w:val="00515068"/>
    <w:rsid w:val="00515677"/>
    <w:rsid w:val="00515AED"/>
    <w:rsid w:val="005334BA"/>
    <w:rsid w:val="005419C5"/>
    <w:rsid w:val="0055103F"/>
    <w:rsid w:val="00556819"/>
    <w:rsid w:val="00560D6F"/>
    <w:rsid w:val="00570B6A"/>
    <w:rsid w:val="00572820"/>
    <w:rsid w:val="005806F0"/>
    <w:rsid w:val="00585A69"/>
    <w:rsid w:val="00586547"/>
    <w:rsid w:val="0058660F"/>
    <w:rsid w:val="005A2672"/>
    <w:rsid w:val="005A2CF4"/>
    <w:rsid w:val="005A4DB0"/>
    <w:rsid w:val="005B5C01"/>
    <w:rsid w:val="005B6627"/>
    <w:rsid w:val="005E386C"/>
    <w:rsid w:val="006266DD"/>
    <w:rsid w:val="006302AC"/>
    <w:rsid w:val="00655596"/>
    <w:rsid w:val="00672F97"/>
    <w:rsid w:val="0067690E"/>
    <w:rsid w:val="006906B8"/>
    <w:rsid w:val="006A2A15"/>
    <w:rsid w:val="006B4A2A"/>
    <w:rsid w:val="006D3A8A"/>
    <w:rsid w:val="007063EC"/>
    <w:rsid w:val="0071038C"/>
    <w:rsid w:val="00711E49"/>
    <w:rsid w:val="00721A61"/>
    <w:rsid w:val="00730CBF"/>
    <w:rsid w:val="00734E2E"/>
    <w:rsid w:val="00736DFB"/>
    <w:rsid w:val="0075021C"/>
    <w:rsid w:val="007602BA"/>
    <w:rsid w:val="0076345F"/>
    <w:rsid w:val="00767975"/>
    <w:rsid w:val="00776700"/>
    <w:rsid w:val="007876AF"/>
    <w:rsid w:val="00795BF0"/>
    <w:rsid w:val="007B0601"/>
    <w:rsid w:val="007B344C"/>
    <w:rsid w:val="007C1DEB"/>
    <w:rsid w:val="007C36FF"/>
    <w:rsid w:val="007C49F4"/>
    <w:rsid w:val="007D1E61"/>
    <w:rsid w:val="007E74D2"/>
    <w:rsid w:val="008030B6"/>
    <w:rsid w:val="00815C32"/>
    <w:rsid w:val="00816A9D"/>
    <w:rsid w:val="0082027C"/>
    <w:rsid w:val="00821B3D"/>
    <w:rsid w:val="008338D5"/>
    <w:rsid w:val="008359E2"/>
    <w:rsid w:val="00840733"/>
    <w:rsid w:val="00841A3C"/>
    <w:rsid w:val="00854981"/>
    <w:rsid w:val="00863E34"/>
    <w:rsid w:val="00871E6D"/>
    <w:rsid w:val="00872BB9"/>
    <w:rsid w:val="00874C9B"/>
    <w:rsid w:val="0089134E"/>
    <w:rsid w:val="00895F40"/>
    <w:rsid w:val="008A026E"/>
    <w:rsid w:val="008A32ED"/>
    <w:rsid w:val="008A4F88"/>
    <w:rsid w:val="008B1626"/>
    <w:rsid w:val="008B221F"/>
    <w:rsid w:val="008B2C28"/>
    <w:rsid w:val="008C2E50"/>
    <w:rsid w:val="008E00B7"/>
    <w:rsid w:val="008F5AEA"/>
    <w:rsid w:val="008F6F4F"/>
    <w:rsid w:val="008F7BCD"/>
    <w:rsid w:val="00907BD2"/>
    <w:rsid w:val="009169FC"/>
    <w:rsid w:val="0094207C"/>
    <w:rsid w:val="0094241B"/>
    <w:rsid w:val="00960BE9"/>
    <w:rsid w:val="009811E3"/>
    <w:rsid w:val="00991CB3"/>
    <w:rsid w:val="00993DD2"/>
    <w:rsid w:val="00993EED"/>
    <w:rsid w:val="0099630E"/>
    <w:rsid w:val="009A002A"/>
    <w:rsid w:val="009A198C"/>
    <w:rsid w:val="009C126C"/>
    <w:rsid w:val="009D2F40"/>
    <w:rsid w:val="009E0410"/>
    <w:rsid w:val="00A01418"/>
    <w:rsid w:val="00A02862"/>
    <w:rsid w:val="00A02F83"/>
    <w:rsid w:val="00A05516"/>
    <w:rsid w:val="00A070D9"/>
    <w:rsid w:val="00A26192"/>
    <w:rsid w:val="00A30D0C"/>
    <w:rsid w:val="00A57E56"/>
    <w:rsid w:val="00A604D3"/>
    <w:rsid w:val="00A73F88"/>
    <w:rsid w:val="00AC3377"/>
    <w:rsid w:val="00AC3505"/>
    <w:rsid w:val="00AD7B46"/>
    <w:rsid w:val="00AD7C37"/>
    <w:rsid w:val="00AE122B"/>
    <w:rsid w:val="00AE12E5"/>
    <w:rsid w:val="00AE7265"/>
    <w:rsid w:val="00AF407E"/>
    <w:rsid w:val="00B03113"/>
    <w:rsid w:val="00B06193"/>
    <w:rsid w:val="00B218D0"/>
    <w:rsid w:val="00B31260"/>
    <w:rsid w:val="00B535BC"/>
    <w:rsid w:val="00B6454C"/>
    <w:rsid w:val="00B77BCA"/>
    <w:rsid w:val="00B87B86"/>
    <w:rsid w:val="00BA23E7"/>
    <w:rsid w:val="00BA3966"/>
    <w:rsid w:val="00BA3CFB"/>
    <w:rsid w:val="00BB357A"/>
    <w:rsid w:val="00BE17ED"/>
    <w:rsid w:val="00BF4A4A"/>
    <w:rsid w:val="00C067A7"/>
    <w:rsid w:val="00C10066"/>
    <w:rsid w:val="00C1011D"/>
    <w:rsid w:val="00C17274"/>
    <w:rsid w:val="00C17FDF"/>
    <w:rsid w:val="00C24781"/>
    <w:rsid w:val="00C31244"/>
    <w:rsid w:val="00C44B4C"/>
    <w:rsid w:val="00C503BE"/>
    <w:rsid w:val="00C56D80"/>
    <w:rsid w:val="00C60D3A"/>
    <w:rsid w:val="00C60DF9"/>
    <w:rsid w:val="00C66E5B"/>
    <w:rsid w:val="00C74C0C"/>
    <w:rsid w:val="00C76B98"/>
    <w:rsid w:val="00C85B13"/>
    <w:rsid w:val="00CA1EC8"/>
    <w:rsid w:val="00CB4C8F"/>
    <w:rsid w:val="00CC39FE"/>
    <w:rsid w:val="00CC4364"/>
    <w:rsid w:val="00CD5A70"/>
    <w:rsid w:val="00CE01A9"/>
    <w:rsid w:val="00CE5240"/>
    <w:rsid w:val="00D04A4E"/>
    <w:rsid w:val="00D06D9C"/>
    <w:rsid w:val="00D12478"/>
    <w:rsid w:val="00D13023"/>
    <w:rsid w:val="00D22BC7"/>
    <w:rsid w:val="00D26729"/>
    <w:rsid w:val="00D42071"/>
    <w:rsid w:val="00D43859"/>
    <w:rsid w:val="00D508C0"/>
    <w:rsid w:val="00D509EF"/>
    <w:rsid w:val="00D62A34"/>
    <w:rsid w:val="00D62B21"/>
    <w:rsid w:val="00DC3A4C"/>
    <w:rsid w:val="00DD0CF2"/>
    <w:rsid w:val="00DF059D"/>
    <w:rsid w:val="00DF6AE8"/>
    <w:rsid w:val="00DF7969"/>
    <w:rsid w:val="00E02DD8"/>
    <w:rsid w:val="00E13AB2"/>
    <w:rsid w:val="00E161E3"/>
    <w:rsid w:val="00E21B05"/>
    <w:rsid w:val="00E34FF8"/>
    <w:rsid w:val="00E35916"/>
    <w:rsid w:val="00E4580E"/>
    <w:rsid w:val="00E46C09"/>
    <w:rsid w:val="00E564DE"/>
    <w:rsid w:val="00E81EF7"/>
    <w:rsid w:val="00E87621"/>
    <w:rsid w:val="00EA081D"/>
    <w:rsid w:val="00EA18EF"/>
    <w:rsid w:val="00EA3AF3"/>
    <w:rsid w:val="00EB56B7"/>
    <w:rsid w:val="00EE3B08"/>
    <w:rsid w:val="00EF25AE"/>
    <w:rsid w:val="00EF31E4"/>
    <w:rsid w:val="00EF7D80"/>
    <w:rsid w:val="00F01B17"/>
    <w:rsid w:val="00F0543B"/>
    <w:rsid w:val="00F05A6A"/>
    <w:rsid w:val="00F0629D"/>
    <w:rsid w:val="00F1085F"/>
    <w:rsid w:val="00F23E3F"/>
    <w:rsid w:val="00F40523"/>
    <w:rsid w:val="00F45C80"/>
    <w:rsid w:val="00F466B9"/>
    <w:rsid w:val="00F46A2C"/>
    <w:rsid w:val="00F608B5"/>
    <w:rsid w:val="00F72CD5"/>
    <w:rsid w:val="00F743E8"/>
    <w:rsid w:val="00F75D29"/>
    <w:rsid w:val="00F86729"/>
    <w:rsid w:val="00F979D8"/>
    <w:rsid w:val="00FA0E54"/>
    <w:rsid w:val="00FB4B07"/>
    <w:rsid w:val="00FB4D90"/>
    <w:rsid w:val="00FB6185"/>
    <w:rsid w:val="00FC0ED3"/>
    <w:rsid w:val="00FC23EC"/>
    <w:rsid w:val="00FD6C71"/>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footer" Target="footer6.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header" Target="header11.xml"/><Relationship Id="rId47" Type="http://schemas.openxmlformats.org/officeDocument/2006/relationships/chart" Target="charts/chart15.xml"/><Relationship Id="rId50" Type="http://schemas.openxmlformats.org/officeDocument/2006/relationships/footer" Target="footer1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0.xml"/><Relationship Id="rId41" Type="http://schemas.openxmlformats.org/officeDocument/2006/relationships/footer" Target="footer1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2.emf"/><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5.xml"/><Relationship Id="rId28" Type="http://schemas.openxmlformats.org/officeDocument/2006/relationships/chart" Target="charts/chart9.xml"/><Relationship Id="rId36" Type="http://schemas.openxmlformats.org/officeDocument/2006/relationships/header" Target="header8.xml"/><Relationship Id="rId49" Type="http://schemas.openxmlformats.org/officeDocument/2006/relationships/header" Target="header13.xml"/><Relationship Id="rId10" Type="http://schemas.openxmlformats.org/officeDocument/2006/relationships/header" Target="header2.xml"/><Relationship Id="rId19" Type="http://schemas.openxmlformats.org/officeDocument/2006/relationships/chart" Target="charts/chart6.xml"/><Relationship Id="rId31" Type="http://schemas.openxmlformats.org/officeDocument/2006/relationships/chart" Target="charts/chart12.xml"/><Relationship Id="rId44" Type="http://schemas.openxmlformats.org/officeDocument/2006/relationships/chart" Target="charts/chart14.xml"/><Relationship Id="rId52"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3.xml"/><Relationship Id="rId43" Type="http://schemas.openxmlformats.org/officeDocument/2006/relationships/footer" Target="footer11.xml"/><Relationship Id="rId48" Type="http://schemas.openxmlformats.org/officeDocument/2006/relationships/image" Target="media/image3.emf"/><Relationship Id="rId8" Type="http://schemas.openxmlformats.org/officeDocument/2006/relationships/header" Target="header1.xml"/><Relationship Id="rId51" Type="http://schemas.openxmlformats.org/officeDocument/2006/relationships/image" Target="media/image4.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eargueta\Desktop\Informes%202022\Sitfin%202022\Julio%202022\Sitfin%20al%20310722%20(16082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4B7C-42C5-ADAA-240454BAC218}"/>
              </c:ext>
            </c:extLst>
          </c:dPt>
          <c:dLbls>
            <c:dLbl>
              <c:idx val="1"/>
              <c:layout>
                <c:manualLayout>
                  <c:x val="0.13125141434713736"/>
                  <c:y val="6.7219359175442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7C-42C5-ADAA-240454BAC21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2019</c:v>
                </c:pt>
                <c:pt idx="1">
                  <c:v>2020</c:v>
                </c:pt>
                <c:pt idx="2">
                  <c:v>2021</c:v>
                </c:pt>
                <c:pt idx="3">
                  <c:v>2022</c:v>
                </c:pt>
              </c:numCache>
            </c:numRef>
          </c:cat>
          <c:val>
            <c:numRef>
              <c:f>'Reporte Diario'!$M$62:$P$62</c:f>
              <c:numCache>
                <c:formatCode>_-* #,##0.0_-;\-* #,##0.0_-;_-* "-"??_-;_-@_-</c:formatCode>
                <c:ptCount val="4"/>
                <c:pt idx="0">
                  <c:v>-4096.57633919</c:v>
                </c:pt>
                <c:pt idx="1">
                  <c:v>-11118.978554469999</c:v>
                </c:pt>
                <c:pt idx="2">
                  <c:v>-1226.6516905800027</c:v>
                </c:pt>
                <c:pt idx="3">
                  <c:v>-573.49720330999844</c:v>
                </c:pt>
              </c:numCache>
            </c:numRef>
          </c:val>
          <c:extLst>
            <c:ext xmlns:c16="http://schemas.microsoft.com/office/drawing/2014/chart" uri="{C3380CC4-5D6E-409C-BE32-E72D297353CC}">
              <c16:uniqueId val="{00000003-4B7C-42C5-ADAA-240454BAC218}"/>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2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146213430638255E-2"/>
          <c:y val="4.5483174019693165E-2"/>
          <c:w val="0.87037698121307294"/>
          <c:h val="0.75423602553659574"/>
        </c:manualLayout>
      </c:layout>
      <c:barChart>
        <c:barDir val="col"/>
        <c:grouping val="clustered"/>
        <c:varyColors val="0"/>
        <c:ser>
          <c:idx val="1"/>
          <c:order val="1"/>
          <c:tx>
            <c:strRef>
              <c:f>Sheet1!$C$1</c:f>
              <c:strCache>
                <c:ptCount val="1"/>
                <c:pt idx="0">
                  <c:v>2022</c:v>
                </c:pt>
              </c:strCache>
            </c:strRef>
          </c:tx>
          <c:spPr>
            <a:solidFill>
              <a:srgbClr val="31859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31859C"/>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9.0397193863427816</c:v>
                </c:pt>
                <c:pt idx="1">
                  <c:v>15.744528364482392</c:v>
                </c:pt>
                <c:pt idx="2">
                  <c:v>18.138352996504921</c:v>
                </c:pt>
                <c:pt idx="3">
                  <c:v>14.951290811092406</c:v>
                </c:pt>
                <c:pt idx="4">
                  <c:v>16.626980580658056</c:v>
                </c:pt>
                <c:pt idx="5">
                  <c:v>17.353788259949596</c:v>
                </c:pt>
                <c:pt idx="6">
                  <c:v>16.3479738447123</c:v>
                </c:pt>
              </c:numCache>
            </c:numRef>
          </c:val>
          <c:extLst>
            <c:ext xmlns:c16="http://schemas.microsoft.com/office/drawing/2014/chart" uri="{C3380CC4-5D6E-409C-BE32-E72D297353CC}">
              <c16:uniqueId val="{00000000-1999-4D4B-A326-A341F9F660F2}"/>
            </c:ext>
          </c:extLst>
        </c:ser>
        <c:dLbls>
          <c:showLegendKey val="0"/>
          <c:showVal val="0"/>
          <c:showCatName val="0"/>
          <c:showSerName val="0"/>
          <c:showPercent val="0"/>
          <c:showBubbleSize val="0"/>
        </c:dLbls>
        <c:gapWidth val="37"/>
        <c:axId val="386382944"/>
        <c:axId val="386383928"/>
      </c:barChart>
      <c:lineChart>
        <c:grouping val="standard"/>
        <c:varyColors val="0"/>
        <c:ser>
          <c:idx val="0"/>
          <c:order val="0"/>
          <c:tx>
            <c:strRef>
              <c:f>Sheet1!$B$1</c:f>
              <c:strCache>
                <c:ptCount val="1"/>
                <c:pt idx="0">
                  <c:v>2021</c:v>
                </c:pt>
              </c:strCache>
            </c:strRef>
          </c:tx>
          <c:spPr>
            <a:ln w="22225" cap="rnd">
              <a:solidFill>
                <a:schemeClr val="accent4">
                  <a:lumMod val="50000"/>
                </a:schemeClr>
              </a:solidFill>
              <a:prstDash val="sysDash"/>
              <a:round/>
            </a:ln>
            <a:effectLst/>
          </c:spPr>
          <c:marker>
            <c:symbol val="triangle"/>
            <c:size val="5"/>
            <c:spPr>
              <a:solidFill>
                <a:srgbClr val="FFC000"/>
              </a:solidFill>
              <a:ln w="9525">
                <a:solidFill>
                  <a:schemeClr val="accent4">
                    <a:lumMod val="50000"/>
                  </a:schemeClr>
                </a:solid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1-1999-4D4B-A326-A341F9F660F2}"/>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2-1999-4D4B-A326-A341F9F660F2}"/>
                </c:ext>
              </c:extLst>
            </c:dLbl>
            <c:dLbl>
              <c:idx val="2"/>
              <c:layout>
                <c:manualLayout>
                  <c:x val="-6.4562410329985692E-2"/>
                  <c:y val="-0.1096374889478337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99-4D4B-A326-A341F9F660F2}"/>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4-1999-4D4B-A326-A341F9F660F2}"/>
                </c:ext>
              </c:extLst>
            </c:dLbl>
            <c:dLbl>
              <c:idx val="4"/>
              <c:layout>
                <c:manualLayout>
                  <c:x val="-6.4562410329985651E-2"/>
                  <c:y val="-5.658709106984968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99-4D4B-A326-A341F9F660F2}"/>
                </c:ext>
              </c:extLst>
            </c:dLbl>
            <c:dLbl>
              <c:idx val="5"/>
              <c:layout>
                <c:manualLayout>
                  <c:x val="-6.4562410329985651E-2"/>
                  <c:y val="5.540819333922782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99-4D4B-A326-A341F9F660F2}"/>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7-1999-4D4B-A326-A341F9F660F2}"/>
                </c:ext>
              </c:extLst>
            </c:dLbl>
            <c:dLbl>
              <c:idx val="8"/>
              <c:layout>
                <c:manualLayout>
                  <c:x val="-5.499760879961741E-2"/>
                  <c:y val="-5.0692602416740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99-4D4B-A326-A341F9F660F2}"/>
                </c:ext>
              </c:extLst>
            </c:dLbl>
            <c:dLbl>
              <c:idx val="9"/>
              <c:layout>
                <c:manualLayout>
                  <c:x val="-5.9780009564801527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99-4D4B-A326-A341F9F660F2}"/>
                </c:ext>
              </c:extLst>
            </c:dLbl>
            <c:dLbl>
              <c:idx val="10"/>
              <c:layout>
                <c:manualLayout>
                  <c:x val="-3.5868005738880916E-2"/>
                  <c:y val="-6.248157972295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99-4D4B-A326-A341F9F660F2}"/>
                </c:ext>
              </c:extLst>
            </c:dLbl>
            <c:dLbl>
              <c:idx val="11"/>
              <c:layout>
                <c:manualLayout>
                  <c:x val="-2.191845818411884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99-4D4B-A326-A341F9F660F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3.6453163052856183</c:v>
                </c:pt>
                <c:pt idx="1">
                  <c:v>5.9151064266832094</c:v>
                </c:pt>
                <c:pt idx="2">
                  <c:v>1.1274104866919572</c:v>
                </c:pt>
                <c:pt idx="3">
                  <c:v>6.9774866153619257</c:v>
                </c:pt>
                <c:pt idx="4">
                  <c:v>10.407434084911557</c:v>
                </c:pt>
                <c:pt idx="5">
                  <c:v>8.2331525982774849</c:v>
                </c:pt>
                <c:pt idx="6">
                  <c:v>10.117607309447223</c:v>
                </c:pt>
                <c:pt idx="7">
                  <c:v>9.7411370682155791</c:v>
                </c:pt>
                <c:pt idx="8">
                  <c:v>9.8421816318711564</c:v>
                </c:pt>
                <c:pt idx="9">
                  <c:v>8.319396414947164</c:v>
                </c:pt>
                <c:pt idx="10">
                  <c:v>9.8016820115595777</c:v>
                </c:pt>
                <c:pt idx="11">
                  <c:v>8.547459675941866</c:v>
                </c:pt>
              </c:numCache>
            </c:numRef>
          </c:val>
          <c:smooth val="0"/>
          <c:extLst>
            <c:ext xmlns:c16="http://schemas.microsoft.com/office/drawing/2014/chart" uri="{C3380CC4-5D6E-409C-BE32-E72D297353CC}">
              <c16:uniqueId val="{0000000C-1999-4D4B-A326-A341F9F660F2}"/>
            </c:ext>
          </c:extLst>
        </c:ser>
        <c:dLbls>
          <c:showLegendKey val="0"/>
          <c:showVal val="0"/>
          <c:showCatName val="0"/>
          <c:showSerName val="0"/>
          <c:showPercent val="0"/>
          <c:showBubbleSize val="0"/>
        </c:dLbls>
        <c:marker val="1"/>
        <c:smooth val="0"/>
        <c:axId val="386382944"/>
        <c:axId val="386383928"/>
      </c:lineChart>
      <c:catAx>
        <c:axId val="3863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3928"/>
        <c:crosses val="autoZero"/>
        <c:auto val="1"/>
        <c:lblAlgn val="ctr"/>
        <c:lblOffset val="100"/>
        <c:noMultiLvlLbl val="0"/>
      </c:catAx>
      <c:valAx>
        <c:axId val="386383928"/>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2944"/>
        <c:crosses val="autoZero"/>
        <c:crossBetween val="between"/>
      </c:valAx>
      <c:spPr>
        <a:noFill/>
        <a:ln>
          <a:noFill/>
        </a:ln>
        <a:effectLst/>
      </c:spPr>
    </c:plotArea>
    <c:legend>
      <c:legendPos val="b"/>
      <c:layout>
        <c:manualLayout>
          <c:xMode val="edge"/>
          <c:yMode val="edge"/>
          <c:x val="0.5175349391289189"/>
          <c:y val="0.12039126552479908"/>
          <c:w val="0.43477859743859132"/>
          <c:h val="0.13477957165168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0C08-4D31-BCFC-18B91ED98C6B}"/>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0C08-4D31-BCFC-18B91ED98C6B}"/>
              </c:ext>
            </c:extLst>
          </c:dPt>
          <c:dLbls>
            <c:dLbl>
              <c:idx val="0"/>
              <c:layout>
                <c:manualLayout>
                  <c:x val="0"/>
                  <c:y val="1.7508953442101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08-4D31-BCFC-18B91ED98C6B}"/>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08-4D31-BCFC-18B91ED98C6B}"/>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08-4D31-BCFC-18B91ED98C6B}"/>
                </c:ext>
              </c:extLst>
            </c:dLbl>
            <c:dLbl>
              <c:idx val="3"/>
              <c:layout>
                <c:manualLayout>
                  <c:x val="4.6007900889521915E-3"/>
                  <c:y val="4.6928371768945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08-4D31-BCFC-18B91ED98C6B}"/>
                </c:ext>
              </c:extLst>
            </c:dLbl>
            <c:dLbl>
              <c:idx val="4"/>
              <c:layout>
                <c:manualLayout>
                  <c:x val="9.0578663772474256E-17"/>
                  <c:y val="-9.0515148002042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08-4D31-BCFC-18B91ED98C6B}"/>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08-4D31-BCFC-18B91ED98C6B}"/>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0C08-4D31-BCFC-18B91ED98C6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48.03915474767922</c:v>
                </c:pt>
                <c:pt idx="1">
                  <c:v>51.302324689850529</c:v>
                </c:pt>
                <c:pt idx="2">
                  <c:v>51.195977813015723</c:v>
                </c:pt>
                <c:pt idx="3">
                  <c:v>46.117546356408901</c:v>
                </c:pt>
                <c:pt idx="4">
                  <c:v>46.787199504173394</c:v>
                </c:pt>
                <c:pt idx="5">
                  <c:v>51.116207390725833</c:v>
                </c:pt>
              </c:numCache>
            </c:numRef>
          </c:val>
          <c:extLst>
            <c:ext xmlns:c16="http://schemas.microsoft.com/office/drawing/2014/chart" uri="{C3380CC4-5D6E-409C-BE32-E72D297353CC}">
              <c16:uniqueId val="{00000009-0C08-4D31-BCFC-18B91ED98C6B}"/>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2.5370164327285085E-2"/>
                  <c:y val="-9.59122327798297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0C08-4D31-BCFC-18B91ED98C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48.688440622225556</c:v>
                </c:pt>
                <c:pt idx="1">
                  <c:v>48.688440622225556</c:v>
                </c:pt>
                <c:pt idx="2">
                  <c:v>48.688440622225556</c:v>
                </c:pt>
                <c:pt idx="3">
                  <c:v>48.688440622225556</c:v>
                </c:pt>
                <c:pt idx="4">
                  <c:v>48.688440622225556</c:v>
                </c:pt>
              </c:numCache>
            </c:numRef>
          </c:val>
          <c:smooth val="0"/>
          <c:extLst>
            <c:ext xmlns:c16="http://schemas.microsoft.com/office/drawing/2014/chart" uri="{C3380CC4-5D6E-409C-BE32-E72D297353CC}">
              <c16:uniqueId val="{0000000B-0C08-4D31-BCFC-18B91ED98C6B}"/>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53"/>
          <c:min val="3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062886775831222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5508-40E4-A324-7C064F7D2DAD}"/>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5508-40E4-A324-7C064F7D2DAD}"/>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5508-40E4-A324-7C064F7D2DAD}"/>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5508-40E4-A324-7C064F7D2DAD}"/>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5508-40E4-A324-7C064F7D2DAD}"/>
              </c:ext>
            </c:extLst>
          </c:dPt>
          <c:dPt>
            <c:idx val="9"/>
            <c:invertIfNegative val="0"/>
            <c:bubble3D val="0"/>
            <c:spPr>
              <a:solidFill>
                <a:srgbClr val="FF9999"/>
              </a:solidFill>
              <a:ln>
                <a:solidFill>
                  <a:schemeClr val="tx1">
                    <a:lumMod val="95000"/>
                    <a:lumOff val="5000"/>
                  </a:schemeClr>
                </a:solidFill>
              </a:ln>
              <a:effectLst/>
            </c:spPr>
            <c:extLst>
              <c:ext xmlns:c16="http://schemas.microsoft.com/office/drawing/2014/chart" uri="{C3380CC4-5D6E-409C-BE32-E72D297353CC}">
                <c16:uniqueId val="{0000000B-5508-40E4-A324-7C064F7D2DAD}"/>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5508-40E4-A324-7C064F7D2DAD}"/>
              </c:ext>
            </c:extLst>
          </c:dPt>
          <c:dPt>
            <c:idx val="11"/>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F-5508-40E4-A324-7C064F7D2DAD}"/>
              </c:ext>
            </c:extLst>
          </c:dPt>
          <c:dPt>
            <c:idx val="16"/>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11-5508-40E4-A324-7C064F7D2DAD}"/>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5508-40E4-A324-7C064F7D2DAD}"/>
              </c:ext>
            </c:extLst>
          </c:dPt>
          <c:dPt>
            <c:idx val="19"/>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15-5508-40E4-A324-7C064F7D2DAD}"/>
              </c:ext>
            </c:extLst>
          </c:dPt>
          <c:dLbls>
            <c:dLbl>
              <c:idx val="12"/>
              <c:layout>
                <c:manualLayout>
                  <c:x val="-1.0556811886403472E-2"/>
                  <c:y val="-2.529404187023839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08-40E4-A324-7C064F7D2DA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Comunicaciones</c:v>
                </c:pt>
                <c:pt idx="1">
                  <c:v>Economía</c:v>
                </c:pt>
                <c:pt idx="2">
                  <c:v>Cultura</c:v>
                </c:pt>
                <c:pt idx="3">
                  <c:v>Desarrollo</c:v>
                </c:pt>
                <c:pt idx="4">
                  <c:v>Agricultura</c:v>
                </c:pt>
                <c:pt idx="5">
                  <c:v>Finanzas</c:v>
                </c:pt>
                <c:pt idx="6">
                  <c:v>Secretarías</c:v>
                </c:pt>
                <c:pt idx="7">
                  <c:v>Salud Pública </c:v>
                </c:pt>
                <c:pt idx="8">
                  <c:v>Gobernación</c:v>
                </c:pt>
                <c:pt idx="9">
                  <c:v>Ambiente </c:v>
                </c:pt>
                <c:pt idx="10">
                  <c:v>Obligaciones </c:v>
                </c:pt>
                <c:pt idx="11">
                  <c:v>Total</c:v>
                </c:pt>
                <c:pt idx="12">
                  <c:v>MINREX</c:v>
                </c:pt>
                <c:pt idx="13">
                  <c:v>Defensa </c:v>
                </c:pt>
                <c:pt idx="14">
                  <c:v>Trabajo </c:v>
                </c:pt>
                <c:pt idx="15">
                  <c:v>Deuda Pública</c:v>
                </c:pt>
                <c:pt idx="16">
                  <c:v>PGN</c:v>
                </c:pt>
                <c:pt idx="17">
                  <c:v>Presidencia</c:v>
                </c:pt>
                <c:pt idx="18">
                  <c:v>Educación </c:v>
                </c:pt>
                <c:pt idx="19">
                  <c:v>Energía</c:v>
                </c:pt>
              </c:strCache>
            </c:strRef>
          </c:cat>
          <c:val>
            <c:numRef>
              <c:f>Hoja1!$B$2:$B$21</c:f>
              <c:numCache>
                <c:formatCode>0.0</c:formatCode>
                <c:ptCount val="20"/>
                <c:pt idx="0">
                  <c:v>30.502074236063585</c:v>
                </c:pt>
                <c:pt idx="1">
                  <c:v>37.307000051166398</c:v>
                </c:pt>
                <c:pt idx="2">
                  <c:v>39.922887157298995</c:v>
                </c:pt>
                <c:pt idx="3">
                  <c:v>43.436708835337626</c:v>
                </c:pt>
                <c:pt idx="4">
                  <c:v>45.71572657929525</c:v>
                </c:pt>
                <c:pt idx="5">
                  <c:v>46.022675548269142</c:v>
                </c:pt>
                <c:pt idx="6">
                  <c:v>46.530481273230762</c:v>
                </c:pt>
                <c:pt idx="7">
                  <c:v>48.57482858633869</c:v>
                </c:pt>
                <c:pt idx="8">
                  <c:v>49.537373999862048</c:v>
                </c:pt>
                <c:pt idx="9">
                  <c:v>50.105377056135239</c:v>
                </c:pt>
                <c:pt idx="10">
                  <c:v>50.963959294611804</c:v>
                </c:pt>
                <c:pt idx="11">
                  <c:v>51.116207390725833</c:v>
                </c:pt>
                <c:pt idx="12">
                  <c:v>51.256186209548375</c:v>
                </c:pt>
                <c:pt idx="13">
                  <c:v>53.01345731453322</c:v>
                </c:pt>
                <c:pt idx="14">
                  <c:v>53.196135957335031</c:v>
                </c:pt>
                <c:pt idx="15">
                  <c:v>53.705412490987456</c:v>
                </c:pt>
                <c:pt idx="16">
                  <c:v>56.09039734000001</c:v>
                </c:pt>
                <c:pt idx="17">
                  <c:v>56.7562742097561</c:v>
                </c:pt>
                <c:pt idx="18">
                  <c:v>58.347784076081091</c:v>
                </c:pt>
                <c:pt idx="19">
                  <c:v>78.709602895463021</c:v>
                </c:pt>
              </c:numCache>
            </c:numRef>
          </c:val>
          <c:extLst>
            <c:ext xmlns:c16="http://schemas.microsoft.com/office/drawing/2014/chart" uri="{C3380CC4-5D6E-409C-BE32-E72D297353CC}">
              <c16:uniqueId val="{00000017-5508-40E4-A324-7C064F7D2DAD}"/>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8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39340054817867E-2"/>
          <c:y val="3.3430232558139532E-2"/>
          <c:w val="0.94388122148938025"/>
          <c:h val="0.92151162790697672"/>
        </c:manualLayout>
      </c:layout>
      <c:ofPieChart>
        <c:ofPieType val="bar"/>
        <c:varyColors val="1"/>
        <c:ser>
          <c:idx val="0"/>
          <c:order val="0"/>
          <c:tx>
            <c:strRef>
              <c:f>Sheet1!$B$1</c:f>
              <c:strCache>
                <c:ptCount val="1"/>
                <c:pt idx="0">
                  <c:v>Column1</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D04D-4CE3-8E23-9E49E5B78AC2}"/>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D04D-4CE3-8E23-9E49E5B78AC2}"/>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D04D-4CE3-8E23-9E49E5B78AC2}"/>
              </c:ext>
            </c:extLst>
          </c:dPt>
          <c:dPt>
            <c:idx val="3"/>
            <c:bubble3D val="0"/>
            <c:spPr>
              <a:solidFill>
                <a:srgbClr val="FF0000"/>
              </a:solidFill>
              <a:ln w="3175">
                <a:solidFill>
                  <a:schemeClr val="tx1"/>
                </a:solidFill>
              </a:ln>
              <a:effectLst/>
            </c:spPr>
            <c:extLst>
              <c:ext xmlns:c16="http://schemas.microsoft.com/office/drawing/2014/chart" uri="{C3380CC4-5D6E-409C-BE32-E72D297353CC}">
                <c16:uniqueId val="{00000007-D04D-4CE3-8E23-9E49E5B78AC2}"/>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D04D-4CE3-8E23-9E49E5B78AC2}"/>
              </c:ext>
            </c:extLst>
          </c:dPt>
          <c:dLbls>
            <c:dLbl>
              <c:idx val="0"/>
              <c:layout>
                <c:manualLayout>
                  <c:x val="0.11890403943409512"/>
                  <c:y val="-1.259272910035177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183260629006739"/>
                      <c:h val="0.33156843692410787"/>
                    </c:manualLayout>
                  </c15:layout>
                </c:ext>
                <c:ext xmlns:c16="http://schemas.microsoft.com/office/drawing/2014/chart" uri="{C3380CC4-5D6E-409C-BE32-E72D297353CC}">
                  <c16:uniqueId val="{00000001-D04D-4CE3-8E23-9E49E5B78AC2}"/>
                </c:ext>
              </c:extLst>
            </c:dLbl>
            <c:dLbl>
              <c:idx val="1"/>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4D-4CE3-8E23-9E49E5B78AC2}"/>
                </c:ext>
              </c:extLst>
            </c:dLbl>
            <c:dLbl>
              <c:idx val="2"/>
              <c:layout>
                <c:manualLayout>
                  <c:x val="-5.9713206580884789E-2"/>
                  <c:y val="-2.6926788406768341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1588356333507089"/>
                      <c:h val="0.31207688345654794"/>
                    </c:manualLayout>
                  </c15:layout>
                </c:ext>
                <c:ext xmlns:c16="http://schemas.microsoft.com/office/drawing/2014/chart" uri="{C3380CC4-5D6E-409C-BE32-E72D297353CC}">
                  <c16:uniqueId val="{00000005-D04D-4CE3-8E23-9E49E5B78AC2}"/>
                </c:ext>
              </c:extLst>
            </c:dLbl>
            <c:dLbl>
              <c:idx val="3"/>
              <c:layout>
                <c:manualLayout>
                  <c:x val="-2.8335848262869581E-2"/>
                  <c:y val="4.5391857932652026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6998070363155827"/>
                      <c:h val="0.26589244429552689"/>
                    </c:manualLayout>
                  </c15:layout>
                </c:ext>
                <c:ext xmlns:c16="http://schemas.microsoft.com/office/drawing/2014/chart" uri="{C3380CC4-5D6E-409C-BE32-E72D297353CC}">
                  <c16:uniqueId val="{00000007-D04D-4CE3-8E23-9E49E5B78AC2}"/>
                </c:ext>
              </c:extLst>
            </c:dLbl>
            <c:dLbl>
              <c:idx val="4"/>
              <c:layout>
                <c:manualLayout>
                  <c:x val="-0.24835468737139565"/>
                  <c:y val="1.261517842184542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baseline="0">
                        <a:solidFill>
                          <a:schemeClr val="bg1"/>
                        </a:solidFill>
                        <a:latin typeface="Times New Roman" panose="02020603050405020304" pitchFamily="18" charset="0"/>
                        <a:cs typeface="Times New Roman" panose="02020603050405020304" pitchFamily="18" charset="0"/>
                      </a:rPr>
                      <a:t>Colocado;
</a:t>
                    </a:r>
                    <a:fld id="{62AA4768-CB93-4CB1-A2D8-F7A71AE79038}" type="VALUE">
                      <a:rPr lang="en-US" sz="800" b="1" baseline="0">
                        <a:solidFill>
                          <a:schemeClr val="bg1"/>
                        </a:solidFill>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[VALOR]</a:t>
                    </a:fld>
                    <a:endParaRPr lang="en-US" sz="800" b="1"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5065196118777838"/>
                      <c:h val="0.25749505779862619"/>
                    </c:manualLayout>
                  </c15:layout>
                  <c15:dlblFieldTable/>
                  <c15:showDataLabelsRange val="0"/>
                </c:ext>
                <c:ext xmlns:c16="http://schemas.microsoft.com/office/drawing/2014/chart" uri="{C3380CC4-5D6E-409C-BE32-E72D297353CC}">
                  <c16:uniqueId val="{00000009-D04D-4CE3-8E23-9E49E5B78A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11300.203018799999</c:v>
                </c:pt>
                <c:pt idx="2" formatCode="#,##0.0">
                  <c:v>6339.3949811999992</c:v>
                </c:pt>
                <c:pt idx="3" formatCode="#,##0.0">
                  <c:v>350.20699999999999</c:v>
                </c:pt>
              </c:numCache>
            </c:numRef>
          </c:val>
          <c:extLst>
            <c:ext xmlns:c16="http://schemas.microsoft.com/office/drawing/2014/chart" uri="{C3380CC4-5D6E-409C-BE32-E72D297353CC}">
              <c16:uniqueId val="{0000000A-D04D-4CE3-8E23-9E49E5B78AC2}"/>
            </c:ext>
          </c:extLst>
        </c:ser>
        <c:dLbls>
          <c:showLegendKey val="0"/>
          <c:showVal val="0"/>
          <c:showCatName val="0"/>
          <c:showSerName val="0"/>
          <c:showPercent val="0"/>
          <c:showBubbleSize val="0"/>
          <c:showLeaderLines val="1"/>
        </c:dLbls>
        <c:gapWidth val="54"/>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85240820912146"/>
          <c:y val="6.3931806073521572E-2"/>
          <c:w val="0.82699053762191144"/>
          <c:h val="0.68990522018081069"/>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Sheet1!$B$2:$B$4</c:f>
              <c:numCache>
                <c:formatCode>#,##0.0</c:formatCode>
                <c:ptCount val="3"/>
                <c:pt idx="0">
                  <c:v>438.16</c:v>
                </c:pt>
                <c:pt idx="1">
                  <c:v>1510.39</c:v>
                </c:pt>
                <c:pt idx="2">
                  <c:v>3.86</c:v>
                </c:pt>
              </c:numCache>
            </c:numRef>
          </c:val>
          <c:extLst>
            <c:ext xmlns:c16="http://schemas.microsoft.com/office/drawing/2014/chart" uri="{C3380CC4-5D6E-409C-BE32-E72D297353CC}">
              <c16:uniqueId val="{00000000-5968-47C5-9D44-82DDE200FB45}"/>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1.476014760147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68-47C5-9D44-82DDE200FB45}"/>
                </c:ext>
              </c:extLst>
            </c:dLbl>
            <c:dLbl>
              <c:idx val="1"/>
              <c:layout>
                <c:manualLayout>
                  <c:x val="4.9200492004919149E-3"/>
                  <c:y val="5.3276505061267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68-47C5-9D44-82DDE200FB45}"/>
                </c:ext>
              </c:extLst>
            </c:dLbl>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Sheet1!$C$2:$C$4</c:f>
              <c:numCache>
                <c:formatCode>#,##0.0</c:formatCode>
                <c:ptCount val="3"/>
                <c:pt idx="0">
                  <c:v>137.49</c:v>
                </c:pt>
                <c:pt idx="1">
                  <c:v>637.64</c:v>
                </c:pt>
                <c:pt idx="2">
                  <c:v>3.37</c:v>
                </c:pt>
              </c:numCache>
            </c:numRef>
          </c:val>
          <c:extLst>
            <c:ext xmlns:c16="http://schemas.microsoft.com/office/drawing/2014/chart" uri="{C3380CC4-5D6E-409C-BE32-E72D297353CC}">
              <c16:uniqueId val="{00000003-5968-47C5-9D44-82DDE200FB45}"/>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8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1721978479627316"/>
          <c:y val="0.91009526845905053"/>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1515820670018"/>
          <c:y val="1.8327753706884931E-2"/>
          <c:w val="0.82596430058788772"/>
          <c:h val="0.76559627738267633"/>
        </c:manualLayout>
      </c:layout>
      <c:barChart>
        <c:barDir val="col"/>
        <c:grouping val="clustered"/>
        <c:varyColors val="0"/>
        <c:ser>
          <c:idx val="0"/>
          <c:order val="0"/>
          <c:tx>
            <c:strRef>
              <c:f>Hoja1!$B$1</c:f>
              <c:strCache>
                <c:ptCount val="1"/>
                <c:pt idx="0">
                  <c:v>Presupuesto</c:v>
                </c:pt>
              </c:strCache>
            </c:strRef>
          </c:tx>
          <c:spPr>
            <a:solidFill>
              <a:schemeClr val="accent5">
                <a:lumMod val="75000"/>
              </a:schemeClr>
            </a:solidFill>
            <a:ln cap="rnd">
              <a:solidFill>
                <a:schemeClr val="tx1"/>
              </a:solidFill>
              <a:bevel/>
            </a:ln>
            <a:effectLst>
              <a:outerShdw blurRad="50800" dist="38100" dir="18900000" algn="bl" rotWithShape="0">
                <a:prstClr val="black">
                  <a:alpha val="40000"/>
                </a:prstClr>
              </a:outerShdw>
            </a:effectLst>
          </c:spPr>
          <c:invertIfNegative val="0"/>
          <c:dLbls>
            <c:dLbl>
              <c:idx val="1"/>
              <c:layout>
                <c:manualLayout>
                  <c:x val="-4.428044280442809E-2"/>
                  <c:y val="9.928021841648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A6-4E8D-9411-DAC83C1EFD8A}"/>
                </c:ext>
              </c:extLst>
            </c:dLbl>
            <c:dLbl>
              <c:idx val="2"/>
              <c:layout>
                <c:manualLayout>
                  <c:x val="-1.4760147601476014E-2"/>
                  <c:y val="4.964010920824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A6-4E8D-9411-DAC83C1EFD8A}"/>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Hoja1!$B$2:$B$6</c:f>
              <c:numCache>
                <c:formatCode>#,##0.00</c:formatCode>
                <c:ptCount val="5"/>
                <c:pt idx="0">
                  <c:v>2791.24</c:v>
                </c:pt>
                <c:pt idx="1">
                  <c:v>2260</c:v>
                </c:pt>
                <c:pt idx="2">
                  <c:v>333.51</c:v>
                </c:pt>
                <c:pt idx="3">
                  <c:v>90</c:v>
                </c:pt>
                <c:pt idx="4">
                  <c:v>93.08</c:v>
                </c:pt>
              </c:numCache>
            </c:numRef>
          </c:val>
          <c:extLst>
            <c:ext xmlns:c16="http://schemas.microsoft.com/office/drawing/2014/chart" uri="{C3380CC4-5D6E-409C-BE32-E72D297353CC}">
              <c16:uniqueId val="{00000002-33A6-4E8D-9411-DAC83C1EFD8A}"/>
            </c:ext>
          </c:extLst>
        </c:ser>
        <c:ser>
          <c:idx val="1"/>
          <c:order val="1"/>
          <c:tx>
            <c:strRef>
              <c:f>Hoja1!$C$1</c:f>
              <c:strCache>
                <c:ptCount val="1"/>
                <c:pt idx="0">
                  <c:v>Devengado</c:v>
                </c:pt>
              </c:strCache>
            </c:strRef>
          </c:tx>
          <c:spPr>
            <a:solidFill>
              <a:schemeClr val="accent1">
                <a:lumMod val="60000"/>
                <a:lumOff val="40000"/>
              </a:schemeClr>
            </a:solidFill>
            <a:ln>
              <a:solidFill>
                <a:schemeClr val="tx1"/>
              </a:solidFill>
            </a:ln>
            <a:effectLst>
              <a:outerShdw blurRad="50800" dist="38100" dir="2700000" algn="tl" rotWithShape="0">
                <a:prstClr val="black">
                  <a:alpha val="40000"/>
                </a:prstClr>
              </a:outerShdw>
            </a:effectLst>
          </c:spPr>
          <c:invertIfNegative val="0"/>
          <c:dLbls>
            <c:dLbl>
              <c:idx val="1"/>
              <c:layout>
                <c:manualLayout>
                  <c:x val="3.93603936039359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A6-4E8D-9411-DAC83C1EFD8A}"/>
                </c:ext>
              </c:extLst>
            </c:dLbl>
            <c:dLbl>
              <c:idx val="2"/>
              <c:layout>
                <c:manualLayout>
                  <c:x val="1.476014760147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A6-4E8D-9411-DAC83C1EFD8A}"/>
                </c:ext>
              </c:extLst>
            </c:dLbl>
            <c:dLbl>
              <c:idx val="3"/>
              <c:layout>
                <c:manualLayout>
                  <c:x val="1.476014760147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A6-4E8D-9411-DAC83C1EFD8A}"/>
                </c:ext>
              </c:extLst>
            </c:dLbl>
            <c:dLbl>
              <c:idx val="4"/>
              <c:layout>
                <c:manualLayout>
                  <c:x val="2.95202952029518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A6-4E8D-9411-DAC83C1EFD8A}"/>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Hoja1!$C$2:$C$6</c:f>
              <c:numCache>
                <c:formatCode>#,##0.00</c:formatCode>
                <c:ptCount val="5"/>
                <c:pt idx="0">
                  <c:v>0</c:v>
                </c:pt>
                <c:pt idx="1">
                  <c:v>1806.4915460000002</c:v>
                </c:pt>
                <c:pt idx="2">
                  <c:v>259.27679504999998</c:v>
                </c:pt>
                <c:pt idx="3">
                  <c:v>90</c:v>
                </c:pt>
                <c:pt idx="4">
                  <c:v>50.75</c:v>
                </c:pt>
              </c:numCache>
            </c:numRef>
          </c:val>
          <c:extLst>
            <c:ext xmlns:c16="http://schemas.microsoft.com/office/drawing/2014/chart" uri="{C3380CC4-5D6E-409C-BE32-E72D297353CC}">
              <c16:uniqueId val="{00000007-33A6-4E8D-9411-DAC83C1EFD8A}"/>
            </c:ext>
          </c:extLst>
        </c:ser>
        <c:dLbls>
          <c:showLegendKey val="0"/>
          <c:showVal val="0"/>
          <c:showCatName val="0"/>
          <c:showSerName val="0"/>
          <c:showPercent val="0"/>
          <c:showBubbleSize val="0"/>
        </c:dLbls>
        <c:gapWidth val="50"/>
        <c:axId val="145766399"/>
        <c:axId val="145768895"/>
      </c:barChart>
      <c:lineChart>
        <c:grouping val="standard"/>
        <c:varyColors val="0"/>
        <c:ser>
          <c:idx val="2"/>
          <c:order val="2"/>
          <c:tx>
            <c:strRef>
              <c:f>Hoja1!$D$1</c:f>
              <c:strCache>
                <c:ptCount val="1"/>
                <c:pt idx="0">
                  <c:v>% de ejecución</c:v>
                </c:pt>
              </c:strCache>
            </c:strRef>
          </c:tx>
          <c:spPr>
            <a:ln w="28575" cap="rnd">
              <a:noFill/>
              <a:round/>
            </a:ln>
            <a:effectLst/>
          </c:spPr>
          <c:marker>
            <c:symbol val="circle"/>
            <c:size val="6"/>
            <c:spPr>
              <a:solidFill>
                <a:schemeClr val="accent3"/>
              </a:solidFill>
              <a:ln w="9525">
                <a:solidFill>
                  <a:schemeClr val="tx1">
                    <a:lumMod val="95000"/>
                    <a:lumOff val="5000"/>
                  </a:schemeClr>
                </a:solidFill>
              </a:ln>
              <a:effectLst/>
            </c:spPr>
          </c:marker>
          <c:dPt>
            <c:idx val="0"/>
            <c:marker>
              <c:symbol val="circle"/>
              <c:size val="6"/>
              <c:spPr>
                <a:solidFill>
                  <a:srgbClr val="FF0000"/>
                </a:solidFill>
                <a:ln w="9525">
                  <a:solidFill>
                    <a:schemeClr val="tx1">
                      <a:lumMod val="95000"/>
                      <a:lumOff val="5000"/>
                    </a:schemeClr>
                  </a:solidFill>
                </a:ln>
                <a:effectLst/>
              </c:spPr>
            </c:marker>
            <c:bubble3D val="0"/>
            <c:extLst>
              <c:ext xmlns:c16="http://schemas.microsoft.com/office/drawing/2014/chart" uri="{C3380CC4-5D6E-409C-BE32-E72D297353CC}">
                <c16:uniqueId val="{00000008-33A6-4E8D-9411-DAC83C1EFD8A}"/>
              </c:ext>
            </c:extLst>
          </c:dPt>
          <c:dLbls>
            <c:dLbl>
              <c:idx val="0"/>
              <c:delete val="1"/>
              <c:extLst>
                <c:ext xmlns:c15="http://schemas.microsoft.com/office/drawing/2012/chart" uri="{CE6537A1-D6FC-4f65-9D91-7224C49458BB}"/>
                <c:ext xmlns:c16="http://schemas.microsoft.com/office/drawing/2014/chart" uri="{C3380CC4-5D6E-409C-BE32-E72D297353CC}">
                  <c16:uniqueId val="{00000008-33A6-4E8D-9411-DAC83C1EFD8A}"/>
                </c:ext>
              </c:extLst>
            </c:dLbl>
            <c:dLbl>
              <c:idx val="1"/>
              <c:layout>
                <c:manualLayout>
                  <c:x val="-7.8720787207872081E-2"/>
                  <c:y val="-6.4532141970712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A6-4E8D-9411-DAC83C1EFD8A}"/>
                </c:ext>
              </c:extLst>
            </c:dLbl>
            <c:dLbl>
              <c:idx val="2"/>
              <c:layout>
                <c:manualLayout>
                  <c:x val="-1.4760147601476105E-2"/>
                  <c:y val="-4.55029077874132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A6-4E8D-9411-DAC83C1EFD8A}"/>
                </c:ext>
              </c:extLst>
            </c:dLbl>
            <c:dLbl>
              <c:idx val="3"/>
              <c:layout>
                <c:manualLayout>
                  <c:x val="-8.3640836408364089E-2"/>
                  <c:y val="2.9784065524944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A6-4E8D-9411-DAC83C1EFD8A}"/>
                </c:ext>
              </c:extLst>
            </c:dLbl>
            <c:dLbl>
              <c:idx val="4"/>
              <c:layout>
                <c:manualLayout>
                  <c:x val="-8.3640836408364172E-2"/>
                  <c:y val="-4.4676098287416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3A6-4E8D-9411-DAC83C1EFD8A}"/>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Hoja1!$D$2:$D$6</c:f>
              <c:numCache>
                <c:formatCode>0.0%</c:formatCode>
                <c:ptCount val="5"/>
                <c:pt idx="0">
                  <c:v>0</c:v>
                </c:pt>
                <c:pt idx="1">
                  <c:v>0.79933254247787622</c:v>
                </c:pt>
                <c:pt idx="2">
                  <c:v>0.77741835342268595</c:v>
                </c:pt>
                <c:pt idx="3">
                  <c:v>1</c:v>
                </c:pt>
                <c:pt idx="4">
                  <c:v>0.54522990975504948</c:v>
                </c:pt>
              </c:numCache>
            </c:numRef>
          </c:val>
          <c:smooth val="0"/>
          <c:extLst>
            <c:ext xmlns:c16="http://schemas.microsoft.com/office/drawing/2014/chart" uri="{C3380CC4-5D6E-409C-BE32-E72D297353CC}">
              <c16:uniqueId val="{0000000D-33A6-4E8D-9411-DAC83C1EFD8A}"/>
            </c:ext>
          </c:extLst>
        </c:ser>
        <c:dLbls>
          <c:showLegendKey val="0"/>
          <c:showVal val="0"/>
          <c:showCatName val="0"/>
          <c:showSerName val="0"/>
          <c:showPercent val="0"/>
          <c:showBubbleSize val="0"/>
        </c:dLbls>
        <c:marker val="1"/>
        <c:smooth val="0"/>
        <c:axId val="292013535"/>
        <c:axId val="292006047"/>
      </c:lineChart>
      <c:catAx>
        <c:axId val="14576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8895"/>
        <c:crosses val="autoZero"/>
        <c:auto val="1"/>
        <c:lblAlgn val="ctr"/>
        <c:lblOffset val="100"/>
        <c:noMultiLvlLbl val="0"/>
      </c:catAx>
      <c:valAx>
        <c:axId val="145768895"/>
        <c:scaling>
          <c:orientation val="minMax"/>
          <c:max val="3000"/>
          <c:min val="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6399"/>
        <c:crosses val="autoZero"/>
        <c:crossBetween val="between"/>
        <c:majorUnit val="500"/>
      </c:valAx>
      <c:valAx>
        <c:axId val="292006047"/>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013535"/>
        <c:crosses val="max"/>
        <c:crossBetween val="between"/>
      </c:valAx>
      <c:catAx>
        <c:axId val="292013535"/>
        <c:scaling>
          <c:orientation val="minMax"/>
        </c:scaling>
        <c:delete val="1"/>
        <c:axPos val="b"/>
        <c:numFmt formatCode="General" sourceLinked="1"/>
        <c:majorTickMark val="out"/>
        <c:minorTickMark val="none"/>
        <c:tickLblPos val="nextTo"/>
        <c:crossAx val="2920060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7137036002285"/>
          <c:y val="4.0172184628514261E-2"/>
          <c:w val="0.8618464690465466"/>
          <c:h val="0.76741195486157454"/>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a:scene3d>
              <a:camera prst="orthographicFront"/>
              <a:lightRig rig="threePt" dir="t"/>
            </a:scene3d>
            <a:sp3d>
              <a:bevelT/>
            </a:sp3d>
          </c:spPr>
          <c:invertIfNegative val="0"/>
          <c:dLbls>
            <c:numFmt formatCode="#,##0.0" sourceLinked="0"/>
            <c:spPr>
              <a:noFill/>
              <a:ln>
                <a:noFill/>
              </a:ln>
              <a:effectLst/>
            </c:spPr>
            <c:txPr>
              <a:bodyPr rot="0" spcFirstLastPara="1" vertOverflow="ellipsis" vert="horz" wrap="square" anchor="ctr" anchorCtr="1"/>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ene</c:v>
                </c:pt>
                <c:pt idx="1">
                  <c:v>feb</c:v>
                </c:pt>
                <c:pt idx="2">
                  <c:v>mar</c:v>
                </c:pt>
                <c:pt idx="3">
                  <c:v>abr</c:v>
                </c:pt>
                <c:pt idx="4">
                  <c:v>may</c:v>
                </c:pt>
                <c:pt idx="5">
                  <c:v>jun</c:v>
                </c:pt>
                <c:pt idx="6">
                  <c:v>jul</c:v>
                </c:pt>
              </c:strCache>
            </c:strRef>
          </c:cat>
          <c:val>
            <c:numRef>
              <c:f>Hoja1!$B$2:$B$8</c:f>
              <c:numCache>
                <c:formatCode>#,##0.0</c:formatCode>
                <c:ptCount val="7"/>
                <c:pt idx="0">
                  <c:v>7222.419933409763</c:v>
                </c:pt>
                <c:pt idx="1">
                  <c:v>11942.68400062123</c:v>
                </c:pt>
                <c:pt idx="2">
                  <c:v>18268.211190642516</c:v>
                </c:pt>
                <c:pt idx="3">
                  <c:v>26082.361439350985</c:v>
                </c:pt>
                <c:pt idx="4">
                  <c:v>31517.076443479687</c:v>
                </c:pt>
                <c:pt idx="5">
                  <c:v>36795.248627629029</c:v>
                </c:pt>
                <c:pt idx="6">
                  <c:v>45511.984001307123</c:v>
                </c:pt>
              </c:numCache>
            </c:numRef>
          </c:val>
          <c:extLst>
            <c:ext xmlns:c16="http://schemas.microsoft.com/office/drawing/2014/chart" uri="{C3380CC4-5D6E-409C-BE32-E72D297353CC}">
              <c16:uniqueId val="{00000000-36D0-4056-A5E1-2663694B8795}"/>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rgbClr val="FF0000"/>
              </a:solidFill>
              <a:round/>
            </a:ln>
            <a:effectLst>
              <a:outerShdw blurRad="25400" dir="2700000" algn="tl" rotWithShape="0">
                <a:prstClr val="black">
                  <a:alpha val="40000"/>
                </a:prstClr>
              </a:outerShdw>
            </a:effectLst>
          </c:spPr>
          <c:marker>
            <c:symbol val="circle"/>
            <c:size val="5"/>
            <c:spPr>
              <a:solidFill>
                <a:schemeClr val="bg1"/>
              </a:solidFill>
              <a:ln w="9525">
                <a:solidFill>
                  <a:schemeClr val="accent2"/>
                </a:solidFill>
              </a:ln>
              <a:effectLst>
                <a:outerShdw blurRad="25400" dir="2700000" algn="tl" rotWithShape="0">
                  <a:prstClr val="black">
                    <a:alpha val="40000"/>
                  </a:prstClr>
                </a:outerShdw>
              </a:effectLst>
            </c:spPr>
          </c:marker>
          <c:dLbls>
            <c:dLbl>
              <c:idx val="0"/>
              <c:layout>
                <c:manualLayout>
                  <c:x val="-0.13019665083501056"/>
                  <c:y val="-6.2827198964458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D0-4056-A5E1-2663694B8795}"/>
                </c:ext>
              </c:extLst>
            </c:dLbl>
            <c:dLbl>
              <c:idx val="1"/>
              <c:layout>
                <c:manualLayout>
                  <c:x val="-0.18729704406065825"/>
                  <c:y val="-6.2827198964458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D0-4056-A5E1-2663694B8795}"/>
                </c:ext>
              </c:extLst>
            </c:dLbl>
            <c:dLbl>
              <c:idx val="2"/>
              <c:layout>
                <c:manualLayout>
                  <c:x val="-0.18344195027757665"/>
                  <c:y val="-5.0777530942557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D0-4056-A5E1-2663694B8795}"/>
                </c:ext>
              </c:extLst>
            </c:dLbl>
            <c:dLbl>
              <c:idx val="3"/>
              <c:layout>
                <c:manualLayout>
                  <c:x val="-0.18826937002172348"/>
                  <c:y val="-3.8083148206918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D0-4056-A5E1-2663694B8795}"/>
                </c:ext>
              </c:extLst>
            </c:dLbl>
            <c:dLbl>
              <c:idx val="4"/>
              <c:layout>
                <c:manualLayout>
                  <c:x val="-0.18826937002172348"/>
                  <c:y val="-3.8083148206918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D0-4056-A5E1-2663694B8795}"/>
                </c:ext>
              </c:extLst>
            </c:dLbl>
            <c:dLbl>
              <c:idx val="5"/>
              <c:layout>
                <c:manualLayout>
                  <c:x val="-0.16895969104513647"/>
                  <c:y val="-4.4430339574738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D0-4056-A5E1-2663694B8795}"/>
                </c:ext>
              </c:extLst>
            </c:dLbl>
            <c:dLbl>
              <c:idx val="6"/>
              <c:layout>
                <c:manualLayout>
                  <c:x val="-0.11585807385952217"/>
                  <c:y val="-1.9041574103459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D0-4056-A5E1-2663694B8795}"/>
                </c:ext>
              </c:extLst>
            </c:dLbl>
            <c:numFmt formatCode="#,##0.0" sourceLinked="0"/>
            <c:spPr>
              <a:noFill/>
              <a:ln>
                <a:noFill/>
              </a:ln>
              <a:effectLst/>
            </c:spPr>
            <c:txPr>
              <a:bodyPr rot="0" spcFirstLastPara="1" vertOverflow="ellipsis" vert="horz" wrap="square" anchor="ctr" anchorCtr="1"/>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ene</c:v>
                </c:pt>
                <c:pt idx="1">
                  <c:v>feb</c:v>
                </c:pt>
                <c:pt idx="2">
                  <c:v>mar</c:v>
                </c:pt>
                <c:pt idx="3">
                  <c:v>abr</c:v>
                </c:pt>
                <c:pt idx="4">
                  <c:v>may</c:v>
                </c:pt>
                <c:pt idx="5">
                  <c:v>jun</c:v>
                </c:pt>
                <c:pt idx="6">
                  <c:v>jul</c:v>
                </c:pt>
              </c:strCache>
            </c:strRef>
          </c:cat>
          <c:val>
            <c:numRef>
              <c:f>Hoja1!$C$2:$C$8</c:f>
              <c:numCache>
                <c:formatCode>#,##0.0</c:formatCode>
                <c:ptCount val="7"/>
                <c:pt idx="0">
                  <c:v>7765.8525129099999</c:v>
                </c:pt>
                <c:pt idx="1">
                  <c:v>12993.50783538</c:v>
                </c:pt>
                <c:pt idx="2">
                  <c:v>20643.011118679999</c:v>
                </c:pt>
                <c:pt idx="3">
                  <c:v>29882.035334389999</c:v>
                </c:pt>
                <c:pt idx="4">
                  <c:v>36082.664144839997</c:v>
                </c:pt>
                <c:pt idx="5">
                  <c:v>42287.042708139998</c:v>
                </c:pt>
                <c:pt idx="6">
                  <c:v>52623.203610230012</c:v>
                </c:pt>
              </c:numCache>
            </c:numRef>
          </c:val>
          <c:smooth val="0"/>
          <c:extLst>
            <c:ext xmlns:c16="http://schemas.microsoft.com/office/drawing/2014/chart" uri="{C3380CC4-5D6E-409C-BE32-E72D297353CC}">
              <c16:uniqueId val="{00000008-36D0-4056-A5E1-2663694B8795}"/>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22647934757612215"/>
          <c:y val="0.94211426961460309"/>
          <c:w val="0.48579778641386123"/>
          <c:h val="5.788573038539673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4.2125702029181838E-2"/>
          <c:w val="0.87195209498957349"/>
          <c:h val="0.93069850139700294"/>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4A2-473E-BC66-1C4B974601C6}"/>
                </c:ext>
              </c:extLst>
            </c:dLbl>
            <c:dLbl>
              <c:idx val="1"/>
              <c:layout>
                <c:manualLayout>
                  <c:x val="-0.20949515898067012"/>
                  <c:y val="4.80767787693971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4A2-473E-BC66-1C4B974601C6}"/>
                </c:ext>
              </c:extLst>
            </c:dLbl>
            <c:dLbl>
              <c:idx val="2"/>
              <c:layout>
                <c:manualLayout>
                  <c:x val="-0.22965081607924914"/>
                  <c:y val="9.566398679297534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4A2-473E-BC66-1C4B974601C6}"/>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4A2-473E-BC66-1C4B974601C6}"/>
                </c:ext>
              </c:extLst>
            </c:dLbl>
            <c:dLbl>
              <c:idx val="4"/>
              <c:layout>
                <c:manualLayout>
                  <c:x val="-0.20087248500594454"/>
                  <c:y val="1.7495685204975405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E4A2-473E-BC66-1C4B974601C6}"/>
                </c:ext>
              </c:extLst>
            </c:dLbl>
            <c:dLbl>
              <c:idx val="5"/>
              <c:layout>
                <c:manualLayout>
                  <c:x val="-9.1559647663434163E-2"/>
                  <c:y val="9.85869208018402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4A2-473E-BC66-1C4B974601C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3084.741165559999</c:v>
                </c:pt>
                <c:pt idx="1">
                  <c:v>651.86199122000096</c:v>
                </c:pt>
                <c:pt idx="2">
                  <c:v>-14.87102275000143</c:v>
                </c:pt>
                <c:pt idx="3">
                  <c:v>461.20597313000053</c:v>
                </c:pt>
                <c:pt idx="4">
                  <c:v>2912.0348433299969</c:v>
                </c:pt>
                <c:pt idx="5">
                  <c:v>598.26139854999565</c:v>
                </c:pt>
              </c:numCache>
            </c:numRef>
          </c:val>
          <c:smooth val="1"/>
          <c:extLst>
            <c:ext xmlns:c16="http://schemas.microsoft.com/office/drawing/2014/chart" uri="{C3380CC4-5D6E-409C-BE32-E72D297353CC}">
              <c16:uniqueId val="{00000006-E4A2-473E-BC66-1C4B974601C6}"/>
            </c:ext>
          </c:extLst>
        </c:ser>
        <c:ser>
          <c:idx val="1"/>
          <c:order val="1"/>
          <c:tx>
            <c:strRef>
              <c:f>Hoja1!$C$1</c:f>
              <c:strCache>
                <c:ptCount val="1"/>
                <c:pt idx="0">
                  <c:v>2022-Pres</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1.2610579972727722E-2"/>
                  <c:y val="-2.000822851464960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4A2-473E-BC66-1C4B974601C6}"/>
                </c:ext>
              </c:extLst>
            </c:dLbl>
            <c:dLbl>
              <c:idx val="1"/>
              <c:layout>
                <c:manualLayout>
                  <c:x val="-5.7654280190374177E-2"/>
                  <c:y val="-9.62110018863481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4A2-473E-BC66-1C4B974601C6}"/>
                </c:ext>
              </c:extLst>
            </c:dLbl>
            <c:dLbl>
              <c:idx val="2"/>
              <c:layout>
                <c:manualLayout>
                  <c:x val="-6.1096740620881149E-2"/>
                  <c:y val="-0.107329846996204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4A2-473E-BC66-1C4B974601C6}"/>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E4A2-473E-BC66-1C4B974601C6}"/>
                </c:ext>
              </c:extLst>
            </c:dLbl>
            <c:dLbl>
              <c:idx val="4"/>
              <c:layout>
                <c:manualLayout>
                  <c:x val="-7.6547739781441845E-2"/>
                  <c:y val="0.1259283601708839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4A2-473E-BC66-1C4B974601C6}"/>
                </c:ext>
              </c:extLst>
            </c:dLbl>
            <c:dLbl>
              <c:idx val="5"/>
              <c:layout>
                <c:manualLayout>
                  <c:x val="-1.5626483737289712E-3"/>
                  <c:y val="-0.2711849319853749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E4A2-473E-BC66-1C4B974601C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3492.3659052000003</c:v>
                </c:pt>
                <c:pt idx="1">
                  <c:v>640.17087354288446</c:v>
                </c:pt>
                <c:pt idx="2">
                  <c:v>29.747379689999434</c:v>
                </c:pt>
                <c:pt idx="3">
                  <c:v>210.42263947999982</c:v>
                </c:pt>
                <c:pt idx="4">
                  <c:v>2361.0301831200031</c:v>
                </c:pt>
                <c:pt idx="5">
                  <c:v>377.48262788999637</c:v>
                </c:pt>
              </c:numCache>
            </c:numRef>
          </c:val>
          <c:smooth val="1"/>
          <c:extLst>
            <c:ext xmlns:c16="http://schemas.microsoft.com/office/drawing/2014/chart" uri="{C3380CC4-5D6E-409C-BE32-E72D297353CC}">
              <c16:uniqueId val="{0000000D-E4A2-473E-BC66-1C4B974601C6}"/>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8810883082451164"/>
          <c:y val="3.9605452544238424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30"/>
              <c:layout>
                <c:manualLayout>
                  <c:x val="-0.10612638687891944"/>
                  <c:y val="-0.11276954244166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BF-46A3-8EE5-EF4825C9CAF6}"/>
                </c:ext>
              </c:extLst>
            </c:dLbl>
            <c:dLbl>
              <c:idx val="42"/>
              <c:layout>
                <c:manualLayout>
                  <c:x val="0"/>
                  <c:y val="9.0667226130455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BF-46A3-8EE5-EF4825C9CAF6}"/>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Hoja1!$A$2:$A$44</c:f>
              <c:numCache>
                <c:formatCode>mmm\-yy</c:formatCode>
                <c:ptCount val="4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numCache>
            </c:numRef>
          </c:cat>
          <c:val>
            <c:numRef>
              <c:f>Hoja1!$B$2:$B$44</c:f>
              <c:numCache>
                <c:formatCode>0.0</c:formatCode>
                <c:ptCount val="43"/>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numCache>
            </c:numRef>
          </c:val>
          <c:smooth val="1"/>
          <c:extLst>
            <c:ext xmlns:c16="http://schemas.microsoft.com/office/drawing/2014/chart" uri="{C3380CC4-5D6E-409C-BE32-E72D297353CC}">
              <c16:uniqueId val="{00000002-37BF-46A3-8EE5-EF4825C9CAF6}"/>
            </c:ext>
          </c:extLst>
        </c:ser>
        <c:dLbls>
          <c:showLegendKey val="0"/>
          <c:showVal val="0"/>
          <c:showCatName val="0"/>
          <c:showSerName val="0"/>
          <c:showPercent val="0"/>
          <c:showBubbleSize val="0"/>
        </c:dLbls>
        <c:marker val="1"/>
        <c:smooth val="0"/>
        <c:axId val="717364616"/>
        <c:axId val="717367568"/>
      </c:lineChart>
      <c:dateAx>
        <c:axId val="717364616"/>
        <c:scaling>
          <c:orientation val="minMax"/>
          <c:max val="44774"/>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s-GT"/>
          </a:p>
        </c:txPr>
        <c:crossAx val="717367568"/>
        <c:crosses val="autoZero"/>
        <c:auto val="1"/>
        <c:lblOffset val="100"/>
        <c:base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4783246160800085"/>
          <c:h val="0.83750857136942669"/>
        </c:manualLayout>
      </c:layout>
      <c:lineChart>
        <c:grouping val="standard"/>
        <c:varyColors val="0"/>
        <c:ser>
          <c:idx val="0"/>
          <c:order val="0"/>
          <c:tx>
            <c:strRef>
              <c:f>Hoja1!$B$1</c:f>
              <c:strCache>
                <c:ptCount val="1"/>
                <c:pt idx="0">
                  <c:v>Internos</c:v>
                </c:pt>
              </c:strCache>
            </c:strRef>
          </c:tx>
          <c:spPr>
            <a:ln w="22225" cap="rnd">
              <a:solidFill>
                <a:schemeClr val="accent1"/>
              </a:solidFill>
              <a:round/>
            </a:ln>
            <a:effectLst/>
          </c:spPr>
          <c:marker>
            <c:symbol val="none"/>
          </c:marker>
          <c:dLbls>
            <c:dLbl>
              <c:idx val="42"/>
              <c:layout>
                <c:manualLayout>
                  <c:x val="0"/>
                  <c:y val="4.1631973355536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0B-4B8F-AB89-54255AE6C9E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Hoja1!$A$2:$A$44</c:f>
              <c:numCache>
                <c:formatCode>mmm\-yy</c:formatCode>
                <c:ptCount val="4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numCache>
            </c:numRef>
          </c:cat>
          <c:val>
            <c:numRef>
              <c:f>Hoja1!$B$2:$B$44</c:f>
              <c:numCache>
                <c:formatCode>0.0</c:formatCode>
                <c:ptCount val="43"/>
                <c:pt idx="0">
                  <c:v>1.2133373398879099</c:v>
                </c:pt>
                <c:pt idx="1">
                  <c:v>1.3171949561501473</c:v>
                </c:pt>
                <c:pt idx="2">
                  <c:v>2.1515546627187465</c:v>
                </c:pt>
                <c:pt idx="3">
                  <c:v>2.6500406128148413</c:v>
                </c:pt>
                <c:pt idx="4">
                  <c:v>3.3774818086861336</c:v>
                </c:pt>
                <c:pt idx="5">
                  <c:v>3.0658139325091094</c:v>
                </c:pt>
                <c:pt idx="6">
                  <c:v>3.6913059989126973</c:v>
                </c:pt>
                <c:pt idx="7">
                  <c:v>4.1640139238722451</c:v>
                </c:pt>
                <c:pt idx="8">
                  <c:v>4.8135226542253884</c:v>
                </c:pt>
                <c:pt idx="9">
                  <c:v>5.7783454456295402</c:v>
                </c:pt>
                <c:pt idx="10">
                  <c:v>5.5422204220258564</c:v>
                </c:pt>
                <c:pt idx="11">
                  <c:v>6.6597541083223355</c:v>
                </c:pt>
                <c:pt idx="12">
                  <c:v>12.355001333193627</c:v>
                </c:pt>
                <c:pt idx="13">
                  <c:v>11.702529453413902</c:v>
                </c:pt>
                <c:pt idx="14">
                  <c:v>-4.1573962158443001</c:v>
                </c:pt>
                <c:pt idx="15">
                  <c:v>3.5316051677768412</c:v>
                </c:pt>
                <c:pt idx="16">
                  <c:v>-0.45608141251602952</c:v>
                </c:pt>
                <c:pt idx="17">
                  <c:v>-2.760244571157966</c:v>
                </c:pt>
                <c:pt idx="18">
                  <c:v>-4.524004040943197</c:v>
                </c:pt>
                <c:pt idx="19">
                  <c:v>-5.0795729243287013</c:v>
                </c:pt>
                <c:pt idx="20">
                  <c:v>-4.5671337435818637</c:v>
                </c:pt>
                <c:pt idx="21">
                  <c:v>-2.4012277155246342</c:v>
                </c:pt>
                <c:pt idx="22">
                  <c:v>-1.8659806932337597</c:v>
                </c:pt>
                <c:pt idx="23">
                  <c:v>-1.9497461309182063</c:v>
                </c:pt>
                <c:pt idx="24">
                  <c:v>6.0737663743792858</c:v>
                </c:pt>
                <c:pt idx="25">
                  <c:v>6.7628231282831797</c:v>
                </c:pt>
                <c:pt idx="26">
                  <c:v>24.207599090223919</c:v>
                </c:pt>
                <c:pt idx="27">
                  <c:v>16.170221856991063</c:v>
                </c:pt>
                <c:pt idx="28">
                  <c:v>19.48130710247964</c:v>
                </c:pt>
                <c:pt idx="29">
                  <c:v>21.311343890161872</c:v>
                </c:pt>
                <c:pt idx="30">
                  <c:v>25.000590353400053</c:v>
                </c:pt>
                <c:pt idx="31">
                  <c:v>24.869333811400416</c:v>
                </c:pt>
                <c:pt idx="32">
                  <c:v>23.865355092229311</c:v>
                </c:pt>
                <c:pt idx="33">
                  <c:v>22.37701682363744</c:v>
                </c:pt>
                <c:pt idx="34">
                  <c:v>21.261221489466742</c:v>
                </c:pt>
                <c:pt idx="35">
                  <c:v>24.189141456707031</c:v>
                </c:pt>
                <c:pt idx="36">
                  <c:v>6.110301392264228</c:v>
                </c:pt>
                <c:pt idx="37">
                  <c:v>4.8899589566448798</c:v>
                </c:pt>
                <c:pt idx="38">
                  <c:v>9.8610280098424532</c:v>
                </c:pt>
                <c:pt idx="39">
                  <c:v>12.402002401878987</c:v>
                </c:pt>
                <c:pt idx="40">
                  <c:v>12.265306074842975</c:v>
                </c:pt>
                <c:pt idx="41">
                  <c:v>12.893635675441439</c:v>
                </c:pt>
                <c:pt idx="42">
                  <c:v>13.551665605485885</c:v>
                </c:pt>
              </c:numCache>
            </c:numRef>
          </c:val>
          <c:smooth val="1"/>
          <c:extLst>
            <c:ext xmlns:c16="http://schemas.microsoft.com/office/drawing/2014/chart" uri="{C3380CC4-5D6E-409C-BE32-E72D297353CC}">
              <c16:uniqueId val="{00000001-7C0B-4B8F-AB89-54255AE6C9E5}"/>
            </c:ext>
          </c:extLst>
        </c:ser>
        <c:ser>
          <c:idx val="1"/>
          <c:order val="1"/>
          <c:tx>
            <c:strRef>
              <c:f>Hoja1!$C$1</c:f>
              <c:strCache>
                <c:ptCount val="1"/>
                <c:pt idx="0">
                  <c:v>Aduanas</c:v>
                </c:pt>
              </c:strCache>
            </c:strRef>
          </c:tx>
          <c:spPr>
            <a:ln w="22225" cap="rnd">
              <a:solidFill>
                <a:srgbClr val="FF0000"/>
              </a:solidFill>
              <a:round/>
            </a:ln>
            <a:effectLst/>
          </c:spPr>
          <c:marker>
            <c:symbol val="none"/>
          </c:marker>
          <c:dLbls>
            <c:dLbl>
              <c:idx val="42"/>
              <c:layout>
                <c:manualLayout>
                  <c:x val="0"/>
                  <c:y val="-9.1590341382181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0B-4B8F-AB89-54255AE6C9E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Hoja1!$A$2:$A$44</c:f>
              <c:numCache>
                <c:formatCode>mmm\-yy</c:formatCode>
                <c:ptCount val="4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numCache>
            </c:numRef>
          </c:cat>
          <c:val>
            <c:numRef>
              <c:f>Hoja1!$C$2:$C$44</c:f>
              <c:numCache>
                <c:formatCode>0.0</c:formatCode>
                <c:ptCount val="43"/>
                <c:pt idx="0">
                  <c:v>14.231067091366278</c:v>
                </c:pt>
                <c:pt idx="1">
                  <c:v>11.052035471847166</c:v>
                </c:pt>
                <c:pt idx="2">
                  <c:v>11.776701403870614</c:v>
                </c:pt>
                <c:pt idx="3">
                  <c:v>8.4371207706589679</c:v>
                </c:pt>
                <c:pt idx="4">
                  <c:v>8.0291446384383569</c:v>
                </c:pt>
                <c:pt idx="5">
                  <c:v>6.4402755717617888</c:v>
                </c:pt>
                <c:pt idx="6">
                  <c:v>6.4084902736351479</c:v>
                </c:pt>
                <c:pt idx="7">
                  <c:v>5.8328328182996048</c:v>
                </c:pt>
                <c:pt idx="8">
                  <c:v>5.4179983367725004</c:v>
                </c:pt>
                <c:pt idx="9">
                  <c:v>5.4293890454141902</c:v>
                </c:pt>
                <c:pt idx="10">
                  <c:v>5.6123803819541074</c:v>
                </c:pt>
                <c:pt idx="11">
                  <c:v>5.7210781442385228</c:v>
                </c:pt>
                <c:pt idx="12">
                  <c:v>2.7905007283526517</c:v>
                </c:pt>
                <c:pt idx="13">
                  <c:v>3.8650962860691473</c:v>
                </c:pt>
                <c:pt idx="14">
                  <c:v>-1.1437467318872518</c:v>
                </c:pt>
                <c:pt idx="15">
                  <c:v>-5.8413143875957303</c:v>
                </c:pt>
                <c:pt idx="16">
                  <c:v>-11.298967478449173</c:v>
                </c:pt>
                <c:pt idx="17">
                  <c:v>-11.820865466328623</c:v>
                </c:pt>
                <c:pt idx="18">
                  <c:v>-12.526525776931619</c:v>
                </c:pt>
                <c:pt idx="19">
                  <c:v>-12.933173997672998</c:v>
                </c:pt>
                <c:pt idx="20">
                  <c:v>-11.757513849863644</c:v>
                </c:pt>
                <c:pt idx="21">
                  <c:v>-11.177856784291107</c:v>
                </c:pt>
                <c:pt idx="22">
                  <c:v>-10.33987446076441</c:v>
                </c:pt>
                <c:pt idx="23">
                  <c:v>-8.0192460140194992</c:v>
                </c:pt>
                <c:pt idx="24">
                  <c:v>-9.7761611690150296E-2</c:v>
                </c:pt>
                <c:pt idx="25">
                  <c:v>8.2291598464747437</c:v>
                </c:pt>
                <c:pt idx="26">
                  <c:v>21.007301892208609</c:v>
                </c:pt>
                <c:pt idx="27">
                  <c:v>30.067838824985515</c:v>
                </c:pt>
                <c:pt idx="28">
                  <c:v>37.1992366604617</c:v>
                </c:pt>
                <c:pt idx="29">
                  <c:v>41.161224600746536</c:v>
                </c:pt>
                <c:pt idx="30">
                  <c:v>43.891560660863924</c:v>
                </c:pt>
                <c:pt idx="31">
                  <c:v>45.841954392154641</c:v>
                </c:pt>
                <c:pt idx="32">
                  <c:v>45.663593297139784</c:v>
                </c:pt>
                <c:pt idx="33">
                  <c:v>45.232250013522133</c:v>
                </c:pt>
                <c:pt idx="34">
                  <c:v>45.138870000339537</c:v>
                </c:pt>
                <c:pt idx="35">
                  <c:v>43.102791245264683</c:v>
                </c:pt>
                <c:pt idx="36">
                  <c:v>35.802848994375601</c:v>
                </c:pt>
                <c:pt idx="37">
                  <c:v>30.41359604226237</c:v>
                </c:pt>
                <c:pt idx="38">
                  <c:v>29.750178282009454</c:v>
                </c:pt>
                <c:pt idx="39">
                  <c:v>27.699320692097928</c:v>
                </c:pt>
                <c:pt idx="40">
                  <c:v>28.111318823070807</c:v>
                </c:pt>
                <c:pt idx="41">
                  <c:v>28.237311211709315</c:v>
                </c:pt>
                <c:pt idx="42">
                  <c:v>26.275306676146659</c:v>
                </c:pt>
              </c:numCache>
            </c:numRef>
          </c:val>
          <c:smooth val="0"/>
          <c:extLst>
            <c:ext xmlns:c16="http://schemas.microsoft.com/office/drawing/2014/chart" uri="{C3380CC4-5D6E-409C-BE32-E72D297353CC}">
              <c16:uniqueId val="{00000003-7C0B-4B8F-AB89-54255AE6C9E5}"/>
            </c:ext>
          </c:extLst>
        </c:ser>
        <c:ser>
          <c:idx val="2"/>
          <c:order val="2"/>
          <c:tx>
            <c:strRef>
              <c:f>Hoja1!$D$1</c:f>
              <c:strCache>
                <c:ptCount val="1"/>
                <c:pt idx="0">
                  <c:v>TOTAL</c:v>
                </c:pt>
              </c:strCache>
            </c:strRef>
          </c:tx>
          <c:spPr>
            <a:ln w="22225" cap="rnd">
              <a:solidFill>
                <a:srgbClr val="00B050"/>
              </a:solidFill>
              <a:round/>
            </a:ln>
            <a:effectLst/>
          </c:spPr>
          <c:marker>
            <c:symbol val="none"/>
          </c:marker>
          <c:dLbls>
            <c:dLbl>
              <c:idx val="42"/>
              <c:layout>
                <c:manualLayout>
                  <c:x val="0"/>
                  <c:y val="-4.1631973355537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0B-4B8F-AB89-54255AE6C9E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Hoja1!$A$2:$A$44</c:f>
              <c:numCache>
                <c:formatCode>mmm\-yy</c:formatCode>
                <c:ptCount val="4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numCache>
            </c:numRef>
          </c:cat>
          <c:val>
            <c:numRef>
              <c:f>Hoja1!$D$2:$D$44</c:f>
              <c:numCache>
                <c:formatCode>0.0</c:formatCode>
                <c:ptCount val="43"/>
                <c:pt idx="0">
                  <c:v>4.144229832341817</c:v>
                </c:pt>
                <c:pt idx="1">
                  <c:v>3.8814875506469448</c:v>
                </c:pt>
                <c:pt idx="2">
                  <c:v>4.6775539995209447</c:v>
                </c:pt>
                <c:pt idx="3">
                  <c:v>4.110619818220318</c:v>
                </c:pt>
                <c:pt idx="4">
                  <c:v>4.6238114373573946</c:v>
                </c:pt>
                <c:pt idx="5">
                  <c:v>3.9980363745735659</c:v>
                </c:pt>
                <c:pt idx="6">
                  <c:v>4.4113053319681628</c:v>
                </c:pt>
                <c:pt idx="7">
                  <c:v>4.6214688048084929</c:v>
                </c:pt>
                <c:pt idx="8">
                  <c:v>4.983811764446</c:v>
                </c:pt>
                <c:pt idx="9">
                  <c:v>5.6811428030196343</c:v>
                </c:pt>
                <c:pt idx="10">
                  <c:v>5.5622459797806112</c:v>
                </c:pt>
                <c:pt idx="11">
                  <c:v>6.3878097653571775</c:v>
                </c:pt>
                <c:pt idx="12">
                  <c:v>9.9930227400694793</c:v>
                </c:pt>
                <c:pt idx="13">
                  <c:v>9.4955364780329852</c:v>
                </c:pt>
                <c:pt idx="14">
                  <c:v>-3.3128637792832483</c:v>
                </c:pt>
                <c:pt idx="15">
                  <c:v>1.0677030515781061</c:v>
                </c:pt>
                <c:pt idx="16">
                  <c:v>-3.4557963525804203</c:v>
                </c:pt>
                <c:pt idx="17">
                  <c:v>-5.3220955811382193</c:v>
                </c:pt>
                <c:pt idx="18">
                  <c:v>-6.6850729747290227</c:v>
                </c:pt>
                <c:pt idx="19">
                  <c:v>-7.2573203198649683</c:v>
                </c:pt>
                <c:pt idx="20">
                  <c:v>-6.6011401647065533</c:v>
                </c:pt>
                <c:pt idx="21">
                  <c:v>-4.8401549131182993</c:v>
                </c:pt>
                <c:pt idx="22">
                  <c:v>-4.2858087798717692</c:v>
                </c:pt>
                <c:pt idx="23">
                  <c:v>-3.6971244964329686</c:v>
                </c:pt>
                <c:pt idx="24">
                  <c:v>4.6494902126083204</c:v>
                </c:pt>
                <c:pt idx="25">
                  <c:v>7.1545054968904287</c:v>
                </c:pt>
                <c:pt idx="26">
                  <c:v>23.29064127425433</c:v>
                </c:pt>
                <c:pt idx="27">
                  <c:v>19.573809126610485</c:v>
                </c:pt>
                <c:pt idx="28">
                  <c:v>23.98481089832871</c:v>
                </c:pt>
                <c:pt idx="29">
                  <c:v>26.53856662084879</c:v>
                </c:pt>
                <c:pt idx="30">
                  <c:v>29.782719256067146</c:v>
                </c:pt>
                <c:pt idx="31">
                  <c:v>30.328979233186715</c:v>
                </c:pt>
                <c:pt idx="32">
                  <c:v>29.691188013712132</c:v>
                </c:pt>
                <c:pt idx="33">
                  <c:v>28.3052362657251</c:v>
                </c:pt>
                <c:pt idx="34">
                  <c:v>27.648503060633068</c:v>
                </c:pt>
                <c:pt idx="35">
                  <c:v>29.38990490263258</c:v>
                </c:pt>
                <c:pt idx="36">
                  <c:v>12.651947806608966</c:v>
                </c:pt>
                <c:pt idx="37">
                  <c:v>11.776112850920883</c:v>
                </c:pt>
                <c:pt idx="38">
                  <c:v>15.454181537903411</c:v>
                </c:pt>
                <c:pt idx="39">
                  <c:v>16.47717226276837</c:v>
                </c:pt>
                <c:pt idx="40">
                  <c:v>16.722287252069833</c:v>
                </c:pt>
                <c:pt idx="41">
                  <c:v>17.401128449251459</c:v>
                </c:pt>
                <c:pt idx="42">
                  <c:v>17.122723374941895</c:v>
                </c:pt>
              </c:numCache>
            </c:numRef>
          </c:val>
          <c:smooth val="0"/>
          <c:extLst>
            <c:ext xmlns:c16="http://schemas.microsoft.com/office/drawing/2014/chart" uri="{C3380CC4-5D6E-409C-BE32-E72D297353CC}">
              <c16:uniqueId val="{00000005-7C0B-4B8F-AB89-54255AE6C9E5}"/>
            </c:ext>
          </c:extLst>
        </c:ser>
        <c:dLbls>
          <c:showLegendKey val="0"/>
          <c:showVal val="0"/>
          <c:showCatName val="0"/>
          <c:showSerName val="0"/>
          <c:showPercent val="0"/>
          <c:showBubbleSize val="0"/>
        </c:dLbls>
        <c:smooth val="0"/>
        <c:axId val="717364616"/>
        <c:axId val="717367568"/>
      </c:lineChart>
      <c:dateAx>
        <c:axId val="717364616"/>
        <c:scaling>
          <c:orientation val="minMax"/>
          <c:max val="44774"/>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s-GT"/>
          </a:p>
        </c:txPr>
        <c:crossAx val="717367568"/>
        <c:crosses val="autoZero"/>
        <c:auto val="1"/>
        <c:lblOffset val="100"/>
        <c:base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l"/>
      <c:layout>
        <c:manualLayout>
          <c:xMode val="edge"/>
          <c:yMode val="edge"/>
          <c:x val="8.2006753497346846E-2"/>
          <c:y val="6.4424003619031361E-2"/>
          <c:w val="0.27988498543326079"/>
          <c:h val="0.33101745920394421"/>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julio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15C-44FF-B97E-8787607DF378}"/>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15C-44FF-B97E-8787607DF378}"/>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15C-44FF-B97E-8787607DF378}"/>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15C-44FF-B97E-8787607DF37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15C-44FF-B97E-8787607DF37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15C-44FF-B97E-8787607DF37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D15C-44FF-B97E-8787607DF37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D15C-44FF-B97E-8787607DF378}"/>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D15C-44FF-B97E-8787607DF378}"/>
              </c:ext>
            </c:extLst>
          </c:dPt>
          <c:dLbls>
            <c:dLbl>
              <c:idx val="0"/>
              <c:layout>
                <c:manualLayout>
                  <c:x val="-5.4160512063023324E-2"/>
                  <c:y val="-0.16019719811765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5C-44FF-B97E-8787607DF378}"/>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5C-44FF-B97E-8787607DF378}"/>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15C-44FF-B97E-8787607DF378}"/>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15C-44FF-B97E-8787607DF378}"/>
                </c:ext>
              </c:extLst>
            </c:dLbl>
            <c:dLbl>
              <c:idx val="4"/>
              <c:layout>
                <c:manualLayout>
                  <c:x val="-8.4281626908896359E-2"/>
                  <c:y val="-5.50186869428367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15C-44FF-B97E-8787607DF378}"/>
                </c:ext>
              </c:extLst>
            </c:dLbl>
            <c:dLbl>
              <c:idx val="5"/>
              <c:layout>
                <c:manualLayout>
                  <c:x val="-5.2722370191170709E-2"/>
                  <c:y val="-0.153519352769814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15C-44FF-B97E-8787607DF378}"/>
                </c:ext>
              </c:extLst>
            </c:dLbl>
            <c:dLbl>
              <c:idx val="6"/>
              <c:layout>
                <c:manualLayout>
                  <c:x val="5.6907694514552E-2"/>
                  <c:y val="-6.7240024830066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15C-44FF-B97E-8787607DF378}"/>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15C-44FF-B97E-8787607DF378}"/>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15C-44FF-B97E-8787607DF37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16325.330183120001</c:v>
                </c:pt>
                <c:pt idx="1">
                  <c:v>13864.7659052</c:v>
                </c:pt>
                <c:pt idx="2">
                  <c:v>10236.082627889999</c:v>
                </c:pt>
                <c:pt idx="3">
                  <c:v>4361.22263948</c:v>
                </c:pt>
                <c:pt idx="4">
                  <c:v>2348.2473796899999</c:v>
                </c:pt>
                <c:pt idx="5">
                  <c:v>2058.7886433900003</c:v>
                </c:pt>
                <c:pt idx="6">
                  <c:v>771.31490907</c:v>
                </c:pt>
                <c:pt idx="7">
                  <c:v>664.30728709000005</c:v>
                </c:pt>
                <c:pt idx="8">
                  <c:v>1993.1440352999925</c:v>
                </c:pt>
              </c:numCache>
            </c:numRef>
          </c:val>
          <c:extLst>
            <c:ext xmlns:c16="http://schemas.microsoft.com/office/drawing/2014/chart" uri="{C3380CC4-5D6E-409C-BE32-E72D297353CC}">
              <c16:uniqueId val="{00000012-D15C-44FF-B97E-8787607DF37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9.29054054054054E-2"/>
          <c:w val="0.84944393037344834"/>
          <c:h val="0.77690000532028092"/>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4181-4370-9FD8-D1BD9EA9B65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7765.8525129099999</c:v>
                </c:pt>
                <c:pt idx="1">
                  <c:v>5227.6553224700001</c:v>
                </c:pt>
                <c:pt idx="2">
                  <c:v>7649.5032832999987</c:v>
                </c:pt>
                <c:pt idx="3">
                  <c:v>9239.0242157100001</c:v>
                </c:pt>
                <c:pt idx="4">
                  <c:v>6200.6288104499999</c:v>
                </c:pt>
                <c:pt idx="5">
                  <c:v>6204.378563299997</c:v>
                </c:pt>
                <c:pt idx="6">
                  <c:v>10336.16090209</c:v>
                </c:pt>
              </c:numCache>
            </c:numRef>
          </c:val>
          <c:extLst>
            <c:ext xmlns:c16="http://schemas.microsoft.com/office/drawing/2014/chart" uri="{C3380CC4-5D6E-409C-BE32-E72D297353CC}">
              <c16:uniqueId val="{00000001-4181-4370-9FD8-D1BD9EA9B659}"/>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2-4181-4370-9FD8-D1BD9EA9B659}"/>
                </c:ext>
              </c:extLst>
            </c:dLbl>
            <c:dLbl>
              <c:idx val="2"/>
              <c:delete val="1"/>
              <c:extLst>
                <c:ext xmlns:c15="http://schemas.microsoft.com/office/drawing/2012/chart" uri="{CE6537A1-D6FC-4f65-9D91-7224C49458BB}"/>
                <c:ext xmlns:c16="http://schemas.microsoft.com/office/drawing/2014/chart" uri="{C3380CC4-5D6E-409C-BE32-E72D297353CC}">
                  <c16:uniqueId val="{00000003-4181-4370-9FD8-D1BD9EA9B659}"/>
                </c:ext>
              </c:extLst>
            </c:dLbl>
            <c:dLbl>
              <c:idx val="3"/>
              <c:delete val="1"/>
              <c:extLst>
                <c:ext xmlns:c15="http://schemas.microsoft.com/office/drawing/2012/chart" uri="{CE6537A1-D6FC-4f65-9D91-7224C49458BB}"/>
                <c:ext xmlns:c16="http://schemas.microsoft.com/office/drawing/2014/chart" uri="{C3380CC4-5D6E-409C-BE32-E72D297353CC}">
                  <c16:uniqueId val="{00000004-4181-4370-9FD8-D1BD9EA9B659}"/>
                </c:ext>
              </c:extLst>
            </c:dLbl>
            <c:dLbl>
              <c:idx val="4"/>
              <c:delete val="1"/>
              <c:extLst>
                <c:ext xmlns:c15="http://schemas.microsoft.com/office/drawing/2012/chart" uri="{CE6537A1-D6FC-4f65-9D91-7224C49458BB}"/>
                <c:ext xmlns:c16="http://schemas.microsoft.com/office/drawing/2014/chart" uri="{C3380CC4-5D6E-409C-BE32-E72D297353CC}">
                  <c16:uniqueId val="{00000005-4181-4370-9FD8-D1BD9EA9B659}"/>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81-4370-9FD8-D1BD9EA9B659}"/>
                </c:ext>
              </c:extLst>
            </c:dLbl>
            <c:dLbl>
              <c:idx val="6"/>
              <c:delete val="1"/>
              <c:extLst>
                <c:ext xmlns:c15="http://schemas.microsoft.com/office/drawing/2012/chart" uri="{CE6537A1-D6FC-4f65-9D91-7224C49458BB}"/>
                <c:ext xmlns:c16="http://schemas.microsoft.com/office/drawing/2014/chart" uri="{C3380CC4-5D6E-409C-BE32-E72D297353CC}">
                  <c16:uniqueId val="{00000007-4181-4370-9FD8-D1BD9EA9B659}"/>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81-4370-9FD8-D1BD9EA9B659}"/>
                </c:ext>
              </c:extLst>
            </c:dLbl>
            <c:dLbl>
              <c:idx val="8"/>
              <c:layout>
                <c:manualLayout>
                  <c:x val="-8.8651880110259568E-2"/>
                  <c:y val="8.1140570017821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81-4370-9FD8-D1BD9EA9B659}"/>
                </c:ext>
              </c:extLst>
            </c:dLbl>
            <c:dLbl>
              <c:idx val="9"/>
              <c:layout>
                <c:manualLayout>
                  <c:x val="-7.3862609862098194E-2"/>
                  <c:y val="-6.2589207227956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81-4370-9FD8-D1BD9EA9B659}"/>
                </c:ext>
              </c:extLst>
            </c:dLbl>
            <c:dLbl>
              <c:idx val="10"/>
              <c:layout>
                <c:manualLayout>
                  <c:x val="0"/>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81-4370-9FD8-D1BD9EA9B659}"/>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181-4370-9FD8-D1BD9EA9B65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6">
                  <c:v>10336.16090209</c:v>
                </c:pt>
                <c:pt idx="7">
                  <c:v>5345.7361091428156</c:v>
                </c:pt>
                <c:pt idx="8">
                  <c:v>5091.9494663078058</c:v>
                </c:pt>
                <c:pt idx="9">
                  <c:v>8763.6375448371746</c:v>
                </c:pt>
                <c:pt idx="10">
                  <c:v>5705.0171798479123</c:v>
                </c:pt>
                <c:pt idx="11">
                  <c:v>5896.5595820328872</c:v>
                </c:pt>
              </c:numCache>
            </c:numRef>
          </c:val>
          <c:smooth val="1"/>
          <c:extLst>
            <c:ext xmlns:c16="http://schemas.microsoft.com/office/drawing/2014/chart" uri="{C3380CC4-5D6E-409C-BE32-E72D297353CC}">
              <c16:uniqueId val="{0000000D-4181-4370-9FD8-D1BD9EA9B659}"/>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59120488708799779"/>
          <c:y val="0.74998384243009864"/>
          <c:w val="0.4087951129120021"/>
          <c:h val="0.1155192594168972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062772325873062"/>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D4-48B8-A8C7-E33306E74A66}"/>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D4-48B8-A8C7-E33306E74A66}"/>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D4-48B8-A8C7-E33306E74A66}"/>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D4-48B8-A8C7-E33306E74A66}"/>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D4-48B8-A8C7-E33306E74A66}"/>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D4-48B8-A8C7-E33306E74A66}"/>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D4-48B8-A8C7-E33306E74A66}"/>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D4-48B8-A8C7-E33306E74A66}"/>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D4-48B8-A8C7-E33306E74A66}"/>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D4-48B8-A8C7-E33306E74A66}"/>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D4-48B8-A8C7-E33306E74A66}"/>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numCache>
            </c:numRef>
          </c:val>
          <c:extLst>
            <c:ext xmlns:c16="http://schemas.microsoft.com/office/drawing/2014/chart" uri="{C3380CC4-5D6E-409C-BE32-E72D297353CC}">
              <c16:uniqueId val="{0000000B-18D4-48B8-A8C7-E33306E74A66}"/>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6.1729026855394921E-2"/>
                  <c:y val="-7.3201672266536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D4-48B8-A8C7-E33306E74A66}"/>
                </c:ext>
              </c:extLst>
            </c:dLbl>
            <c:dLbl>
              <c:idx val="3"/>
              <c:layout>
                <c:manualLayout>
                  <c:x val="-6.4623532102800293E-2"/>
                  <c:y val="-6.205186078124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D4-48B8-A8C7-E33306E74A66}"/>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D4-48B8-A8C7-E33306E74A66}"/>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8D4-48B8-A8C7-E33306E74A66}"/>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8D4-48B8-A8C7-E33306E74A66}"/>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8D4-48B8-A8C7-E33306E74A6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2-18D4-48B8-A8C7-E33306E74A66}"/>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4"/>
          <c:min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1369901633537494"/>
          <c:y val="0.14206788228015424"/>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5668859293822837"/>
          <c:h val="0.936384968993790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5.1463731642598176E-3"/>
                  <c:y val="4.7800699833727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49-475A-B463-69E92F1894C8}"/>
                </c:ext>
              </c:extLst>
            </c:dLbl>
            <c:dLbl>
              <c:idx val="1"/>
              <c:layout>
                <c:manualLayout>
                  <c:x val="-3.7146354029999151E-3"/>
                  <c:y val="7.502377420213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49-475A-B463-69E92F1894C8}"/>
                </c:ext>
              </c:extLst>
            </c:dLbl>
            <c:dLbl>
              <c:idx val="2"/>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49-475A-B463-69E92F1894C8}"/>
                </c:ext>
              </c:extLst>
            </c:dLbl>
            <c:dLbl>
              <c:idx val="3"/>
              <c:layout>
                <c:manualLayout>
                  <c:x val="9.0199860012540169E-17"/>
                  <c:y val="1.0866612333604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49-475A-B463-69E92F1894C8}"/>
                </c:ext>
              </c:extLst>
            </c:dLbl>
            <c:dLbl>
              <c:idx val="4"/>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49-475A-B463-69E92F1894C8}"/>
                </c:ext>
              </c:extLst>
            </c:dLbl>
            <c:dLbl>
              <c:idx val="6"/>
              <c:layout>
                <c:manualLayout>
                  <c:x val="-0.16038653604513431"/>
                  <c:y val="4.5024763619990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49-475A-B463-69E92F1894C8}"/>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49-475A-B463-69E92F1894C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Bienes y servicios </c:v>
                </c:pt>
                <c:pt idx="3">
                  <c:v>Intereses </c:v>
                </c:pt>
                <c:pt idx="4">
                  <c:v>Remuneraciones </c:v>
                </c:pt>
                <c:pt idx="5">
                  <c:v>Trans. De Capital</c:v>
                </c:pt>
                <c:pt idx="6">
                  <c:v>Trans. Corrientes</c:v>
                </c:pt>
              </c:strCache>
            </c:strRef>
          </c:cat>
          <c:val>
            <c:numRef>
              <c:f>Sheet1!$B$2:$B$8</c:f>
              <c:numCache>
                <c:formatCode>#,##0.0</c:formatCode>
                <c:ptCount val="7"/>
                <c:pt idx="0">
                  <c:v>100.80266940999991</c:v>
                </c:pt>
                <c:pt idx="1">
                  <c:v>226.13929756000016</c:v>
                </c:pt>
                <c:pt idx="2">
                  <c:v>2348.8084370699989</c:v>
                </c:pt>
                <c:pt idx="3">
                  <c:v>895.84658131000106</c:v>
                </c:pt>
                <c:pt idx="4">
                  <c:v>579.07545555999604</c:v>
                </c:pt>
                <c:pt idx="5">
                  <c:v>439.16251183999975</c:v>
                </c:pt>
                <c:pt idx="6">
                  <c:v>-2462.4094035099988</c:v>
                </c:pt>
              </c:numCache>
            </c:numRef>
          </c:val>
          <c:extLst>
            <c:ext xmlns:c16="http://schemas.microsoft.com/office/drawing/2014/chart" uri="{C3380CC4-5D6E-409C-BE32-E72D297353CC}">
              <c16:uniqueId val="{00000007-D949-475A-B463-69E92F1894C8}"/>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1"/>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49-475A-B463-69E92F1894C8}"/>
                </c:ext>
              </c:extLst>
            </c:dLbl>
            <c:dLbl>
              <c:idx val="2"/>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49-475A-B463-69E92F1894C8}"/>
                </c:ext>
              </c:extLst>
            </c:dLbl>
            <c:dLbl>
              <c:idx val="3"/>
              <c:layout>
                <c:manualLayout>
                  <c:x val="-1.6765543253359661E-16"/>
                  <c:y val="-5.551872427472905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49-475A-B463-69E92F1894C8}"/>
                </c:ext>
              </c:extLst>
            </c:dLbl>
            <c:dLbl>
              <c:idx val="4"/>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49-475A-B463-69E92F1894C8}"/>
                </c:ext>
              </c:extLst>
            </c:dLbl>
            <c:dLbl>
              <c:idx val="5"/>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49-475A-B463-69E92F1894C8}"/>
                </c:ext>
              </c:extLst>
            </c:dLbl>
            <c:dLbl>
              <c:idx val="6"/>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49-475A-B463-69E92F1894C8}"/>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49-475A-B463-69E92F1894C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Bienes y servicios </c:v>
                </c:pt>
                <c:pt idx="3">
                  <c:v>Intereses </c:v>
                </c:pt>
                <c:pt idx="4">
                  <c:v>Remuneraciones </c:v>
                </c:pt>
                <c:pt idx="5">
                  <c:v>Trans. De Capital</c:v>
                </c:pt>
                <c:pt idx="6">
                  <c:v>Trans. Corrientes</c:v>
                </c:pt>
              </c:strCache>
            </c:strRef>
          </c:cat>
          <c:val>
            <c:numRef>
              <c:f>Sheet1!$C$2:$C$8</c:f>
              <c:numCache>
                <c:formatCode>#,##0.0</c:formatCode>
                <c:ptCount val="7"/>
                <c:pt idx="0">
                  <c:v>135.96123393000016</c:v>
                </c:pt>
                <c:pt idx="1">
                  <c:v>265.33382176999999</c:v>
                </c:pt>
                <c:pt idx="2">
                  <c:v>318.26974498000163</c:v>
                </c:pt>
                <c:pt idx="3">
                  <c:v>473.15698474999954</c:v>
                </c:pt>
                <c:pt idx="4">
                  <c:v>815.04560080000374</c:v>
                </c:pt>
                <c:pt idx="5">
                  <c:v>1081.6761913199989</c:v>
                </c:pt>
                <c:pt idx="6">
                  <c:v>4056.3039417300006</c:v>
                </c:pt>
              </c:numCache>
            </c:numRef>
          </c:val>
          <c:extLst>
            <c:ext xmlns:c16="http://schemas.microsoft.com/office/drawing/2014/chart" uri="{C3380CC4-5D6E-409C-BE32-E72D297353CC}">
              <c16:uniqueId val="{0000000F-D949-475A-B463-69E92F1894C8}"/>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4700"/>
          <c:min val="-2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78372019341203747"/>
          <c:y val="0.29746017790099516"/>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6061C-2137-46A8-A450-079ED9E24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5387</Words>
  <Characters>29629</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Myriam Adelaida Galvez García</cp:lastModifiedBy>
  <cp:revision>2</cp:revision>
  <cp:lastPrinted>2022-07-08T22:37:00Z</cp:lastPrinted>
  <dcterms:created xsi:type="dcterms:W3CDTF">2022-08-18T16:01:00Z</dcterms:created>
  <dcterms:modified xsi:type="dcterms:W3CDTF">2022-08-18T16:01:00Z</dcterms:modified>
</cp:coreProperties>
</file>