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charts/chart10.xml" ContentType="application/vnd.openxmlformats-officedocument.drawingml.chart+xml"/>
  <Override PartName="/word/theme/themeOverride3.xml" ContentType="application/vnd.openxmlformats-officedocument.themeOverride+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651" w:rsidRPr="007C3AF6" w:rsidRDefault="00E348DD" w:rsidP="008F312E">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7D4651" w:rsidRPr="007C3AF6" w:rsidSect="00754057">
          <w:headerReference w:type="default" r:id="rId8"/>
          <w:footerReference w:type="default" r:id="rId9"/>
          <w:pgSz w:w="12240" w:h="15840" w:code="1"/>
          <w:pgMar w:top="1418" w:right="1418" w:bottom="1418" w:left="1418" w:header="709" w:footer="709" w:gutter="0"/>
          <w:cols w:space="708"/>
          <w:docGrid w:linePitch="360"/>
        </w:sectPr>
      </w:pPr>
      <w:r w:rsidRPr="007C3AF6">
        <w:rPr>
          <w:rFonts w:ascii="Times New Roman" w:hAnsi="Times New Roman" w:cs="Times New Roman"/>
          <w:b/>
          <w:lang w:val="es-MX"/>
        </w:rPr>
        <w:t xml:space="preserve">En </w:t>
      </w:r>
      <w:r w:rsidR="006E737B" w:rsidRPr="007C3AF6">
        <w:rPr>
          <w:rFonts w:ascii="Times New Roman" w:hAnsi="Times New Roman" w:cs="Times New Roman"/>
          <w:b/>
          <w:lang w:val="es-MX"/>
        </w:rPr>
        <w:t>jul</w:t>
      </w:r>
      <w:r w:rsidR="00B44B94" w:rsidRPr="007C3AF6">
        <w:rPr>
          <w:rFonts w:ascii="Times New Roman" w:hAnsi="Times New Roman" w:cs="Times New Roman"/>
          <w:b/>
          <w:lang w:val="es-MX"/>
        </w:rPr>
        <w:t>io</w:t>
      </w:r>
      <w:r w:rsidR="003D7EBA" w:rsidRPr="007C3AF6">
        <w:rPr>
          <w:rFonts w:ascii="Times New Roman" w:hAnsi="Times New Roman" w:cs="Times New Roman"/>
          <w:b/>
          <w:lang w:val="es-MX"/>
        </w:rPr>
        <w:t xml:space="preserve"> </w:t>
      </w:r>
      <w:r w:rsidR="00B44B94" w:rsidRPr="007C3AF6">
        <w:rPr>
          <w:rFonts w:ascii="Times New Roman" w:hAnsi="Times New Roman" w:cs="Times New Roman"/>
          <w:b/>
          <w:lang w:val="es-MX"/>
        </w:rPr>
        <w:t xml:space="preserve">el </w:t>
      </w:r>
      <w:r w:rsidR="007A1B15" w:rsidRPr="007C3AF6">
        <w:rPr>
          <w:rFonts w:ascii="Times New Roman" w:hAnsi="Times New Roman" w:cs="Times New Roman"/>
          <w:b/>
          <w:lang w:val="es-MX"/>
        </w:rPr>
        <w:t>déficit</w:t>
      </w:r>
      <w:r w:rsidR="00E37543" w:rsidRPr="007C3AF6">
        <w:rPr>
          <w:rFonts w:ascii="Times New Roman" w:hAnsi="Times New Roman" w:cs="Times New Roman"/>
          <w:b/>
          <w:lang w:val="es-MX"/>
        </w:rPr>
        <w:t xml:space="preserve"> </w:t>
      </w:r>
      <w:r w:rsidR="004B799B" w:rsidRPr="007C3AF6">
        <w:rPr>
          <w:rFonts w:ascii="Times New Roman" w:hAnsi="Times New Roman" w:cs="Times New Roman"/>
          <w:b/>
          <w:lang w:val="es-MX"/>
        </w:rPr>
        <w:t>fiscal</w:t>
      </w:r>
      <w:r w:rsidR="006E737B" w:rsidRPr="007C3AF6">
        <w:rPr>
          <w:rFonts w:ascii="Times New Roman" w:hAnsi="Times New Roman" w:cs="Times New Roman"/>
          <w:b/>
          <w:lang w:val="es-MX"/>
        </w:rPr>
        <w:t xml:space="preserve"> se ubica alrededor del 2.0% del PIB</w:t>
      </w:r>
    </w:p>
    <w:p w:rsidR="007D4651" w:rsidRPr="00D91E0F" w:rsidRDefault="007D4651" w:rsidP="007D4651">
      <w:pPr>
        <w:pStyle w:val="Sinespaciado"/>
        <w:rPr>
          <w:rFonts w:ascii="Times New Roman" w:hAnsi="Times New Roman" w:cs="Times New Roman"/>
          <w:b/>
          <w:color w:val="FF0000"/>
          <w:sz w:val="6"/>
          <w:lang w:val="es-MX"/>
        </w:rPr>
      </w:pPr>
    </w:p>
    <w:p w:rsidR="007D4651" w:rsidRPr="00D91E0F" w:rsidRDefault="007D4651" w:rsidP="007D4651">
      <w:pPr>
        <w:pStyle w:val="Sinespaciado"/>
        <w:jc w:val="center"/>
        <w:rPr>
          <w:rFonts w:ascii="Times New Roman" w:hAnsi="Times New Roman" w:cs="Times New Roman"/>
          <w:b/>
          <w:color w:val="FF0000"/>
          <w:sz w:val="16"/>
          <w:lang w:val="es-MX"/>
        </w:rPr>
      </w:pPr>
    </w:p>
    <w:p w:rsidR="009C4027" w:rsidRPr="00D91E0F" w:rsidRDefault="009C4027" w:rsidP="007D4651">
      <w:pPr>
        <w:pStyle w:val="Sinespaciado"/>
        <w:jc w:val="center"/>
        <w:rPr>
          <w:rFonts w:ascii="Times New Roman" w:hAnsi="Times New Roman" w:cs="Times New Roman"/>
          <w:b/>
          <w:color w:val="FF0000"/>
          <w:lang w:val="es-MX"/>
        </w:rPr>
        <w:sectPr w:rsidR="009C4027" w:rsidRPr="00D91E0F" w:rsidSect="004E358C">
          <w:type w:val="continuous"/>
          <w:pgSz w:w="12240" w:h="15840"/>
          <w:pgMar w:top="1417" w:right="1701" w:bottom="1417" w:left="1701" w:header="708" w:footer="708" w:gutter="0"/>
          <w:cols w:space="708"/>
          <w:docGrid w:linePitch="360"/>
        </w:sectPr>
      </w:pPr>
    </w:p>
    <w:p w:rsidR="007C3AF6" w:rsidRPr="00D13BE4" w:rsidRDefault="007C3AF6" w:rsidP="007C3AF6">
      <w:pPr>
        <w:pStyle w:val="Sinespaciado"/>
        <w:ind w:left="284"/>
        <w:jc w:val="both"/>
        <w:rPr>
          <w:rFonts w:ascii="Times New Roman" w:hAnsi="Times New Roman" w:cs="Times New Roman"/>
          <w:lang w:val="es-MX"/>
        </w:rPr>
      </w:pPr>
      <w:r>
        <w:rPr>
          <w:rFonts w:ascii="Times New Roman" w:hAnsi="Times New Roman" w:cs="Times New Roman"/>
          <w:lang w:val="es-MX"/>
        </w:rPr>
        <w:lastRenderedPageBreak/>
        <w:t>E</w:t>
      </w:r>
      <w:r w:rsidRPr="00F92177">
        <w:rPr>
          <w:rFonts w:ascii="Times New Roman" w:hAnsi="Times New Roman" w:cs="Times New Roman"/>
          <w:lang w:val="es-MX"/>
        </w:rPr>
        <w:t>l resultado pr</w:t>
      </w:r>
      <w:r>
        <w:rPr>
          <w:rFonts w:ascii="Times New Roman" w:hAnsi="Times New Roman" w:cs="Times New Roman"/>
          <w:lang w:val="es-MX"/>
        </w:rPr>
        <w:t xml:space="preserve">esupuestario del gobierno muestra, un </w:t>
      </w:r>
      <w:r w:rsidRPr="004B132E">
        <w:rPr>
          <w:rFonts w:ascii="Times New Roman" w:hAnsi="Times New Roman" w:cs="Times New Roman"/>
          <w:lang w:val="es-MX"/>
        </w:rPr>
        <w:t xml:space="preserve">déficit </w:t>
      </w:r>
      <w:r w:rsidRPr="00056D34">
        <w:rPr>
          <w:rFonts w:ascii="Times New Roman" w:hAnsi="Times New Roman" w:cs="Times New Roman"/>
          <w:lang w:val="es-MX"/>
        </w:rPr>
        <w:t>fiscal que se sitúa al 3</w:t>
      </w:r>
      <w:r>
        <w:rPr>
          <w:rFonts w:ascii="Times New Roman" w:hAnsi="Times New Roman" w:cs="Times New Roman"/>
          <w:lang w:val="es-MX"/>
        </w:rPr>
        <w:t>1</w:t>
      </w:r>
      <w:r w:rsidRPr="00056D34">
        <w:rPr>
          <w:rFonts w:ascii="Times New Roman" w:hAnsi="Times New Roman" w:cs="Times New Roman"/>
          <w:lang w:val="es-MX"/>
        </w:rPr>
        <w:t xml:space="preserve"> de ju</w:t>
      </w:r>
      <w:r>
        <w:rPr>
          <w:rFonts w:ascii="Times New Roman" w:hAnsi="Times New Roman" w:cs="Times New Roman"/>
          <w:lang w:val="es-MX"/>
        </w:rPr>
        <w:t>l</w:t>
      </w:r>
      <w:r w:rsidRPr="00056D34">
        <w:rPr>
          <w:rFonts w:ascii="Times New Roman" w:hAnsi="Times New Roman" w:cs="Times New Roman"/>
          <w:lang w:val="es-MX"/>
        </w:rPr>
        <w:t>io de 2020 en Q</w:t>
      </w:r>
      <w:r>
        <w:rPr>
          <w:rFonts w:ascii="Times New Roman" w:hAnsi="Times New Roman" w:cs="Times New Roman"/>
          <w:lang w:val="es-MX"/>
        </w:rPr>
        <w:t>11</w:t>
      </w:r>
      <w:r w:rsidRPr="00056D34">
        <w:rPr>
          <w:rFonts w:ascii="Times New Roman" w:hAnsi="Times New Roman" w:cs="Times New Roman"/>
          <w:lang w:val="es-MX"/>
        </w:rPr>
        <w:t>,</w:t>
      </w:r>
      <w:r>
        <w:rPr>
          <w:rFonts w:ascii="Times New Roman" w:hAnsi="Times New Roman" w:cs="Times New Roman"/>
          <w:lang w:val="es-MX"/>
        </w:rPr>
        <w:t>134</w:t>
      </w:r>
      <w:r w:rsidRPr="00056D34">
        <w:rPr>
          <w:rFonts w:ascii="Times New Roman" w:hAnsi="Times New Roman" w:cs="Times New Roman"/>
          <w:lang w:val="es-MX"/>
        </w:rPr>
        <w:t>.</w:t>
      </w:r>
      <w:r>
        <w:rPr>
          <w:rFonts w:ascii="Times New Roman" w:hAnsi="Times New Roman" w:cs="Times New Roman"/>
          <w:lang w:val="es-MX"/>
        </w:rPr>
        <w:t>6</w:t>
      </w:r>
      <w:r w:rsidRPr="004B132E">
        <w:rPr>
          <w:rFonts w:ascii="Times New Roman" w:hAnsi="Times New Roman" w:cs="Times New Roman"/>
          <w:lang w:val="es-MX"/>
        </w:rPr>
        <w:t xml:space="preserve"> millones</w:t>
      </w:r>
      <w:r>
        <w:rPr>
          <w:rFonts w:ascii="Times New Roman" w:hAnsi="Times New Roman" w:cs="Times New Roman"/>
          <w:lang w:val="es-MX"/>
        </w:rPr>
        <w:t>, correspondiente al 1.9% del PIB</w:t>
      </w:r>
      <w:r w:rsidRPr="00D13BE4">
        <w:rPr>
          <w:rFonts w:ascii="Times New Roman" w:hAnsi="Times New Roman" w:cs="Times New Roman"/>
          <w:lang w:val="es-MX"/>
        </w:rPr>
        <w:t xml:space="preserve">. </w:t>
      </w:r>
    </w:p>
    <w:p w:rsidR="007C3AF6" w:rsidRPr="00D13BE4" w:rsidRDefault="007C3AF6" w:rsidP="007C3AF6">
      <w:pPr>
        <w:pStyle w:val="Sinespaciado"/>
        <w:ind w:left="284"/>
        <w:jc w:val="both"/>
        <w:rPr>
          <w:rFonts w:ascii="Times New Roman" w:hAnsi="Times New Roman" w:cs="Times New Roman"/>
          <w:lang w:val="es-MX"/>
        </w:rPr>
      </w:pPr>
    </w:p>
    <w:p w:rsidR="007C3AF6" w:rsidRDefault="007C3AF6" w:rsidP="007C3AF6">
      <w:pPr>
        <w:pStyle w:val="Sinespaciado"/>
        <w:ind w:left="284"/>
        <w:jc w:val="both"/>
        <w:rPr>
          <w:rFonts w:ascii="Times New Roman" w:hAnsi="Times New Roman" w:cs="Times New Roman"/>
          <w:lang w:val="es-MX"/>
        </w:rPr>
      </w:pPr>
      <w:r>
        <w:rPr>
          <w:rFonts w:ascii="Times New Roman" w:hAnsi="Times New Roman" w:cs="Times New Roman"/>
          <w:lang w:val="es-MX"/>
        </w:rPr>
        <w:t>Derivado de la dinámica entre los ingresos y los gastos, en donde la brecha de la recaudación respecto a la meta establecida en el presupuesto continúa ampliándose y el gasto público reporta el mayor crecimiento interanual del año, el déficit fiscal continuará ampliándose, hacia finales del año este podría ubicarse alrededor de 5.7% del PIB.</w:t>
      </w:r>
    </w:p>
    <w:p w:rsidR="007C3AF6" w:rsidRDefault="007C3AF6" w:rsidP="007C3AF6">
      <w:pPr>
        <w:pStyle w:val="Sinespaciado"/>
        <w:ind w:left="284"/>
        <w:jc w:val="both"/>
        <w:rPr>
          <w:rFonts w:ascii="Times New Roman" w:hAnsi="Times New Roman" w:cs="Times New Roman"/>
          <w:lang w:val="es-MX"/>
        </w:rPr>
      </w:pPr>
    </w:p>
    <w:p w:rsidR="007C3AF6" w:rsidRDefault="007C3AF6" w:rsidP="007C3AF6">
      <w:pPr>
        <w:pStyle w:val="Sinespaciado"/>
        <w:ind w:left="284"/>
        <w:jc w:val="both"/>
        <w:rPr>
          <w:rFonts w:ascii="Times New Roman" w:hAnsi="Times New Roman" w:cs="Times New Roman"/>
          <w:lang w:val="es-MX"/>
        </w:rPr>
      </w:pPr>
      <w:r w:rsidRPr="00585AA9">
        <w:rPr>
          <w:rFonts w:ascii="Times New Roman" w:hAnsi="Times New Roman" w:cs="Times New Roman"/>
          <w:lang w:val="es-MX"/>
        </w:rPr>
        <w:t>Durante el mes se tuvo un desembolso importante, compuesto por el pago del Bono 14 a los empleados públicos, el cual ascendió a Q1,362.8 millones.</w:t>
      </w:r>
      <w:r>
        <w:rPr>
          <w:rFonts w:ascii="Times New Roman" w:hAnsi="Times New Roman" w:cs="Times New Roman"/>
          <w:lang w:val="es-MX"/>
        </w:rPr>
        <w:t xml:space="preserve"> Adicionalmente, el gasto destinado a la atención de la emergencia </w:t>
      </w:r>
      <w:r>
        <w:rPr>
          <w:rFonts w:ascii="Times New Roman" w:hAnsi="Times New Roman" w:cs="Times New Roman"/>
          <w:lang w:val="es-MX"/>
        </w:rPr>
        <w:lastRenderedPageBreak/>
        <w:t xml:space="preserve">ocasionada por la enfermedad COVID-19 representa una parte importante del gasto público total, siendo del 10.1%. A pesar de que la ejecución del programa 94 y subprograma 09 </w:t>
      </w:r>
      <w:r w:rsidRPr="009A7F31">
        <w:rPr>
          <w:rFonts w:ascii="Times New Roman" w:hAnsi="Times New Roman" w:cs="Times New Roman"/>
          <w:lang w:val="es-MX"/>
        </w:rPr>
        <w:t xml:space="preserve">relacionado a las actividades que realizan las entidades para </w:t>
      </w:r>
      <w:r>
        <w:rPr>
          <w:rFonts w:ascii="Times New Roman" w:hAnsi="Times New Roman" w:cs="Times New Roman"/>
          <w:lang w:val="es-MX"/>
        </w:rPr>
        <w:t>la</w:t>
      </w:r>
      <w:r w:rsidRPr="009A7F31">
        <w:rPr>
          <w:rFonts w:ascii="Times New Roman" w:hAnsi="Times New Roman" w:cs="Times New Roman"/>
          <w:lang w:val="es-MX"/>
        </w:rPr>
        <w:t xml:space="preserve"> atención por el COVID-19</w:t>
      </w:r>
      <w:r>
        <w:rPr>
          <w:rFonts w:ascii="Times New Roman" w:hAnsi="Times New Roman" w:cs="Times New Roman"/>
          <w:lang w:val="es-MX"/>
        </w:rPr>
        <w:t xml:space="preserve"> no ha mostrado el dinamismo esperado, el gasto público mostró el mayor crecimiento interanual del presente ejercicio fiscal, siendo de dos dígitos, para finales de año se estima que dicho crecimiento se ubicaría alrededor del 18%.</w:t>
      </w:r>
    </w:p>
    <w:p w:rsidR="007C3AF6" w:rsidRDefault="007C3AF6" w:rsidP="007C3AF6">
      <w:pPr>
        <w:pStyle w:val="Sinespaciado"/>
        <w:ind w:left="284"/>
        <w:jc w:val="both"/>
        <w:rPr>
          <w:rFonts w:ascii="Times New Roman" w:hAnsi="Times New Roman" w:cs="Times New Roman"/>
          <w:lang w:val="es-MX"/>
        </w:rPr>
      </w:pPr>
    </w:p>
    <w:p w:rsidR="00B44B94" w:rsidRPr="00D91E0F" w:rsidRDefault="007C3AF6" w:rsidP="007C3AF6">
      <w:pPr>
        <w:pStyle w:val="Sinespaciado"/>
        <w:ind w:left="284"/>
        <w:jc w:val="both"/>
        <w:rPr>
          <w:rFonts w:ascii="Times New Roman" w:hAnsi="Times New Roman" w:cs="Times New Roman"/>
          <w:color w:val="FF0000"/>
          <w:lang w:val="es-MX"/>
        </w:rPr>
      </w:pPr>
      <w:r>
        <w:rPr>
          <w:rFonts w:ascii="Times New Roman" w:hAnsi="Times New Roman" w:cs="Times New Roman"/>
          <w:lang w:val="es-MX"/>
        </w:rPr>
        <w:t>El mes de julio reporto una ejecución de Q8,400.4 millones, lo cual representa un crecimiento absoluto de Q1,139.8 millones, respecto a lo observado en el mismo mes del año previo.</w:t>
      </w:r>
    </w:p>
    <w:p w:rsidR="006E737B" w:rsidRPr="00D91E0F" w:rsidRDefault="006E737B" w:rsidP="007A1B15">
      <w:pPr>
        <w:pStyle w:val="Sinespaciado"/>
        <w:rPr>
          <w:rFonts w:ascii="Times New Roman" w:hAnsi="Times New Roman" w:cs="Times New Roman"/>
          <w:b/>
          <w:color w:val="FF0000"/>
          <w:sz w:val="24"/>
          <w:lang w:val="es-MX"/>
        </w:rPr>
        <w:sectPr w:rsidR="006E737B" w:rsidRPr="00D91E0F" w:rsidSect="006E737B">
          <w:type w:val="continuous"/>
          <w:pgSz w:w="12240" w:h="15840" w:code="1"/>
          <w:pgMar w:top="1418" w:right="1418" w:bottom="1418" w:left="1418" w:header="709" w:footer="709" w:gutter="0"/>
          <w:cols w:num="2" w:space="708"/>
          <w:docGrid w:linePitch="360"/>
        </w:sectPr>
      </w:pPr>
    </w:p>
    <w:p w:rsidR="00634664" w:rsidRPr="007C3AF6" w:rsidRDefault="00634664" w:rsidP="007A1B15">
      <w:pPr>
        <w:pStyle w:val="Sinespaciado"/>
        <w:rPr>
          <w:rFonts w:ascii="Times New Roman" w:hAnsi="Times New Roman" w:cs="Times New Roman"/>
          <w:b/>
          <w:sz w:val="24"/>
          <w:lang w:val="es-MX"/>
        </w:rPr>
      </w:pPr>
    </w:p>
    <w:p w:rsidR="006F5EA0" w:rsidRPr="007C3AF6" w:rsidRDefault="00950874" w:rsidP="006F5EA0">
      <w:pPr>
        <w:pStyle w:val="Sinespaciado"/>
        <w:jc w:val="center"/>
        <w:rPr>
          <w:rFonts w:ascii="Times New Roman" w:hAnsi="Times New Roman" w:cs="Times New Roman"/>
          <w:b/>
          <w:sz w:val="24"/>
          <w:lang w:val="es-MX"/>
        </w:rPr>
      </w:pPr>
      <w:r w:rsidRPr="007C3AF6">
        <w:rPr>
          <w:rFonts w:ascii="Times New Roman" w:hAnsi="Times New Roman" w:cs="Times New Roman"/>
          <w:b/>
          <w:sz w:val="24"/>
          <w:lang w:val="es-MX"/>
        </w:rPr>
        <w:t>Resultado Presupuestario</w:t>
      </w:r>
    </w:p>
    <w:p w:rsidR="00950874" w:rsidRPr="007C3AF6" w:rsidRDefault="006F5EA0" w:rsidP="006F5EA0">
      <w:pPr>
        <w:pStyle w:val="Sinespaciado"/>
        <w:jc w:val="center"/>
        <w:rPr>
          <w:rFonts w:ascii="Times New Roman" w:hAnsi="Times New Roman" w:cs="Times New Roman"/>
          <w:sz w:val="18"/>
          <w:lang w:val="es-MX"/>
        </w:rPr>
      </w:pPr>
      <w:r w:rsidRPr="007C3AF6">
        <w:rPr>
          <w:rFonts w:ascii="Times New Roman" w:hAnsi="Times New Roman" w:cs="Times New Roman"/>
          <w:sz w:val="20"/>
          <w:lang w:val="es-MX"/>
        </w:rPr>
        <w:t xml:space="preserve">       </w:t>
      </w:r>
      <w:r w:rsidR="006E737B" w:rsidRPr="007C3AF6">
        <w:rPr>
          <w:rFonts w:ascii="Times New Roman" w:hAnsi="Times New Roman" w:cs="Times New Roman"/>
          <w:sz w:val="20"/>
          <w:lang w:val="es-MX"/>
        </w:rPr>
        <w:t>Al 31</w:t>
      </w:r>
      <w:r w:rsidRPr="007C3AF6">
        <w:rPr>
          <w:rFonts w:ascii="Times New Roman" w:hAnsi="Times New Roman" w:cs="Times New Roman"/>
          <w:sz w:val="20"/>
          <w:lang w:val="es-MX"/>
        </w:rPr>
        <w:t xml:space="preserve"> de </w:t>
      </w:r>
      <w:r w:rsidR="006E737B" w:rsidRPr="007C3AF6">
        <w:rPr>
          <w:rFonts w:ascii="Times New Roman" w:hAnsi="Times New Roman" w:cs="Times New Roman"/>
          <w:sz w:val="20"/>
          <w:lang w:val="es-MX"/>
        </w:rPr>
        <w:t>jul</w:t>
      </w:r>
      <w:r w:rsidR="00B44B94" w:rsidRPr="007C3AF6">
        <w:rPr>
          <w:rFonts w:ascii="Times New Roman" w:hAnsi="Times New Roman" w:cs="Times New Roman"/>
          <w:sz w:val="20"/>
          <w:lang w:val="es-MX"/>
        </w:rPr>
        <w:t>io</w:t>
      </w:r>
      <w:r w:rsidRPr="007C3AF6">
        <w:rPr>
          <w:rFonts w:ascii="Times New Roman" w:hAnsi="Times New Roman" w:cs="Times New Roman"/>
          <w:sz w:val="20"/>
          <w:lang w:val="es-MX"/>
        </w:rPr>
        <w:t xml:space="preserve"> de cada año</w:t>
      </w:r>
      <w:r w:rsidR="00F27024" w:rsidRPr="007C3AF6">
        <w:rPr>
          <w:rFonts w:ascii="Times New Roman" w:hAnsi="Times New Roman" w:cs="Times New Roman"/>
          <w:b/>
          <w:lang w:val="es-MX"/>
        </w:rPr>
        <w:tab/>
      </w:r>
    </w:p>
    <w:p w:rsidR="00E06484" w:rsidRPr="007C3AF6" w:rsidRDefault="00950874" w:rsidP="00E06484">
      <w:pPr>
        <w:pStyle w:val="Sinespaciado"/>
        <w:jc w:val="center"/>
        <w:rPr>
          <w:rFonts w:ascii="Times New Roman" w:hAnsi="Times New Roman" w:cs="Times New Roman"/>
          <w:sz w:val="18"/>
          <w:lang w:val="es-MX"/>
        </w:rPr>
      </w:pPr>
      <w:r w:rsidRPr="007C3AF6">
        <w:rPr>
          <w:rFonts w:ascii="Times New Roman" w:hAnsi="Times New Roman" w:cs="Times New Roman"/>
          <w:sz w:val="18"/>
          <w:lang w:val="es-MX"/>
        </w:rPr>
        <w:t>Millones de quetzales</w:t>
      </w:r>
    </w:p>
    <w:p w:rsidR="005C4C97" w:rsidRPr="007C3AF6" w:rsidRDefault="007C3AF6" w:rsidP="005F470C">
      <w:pPr>
        <w:pStyle w:val="Sinespaciado"/>
        <w:jc w:val="center"/>
        <w:rPr>
          <w:noProof/>
          <w:lang w:eastAsia="es-GT"/>
        </w:rPr>
      </w:pPr>
      <w:r w:rsidRPr="007C3AF6">
        <w:rPr>
          <w:noProof/>
          <w:lang w:eastAsia="es-GT"/>
        </w:rPr>
        <w:drawing>
          <wp:inline distT="0" distB="0" distL="0" distR="0" wp14:anchorId="613DB37A" wp14:editId="171B3DFE">
            <wp:extent cx="5591810" cy="2786332"/>
            <wp:effectExtent l="0" t="0" r="8890" b="0"/>
            <wp:docPr id="28" name="Chart 28">
              <a:extLst xmlns:a="http://schemas.openxmlformats.org/drawingml/2006/main">
                <a:ext uri="{FF2B5EF4-FFF2-40B4-BE49-F238E27FC236}">
                  <a16:creationId xmlns:a16="http://schemas.microsoft.com/office/drawing/2014/main" id="{00000000-0008-0000-0D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C4C97" w:rsidRPr="007C3AF6" w:rsidRDefault="007F443F" w:rsidP="006E737B">
      <w:pPr>
        <w:pStyle w:val="Sinespaciado"/>
        <w:ind w:left="708"/>
        <w:jc w:val="both"/>
        <w:rPr>
          <w:rFonts w:ascii="Times New Roman" w:hAnsi="Times New Roman" w:cs="Times New Roman"/>
          <w:sz w:val="16"/>
        </w:rPr>
      </w:pPr>
      <w:r w:rsidRPr="007C3AF6">
        <w:rPr>
          <w:rFonts w:ascii="Times New Roman" w:hAnsi="Times New Roman" w:cs="Times New Roman"/>
          <w:sz w:val="16"/>
        </w:rPr>
        <w:t xml:space="preserve">          </w:t>
      </w:r>
      <w:r w:rsidR="00157C3A" w:rsidRPr="007C3AF6">
        <w:rPr>
          <w:rFonts w:ascii="Times New Roman" w:hAnsi="Times New Roman" w:cs="Times New Roman"/>
          <w:sz w:val="16"/>
        </w:rPr>
        <w:t>F</w:t>
      </w:r>
      <w:r w:rsidR="007D4651" w:rsidRPr="007C3AF6">
        <w:rPr>
          <w:rFonts w:ascii="Times New Roman" w:hAnsi="Times New Roman" w:cs="Times New Roman"/>
          <w:sz w:val="16"/>
        </w:rPr>
        <w:t>uente: Dirección de Análisis y Política fiscal</w:t>
      </w:r>
    </w:p>
    <w:p w:rsidR="001375B9" w:rsidRDefault="001375B9" w:rsidP="007D4651">
      <w:pPr>
        <w:spacing w:after="0" w:line="240" w:lineRule="auto"/>
        <w:rPr>
          <w:rFonts w:ascii="Times New Roman" w:hAnsi="Times New Roman" w:cs="Times New Roman"/>
          <w:color w:val="FF0000"/>
          <w:sz w:val="8"/>
          <w:lang w:val="es-MX"/>
        </w:rPr>
      </w:pPr>
    </w:p>
    <w:p w:rsidR="007C3AF6" w:rsidRDefault="007C3AF6" w:rsidP="007D4651">
      <w:pPr>
        <w:spacing w:after="0" w:line="240" w:lineRule="auto"/>
        <w:rPr>
          <w:rFonts w:ascii="Times New Roman" w:hAnsi="Times New Roman" w:cs="Times New Roman"/>
          <w:color w:val="FF0000"/>
          <w:sz w:val="8"/>
          <w:lang w:val="es-MX"/>
        </w:rPr>
      </w:pPr>
    </w:p>
    <w:p w:rsidR="007C3AF6" w:rsidRDefault="007C3AF6" w:rsidP="007D4651">
      <w:pPr>
        <w:spacing w:after="0" w:line="240" w:lineRule="auto"/>
        <w:rPr>
          <w:rFonts w:ascii="Times New Roman" w:hAnsi="Times New Roman" w:cs="Times New Roman"/>
          <w:color w:val="FF0000"/>
          <w:sz w:val="8"/>
          <w:lang w:val="es-MX"/>
        </w:rPr>
      </w:pPr>
    </w:p>
    <w:p w:rsidR="007C3AF6" w:rsidRDefault="007C3AF6" w:rsidP="007D4651">
      <w:pPr>
        <w:spacing w:after="0" w:line="240" w:lineRule="auto"/>
        <w:rPr>
          <w:rFonts w:ascii="Times New Roman" w:hAnsi="Times New Roman" w:cs="Times New Roman"/>
          <w:color w:val="FF0000"/>
          <w:sz w:val="8"/>
          <w:lang w:val="es-MX"/>
        </w:rPr>
      </w:pPr>
    </w:p>
    <w:p w:rsidR="007C3AF6" w:rsidRDefault="007C3AF6" w:rsidP="007D4651">
      <w:pPr>
        <w:spacing w:after="0" w:line="240" w:lineRule="auto"/>
        <w:rPr>
          <w:rFonts w:ascii="Times New Roman" w:hAnsi="Times New Roman" w:cs="Times New Roman"/>
          <w:color w:val="FF0000"/>
          <w:sz w:val="8"/>
          <w:lang w:val="es-MX"/>
        </w:rPr>
      </w:pPr>
    </w:p>
    <w:p w:rsidR="007C3AF6" w:rsidRDefault="007C3AF6" w:rsidP="007D4651">
      <w:pPr>
        <w:spacing w:after="0" w:line="240" w:lineRule="auto"/>
        <w:rPr>
          <w:rFonts w:ascii="Times New Roman" w:hAnsi="Times New Roman" w:cs="Times New Roman"/>
          <w:color w:val="FF0000"/>
          <w:sz w:val="8"/>
          <w:lang w:val="es-MX"/>
        </w:rPr>
      </w:pPr>
    </w:p>
    <w:p w:rsidR="007C3AF6" w:rsidRDefault="007C3AF6" w:rsidP="007D4651">
      <w:pPr>
        <w:spacing w:after="0" w:line="240" w:lineRule="auto"/>
        <w:rPr>
          <w:rFonts w:ascii="Times New Roman" w:hAnsi="Times New Roman" w:cs="Times New Roman"/>
          <w:color w:val="FF0000"/>
          <w:sz w:val="8"/>
          <w:lang w:val="es-MX"/>
        </w:rPr>
      </w:pPr>
    </w:p>
    <w:p w:rsidR="007C3AF6" w:rsidRPr="00D91E0F" w:rsidRDefault="007C3AF6" w:rsidP="007D4651">
      <w:pPr>
        <w:spacing w:after="0" w:line="240" w:lineRule="auto"/>
        <w:rPr>
          <w:rFonts w:ascii="Times New Roman" w:hAnsi="Times New Roman" w:cs="Times New Roman"/>
          <w:color w:val="FF0000"/>
          <w:sz w:val="8"/>
          <w:lang w:val="es-MX"/>
        </w:rPr>
        <w:sectPr w:rsidR="007C3AF6" w:rsidRPr="00D91E0F" w:rsidSect="007D4651">
          <w:type w:val="continuous"/>
          <w:pgSz w:w="12240" w:h="15840" w:code="1"/>
          <w:pgMar w:top="1418" w:right="1418" w:bottom="1418" w:left="1418" w:header="709" w:footer="709" w:gutter="0"/>
          <w:cols w:space="708"/>
          <w:docGrid w:linePitch="360"/>
        </w:sectPr>
      </w:pPr>
    </w:p>
    <w:p w:rsidR="00E16925" w:rsidRPr="00110E5F" w:rsidRDefault="00E62867" w:rsidP="0085741B">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E16925" w:rsidRPr="00110E5F" w:rsidSect="00E16925">
          <w:headerReference w:type="default" r:id="rId11"/>
          <w:footerReference w:type="default" r:id="rId12"/>
          <w:type w:val="continuous"/>
          <w:pgSz w:w="12240" w:h="15840" w:code="1"/>
          <w:pgMar w:top="1418" w:right="1418" w:bottom="1418" w:left="1418" w:header="709" w:footer="709" w:gutter="0"/>
          <w:cols w:space="708"/>
          <w:docGrid w:linePitch="360"/>
        </w:sectPr>
      </w:pPr>
      <w:r w:rsidRPr="00110E5F">
        <w:rPr>
          <w:rFonts w:ascii="Times New Roman" w:hAnsi="Times New Roman" w:cs="Times New Roman"/>
          <w:b/>
          <w:lang w:val="es-MX"/>
        </w:rPr>
        <w:lastRenderedPageBreak/>
        <w:t>En jul</w:t>
      </w:r>
      <w:r w:rsidR="007C66BE" w:rsidRPr="00110E5F">
        <w:rPr>
          <w:rFonts w:ascii="Times New Roman" w:hAnsi="Times New Roman" w:cs="Times New Roman"/>
          <w:b/>
          <w:lang w:val="es-MX"/>
        </w:rPr>
        <w:t xml:space="preserve">io se </w:t>
      </w:r>
      <w:r w:rsidRPr="00110E5F">
        <w:rPr>
          <w:rFonts w:ascii="Times New Roman" w:hAnsi="Times New Roman" w:cs="Times New Roman"/>
          <w:b/>
          <w:lang w:val="es-MX"/>
        </w:rPr>
        <w:t>recauda menos que en 2019</w:t>
      </w:r>
    </w:p>
    <w:p w:rsidR="00E16925" w:rsidRPr="00D91E0F" w:rsidRDefault="00E16925" w:rsidP="00E16925">
      <w:pPr>
        <w:pStyle w:val="Sinespaciado"/>
        <w:rPr>
          <w:rFonts w:ascii="Times New Roman" w:hAnsi="Times New Roman" w:cs="Times New Roman"/>
          <w:b/>
          <w:color w:val="FF0000"/>
          <w:sz w:val="8"/>
          <w:lang w:val="es-MX"/>
        </w:rPr>
      </w:pPr>
    </w:p>
    <w:p w:rsidR="00E16925" w:rsidRPr="00D91E0F" w:rsidRDefault="00E16925" w:rsidP="00E16925">
      <w:pPr>
        <w:pStyle w:val="Sinespaciado"/>
        <w:jc w:val="center"/>
        <w:rPr>
          <w:rFonts w:ascii="Times New Roman" w:hAnsi="Times New Roman" w:cs="Times New Roman"/>
          <w:b/>
          <w:color w:val="FF0000"/>
          <w:sz w:val="14"/>
          <w:lang w:val="es-MX"/>
        </w:rPr>
      </w:pPr>
    </w:p>
    <w:p w:rsidR="00343A5D" w:rsidRPr="00D91E0F" w:rsidRDefault="00343A5D" w:rsidP="00F25E21">
      <w:pPr>
        <w:pStyle w:val="Sinespaciado"/>
        <w:rPr>
          <w:rFonts w:ascii="Times New Roman" w:hAnsi="Times New Roman" w:cs="Times New Roman"/>
          <w:b/>
          <w:color w:val="FF0000"/>
          <w:sz w:val="20"/>
          <w:lang w:val="es-MX"/>
        </w:rPr>
        <w:sectPr w:rsidR="00343A5D" w:rsidRPr="00D91E0F" w:rsidSect="004E358C">
          <w:type w:val="continuous"/>
          <w:pgSz w:w="12240" w:h="15840"/>
          <w:pgMar w:top="1417" w:right="1701" w:bottom="1417" w:left="1701" w:header="708" w:footer="708" w:gutter="0"/>
          <w:cols w:space="708"/>
          <w:docGrid w:linePitch="360"/>
        </w:sectPr>
      </w:pPr>
    </w:p>
    <w:p w:rsidR="00110E5F" w:rsidRDefault="00110E5F" w:rsidP="00110E5F">
      <w:pPr>
        <w:spacing w:after="0" w:line="240" w:lineRule="auto"/>
        <w:jc w:val="both"/>
        <w:rPr>
          <w:rFonts w:ascii="Times New Roman" w:hAnsi="Times New Roman" w:cs="Times New Roman"/>
          <w:lang w:val="es-US"/>
        </w:rPr>
      </w:pPr>
      <w:r w:rsidRPr="000453E0">
        <w:rPr>
          <w:rFonts w:ascii="Times New Roman" w:hAnsi="Times New Roman" w:cs="Times New Roman"/>
          <w:lang w:val="es-US"/>
        </w:rPr>
        <w:lastRenderedPageBreak/>
        <w:t xml:space="preserve">Cifras </w:t>
      </w:r>
      <w:r>
        <w:rPr>
          <w:rFonts w:ascii="Times New Roman" w:hAnsi="Times New Roman" w:cs="Times New Roman"/>
          <w:lang w:val="es-US"/>
        </w:rPr>
        <w:t>preliminares acumuladas a julio generaron una brecha negativa de Q3,959.8 millones respecto a la meta de presupuesto, impuestos que contribuyeron en la ampliación de esta brecha son ISR, ISO, IVA total, Circulación de Vehículos, IPRIMA, tabacos y los impuestos no administrados por SAT.</w:t>
      </w:r>
    </w:p>
    <w:p w:rsidR="00110E5F" w:rsidRDefault="00110E5F" w:rsidP="00110E5F">
      <w:pPr>
        <w:spacing w:after="0" w:line="240" w:lineRule="auto"/>
        <w:jc w:val="both"/>
        <w:rPr>
          <w:rFonts w:ascii="Times New Roman" w:hAnsi="Times New Roman" w:cs="Times New Roman"/>
          <w:lang w:val="es-US"/>
        </w:rPr>
      </w:pPr>
    </w:p>
    <w:p w:rsidR="00110E5F" w:rsidRPr="00110E5F" w:rsidRDefault="00110E5F" w:rsidP="00110E5F">
      <w:pPr>
        <w:spacing w:after="0" w:line="240" w:lineRule="auto"/>
        <w:jc w:val="both"/>
        <w:rPr>
          <w:rFonts w:ascii="Times New Roman" w:hAnsi="Times New Roman" w:cs="Times New Roman"/>
          <w:lang w:val="es-US"/>
        </w:rPr>
      </w:pPr>
      <w:r>
        <w:rPr>
          <w:rFonts w:ascii="Times New Roman" w:hAnsi="Times New Roman" w:cs="Times New Roman"/>
          <w:lang w:val="es-US"/>
        </w:rPr>
        <w:t xml:space="preserve">Con relación a 2019 se tiene una brecha negativa de Q2,480.2 millones, los únicos impuestos que sobrepasaron lo recaudado en 2019 son el ISO </w:t>
      </w:r>
      <w:r w:rsidRPr="00110E5F">
        <w:rPr>
          <w:rFonts w:ascii="Times New Roman" w:hAnsi="Times New Roman" w:cs="Times New Roman"/>
          <w:lang w:val="es-US"/>
        </w:rPr>
        <w:t>y el impuesto al saco de cemento el resto de los impuestos continúan en la senda negativa.</w:t>
      </w:r>
    </w:p>
    <w:p w:rsidR="00110E5F" w:rsidRPr="00110E5F" w:rsidRDefault="00110E5F" w:rsidP="00110E5F">
      <w:pPr>
        <w:spacing w:after="0" w:line="240" w:lineRule="auto"/>
        <w:jc w:val="both"/>
        <w:rPr>
          <w:rFonts w:ascii="Times New Roman" w:hAnsi="Times New Roman" w:cs="Times New Roman"/>
          <w:lang w:val="es-US"/>
        </w:rPr>
      </w:pPr>
    </w:p>
    <w:p w:rsidR="00E62867" w:rsidRPr="00110E5F" w:rsidRDefault="00110E5F" w:rsidP="00110E5F">
      <w:pPr>
        <w:spacing w:after="0" w:line="240" w:lineRule="auto"/>
        <w:jc w:val="both"/>
        <w:rPr>
          <w:rFonts w:ascii="Times New Roman" w:hAnsi="Times New Roman" w:cs="Times New Roman"/>
          <w:lang w:val="es-US"/>
        </w:rPr>
      </w:pPr>
      <w:r w:rsidRPr="00110E5F">
        <w:rPr>
          <w:rFonts w:ascii="Times New Roman" w:hAnsi="Times New Roman" w:cs="Times New Roman"/>
          <w:lang w:val="es-US"/>
        </w:rPr>
        <w:t>La brecha mensual de Julio respecto a presupuesto es de Q1,255.4 millones, en la liquidación del ISR trimestral se dejó de percibir Q118.8 millones, el ISO trimestral de igual manera dejo de percibir Q71.8 millones que se espera ingresen en septiembre y el IVA total que también dejo de percibir Q567.9 millones.</w:t>
      </w:r>
    </w:p>
    <w:p w:rsidR="007C66BE" w:rsidRPr="00110E5F" w:rsidRDefault="007C66BE" w:rsidP="007C66BE">
      <w:pPr>
        <w:spacing w:after="0" w:line="240" w:lineRule="auto"/>
        <w:jc w:val="both"/>
        <w:rPr>
          <w:rFonts w:ascii="Times New Roman" w:hAnsi="Times New Roman" w:cs="Times New Roman"/>
        </w:rPr>
      </w:pPr>
      <w:r w:rsidRPr="00110E5F">
        <w:rPr>
          <w:rFonts w:ascii="Times New Roman" w:hAnsi="Times New Roman" w:cs="Times New Roman"/>
        </w:rPr>
        <w:t xml:space="preserve"> </w:t>
      </w:r>
    </w:p>
    <w:p w:rsidR="00E62867" w:rsidRPr="00005E80" w:rsidRDefault="00E62867" w:rsidP="00E62867">
      <w:pPr>
        <w:spacing w:after="0" w:line="240" w:lineRule="auto"/>
        <w:jc w:val="center"/>
        <w:rPr>
          <w:rFonts w:ascii="Times New Roman" w:eastAsiaTheme="minorEastAsia" w:hAnsi="Times New Roman" w:cs="Times New Roman"/>
          <w:b/>
          <w:sz w:val="24"/>
          <w:szCs w:val="24"/>
          <w:lang w:val="es-MX" w:eastAsia="es-ES"/>
        </w:rPr>
      </w:pPr>
      <w:r w:rsidRPr="00005E80">
        <w:rPr>
          <w:rFonts w:ascii="Times New Roman" w:eastAsiaTheme="minorEastAsia" w:hAnsi="Times New Roman" w:cs="Times New Roman"/>
          <w:b/>
          <w:sz w:val="24"/>
          <w:szCs w:val="24"/>
          <w:lang w:val="es-MX" w:eastAsia="es-ES"/>
        </w:rPr>
        <w:t>Brecha mensual de recaudación tributaria respecto a presupuesto</w:t>
      </w:r>
    </w:p>
    <w:p w:rsidR="00E62867" w:rsidRPr="00110E5F" w:rsidRDefault="00E62867" w:rsidP="00E62867">
      <w:pPr>
        <w:spacing w:after="0" w:line="240" w:lineRule="auto"/>
        <w:jc w:val="center"/>
        <w:rPr>
          <w:rFonts w:ascii="Times New Roman" w:eastAsiaTheme="minorEastAsia" w:hAnsi="Times New Roman" w:cs="Times New Roman"/>
          <w:sz w:val="20"/>
          <w:szCs w:val="24"/>
          <w:lang w:val="es-MX" w:eastAsia="es-ES"/>
        </w:rPr>
      </w:pPr>
      <w:r w:rsidRPr="00110E5F">
        <w:rPr>
          <w:rFonts w:ascii="Times New Roman" w:eastAsiaTheme="minorEastAsia" w:hAnsi="Times New Roman" w:cs="Times New Roman"/>
          <w:sz w:val="20"/>
          <w:szCs w:val="24"/>
          <w:lang w:val="es-MX" w:eastAsia="es-ES"/>
        </w:rPr>
        <w:t>En millones de quetzales</w:t>
      </w:r>
    </w:p>
    <w:p w:rsidR="00E62867" w:rsidRPr="00110E5F" w:rsidRDefault="00110E5F" w:rsidP="00E62867">
      <w:pPr>
        <w:spacing w:after="0" w:line="240" w:lineRule="auto"/>
        <w:jc w:val="both"/>
        <w:rPr>
          <w:rFonts w:ascii="Times New Roman" w:hAnsi="Times New Roman" w:cs="Times New Roman"/>
          <w:lang w:val="es-US"/>
        </w:rPr>
      </w:pPr>
      <w:r w:rsidRPr="00110E5F">
        <w:rPr>
          <w:rFonts w:ascii="Times New Roman" w:hAnsi="Times New Roman" w:cs="Times New Roman"/>
          <w:noProof/>
          <w:lang w:eastAsia="es-GT"/>
        </w:rPr>
        <w:drawing>
          <wp:inline distT="0" distB="0" distL="0" distR="0" wp14:anchorId="42B31039" wp14:editId="6A823CDC">
            <wp:extent cx="2656840" cy="1897812"/>
            <wp:effectExtent l="0" t="0" r="0" b="7620"/>
            <wp:docPr id="232" name="Gráfico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C66BE" w:rsidRPr="00005E80" w:rsidRDefault="00E62867" w:rsidP="00E62867">
      <w:pPr>
        <w:jc w:val="both"/>
        <w:rPr>
          <w:rFonts w:ascii="Times New Roman" w:hAnsi="Times New Roman" w:cs="Times New Roman"/>
          <w:sz w:val="16"/>
          <w:lang w:val="es-MX"/>
        </w:rPr>
      </w:pPr>
      <w:r w:rsidRPr="00005E80">
        <w:rPr>
          <w:rFonts w:ascii="Times New Roman" w:hAnsi="Times New Roman" w:cs="Times New Roman"/>
          <w:sz w:val="16"/>
          <w:lang w:val="es-MX"/>
        </w:rPr>
        <w:t>Fuente: Dirección de Análisis y Política Fiscal</w:t>
      </w:r>
    </w:p>
    <w:p w:rsidR="002D15D0" w:rsidRPr="00110E5F" w:rsidRDefault="002D15D0" w:rsidP="00005E80">
      <w:pPr>
        <w:spacing w:after="0" w:line="240" w:lineRule="auto"/>
        <w:jc w:val="both"/>
        <w:rPr>
          <w:rFonts w:ascii="Times New Roman" w:hAnsi="Times New Roman" w:cs="Times New Roman"/>
          <w:lang w:val="es-US"/>
        </w:rPr>
      </w:pPr>
      <w:r w:rsidRPr="00110E5F">
        <w:rPr>
          <w:rFonts w:ascii="Times New Roman" w:hAnsi="Times New Roman" w:cs="Times New Roman"/>
          <w:lang w:val="es-US"/>
        </w:rPr>
        <w:t xml:space="preserve">Aspectos importantes por rescatar en la recaudación tributaria mensual son la </w:t>
      </w:r>
      <w:r w:rsidRPr="00110E5F">
        <w:rPr>
          <w:rFonts w:ascii="Times New Roman" w:hAnsi="Times New Roman" w:cs="Times New Roman"/>
          <w:lang w:val="es-US"/>
        </w:rPr>
        <w:lastRenderedPageBreak/>
        <w:t>liquidación del pago trimestral de ISO y el pago mensual del impuesto de circulación de vehículos que a pesar de que se podía posponer el pago para los meses de septiembre y octubre de conformidad a los Decretos 12-2020 y 24-2020, en conjunto recaudaron Q1,268.5 millones.</w:t>
      </w:r>
    </w:p>
    <w:p w:rsidR="002D15D0" w:rsidRDefault="002D15D0" w:rsidP="00110E5F">
      <w:pPr>
        <w:spacing w:after="0" w:line="240" w:lineRule="auto"/>
        <w:jc w:val="both"/>
        <w:rPr>
          <w:rFonts w:ascii="Times New Roman" w:hAnsi="Times New Roman" w:cs="Times New Roman"/>
          <w:lang w:val="es-US"/>
        </w:rPr>
      </w:pPr>
    </w:p>
    <w:p w:rsidR="00110E5F" w:rsidRPr="00110E5F" w:rsidRDefault="00110E5F" w:rsidP="00110E5F">
      <w:pPr>
        <w:spacing w:after="0" w:line="240" w:lineRule="auto"/>
        <w:jc w:val="both"/>
        <w:rPr>
          <w:rFonts w:ascii="Times New Roman" w:hAnsi="Times New Roman" w:cs="Times New Roman"/>
          <w:lang w:val="es-US"/>
        </w:rPr>
      </w:pPr>
      <w:r w:rsidRPr="00110E5F">
        <w:rPr>
          <w:rFonts w:ascii="Times New Roman" w:hAnsi="Times New Roman" w:cs="Times New Roman"/>
          <w:lang w:val="es-US"/>
        </w:rPr>
        <w:t>La recaudación del impuesto de circulación de vehículos genero una brecha negativa de Q298 millones respecto a la meta de presupuesto, la cual se espera se recupere en el mes de octubre de conformidad a lo establecido en el Decreto 24-2020. Con relación al año anterior se generó una brecha negativa de Q290.6 millones.</w:t>
      </w:r>
    </w:p>
    <w:p w:rsidR="00110E5F" w:rsidRPr="00110E5F" w:rsidRDefault="00110E5F" w:rsidP="00110E5F">
      <w:pPr>
        <w:spacing w:after="0" w:line="240" w:lineRule="auto"/>
        <w:jc w:val="both"/>
        <w:rPr>
          <w:rFonts w:ascii="Times New Roman" w:hAnsi="Times New Roman" w:cs="Times New Roman"/>
          <w:lang w:val="es-US"/>
        </w:rPr>
      </w:pPr>
    </w:p>
    <w:p w:rsidR="007C66BE" w:rsidRPr="00110E5F" w:rsidRDefault="00110E5F" w:rsidP="00110E5F">
      <w:pPr>
        <w:spacing w:after="0" w:line="240" w:lineRule="auto"/>
        <w:jc w:val="both"/>
        <w:rPr>
          <w:rFonts w:ascii="Times New Roman" w:hAnsi="Times New Roman" w:cs="Times New Roman"/>
          <w:lang w:val="es-US"/>
        </w:rPr>
      </w:pPr>
      <w:r w:rsidRPr="00110E5F">
        <w:rPr>
          <w:rFonts w:ascii="Times New Roman" w:hAnsi="Times New Roman" w:cs="Times New Roman"/>
          <w:lang w:val="es-US"/>
        </w:rPr>
        <w:t>La recaudación tributaria asociada al comercio exterior tiene una caída de 12.5% respecto a lo observado en 2019, los impuestos internos también caen en 4.5% respecto a lo observado en 2019.</w:t>
      </w:r>
    </w:p>
    <w:p w:rsidR="00E62867" w:rsidRPr="00110E5F" w:rsidRDefault="00E62867" w:rsidP="00E62867">
      <w:pPr>
        <w:spacing w:after="0" w:line="240" w:lineRule="auto"/>
        <w:jc w:val="both"/>
        <w:rPr>
          <w:rFonts w:ascii="Times New Roman" w:hAnsi="Times New Roman" w:cs="Times New Roman"/>
          <w:lang w:val="es-US"/>
        </w:rPr>
      </w:pPr>
    </w:p>
    <w:p w:rsidR="00E62867" w:rsidRPr="00005E80" w:rsidRDefault="00E62867" w:rsidP="00E62867">
      <w:pPr>
        <w:spacing w:after="0" w:line="240" w:lineRule="auto"/>
        <w:jc w:val="center"/>
        <w:rPr>
          <w:rFonts w:ascii="Times New Roman" w:eastAsiaTheme="minorEastAsia" w:hAnsi="Times New Roman" w:cs="Times New Roman"/>
          <w:b/>
          <w:sz w:val="24"/>
          <w:lang w:val="es-MX" w:eastAsia="es-ES"/>
        </w:rPr>
      </w:pPr>
      <w:r w:rsidRPr="00005E80">
        <w:rPr>
          <w:rFonts w:ascii="Times New Roman" w:eastAsiaTheme="minorEastAsia" w:hAnsi="Times New Roman" w:cs="Times New Roman"/>
          <w:b/>
          <w:sz w:val="24"/>
          <w:lang w:val="es-MX" w:eastAsia="es-ES"/>
        </w:rPr>
        <w:t>Variación interanual de recaudación tributaria acumulada a julio</w:t>
      </w:r>
    </w:p>
    <w:p w:rsidR="00E62867" w:rsidRPr="00110E5F" w:rsidRDefault="00E62867" w:rsidP="00E62867">
      <w:pPr>
        <w:spacing w:after="0" w:line="240" w:lineRule="auto"/>
        <w:jc w:val="center"/>
        <w:rPr>
          <w:rFonts w:ascii="Times New Roman" w:eastAsiaTheme="minorEastAsia" w:hAnsi="Times New Roman" w:cs="Times New Roman"/>
          <w:sz w:val="20"/>
          <w:szCs w:val="24"/>
          <w:lang w:val="es-MX" w:eastAsia="es-ES"/>
        </w:rPr>
      </w:pPr>
      <w:r w:rsidRPr="00110E5F">
        <w:rPr>
          <w:rFonts w:ascii="Times New Roman" w:eastAsiaTheme="minorEastAsia" w:hAnsi="Times New Roman" w:cs="Times New Roman"/>
          <w:sz w:val="20"/>
          <w:szCs w:val="24"/>
          <w:lang w:val="es-MX" w:eastAsia="es-ES"/>
        </w:rPr>
        <w:t>en Porcentaje</w:t>
      </w:r>
    </w:p>
    <w:p w:rsidR="00E62867" w:rsidRPr="00110E5F" w:rsidRDefault="00110E5F" w:rsidP="00E62867">
      <w:pPr>
        <w:spacing w:after="0" w:line="240" w:lineRule="auto"/>
        <w:jc w:val="both"/>
        <w:rPr>
          <w:rFonts w:ascii="Times New Roman" w:hAnsi="Times New Roman" w:cs="Times New Roman"/>
          <w:lang w:val="es-US"/>
        </w:rPr>
      </w:pPr>
      <w:r w:rsidRPr="00110E5F">
        <w:rPr>
          <w:rFonts w:ascii="Times New Roman" w:hAnsi="Times New Roman" w:cs="Times New Roman"/>
          <w:noProof/>
          <w:lang w:eastAsia="es-GT"/>
        </w:rPr>
        <w:drawing>
          <wp:inline distT="0" distB="0" distL="0" distR="0" wp14:anchorId="2165C22E" wp14:editId="57D714A8">
            <wp:extent cx="2751455" cy="2260121"/>
            <wp:effectExtent l="0" t="0" r="0" b="6985"/>
            <wp:docPr id="237" name="Gráfico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62867" w:rsidRPr="00005E80" w:rsidRDefault="00E62867" w:rsidP="00E62867">
      <w:pPr>
        <w:spacing w:after="0"/>
        <w:jc w:val="both"/>
        <w:rPr>
          <w:rFonts w:ascii="Times New Roman" w:hAnsi="Times New Roman" w:cs="Times New Roman"/>
          <w:sz w:val="16"/>
          <w:lang w:val="es-MX"/>
        </w:rPr>
      </w:pPr>
      <w:r w:rsidRPr="00005E80">
        <w:rPr>
          <w:rFonts w:ascii="Times New Roman" w:hAnsi="Times New Roman" w:cs="Times New Roman"/>
          <w:sz w:val="16"/>
          <w:lang w:val="es-MX"/>
        </w:rPr>
        <w:t>Fuente: Dirección de Análisis y Política Fiscal</w:t>
      </w:r>
    </w:p>
    <w:p w:rsidR="00E62867" w:rsidRDefault="00E62867" w:rsidP="007C66BE">
      <w:pPr>
        <w:spacing w:after="0" w:line="240" w:lineRule="auto"/>
        <w:jc w:val="both"/>
        <w:rPr>
          <w:rFonts w:ascii="Times New Roman" w:hAnsi="Times New Roman" w:cs="Times New Roman"/>
          <w:b/>
          <w:bCs/>
        </w:rPr>
      </w:pPr>
    </w:p>
    <w:p w:rsidR="002D15D0" w:rsidRPr="00110E5F" w:rsidRDefault="002D15D0" w:rsidP="007C66BE">
      <w:pPr>
        <w:spacing w:after="0" w:line="240" w:lineRule="auto"/>
        <w:jc w:val="both"/>
        <w:rPr>
          <w:rFonts w:ascii="Times New Roman" w:hAnsi="Times New Roman" w:cs="Times New Roman"/>
          <w:b/>
          <w:bCs/>
        </w:rPr>
      </w:pPr>
    </w:p>
    <w:p w:rsidR="007C66BE" w:rsidRPr="00110E5F" w:rsidRDefault="00E62867" w:rsidP="007C66BE">
      <w:pPr>
        <w:spacing w:after="0" w:line="240" w:lineRule="auto"/>
        <w:jc w:val="both"/>
        <w:rPr>
          <w:rFonts w:ascii="Times New Roman" w:hAnsi="Times New Roman" w:cs="Times New Roman"/>
          <w:b/>
          <w:bCs/>
        </w:rPr>
      </w:pPr>
      <w:r w:rsidRPr="00110E5F">
        <w:rPr>
          <w:rFonts w:ascii="Times New Roman" w:hAnsi="Times New Roman" w:cs="Times New Roman"/>
          <w:b/>
          <w:bCs/>
        </w:rPr>
        <w:lastRenderedPageBreak/>
        <w:t>Impuesto al Valor Agregado</w:t>
      </w:r>
    </w:p>
    <w:p w:rsidR="007C66BE" w:rsidRPr="00110E5F" w:rsidRDefault="007C66BE" w:rsidP="00005E80">
      <w:pPr>
        <w:spacing w:after="0" w:line="240" w:lineRule="auto"/>
        <w:jc w:val="both"/>
        <w:rPr>
          <w:rFonts w:ascii="Times New Roman" w:hAnsi="Times New Roman" w:cs="Times New Roman"/>
          <w:b/>
          <w:bCs/>
        </w:rPr>
      </w:pPr>
    </w:p>
    <w:p w:rsidR="00E62867" w:rsidRPr="00110E5F" w:rsidRDefault="00110E5F" w:rsidP="00005E80">
      <w:pPr>
        <w:spacing w:after="0" w:line="240" w:lineRule="auto"/>
        <w:jc w:val="both"/>
        <w:rPr>
          <w:rFonts w:ascii="Times New Roman" w:hAnsi="Times New Roman" w:cs="Times New Roman"/>
          <w:lang w:val="es-US"/>
        </w:rPr>
      </w:pPr>
      <w:r w:rsidRPr="00110E5F">
        <w:rPr>
          <w:rFonts w:ascii="Times New Roman" w:hAnsi="Times New Roman" w:cs="Times New Roman"/>
          <w:lang w:val="es-US"/>
        </w:rPr>
        <w:t>Este impuesto de manera mensual generó una brecha negativa de Q567.9 millones, de los cuales por IVA importaciones se dejó de recaudar Q316.3 millones y por IVA domestico Q251.7 millones. Este impuesto de manera acumulada genera una brecha negativa de Q2,303.7 millones.</w:t>
      </w:r>
    </w:p>
    <w:p w:rsidR="00E62867" w:rsidRPr="00110E5F" w:rsidRDefault="00E62867" w:rsidP="00005E80">
      <w:pPr>
        <w:spacing w:after="0" w:line="240" w:lineRule="auto"/>
        <w:jc w:val="both"/>
        <w:rPr>
          <w:rFonts w:ascii="Times New Roman" w:hAnsi="Times New Roman" w:cs="Times New Roman"/>
          <w:lang w:val="es-US"/>
        </w:rPr>
      </w:pPr>
    </w:p>
    <w:p w:rsidR="00E62867" w:rsidRPr="00110E5F" w:rsidRDefault="00E62867" w:rsidP="00E62867">
      <w:pPr>
        <w:spacing w:after="0" w:line="240" w:lineRule="auto"/>
        <w:rPr>
          <w:rFonts w:ascii="Times New Roman" w:hAnsi="Times New Roman" w:cs="Times New Roman"/>
          <w:b/>
          <w:lang w:val="es-US"/>
        </w:rPr>
      </w:pPr>
      <w:r w:rsidRPr="00110E5F">
        <w:rPr>
          <w:rFonts w:ascii="Times New Roman" w:hAnsi="Times New Roman" w:cs="Times New Roman"/>
          <w:b/>
          <w:lang w:val="es-US"/>
        </w:rPr>
        <w:t>Impuesto a la Renta</w:t>
      </w:r>
    </w:p>
    <w:p w:rsidR="00E62867" w:rsidRPr="00110E5F" w:rsidRDefault="00E62867" w:rsidP="00E62867">
      <w:pPr>
        <w:spacing w:after="0" w:line="240" w:lineRule="auto"/>
        <w:rPr>
          <w:rFonts w:ascii="Times New Roman" w:hAnsi="Times New Roman" w:cs="Times New Roman"/>
          <w:b/>
          <w:lang w:val="es-US"/>
        </w:rPr>
      </w:pPr>
    </w:p>
    <w:p w:rsidR="00110E5F" w:rsidRPr="00110E5F" w:rsidRDefault="00110E5F" w:rsidP="00110E5F">
      <w:pPr>
        <w:spacing w:after="0" w:line="240" w:lineRule="auto"/>
        <w:jc w:val="both"/>
        <w:rPr>
          <w:rFonts w:ascii="Times New Roman" w:hAnsi="Times New Roman" w:cs="Times New Roman"/>
          <w:lang w:val="es-US"/>
        </w:rPr>
      </w:pPr>
      <w:r w:rsidRPr="00110E5F">
        <w:rPr>
          <w:rFonts w:ascii="Times New Roman" w:hAnsi="Times New Roman" w:cs="Times New Roman"/>
          <w:lang w:val="es-US"/>
        </w:rPr>
        <w:t>Este impuesto en julio presento el vencimiento de pago trimestral el cual no se cumplió y se dejó de recaudar Q118.8 millones, de manera acumulada este impuesto genera una brecha negativa de Q278.7 millones.</w:t>
      </w:r>
    </w:p>
    <w:p w:rsidR="00E62867" w:rsidRPr="00110E5F" w:rsidRDefault="00E62867" w:rsidP="00E62867">
      <w:pPr>
        <w:spacing w:after="0" w:line="240" w:lineRule="auto"/>
        <w:jc w:val="both"/>
        <w:rPr>
          <w:rFonts w:ascii="Times New Roman" w:hAnsi="Times New Roman" w:cs="Times New Roman"/>
          <w:lang w:val="es-US"/>
        </w:rPr>
      </w:pPr>
    </w:p>
    <w:p w:rsidR="00E62867" w:rsidRPr="00110E5F" w:rsidRDefault="00E62867" w:rsidP="00E62867">
      <w:pPr>
        <w:spacing w:after="0" w:line="240" w:lineRule="auto"/>
        <w:jc w:val="both"/>
        <w:rPr>
          <w:rFonts w:ascii="Times New Roman" w:hAnsi="Times New Roman" w:cs="Times New Roman"/>
          <w:b/>
          <w:lang w:val="es-US"/>
        </w:rPr>
      </w:pPr>
      <w:r w:rsidRPr="00110E5F">
        <w:rPr>
          <w:rFonts w:ascii="Times New Roman" w:hAnsi="Times New Roman" w:cs="Times New Roman"/>
          <w:b/>
          <w:lang w:val="es-US"/>
        </w:rPr>
        <w:t>Resto de impuestos</w:t>
      </w:r>
    </w:p>
    <w:p w:rsidR="00E62867" w:rsidRPr="00110E5F" w:rsidRDefault="00E62867" w:rsidP="00E62867">
      <w:pPr>
        <w:spacing w:after="0" w:line="240" w:lineRule="auto"/>
        <w:jc w:val="both"/>
        <w:rPr>
          <w:rFonts w:ascii="Times New Roman" w:hAnsi="Times New Roman" w:cs="Times New Roman"/>
          <w:lang w:val="es-US"/>
        </w:rPr>
      </w:pPr>
    </w:p>
    <w:p w:rsidR="00E62867" w:rsidRPr="00110E5F" w:rsidRDefault="00110E5F" w:rsidP="00E62867">
      <w:pPr>
        <w:spacing w:after="0" w:line="240" w:lineRule="auto"/>
        <w:jc w:val="both"/>
        <w:rPr>
          <w:rFonts w:ascii="Times New Roman" w:hAnsi="Times New Roman" w:cs="Times New Roman"/>
          <w:lang w:val="es-US"/>
        </w:rPr>
      </w:pPr>
      <w:r w:rsidRPr="00110E5F">
        <w:rPr>
          <w:rFonts w:ascii="Times New Roman" w:hAnsi="Times New Roman" w:cs="Times New Roman"/>
          <w:lang w:val="es-US"/>
        </w:rPr>
        <w:t>Del resto de impuestos, no alcanzaron a cumplir con la meta de presupuesto únicamente el impuesto a la distribución de bebidas supera la meta mensual en 5.5 millones y la meta acumulada en Q17.3 millones.</w:t>
      </w:r>
    </w:p>
    <w:p w:rsidR="00E62867" w:rsidRPr="00005E80" w:rsidRDefault="00E62867" w:rsidP="00005E80">
      <w:pPr>
        <w:spacing w:after="0" w:line="240" w:lineRule="auto"/>
        <w:rPr>
          <w:rFonts w:ascii="Times New Roman" w:hAnsi="Times New Roman" w:cs="Times New Roman"/>
          <w:b/>
          <w:sz w:val="24"/>
          <w:lang w:val="es-US"/>
        </w:rPr>
      </w:pPr>
      <w:r w:rsidRPr="00005E80">
        <w:rPr>
          <w:rFonts w:ascii="Times New Roman" w:hAnsi="Times New Roman" w:cs="Times New Roman"/>
          <w:b/>
          <w:sz w:val="24"/>
          <w:lang w:val="es-US"/>
        </w:rPr>
        <w:lastRenderedPageBreak/>
        <w:t>Brechas de recaudación tributaria neta</w:t>
      </w:r>
    </w:p>
    <w:p w:rsidR="00E62867" w:rsidRPr="00110E5F" w:rsidRDefault="00E62867" w:rsidP="00E62867">
      <w:pPr>
        <w:spacing w:after="0" w:line="240" w:lineRule="auto"/>
        <w:jc w:val="center"/>
        <w:rPr>
          <w:rFonts w:ascii="Times New Roman" w:hAnsi="Times New Roman" w:cs="Times New Roman"/>
          <w:sz w:val="20"/>
          <w:lang w:val="es-US"/>
        </w:rPr>
      </w:pPr>
      <w:r w:rsidRPr="00110E5F">
        <w:rPr>
          <w:rFonts w:ascii="Times New Roman" w:hAnsi="Times New Roman" w:cs="Times New Roman"/>
          <w:sz w:val="20"/>
          <w:lang w:val="es-US"/>
        </w:rPr>
        <w:t>Millones de quetzales</w:t>
      </w:r>
    </w:p>
    <w:p w:rsidR="00E62867" w:rsidRPr="00110E5F" w:rsidRDefault="00110E5F" w:rsidP="00E62867">
      <w:pPr>
        <w:spacing w:after="0" w:line="240" w:lineRule="auto"/>
        <w:jc w:val="both"/>
        <w:rPr>
          <w:rFonts w:ascii="Times New Roman" w:hAnsi="Times New Roman" w:cs="Times New Roman"/>
          <w:noProof/>
          <w:lang w:eastAsia="es-GT"/>
        </w:rPr>
      </w:pPr>
      <w:r w:rsidRPr="00110E5F">
        <w:rPr>
          <w:rFonts w:ascii="Times New Roman" w:hAnsi="Times New Roman" w:cs="Times New Roman"/>
          <w:noProof/>
          <w:lang w:eastAsia="es-GT"/>
        </w:rPr>
        <w:drawing>
          <wp:inline distT="0" distB="0" distL="0" distR="0" wp14:anchorId="714068D7" wp14:editId="4F02EAF4">
            <wp:extent cx="2577465" cy="3519577"/>
            <wp:effectExtent l="0" t="0" r="0" b="508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E1950" w:rsidRPr="00110E5F" w:rsidRDefault="00E62867" w:rsidP="00FE1950">
      <w:pPr>
        <w:spacing w:after="0" w:line="240" w:lineRule="auto"/>
        <w:jc w:val="both"/>
        <w:rPr>
          <w:rFonts w:ascii="Times New Roman" w:hAnsi="Times New Roman" w:cs="Times New Roman"/>
          <w:sz w:val="18"/>
          <w:lang w:val="es-US"/>
        </w:rPr>
      </w:pPr>
      <w:r w:rsidRPr="00110E5F">
        <w:rPr>
          <w:rFonts w:ascii="Times New Roman" w:hAnsi="Times New Roman" w:cs="Times New Roman"/>
          <w:sz w:val="16"/>
          <w:lang w:val="es-US"/>
        </w:rPr>
        <w:t>Fuente: Dirección de Análisis y Política Fiscal.</w:t>
      </w:r>
    </w:p>
    <w:p w:rsidR="00725FE5" w:rsidRPr="00D91E0F" w:rsidRDefault="00725FE5" w:rsidP="00FE1950">
      <w:pPr>
        <w:spacing w:after="0" w:line="240" w:lineRule="auto"/>
        <w:jc w:val="both"/>
        <w:rPr>
          <w:rFonts w:ascii="Times New Roman" w:hAnsi="Times New Roman" w:cs="Times New Roman"/>
          <w:color w:val="FF0000"/>
        </w:rPr>
        <w:sectPr w:rsidR="00725FE5" w:rsidRPr="00D91E0F" w:rsidSect="007C66BE">
          <w:type w:val="continuous"/>
          <w:pgSz w:w="12240" w:h="15840"/>
          <w:pgMar w:top="1417" w:right="1701" w:bottom="1417" w:left="1701" w:header="720" w:footer="720" w:gutter="0"/>
          <w:cols w:num="2" w:space="720"/>
          <w:docGrid w:linePitch="360"/>
        </w:sectPr>
      </w:pPr>
    </w:p>
    <w:p w:rsidR="001A6038" w:rsidRPr="00D91E0F" w:rsidRDefault="001A6038" w:rsidP="00674EAE">
      <w:pPr>
        <w:pStyle w:val="Sinespaciado"/>
        <w:jc w:val="both"/>
        <w:rPr>
          <w:rFonts w:ascii="Times New Roman" w:hAnsi="Times New Roman" w:cs="Times New Roman"/>
          <w:color w:val="FF0000"/>
          <w:szCs w:val="18"/>
        </w:rPr>
        <w:sectPr w:rsidR="001A6038" w:rsidRPr="00D91E0F" w:rsidSect="005A03A9">
          <w:headerReference w:type="default" r:id="rId16"/>
          <w:footerReference w:type="default" r:id="rId17"/>
          <w:type w:val="continuous"/>
          <w:pgSz w:w="12240" w:h="15840"/>
          <w:pgMar w:top="1417" w:right="1701" w:bottom="1417" w:left="1701" w:header="708" w:footer="708" w:gutter="0"/>
          <w:cols w:num="2" w:space="708"/>
          <w:docGrid w:linePitch="360"/>
        </w:sectPr>
      </w:pPr>
    </w:p>
    <w:p w:rsidR="00FA3B81" w:rsidRPr="00045827" w:rsidRDefault="006E737B" w:rsidP="004F72F9">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FA3B81" w:rsidRPr="00045827" w:rsidSect="00FA3B81">
          <w:headerReference w:type="default" r:id="rId18"/>
          <w:footerReference w:type="default" r:id="rId19"/>
          <w:type w:val="continuous"/>
          <w:pgSz w:w="12240" w:h="15840" w:code="1"/>
          <w:pgMar w:top="1418" w:right="1418" w:bottom="1418" w:left="1418" w:header="709" w:footer="709" w:gutter="0"/>
          <w:cols w:space="708"/>
          <w:docGrid w:linePitch="360"/>
        </w:sectPr>
      </w:pPr>
      <w:r w:rsidRPr="00045827">
        <w:rPr>
          <w:rFonts w:ascii="Times New Roman" w:hAnsi="Times New Roman" w:cs="Times New Roman"/>
          <w:b/>
          <w:lang w:val="es-MX"/>
        </w:rPr>
        <w:lastRenderedPageBreak/>
        <w:t>Julio reporta el mayor crecimiento interanual del año</w:t>
      </w:r>
    </w:p>
    <w:p w:rsidR="00FA3B81" w:rsidRPr="00D91E0F" w:rsidRDefault="00FA3B81" w:rsidP="00FA3B81">
      <w:pPr>
        <w:pStyle w:val="Sinespaciado"/>
        <w:rPr>
          <w:rFonts w:ascii="Times New Roman" w:hAnsi="Times New Roman" w:cs="Times New Roman"/>
          <w:b/>
          <w:color w:val="FF0000"/>
          <w:sz w:val="18"/>
          <w:lang w:val="es-MX"/>
        </w:rPr>
      </w:pPr>
    </w:p>
    <w:p w:rsidR="00FA3B81" w:rsidRPr="00D91E0F" w:rsidRDefault="00FA3B81" w:rsidP="00FA3B81">
      <w:pPr>
        <w:pStyle w:val="Sinespaciado"/>
        <w:jc w:val="center"/>
        <w:rPr>
          <w:rFonts w:ascii="Times New Roman" w:hAnsi="Times New Roman" w:cs="Times New Roman"/>
          <w:b/>
          <w:color w:val="FF0000"/>
          <w:lang w:val="es-MX"/>
        </w:rPr>
        <w:sectPr w:rsidR="00FA3B81" w:rsidRPr="00D91E0F" w:rsidSect="004E358C">
          <w:type w:val="continuous"/>
          <w:pgSz w:w="12240" w:h="15840"/>
          <w:pgMar w:top="1417" w:right="1701" w:bottom="1417" w:left="1701" w:header="708" w:footer="708" w:gutter="0"/>
          <w:cols w:space="708"/>
          <w:docGrid w:linePitch="360"/>
        </w:sectPr>
      </w:pPr>
    </w:p>
    <w:p w:rsidR="007C3AF6" w:rsidRPr="00F304F6" w:rsidRDefault="007C3AF6" w:rsidP="007C3AF6">
      <w:pPr>
        <w:pStyle w:val="Sinespaciado"/>
        <w:jc w:val="both"/>
        <w:rPr>
          <w:rFonts w:ascii="Times New Roman" w:hAnsi="Times New Roman" w:cs="Times New Roman"/>
          <w:color w:val="FF0000"/>
          <w:lang w:val="es-MX"/>
        </w:rPr>
      </w:pPr>
      <w:r>
        <w:rPr>
          <w:rFonts w:ascii="Times New Roman" w:hAnsi="Times New Roman" w:cs="Times New Roman"/>
          <w:lang w:val="es-MX"/>
        </w:rPr>
        <w:lastRenderedPageBreak/>
        <w:t>El ritmo de</w:t>
      </w:r>
      <w:r w:rsidRPr="00EC7D03">
        <w:rPr>
          <w:rFonts w:ascii="Times New Roman" w:hAnsi="Times New Roman" w:cs="Times New Roman"/>
          <w:lang w:val="es-MX"/>
        </w:rPr>
        <w:t xml:space="preserve"> ejecución del gasto público</w:t>
      </w:r>
      <w:r>
        <w:rPr>
          <w:rFonts w:ascii="Times New Roman" w:hAnsi="Times New Roman" w:cs="Times New Roman"/>
          <w:lang w:val="es-MX"/>
        </w:rPr>
        <w:t xml:space="preserve"> al mes de julio continúa creciendo, aunque de forma más moderada, el gasto que no considera</w:t>
      </w:r>
      <w:r w:rsidRPr="00EC7D03">
        <w:rPr>
          <w:rFonts w:ascii="Times New Roman" w:hAnsi="Times New Roman" w:cs="Times New Roman"/>
          <w:lang w:val="es-MX"/>
        </w:rPr>
        <w:t xml:space="preserve"> las amortizaciones de</w:t>
      </w:r>
      <w:r>
        <w:rPr>
          <w:rFonts w:ascii="Times New Roman" w:hAnsi="Times New Roman" w:cs="Times New Roman"/>
          <w:lang w:val="es-MX"/>
        </w:rPr>
        <w:t xml:space="preserve"> la deuda pública se ubicó en Q47</w:t>
      </w:r>
      <w:r w:rsidRPr="00EC7D03">
        <w:rPr>
          <w:rFonts w:ascii="Times New Roman" w:hAnsi="Times New Roman" w:cs="Times New Roman"/>
          <w:lang w:val="es-MX"/>
        </w:rPr>
        <w:t>,</w:t>
      </w:r>
      <w:r>
        <w:rPr>
          <w:rFonts w:ascii="Times New Roman" w:hAnsi="Times New Roman" w:cs="Times New Roman"/>
          <w:lang w:val="es-MX"/>
        </w:rPr>
        <w:t>878.4 millones</w:t>
      </w:r>
      <w:r w:rsidRPr="00EC7D03">
        <w:rPr>
          <w:rFonts w:ascii="Times New Roman" w:hAnsi="Times New Roman" w:cs="Times New Roman"/>
          <w:lang w:val="es-MX"/>
        </w:rPr>
        <w:t xml:space="preserve"> </w:t>
      </w:r>
      <w:r>
        <w:rPr>
          <w:rFonts w:ascii="Times New Roman" w:hAnsi="Times New Roman" w:cs="Times New Roman"/>
          <w:lang w:val="es-MX"/>
        </w:rPr>
        <w:t>con un crecimiento interanual positivo de 10.2%, lo que es equivalente a Q4,444.3 millones. Este ritmo de ejecución es aún inferior al observado el año previo, aunque desde el mes de junio esta brecha se ha ido cerrando y por ello se espera que a finales de 2020 el crecimiento del gasto sea superior al observado en 2019.</w:t>
      </w:r>
      <w:r w:rsidRPr="00F304F6">
        <w:rPr>
          <w:rFonts w:ascii="Times New Roman" w:hAnsi="Times New Roman" w:cs="Times New Roman"/>
          <w:color w:val="FF0000"/>
          <w:lang w:val="es-MX"/>
        </w:rPr>
        <w:t xml:space="preserve"> </w:t>
      </w:r>
    </w:p>
    <w:p w:rsidR="007C3AF6" w:rsidRDefault="007C3AF6" w:rsidP="007C3AF6">
      <w:pPr>
        <w:pStyle w:val="Sinespaciado"/>
        <w:jc w:val="both"/>
        <w:rPr>
          <w:rFonts w:ascii="Times New Roman" w:hAnsi="Times New Roman" w:cs="Times New Roman"/>
          <w:color w:val="FF0000"/>
          <w:lang w:val="es-MX"/>
        </w:rPr>
      </w:pPr>
    </w:p>
    <w:p w:rsidR="007C3AF6" w:rsidRDefault="007C3AF6" w:rsidP="007C3AF6">
      <w:pPr>
        <w:pStyle w:val="Sinespaciado"/>
        <w:jc w:val="both"/>
        <w:rPr>
          <w:rFonts w:ascii="Times New Roman" w:hAnsi="Times New Roman" w:cs="Times New Roman"/>
          <w:color w:val="FF0000"/>
          <w:lang w:val="es-MX"/>
        </w:rPr>
      </w:pPr>
    </w:p>
    <w:p w:rsidR="007C3AF6" w:rsidRDefault="007C3AF6" w:rsidP="007C3AF6">
      <w:pPr>
        <w:pStyle w:val="Sinespaciado"/>
        <w:jc w:val="both"/>
        <w:rPr>
          <w:rFonts w:ascii="Times New Roman" w:hAnsi="Times New Roman" w:cs="Times New Roman"/>
          <w:color w:val="FF0000"/>
          <w:lang w:val="es-MX"/>
        </w:rPr>
      </w:pPr>
    </w:p>
    <w:p w:rsidR="007C3AF6" w:rsidRPr="00F304F6" w:rsidRDefault="007C3AF6" w:rsidP="007C3AF6">
      <w:pPr>
        <w:pStyle w:val="Sinespaciado"/>
        <w:jc w:val="both"/>
        <w:rPr>
          <w:rFonts w:ascii="Times New Roman" w:hAnsi="Times New Roman" w:cs="Times New Roman"/>
          <w:color w:val="FF0000"/>
          <w:lang w:val="es-MX"/>
        </w:rPr>
      </w:pPr>
    </w:p>
    <w:p w:rsidR="007C3AF6" w:rsidRPr="006E737B" w:rsidRDefault="007C3AF6" w:rsidP="007C3AF6">
      <w:pPr>
        <w:pStyle w:val="Sinespaciado"/>
        <w:jc w:val="center"/>
        <w:rPr>
          <w:rFonts w:ascii="Times New Roman" w:hAnsi="Times New Roman" w:cs="Times New Roman"/>
          <w:b/>
          <w:lang w:val="es-MX"/>
        </w:rPr>
      </w:pPr>
      <w:r w:rsidRPr="006E737B">
        <w:rPr>
          <w:rFonts w:ascii="Times New Roman" w:hAnsi="Times New Roman" w:cs="Times New Roman"/>
          <w:b/>
          <w:lang w:val="es-MX"/>
        </w:rPr>
        <w:lastRenderedPageBreak/>
        <w:t>Ritmo de Ejecución del Gasto</w:t>
      </w:r>
    </w:p>
    <w:p w:rsidR="007C3AF6" w:rsidRPr="006E737B" w:rsidRDefault="007C3AF6" w:rsidP="007C3AF6">
      <w:pPr>
        <w:pStyle w:val="Sinespaciado"/>
        <w:jc w:val="center"/>
        <w:rPr>
          <w:rFonts w:ascii="Times New Roman" w:hAnsi="Times New Roman" w:cs="Times New Roman"/>
          <w:sz w:val="18"/>
          <w:lang w:val="es-MX"/>
        </w:rPr>
      </w:pPr>
      <w:r w:rsidRPr="006E737B">
        <w:rPr>
          <w:noProof/>
          <w:lang w:eastAsia="es-GT"/>
        </w:rPr>
        <w:drawing>
          <wp:anchor distT="0" distB="0" distL="114300" distR="114300" simplePos="0" relativeHeight="251812864" behindDoc="0" locked="0" layoutInCell="1" allowOverlap="1" wp14:anchorId="0114CB49" wp14:editId="15C7609A">
            <wp:simplePos x="0" y="0"/>
            <wp:positionH relativeFrom="column">
              <wp:posOffset>0</wp:posOffset>
            </wp:positionH>
            <wp:positionV relativeFrom="paragraph">
              <wp:posOffset>185420</wp:posOffset>
            </wp:positionV>
            <wp:extent cx="2703195" cy="2070100"/>
            <wp:effectExtent l="0" t="0" r="1905" b="6350"/>
            <wp:wrapSquare wrapText="bothSides"/>
            <wp:docPr id="19" name="Gráfico 19">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6E737B">
        <w:rPr>
          <w:rFonts w:ascii="Times New Roman" w:hAnsi="Times New Roman" w:cs="Times New Roman"/>
          <w:sz w:val="18"/>
          <w:lang w:val="es-MX"/>
        </w:rPr>
        <w:t>Variación Interanual*</w:t>
      </w:r>
    </w:p>
    <w:p w:rsidR="007C3AF6" w:rsidRPr="006E737B" w:rsidRDefault="007C3AF6" w:rsidP="007C3AF6">
      <w:pPr>
        <w:pStyle w:val="Sinespaciado"/>
        <w:rPr>
          <w:rFonts w:ascii="Times New Roman" w:hAnsi="Times New Roman" w:cs="Times New Roman"/>
          <w:sz w:val="16"/>
          <w:lang w:val="es-MX"/>
        </w:rPr>
      </w:pPr>
      <w:r w:rsidRPr="006E737B">
        <w:rPr>
          <w:rFonts w:ascii="Times New Roman" w:hAnsi="Times New Roman" w:cs="Times New Roman"/>
          <w:sz w:val="16"/>
          <w:lang w:val="es-MX"/>
        </w:rPr>
        <w:t>*No incluye amortizaciones de la deuda pública</w:t>
      </w:r>
    </w:p>
    <w:p w:rsidR="007C3AF6" w:rsidRPr="006E737B" w:rsidRDefault="007C3AF6" w:rsidP="007C3AF6">
      <w:pPr>
        <w:spacing w:after="0" w:line="240" w:lineRule="auto"/>
        <w:jc w:val="both"/>
        <w:rPr>
          <w:rFonts w:ascii="Times New Roman" w:hAnsi="Times New Roman" w:cs="Times New Roman"/>
          <w:sz w:val="16"/>
        </w:rPr>
      </w:pPr>
      <w:r w:rsidRPr="006E737B">
        <w:rPr>
          <w:rFonts w:ascii="Times New Roman" w:hAnsi="Times New Roman" w:cs="Times New Roman"/>
          <w:sz w:val="16"/>
        </w:rPr>
        <w:t>Fuente: Dirección de Análisis y Política Fiscal</w:t>
      </w:r>
    </w:p>
    <w:p w:rsidR="007C3AF6" w:rsidRPr="00F304F6" w:rsidRDefault="007C3AF6" w:rsidP="007C3AF6">
      <w:pPr>
        <w:pStyle w:val="Sinespaciado"/>
        <w:jc w:val="both"/>
        <w:rPr>
          <w:rFonts w:ascii="Times New Roman" w:hAnsi="Times New Roman" w:cs="Times New Roman"/>
          <w:color w:val="FF0000"/>
          <w:lang w:val="es-MX"/>
        </w:rPr>
      </w:pPr>
    </w:p>
    <w:p w:rsidR="007C3AF6" w:rsidRDefault="007C3AF6" w:rsidP="007C3AF6">
      <w:pPr>
        <w:pStyle w:val="Sinespaciado"/>
        <w:jc w:val="both"/>
        <w:rPr>
          <w:rFonts w:ascii="Times New Roman" w:hAnsi="Times New Roman" w:cs="Times New Roman"/>
          <w:lang w:val="es-MX"/>
        </w:rPr>
      </w:pPr>
      <w:r>
        <w:rPr>
          <w:rFonts w:ascii="Times New Roman" w:hAnsi="Times New Roman" w:cs="Times New Roman"/>
          <w:lang w:val="es-MX"/>
        </w:rPr>
        <w:t>A nivel de rubro de cuenta económica, el mayor crecimiento interanual se reporta en las transferencias corrientes, las cuales son mayores en Q2,342.9 millones a las reportadas en 2019, con un crecimiento de 26.6%, como resultado de una mayor ejecución en las transferencias a personas individuales, las cuales provienen principalmente del Bono Familia y el Fondo de Protección de Empleo, actividades que se crearon de manera única y temporal para apoyar económicamente a las empresas y familias afectadas por los efectos de la pandemia COVID-19.</w:t>
      </w:r>
    </w:p>
    <w:p w:rsidR="007C3AF6" w:rsidRDefault="007C3AF6" w:rsidP="007C3AF6">
      <w:pPr>
        <w:pStyle w:val="Sinespaciado"/>
        <w:jc w:val="both"/>
        <w:rPr>
          <w:rFonts w:ascii="Times New Roman" w:hAnsi="Times New Roman" w:cs="Times New Roman"/>
          <w:lang w:val="es-MX"/>
        </w:rPr>
      </w:pPr>
    </w:p>
    <w:p w:rsidR="007C3AF6" w:rsidRDefault="007C3AF6" w:rsidP="007C3AF6">
      <w:pPr>
        <w:pStyle w:val="Sinespaciado"/>
        <w:jc w:val="both"/>
        <w:rPr>
          <w:rFonts w:ascii="Times New Roman" w:hAnsi="Times New Roman" w:cs="Times New Roman"/>
          <w:lang w:val="es-MX"/>
        </w:rPr>
      </w:pPr>
      <w:r>
        <w:rPr>
          <w:rFonts w:ascii="Times New Roman" w:hAnsi="Times New Roman" w:cs="Times New Roman"/>
          <w:lang w:val="es-MX"/>
        </w:rPr>
        <w:t xml:space="preserve">La inversión financiera reporta una ejecución mayor en Q1,446.7 millones al 2019, siendo el crecimiento interanual más significativo, en este ejercicio fiscal corresponde al traslado de recursos hacia el Crédito Hipotecario Nacional (CHN) para la actividad de fondo de crédito para capital de trabajo. </w:t>
      </w:r>
    </w:p>
    <w:p w:rsidR="007C3AF6" w:rsidRDefault="007C3AF6" w:rsidP="007C3AF6">
      <w:pPr>
        <w:pStyle w:val="Sinespaciado"/>
        <w:jc w:val="both"/>
        <w:rPr>
          <w:rFonts w:ascii="Times New Roman" w:hAnsi="Times New Roman" w:cs="Times New Roman"/>
          <w:lang w:val="es-MX"/>
        </w:rPr>
      </w:pPr>
    </w:p>
    <w:p w:rsidR="007C3AF6" w:rsidRDefault="007C3AF6" w:rsidP="007C3AF6">
      <w:pPr>
        <w:pStyle w:val="Sinespaciado"/>
        <w:jc w:val="both"/>
        <w:rPr>
          <w:rFonts w:ascii="Times New Roman" w:hAnsi="Times New Roman" w:cs="Times New Roman"/>
          <w:lang w:val="es-MX"/>
        </w:rPr>
      </w:pPr>
      <w:r>
        <w:rPr>
          <w:rFonts w:ascii="Times New Roman" w:hAnsi="Times New Roman" w:cs="Times New Roman"/>
          <w:lang w:val="es-MX"/>
        </w:rPr>
        <w:t xml:space="preserve">Por su parte, las remuneraciones reportan un crecimiento interanual de 9.8%, equivalente a Q1,420.8 millones, durante el mes de julio se dio la bonificación anual correspondiente al Bono 14, la cual ascendió a Q1,362.8 millones, siendo uno de los gastos más importantes reportados en el mes. </w:t>
      </w:r>
    </w:p>
    <w:p w:rsidR="007C3AF6" w:rsidRDefault="007C3AF6" w:rsidP="007C3AF6">
      <w:pPr>
        <w:pStyle w:val="Sinespaciado"/>
        <w:jc w:val="both"/>
        <w:rPr>
          <w:rFonts w:ascii="Times New Roman" w:hAnsi="Times New Roman" w:cs="Times New Roman"/>
          <w:lang w:val="es-MX"/>
        </w:rPr>
      </w:pPr>
    </w:p>
    <w:p w:rsidR="007C3AF6" w:rsidRDefault="007C3AF6" w:rsidP="007C3AF6">
      <w:pPr>
        <w:pStyle w:val="Sinespaciado"/>
        <w:jc w:val="both"/>
        <w:rPr>
          <w:rFonts w:ascii="Times New Roman" w:hAnsi="Times New Roman" w:cs="Times New Roman"/>
          <w:lang w:val="es-MX"/>
        </w:rPr>
      </w:pPr>
      <w:r>
        <w:rPr>
          <w:rFonts w:ascii="Times New Roman" w:hAnsi="Times New Roman" w:cs="Times New Roman"/>
          <w:lang w:val="es-MX"/>
        </w:rPr>
        <w:t xml:space="preserve">El pago de intereses también reporta una mayor ejecución respecto al año previo, siendo el crecimiento interanual de 5.5%, equivalente a Q271.2 millones, explicado por los bonos colocados en el mercado internacional. Respecto a las prestaciones a la seguridad social, reportan un crecimiento leve de 1.2%, equivalente a Q38.1 millones. </w:t>
      </w:r>
    </w:p>
    <w:p w:rsidR="007C3AF6" w:rsidRDefault="007C3AF6" w:rsidP="007C3AF6">
      <w:pPr>
        <w:pStyle w:val="Sinespaciado"/>
        <w:jc w:val="both"/>
        <w:rPr>
          <w:rFonts w:ascii="Times New Roman" w:hAnsi="Times New Roman" w:cs="Times New Roman"/>
          <w:lang w:val="es-MX"/>
        </w:rPr>
      </w:pPr>
    </w:p>
    <w:p w:rsidR="007C3AF6" w:rsidRPr="00F304F6" w:rsidRDefault="007C3AF6" w:rsidP="007C3AF6">
      <w:pPr>
        <w:pStyle w:val="Sinespaciado"/>
        <w:jc w:val="both"/>
        <w:rPr>
          <w:rFonts w:ascii="Times New Roman" w:hAnsi="Times New Roman" w:cs="Times New Roman"/>
          <w:color w:val="FF0000"/>
          <w:lang w:val="es-MX"/>
        </w:rPr>
      </w:pPr>
      <w:r>
        <w:rPr>
          <w:rFonts w:ascii="Times New Roman" w:hAnsi="Times New Roman" w:cs="Times New Roman"/>
          <w:lang w:val="es-MX"/>
        </w:rPr>
        <w:t>Los rubros que reportan caídas en su ejecución son las transferencias de capital y la inversión real directa, con -2.4% y -38.0%, respectivamente.</w:t>
      </w:r>
    </w:p>
    <w:p w:rsidR="007C3AF6" w:rsidRPr="006E737B" w:rsidRDefault="007C3AF6" w:rsidP="007C3AF6">
      <w:pPr>
        <w:pStyle w:val="Sinespaciado"/>
        <w:jc w:val="both"/>
        <w:rPr>
          <w:rFonts w:ascii="Times New Roman" w:hAnsi="Times New Roman" w:cs="Times New Roman"/>
          <w:lang w:val="es-MX"/>
        </w:rPr>
      </w:pPr>
      <w:r w:rsidRPr="00F304F6">
        <w:rPr>
          <w:rFonts w:ascii="Times New Roman" w:hAnsi="Times New Roman" w:cs="Times New Roman"/>
          <w:color w:val="FF0000"/>
          <w:lang w:val="es-MX"/>
        </w:rPr>
        <w:t xml:space="preserve"> </w:t>
      </w:r>
    </w:p>
    <w:p w:rsidR="00005E80" w:rsidRDefault="007C3AF6" w:rsidP="007C3AF6">
      <w:pPr>
        <w:pStyle w:val="Sinespaciado"/>
        <w:jc w:val="center"/>
        <w:rPr>
          <w:rFonts w:ascii="Times New Roman" w:hAnsi="Times New Roman" w:cs="Times New Roman"/>
          <w:sz w:val="18"/>
          <w:lang w:val="es-MX"/>
        </w:rPr>
      </w:pPr>
      <w:r w:rsidRPr="00005E80">
        <w:rPr>
          <w:rFonts w:ascii="Times New Roman" w:hAnsi="Times New Roman" w:cs="Times New Roman"/>
          <w:b/>
          <w:sz w:val="24"/>
          <w:lang w:val="es-MX"/>
        </w:rPr>
        <w:lastRenderedPageBreak/>
        <w:t>Ejecución por rubro de Cuenta Económica</w:t>
      </w:r>
      <w:r w:rsidRPr="00005E80">
        <w:rPr>
          <w:sz w:val="24"/>
        </w:rPr>
        <w:t xml:space="preserve"> </w:t>
      </w:r>
    </w:p>
    <w:p w:rsidR="007C3AF6" w:rsidRPr="006E737B" w:rsidRDefault="007C3AF6" w:rsidP="007C3AF6">
      <w:pPr>
        <w:pStyle w:val="Sinespaciado"/>
        <w:jc w:val="center"/>
        <w:rPr>
          <w:rFonts w:ascii="Times New Roman" w:hAnsi="Times New Roman" w:cs="Times New Roman"/>
          <w:sz w:val="18"/>
          <w:lang w:val="es-MX"/>
        </w:rPr>
      </w:pPr>
      <w:r w:rsidRPr="006E737B">
        <w:rPr>
          <w:rFonts w:ascii="Times New Roman" w:hAnsi="Times New Roman" w:cs="Times New Roman"/>
          <w:sz w:val="18"/>
          <w:lang w:val="es-MX"/>
        </w:rPr>
        <w:t>2020 – 2019</w:t>
      </w:r>
    </w:p>
    <w:p w:rsidR="007C3AF6" w:rsidRPr="006E737B" w:rsidRDefault="007C3AF6" w:rsidP="007C3AF6">
      <w:pPr>
        <w:pStyle w:val="Sinespaciado"/>
        <w:jc w:val="center"/>
        <w:rPr>
          <w:rFonts w:ascii="Times New Roman" w:hAnsi="Times New Roman" w:cs="Times New Roman"/>
          <w:sz w:val="18"/>
          <w:lang w:val="es-MX"/>
        </w:rPr>
      </w:pPr>
      <w:r w:rsidRPr="006E737B">
        <w:rPr>
          <w:rFonts w:ascii="Times New Roman" w:hAnsi="Times New Roman" w:cs="Times New Roman"/>
          <w:noProof/>
          <w:sz w:val="18"/>
          <w:lang w:eastAsia="es-GT"/>
        </w:rPr>
        <w:drawing>
          <wp:anchor distT="0" distB="0" distL="114300" distR="114300" simplePos="0" relativeHeight="251813888" behindDoc="0" locked="0" layoutInCell="1" allowOverlap="1" wp14:anchorId="1CD1A673" wp14:editId="31EB5917">
            <wp:simplePos x="0" y="0"/>
            <wp:positionH relativeFrom="column">
              <wp:posOffset>0</wp:posOffset>
            </wp:positionH>
            <wp:positionV relativeFrom="paragraph">
              <wp:posOffset>156210</wp:posOffset>
            </wp:positionV>
            <wp:extent cx="2766695" cy="2423795"/>
            <wp:effectExtent l="0" t="0" r="0" b="0"/>
            <wp:wrapSquare wrapText="bothSides"/>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6E737B">
        <w:rPr>
          <w:rFonts w:ascii="Times New Roman" w:hAnsi="Times New Roman" w:cs="Times New Roman"/>
          <w:sz w:val="18"/>
          <w:lang w:val="es-MX"/>
        </w:rPr>
        <w:t>Variación absoluta interanual</w:t>
      </w:r>
    </w:p>
    <w:p w:rsidR="007C3AF6" w:rsidRPr="006E737B" w:rsidRDefault="007C3AF6" w:rsidP="007C3AF6">
      <w:pPr>
        <w:spacing w:after="0" w:line="240" w:lineRule="auto"/>
        <w:jc w:val="both"/>
        <w:rPr>
          <w:rFonts w:ascii="Times New Roman" w:hAnsi="Times New Roman" w:cs="Times New Roman"/>
          <w:sz w:val="16"/>
        </w:rPr>
      </w:pPr>
      <w:r w:rsidRPr="006E737B">
        <w:rPr>
          <w:rFonts w:ascii="Times New Roman" w:hAnsi="Times New Roman" w:cs="Times New Roman"/>
          <w:sz w:val="16"/>
        </w:rPr>
        <w:t>Fuente: Dirección de Análisis y Política Fiscal</w:t>
      </w:r>
    </w:p>
    <w:p w:rsidR="007C3AF6" w:rsidRPr="00F304F6" w:rsidRDefault="007C3AF6" w:rsidP="007C3AF6">
      <w:pPr>
        <w:pStyle w:val="Sinespaciado"/>
        <w:jc w:val="both"/>
        <w:rPr>
          <w:rFonts w:ascii="Times New Roman" w:hAnsi="Times New Roman" w:cs="Times New Roman"/>
          <w:color w:val="FF0000"/>
        </w:rPr>
      </w:pPr>
    </w:p>
    <w:p w:rsidR="007C3AF6" w:rsidRDefault="007C3AF6" w:rsidP="007C3AF6">
      <w:pPr>
        <w:pStyle w:val="Sinespaciado"/>
        <w:jc w:val="both"/>
        <w:rPr>
          <w:rFonts w:ascii="Times New Roman" w:hAnsi="Times New Roman" w:cs="Times New Roman"/>
          <w:lang w:val="es-MX"/>
        </w:rPr>
      </w:pPr>
      <w:r>
        <w:rPr>
          <w:rFonts w:ascii="Times New Roman" w:hAnsi="Times New Roman" w:cs="Times New Roman"/>
          <w:lang w:val="es-MX"/>
        </w:rPr>
        <w:t xml:space="preserve">En lo que respecta a las transferencias de capital, estas se mantendrían con un menor dinamismo derivado de la caída en la recaudación tributaria, la cual afecta a las entidades descentralizadas y autónomas. Asimismo, la transferencia hacia los Consejos de Desarrollo Urbano y Rural reporta una menor ejecución. </w:t>
      </w:r>
    </w:p>
    <w:p w:rsidR="007C3AF6" w:rsidRDefault="007C3AF6" w:rsidP="007C3AF6">
      <w:pPr>
        <w:pStyle w:val="Sinespaciado"/>
        <w:jc w:val="both"/>
        <w:rPr>
          <w:rFonts w:ascii="Times New Roman" w:hAnsi="Times New Roman" w:cs="Times New Roman"/>
          <w:lang w:val="es-MX"/>
        </w:rPr>
      </w:pPr>
    </w:p>
    <w:p w:rsidR="007C3AF6" w:rsidRDefault="007C3AF6" w:rsidP="007C3AF6">
      <w:pPr>
        <w:pStyle w:val="Sinespaciado"/>
        <w:jc w:val="both"/>
        <w:rPr>
          <w:rFonts w:ascii="Times New Roman" w:hAnsi="Times New Roman" w:cs="Times New Roman"/>
          <w:lang w:val="es-MX"/>
        </w:rPr>
      </w:pPr>
      <w:r>
        <w:rPr>
          <w:rFonts w:ascii="Times New Roman" w:hAnsi="Times New Roman" w:cs="Times New Roman"/>
          <w:lang w:val="es-MX"/>
        </w:rPr>
        <w:t xml:space="preserve">Mientras que la inversión real directa es el rubro del gasto con la caída más significativa, se han ejecutado Q900.0 millones menos que a julio de 2019. Esto se debe a un dinamismo lento en el Ministerio de Comunicaciones, Infraestructura y Vivienda y a una ejecución menor en la construcción de bienes nacionales de uso común. </w:t>
      </w:r>
    </w:p>
    <w:p w:rsidR="007C3AF6" w:rsidRDefault="007C3AF6" w:rsidP="007C3AF6">
      <w:pPr>
        <w:pStyle w:val="Sinespaciado"/>
        <w:jc w:val="both"/>
        <w:rPr>
          <w:rFonts w:ascii="Times New Roman" w:hAnsi="Times New Roman" w:cs="Times New Roman"/>
          <w:lang w:val="es-MX"/>
        </w:rPr>
      </w:pPr>
    </w:p>
    <w:p w:rsidR="007C3AF6" w:rsidRDefault="007C3AF6" w:rsidP="007C3AF6">
      <w:pPr>
        <w:pStyle w:val="Sinespaciado"/>
        <w:jc w:val="both"/>
        <w:rPr>
          <w:rFonts w:ascii="Times New Roman" w:hAnsi="Times New Roman" w:cs="Times New Roman"/>
          <w:lang w:val="es-MX"/>
        </w:rPr>
      </w:pPr>
      <w:r>
        <w:rPr>
          <w:rFonts w:ascii="Times New Roman" w:hAnsi="Times New Roman" w:cs="Times New Roman"/>
          <w:lang w:val="es-MX"/>
        </w:rPr>
        <w:t xml:space="preserve">En cuanto al </w:t>
      </w:r>
      <w:r w:rsidRPr="006220B2">
        <w:rPr>
          <w:rFonts w:ascii="Times New Roman" w:hAnsi="Times New Roman" w:cs="Times New Roman"/>
          <w:lang w:val="es-MX"/>
        </w:rPr>
        <w:t>gasto</w:t>
      </w:r>
      <w:r>
        <w:rPr>
          <w:rFonts w:ascii="Times New Roman" w:hAnsi="Times New Roman" w:cs="Times New Roman"/>
          <w:lang w:val="es-MX"/>
        </w:rPr>
        <w:t xml:space="preserve"> total</w:t>
      </w:r>
      <w:r w:rsidRPr="006220B2">
        <w:rPr>
          <w:rFonts w:ascii="Times New Roman" w:hAnsi="Times New Roman" w:cs="Times New Roman"/>
          <w:lang w:val="es-MX"/>
        </w:rPr>
        <w:t xml:space="preserve">, </w:t>
      </w:r>
      <w:r>
        <w:rPr>
          <w:rFonts w:ascii="Times New Roman" w:hAnsi="Times New Roman" w:cs="Times New Roman"/>
          <w:lang w:val="es-MX"/>
        </w:rPr>
        <w:t>el</w:t>
      </w:r>
      <w:r w:rsidRPr="006220B2">
        <w:rPr>
          <w:rFonts w:ascii="Times New Roman" w:hAnsi="Times New Roman" w:cs="Times New Roman"/>
          <w:lang w:val="es-MX"/>
        </w:rPr>
        <w:t xml:space="preserve"> cual incluye amortizaciones de la </w:t>
      </w:r>
      <w:r>
        <w:rPr>
          <w:rFonts w:ascii="Times New Roman" w:hAnsi="Times New Roman" w:cs="Times New Roman"/>
          <w:lang w:val="es-MX"/>
        </w:rPr>
        <w:t xml:space="preserve">deuda pública, </w:t>
      </w:r>
      <w:r w:rsidRPr="006220B2">
        <w:rPr>
          <w:rFonts w:ascii="Times New Roman" w:hAnsi="Times New Roman" w:cs="Times New Roman"/>
          <w:lang w:val="es-MX"/>
        </w:rPr>
        <w:t>se situó en Q</w:t>
      </w:r>
      <w:r>
        <w:rPr>
          <w:rFonts w:ascii="Times New Roman" w:hAnsi="Times New Roman" w:cs="Times New Roman"/>
          <w:lang w:val="es-MX"/>
        </w:rPr>
        <w:t>49</w:t>
      </w:r>
      <w:r w:rsidRPr="006220B2">
        <w:rPr>
          <w:rFonts w:ascii="Times New Roman" w:hAnsi="Times New Roman" w:cs="Times New Roman"/>
          <w:lang w:val="es-MX"/>
        </w:rPr>
        <w:t>,</w:t>
      </w:r>
      <w:r>
        <w:rPr>
          <w:rFonts w:ascii="Times New Roman" w:hAnsi="Times New Roman" w:cs="Times New Roman"/>
          <w:lang w:val="es-MX"/>
        </w:rPr>
        <w:t>696.6</w:t>
      </w:r>
      <w:r w:rsidRPr="006220B2">
        <w:rPr>
          <w:rFonts w:ascii="Times New Roman" w:hAnsi="Times New Roman" w:cs="Times New Roman"/>
          <w:lang w:val="es-MX"/>
        </w:rPr>
        <w:t xml:space="preserve"> millones</w:t>
      </w:r>
      <w:r>
        <w:rPr>
          <w:rFonts w:ascii="Times New Roman" w:hAnsi="Times New Roman" w:cs="Times New Roman"/>
          <w:lang w:val="es-MX"/>
        </w:rPr>
        <w:t>, con un grado de ejecución de 46.1% y una variación interanual de 10.0%. E</w:t>
      </w:r>
      <w:r w:rsidRPr="006220B2">
        <w:rPr>
          <w:rFonts w:ascii="Times New Roman" w:hAnsi="Times New Roman" w:cs="Times New Roman"/>
          <w:lang w:val="es-MX"/>
        </w:rPr>
        <w:t xml:space="preserve">ste </w:t>
      </w:r>
      <w:r>
        <w:rPr>
          <w:rFonts w:ascii="Times New Roman" w:hAnsi="Times New Roman" w:cs="Times New Roman"/>
          <w:lang w:val="es-MX"/>
        </w:rPr>
        <w:t xml:space="preserve">grado de ejecución </w:t>
      </w:r>
      <w:r w:rsidRPr="006220B2">
        <w:rPr>
          <w:rFonts w:ascii="Times New Roman" w:hAnsi="Times New Roman" w:cs="Times New Roman"/>
          <w:lang w:val="es-MX"/>
        </w:rPr>
        <w:t xml:space="preserve">se encuentra por </w:t>
      </w:r>
      <w:r>
        <w:rPr>
          <w:rFonts w:ascii="Times New Roman" w:hAnsi="Times New Roman" w:cs="Times New Roman"/>
          <w:lang w:val="es-MX"/>
        </w:rPr>
        <w:t>abajo d</w:t>
      </w:r>
      <w:r w:rsidRPr="006220B2">
        <w:rPr>
          <w:rFonts w:ascii="Times New Roman" w:hAnsi="Times New Roman" w:cs="Times New Roman"/>
          <w:lang w:val="es-MX"/>
        </w:rPr>
        <w:t>e la ejecución promedio de los últimos 5 años (</w:t>
      </w:r>
      <w:r>
        <w:rPr>
          <w:rFonts w:ascii="Times New Roman" w:hAnsi="Times New Roman" w:cs="Times New Roman"/>
          <w:lang w:val="es-MX"/>
        </w:rPr>
        <w:t>50.5</w:t>
      </w:r>
      <w:r w:rsidRPr="006220B2">
        <w:rPr>
          <w:rFonts w:ascii="Times New Roman" w:hAnsi="Times New Roman" w:cs="Times New Roman"/>
          <w:lang w:val="es-MX"/>
        </w:rPr>
        <w:t>%)</w:t>
      </w:r>
      <w:r>
        <w:rPr>
          <w:rFonts w:ascii="Times New Roman" w:hAnsi="Times New Roman" w:cs="Times New Roman"/>
          <w:lang w:val="es-MX"/>
        </w:rPr>
        <w:t xml:space="preserve"> </w:t>
      </w:r>
      <w:r w:rsidRPr="006220B2">
        <w:rPr>
          <w:rFonts w:ascii="Times New Roman" w:hAnsi="Times New Roman" w:cs="Times New Roman"/>
          <w:lang w:val="es-MX"/>
        </w:rPr>
        <w:t xml:space="preserve">y es </w:t>
      </w:r>
      <w:r>
        <w:rPr>
          <w:rFonts w:ascii="Times New Roman" w:hAnsi="Times New Roman" w:cs="Times New Roman"/>
          <w:lang w:val="es-MX"/>
        </w:rPr>
        <w:t>infer</w:t>
      </w:r>
      <w:r w:rsidRPr="006220B2">
        <w:rPr>
          <w:rFonts w:ascii="Times New Roman" w:hAnsi="Times New Roman" w:cs="Times New Roman"/>
          <w:lang w:val="es-MX"/>
        </w:rPr>
        <w:t>ior a la reportada en</w:t>
      </w:r>
      <w:r>
        <w:rPr>
          <w:rFonts w:ascii="Times New Roman" w:hAnsi="Times New Roman" w:cs="Times New Roman"/>
          <w:lang w:val="es-MX"/>
        </w:rPr>
        <w:t xml:space="preserve"> cada uno </w:t>
      </w:r>
      <w:r>
        <w:rPr>
          <w:rFonts w:ascii="Times New Roman" w:hAnsi="Times New Roman" w:cs="Times New Roman"/>
          <w:lang w:val="es-MX"/>
        </w:rPr>
        <w:lastRenderedPageBreak/>
        <w:t xml:space="preserve">de los años previos (2015-2019). Al sustraer las ampliaciones presupuestarias y la ejecución derivadas de la emergencia del COVID-19, el grado de ejecución aumenta en 1.7%, hasta ubicarse en 47.8%, siendo aún inferior al nivel promedio.  </w:t>
      </w:r>
      <w:r w:rsidRPr="006220B2">
        <w:rPr>
          <w:rFonts w:ascii="Times New Roman" w:hAnsi="Times New Roman" w:cs="Times New Roman"/>
          <w:lang w:val="es-MX"/>
        </w:rPr>
        <w:t xml:space="preserve"> </w:t>
      </w:r>
    </w:p>
    <w:p w:rsidR="007C3AF6" w:rsidRDefault="007C3AF6" w:rsidP="007C3AF6">
      <w:pPr>
        <w:pStyle w:val="Sinespaciado"/>
        <w:jc w:val="both"/>
        <w:rPr>
          <w:rFonts w:ascii="Times New Roman" w:hAnsi="Times New Roman" w:cs="Times New Roman"/>
          <w:lang w:val="es-MX"/>
        </w:rPr>
      </w:pPr>
    </w:p>
    <w:p w:rsidR="007C3AF6" w:rsidRPr="00005E80" w:rsidRDefault="007C3AF6" w:rsidP="007C3AF6">
      <w:pPr>
        <w:spacing w:after="0" w:line="240" w:lineRule="auto"/>
        <w:jc w:val="center"/>
        <w:rPr>
          <w:rFonts w:ascii="Times New Roman" w:hAnsi="Times New Roman" w:cs="Times New Roman"/>
          <w:b/>
          <w:sz w:val="23"/>
          <w:szCs w:val="23"/>
          <w:lang w:val="es-MX"/>
        </w:rPr>
      </w:pPr>
      <w:r w:rsidRPr="00005E80">
        <w:rPr>
          <w:rFonts w:ascii="Times New Roman" w:hAnsi="Times New Roman" w:cs="Times New Roman"/>
          <w:b/>
          <w:sz w:val="23"/>
          <w:szCs w:val="23"/>
          <w:lang w:val="es-MX"/>
        </w:rPr>
        <w:t>Grado de Ejecución de los últimos 5 años</w:t>
      </w:r>
    </w:p>
    <w:p w:rsidR="007C3AF6" w:rsidRPr="006E737B" w:rsidRDefault="007C3AF6" w:rsidP="007C3AF6">
      <w:pPr>
        <w:pStyle w:val="Sinespaciado"/>
        <w:jc w:val="center"/>
        <w:rPr>
          <w:rFonts w:ascii="Times New Roman" w:hAnsi="Times New Roman" w:cs="Times New Roman"/>
          <w:sz w:val="18"/>
          <w:szCs w:val="18"/>
          <w:lang w:val="es-MX"/>
        </w:rPr>
      </w:pPr>
      <w:r w:rsidRPr="006E737B">
        <w:rPr>
          <w:rFonts w:ascii="Times New Roman" w:hAnsi="Times New Roman" w:cs="Times New Roman"/>
          <w:sz w:val="18"/>
          <w:szCs w:val="18"/>
          <w:lang w:val="es-MX"/>
        </w:rPr>
        <w:t>Al 31 de julio de cada año</w:t>
      </w:r>
    </w:p>
    <w:p w:rsidR="007C3AF6" w:rsidRPr="006E737B" w:rsidRDefault="007C3AF6" w:rsidP="007C3AF6">
      <w:pPr>
        <w:pStyle w:val="Sinespaciado"/>
        <w:jc w:val="center"/>
        <w:rPr>
          <w:rFonts w:ascii="Times New Roman" w:hAnsi="Times New Roman" w:cs="Times New Roman"/>
          <w:sz w:val="18"/>
          <w:szCs w:val="18"/>
          <w:lang w:val="es-MX"/>
        </w:rPr>
      </w:pPr>
      <w:r w:rsidRPr="006E737B">
        <w:rPr>
          <w:rFonts w:ascii="Times New Roman" w:hAnsi="Times New Roman" w:cs="Times New Roman"/>
          <w:noProof/>
          <w:sz w:val="18"/>
          <w:szCs w:val="18"/>
          <w:lang w:eastAsia="es-GT"/>
        </w:rPr>
        <w:drawing>
          <wp:anchor distT="0" distB="0" distL="114300" distR="114300" simplePos="0" relativeHeight="251814912" behindDoc="0" locked="0" layoutInCell="1" allowOverlap="1" wp14:anchorId="2CC5983E" wp14:editId="336E4C4B">
            <wp:simplePos x="0" y="0"/>
            <wp:positionH relativeFrom="column">
              <wp:posOffset>-45085</wp:posOffset>
            </wp:positionH>
            <wp:positionV relativeFrom="paragraph">
              <wp:posOffset>137160</wp:posOffset>
            </wp:positionV>
            <wp:extent cx="2820670" cy="2104390"/>
            <wp:effectExtent l="0" t="0" r="0" b="0"/>
            <wp:wrapSquare wrapText="bothSides"/>
            <wp:docPr id="226" name="Gráfico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6E737B">
        <w:rPr>
          <w:rFonts w:ascii="Times New Roman" w:hAnsi="Times New Roman" w:cs="Times New Roman"/>
          <w:sz w:val="18"/>
          <w:szCs w:val="18"/>
          <w:lang w:val="es-MX"/>
        </w:rPr>
        <w:t>Cifras en porcentajes</w:t>
      </w:r>
    </w:p>
    <w:p w:rsidR="007C3AF6" w:rsidRPr="006E737B" w:rsidRDefault="007C3AF6" w:rsidP="007C3AF6">
      <w:pPr>
        <w:spacing w:after="0" w:line="240" w:lineRule="auto"/>
        <w:jc w:val="both"/>
        <w:rPr>
          <w:rFonts w:ascii="Times New Roman" w:hAnsi="Times New Roman" w:cs="Times New Roman"/>
          <w:sz w:val="16"/>
        </w:rPr>
      </w:pPr>
      <w:r w:rsidRPr="006E737B">
        <w:rPr>
          <w:rFonts w:ascii="Times New Roman" w:hAnsi="Times New Roman" w:cs="Times New Roman"/>
          <w:sz w:val="16"/>
        </w:rPr>
        <w:t>Fuente: Dirección de Análisis y Política Fiscal</w:t>
      </w:r>
    </w:p>
    <w:p w:rsidR="007C3AF6" w:rsidRPr="006E737B" w:rsidRDefault="007C3AF6" w:rsidP="007C3AF6">
      <w:pPr>
        <w:pStyle w:val="Sinespaciado"/>
        <w:jc w:val="both"/>
        <w:rPr>
          <w:rFonts w:ascii="Times New Roman" w:hAnsi="Times New Roman" w:cs="Times New Roman"/>
        </w:rPr>
      </w:pPr>
    </w:p>
    <w:p w:rsidR="007C3AF6" w:rsidRPr="00F304F6" w:rsidRDefault="007C3AF6" w:rsidP="007C3AF6">
      <w:pPr>
        <w:pStyle w:val="Sinespaciado"/>
        <w:jc w:val="both"/>
        <w:rPr>
          <w:rFonts w:ascii="Times New Roman" w:hAnsi="Times New Roman" w:cs="Times New Roman"/>
          <w:color w:val="FF0000"/>
          <w:lang w:val="es-MX"/>
        </w:rPr>
      </w:pPr>
      <w:r>
        <w:rPr>
          <w:rFonts w:ascii="Times New Roman" w:hAnsi="Times New Roman" w:cs="Times New Roman"/>
          <w:lang w:val="es-MX"/>
        </w:rPr>
        <w:t>El nivel de ejecución tiene el efecto dado por las considerables ampliaciones presupuestarias registradas hasta la fecha, las cuales ascienden a Q20,045.7 millones, de las cuales Q14,388.8 millones corresponden a las actividades relaciones a la atención de la emergencia del COVID-19 y del resto de ampliaciones para complementar las necesidades de las entidades. A esto se debe de agregar que, durante el primer año de una nueva administración pública, la ejecución suele ser más lenta.</w:t>
      </w:r>
      <w:r w:rsidRPr="00F304F6">
        <w:rPr>
          <w:rFonts w:ascii="Times New Roman" w:hAnsi="Times New Roman" w:cs="Times New Roman"/>
          <w:color w:val="FF0000"/>
          <w:lang w:val="es-MX"/>
        </w:rPr>
        <w:t xml:space="preserve"> </w:t>
      </w:r>
    </w:p>
    <w:p w:rsidR="007C3AF6" w:rsidRPr="00F304F6" w:rsidRDefault="007C3AF6" w:rsidP="007C3AF6">
      <w:pPr>
        <w:spacing w:after="0" w:line="240" w:lineRule="auto"/>
        <w:jc w:val="center"/>
        <w:rPr>
          <w:rFonts w:ascii="Times New Roman" w:hAnsi="Times New Roman" w:cs="Times New Roman"/>
          <w:b/>
          <w:color w:val="FF0000"/>
          <w:lang w:val="es-MX"/>
        </w:rPr>
      </w:pPr>
    </w:p>
    <w:p w:rsidR="007C3AF6" w:rsidRPr="004748F4" w:rsidRDefault="007C3AF6" w:rsidP="007C3AF6">
      <w:pPr>
        <w:pStyle w:val="Sinespaciado"/>
        <w:jc w:val="both"/>
        <w:rPr>
          <w:rFonts w:ascii="Times New Roman" w:hAnsi="Times New Roman" w:cs="Times New Roman"/>
        </w:rPr>
      </w:pPr>
      <w:r>
        <w:rPr>
          <w:rFonts w:ascii="Times New Roman" w:hAnsi="Times New Roman" w:cs="Times New Roman"/>
        </w:rPr>
        <w:t>A nivel del gasto público por entidades, muestran el mayor nivel de ejecución la PGN (57.6%), Educación (55.8%), Presidencia (51.2%), Obligaciones del Estado a cargo del Tesoro (48.7%), Servicio de la Deuda Pública (48.2%), Defensa (</w:t>
      </w:r>
      <w:r w:rsidRPr="004748F4">
        <w:rPr>
          <w:rFonts w:ascii="Times New Roman" w:hAnsi="Times New Roman" w:cs="Times New Roman"/>
        </w:rPr>
        <w:t>4</w:t>
      </w:r>
      <w:r>
        <w:rPr>
          <w:rFonts w:ascii="Times New Roman" w:hAnsi="Times New Roman" w:cs="Times New Roman"/>
        </w:rPr>
        <w:t xml:space="preserve">6.8%) y Gobernación (46.6%), todas estas entidades se encuentran por arriba de la ejecución total. </w:t>
      </w:r>
    </w:p>
    <w:p w:rsidR="007C3AF6" w:rsidRDefault="007C3AF6" w:rsidP="007C3AF6">
      <w:pPr>
        <w:pStyle w:val="Sinespaciado"/>
        <w:jc w:val="both"/>
        <w:rPr>
          <w:rFonts w:ascii="Times New Roman" w:hAnsi="Times New Roman" w:cs="Times New Roman"/>
        </w:rPr>
      </w:pPr>
    </w:p>
    <w:p w:rsidR="007C3AF6" w:rsidRDefault="007C3AF6" w:rsidP="007C3AF6">
      <w:pPr>
        <w:pStyle w:val="Sinespaciado"/>
        <w:jc w:val="both"/>
        <w:rPr>
          <w:rFonts w:ascii="Times New Roman" w:hAnsi="Times New Roman" w:cs="Times New Roman"/>
        </w:rPr>
      </w:pPr>
      <w:r>
        <w:rPr>
          <w:rFonts w:ascii="Times New Roman" w:hAnsi="Times New Roman" w:cs="Times New Roman"/>
        </w:rPr>
        <w:lastRenderedPageBreak/>
        <w:t xml:space="preserve">Por su parte, el resto de las entidades se encuentran por debajo de la ejecución institucional total, resalta el caso de cuatro entidades, siendo Agricultura (25.7%), Cultura y Deportes (27.8%), Economía (33.6%) y Desarrollo Social (34.0%). </w:t>
      </w:r>
    </w:p>
    <w:p w:rsidR="007C3AF6" w:rsidRDefault="007C3AF6" w:rsidP="007C3AF6">
      <w:pPr>
        <w:pStyle w:val="Sinespaciado"/>
        <w:jc w:val="both"/>
        <w:rPr>
          <w:rFonts w:ascii="Times New Roman" w:hAnsi="Times New Roman" w:cs="Times New Roman"/>
        </w:rPr>
      </w:pPr>
    </w:p>
    <w:p w:rsidR="007C3AF6" w:rsidRDefault="007C3AF6" w:rsidP="007C3AF6">
      <w:pPr>
        <w:pStyle w:val="Sinespaciado"/>
        <w:jc w:val="both"/>
        <w:rPr>
          <w:rFonts w:ascii="Times New Roman" w:hAnsi="Times New Roman" w:cs="Times New Roman"/>
        </w:rPr>
      </w:pPr>
      <w:r>
        <w:rPr>
          <w:rFonts w:ascii="Times New Roman" w:hAnsi="Times New Roman" w:cs="Times New Roman"/>
        </w:rPr>
        <w:t xml:space="preserve">En el caso de Agricultura, Economía y Desarrollo Social, son entidades que tienen bajo su responsabilidad actividades relacionadas a la atención de la emergencia del COVID-19 y de esa cuenta han sentido el efecto de una asignación presupuestaria amplia, y este efecto en el presupuesto anudado a algunos problemas en la ejecución dan como resultado que se observe una baja ejecución. Dado que al mes de julio aún continuaban los efectos negativos por la pandemia, el Congreso de la República ratificó el Estado de Calamidad, el cual estará vigente hasta principios de septiembre, con lo cual existen las condiciones para que sigan efectivas las acciones sanitarias y económicas para la atención del COVID-19. </w:t>
      </w:r>
    </w:p>
    <w:p w:rsidR="007C3AF6" w:rsidRDefault="007C3AF6" w:rsidP="007C3AF6">
      <w:pPr>
        <w:pStyle w:val="Sinespaciado"/>
        <w:jc w:val="both"/>
        <w:rPr>
          <w:rFonts w:ascii="Times New Roman" w:hAnsi="Times New Roman" w:cs="Times New Roman"/>
        </w:rPr>
      </w:pPr>
    </w:p>
    <w:p w:rsidR="007C3AF6" w:rsidRDefault="007C3AF6" w:rsidP="007C3AF6">
      <w:pPr>
        <w:pStyle w:val="Sinespaciado"/>
        <w:jc w:val="both"/>
        <w:rPr>
          <w:rFonts w:ascii="Times New Roman" w:hAnsi="Times New Roman" w:cs="Times New Roman"/>
        </w:rPr>
      </w:pPr>
      <w:r>
        <w:rPr>
          <w:rFonts w:ascii="Times New Roman" w:hAnsi="Times New Roman" w:cs="Times New Roman"/>
        </w:rPr>
        <w:t xml:space="preserve">En cuanto a crecimiento interanual </w:t>
      </w:r>
      <w:r w:rsidRPr="00502A24">
        <w:rPr>
          <w:rFonts w:ascii="Times New Roman" w:hAnsi="Times New Roman" w:cs="Times New Roman"/>
        </w:rPr>
        <w:t>reportan avances</w:t>
      </w:r>
      <w:r>
        <w:rPr>
          <w:rFonts w:ascii="Times New Roman" w:hAnsi="Times New Roman" w:cs="Times New Roman"/>
        </w:rPr>
        <w:t xml:space="preserve"> importantes el Ministerio de Desarrollo Social (433.2%) y Economía (355.4%), derivado precisamente de la ejecución de las actividades para la atención del COVID-19, actividades que no se tuvieron contempladas en el año previo.</w:t>
      </w:r>
    </w:p>
    <w:p w:rsidR="007C3AF6" w:rsidRDefault="007C3AF6" w:rsidP="007C3AF6">
      <w:pPr>
        <w:pStyle w:val="Sinespaciado"/>
        <w:jc w:val="both"/>
        <w:rPr>
          <w:rFonts w:ascii="Times New Roman" w:hAnsi="Times New Roman" w:cs="Times New Roman"/>
        </w:rPr>
      </w:pPr>
    </w:p>
    <w:p w:rsidR="007C3AF6" w:rsidRPr="00F304F6" w:rsidRDefault="007C3AF6" w:rsidP="007C3AF6">
      <w:pPr>
        <w:pStyle w:val="Sinespaciado"/>
        <w:jc w:val="both"/>
        <w:rPr>
          <w:rFonts w:ascii="Times New Roman" w:hAnsi="Times New Roman" w:cs="Times New Roman"/>
          <w:color w:val="FF0000"/>
        </w:rPr>
      </w:pPr>
      <w:r>
        <w:rPr>
          <w:rFonts w:ascii="Times New Roman" w:hAnsi="Times New Roman" w:cs="Times New Roman"/>
        </w:rPr>
        <w:t>Ocho entidades reportan retrocesos respecto al año previo, entre las caídas más importantes, se encuentra Agricultura (-34.1%), Cultura y Deportes (-30.9%), Ambiente y Recursos Naturales (-26.4%) y Comunicaciones (-16.4%).</w:t>
      </w:r>
      <w:r w:rsidRPr="00F304F6">
        <w:rPr>
          <w:rFonts w:ascii="Times New Roman" w:hAnsi="Times New Roman" w:cs="Times New Roman"/>
          <w:color w:val="FF0000"/>
        </w:rPr>
        <w:t xml:space="preserve"> </w:t>
      </w:r>
    </w:p>
    <w:p w:rsidR="007C3AF6" w:rsidRDefault="007C3AF6" w:rsidP="007C3AF6">
      <w:pPr>
        <w:pStyle w:val="Sinespaciado"/>
        <w:jc w:val="both"/>
        <w:rPr>
          <w:rFonts w:ascii="Times New Roman" w:hAnsi="Times New Roman" w:cs="Times New Roman"/>
          <w:color w:val="FF0000"/>
        </w:rPr>
      </w:pPr>
    </w:p>
    <w:p w:rsidR="00005E80" w:rsidRDefault="00005E80" w:rsidP="007C3AF6">
      <w:pPr>
        <w:pStyle w:val="Sinespaciado"/>
        <w:jc w:val="both"/>
        <w:rPr>
          <w:rFonts w:ascii="Times New Roman" w:hAnsi="Times New Roman" w:cs="Times New Roman"/>
          <w:color w:val="FF0000"/>
        </w:rPr>
      </w:pPr>
    </w:p>
    <w:p w:rsidR="00005E80" w:rsidRDefault="00005E80" w:rsidP="007C3AF6">
      <w:pPr>
        <w:pStyle w:val="Sinespaciado"/>
        <w:jc w:val="both"/>
        <w:rPr>
          <w:rFonts w:ascii="Times New Roman" w:hAnsi="Times New Roman" w:cs="Times New Roman"/>
          <w:color w:val="FF0000"/>
        </w:rPr>
      </w:pPr>
    </w:p>
    <w:p w:rsidR="00005E80" w:rsidRDefault="00005E80" w:rsidP="007C3AF6">
      <w:pPr>
        <w:pStyle w:val="Sinespaciado"/>
        <w:jc w:val="both"/>
        <w:rPr>
          <w:rFonts w:ascii="Times New Roman" w:hAnsi="Times New Roman" w:cs="Times New Roman"/>
          <w:color w:val="FF0000"/>
        </w:rPr>
      </w:pPr>
    </w:p>
    <w:p w:rsidR="00005E80" w:rsidRDefault="00005E80" w:rsidP="007C3AF6">
      <w:pPr>
        <w:pStyle w:val="Sinespaciado"/>
        <w:jc w:val="both"/>
        <w:rPr>
          <w:rFonts w:ascii="Times New Roman" w:hAnsi="Times New Roman" w:cs="Times New Roman"/>
          <w:color w:val="FF0000"/>
        </w:rPr>
      </w:pPr>
    </w:p>
    <w:p w:rsidR="00005E80" w:rsidRDefault="00005E80" w:rsidP="007C3AF6">
      <w:pPr>
        <w:pStyle w:val="Sinespaciado"/>
        <w:jc w:val="both"/>
        <w:rPr>
          <w:rFonts w:ascii="Times New Roman" w:hAnsi="Times New Roman" w:cs="Times New Roman"/>
          <w:color w:val="FF0000"/>
        </w:rPr>
      </w:pPr>
    </w:p>
    <w:p w:rsidR="00005E80" w:rsidRPr="00F304F6" w:rsidRDefault="00005E80" w:rsidP="007C3AF6">
      <w:pPr>
        <w:pStyle w:val="Sinespaciado"/>
        <w:jc w:val="both"/>
        <w:rPr>
          <w:rFonts w:ascii="Times New Roman" w:hAnsi="Times New Roman" w:cs="Times New Roman"/>
          <w:color w:val="FF0000"/>
        </w:rPr>
      </w:pPr>
    </w:p>
    <w:p w:rsidR="007C3AF6" w:rsidRPr="00005E80" w:rsidRDefault="007C3AF6" w:rsidP="007C3AF6">
      <w:pPr>
        <w:spacing w:after="0" w:line="240" w:lineRule="auto"/>
        <w:jc w:val="center"/>
        <w:rPr>
          <w:rFonts w:ascii="Times New Roman" w:hAnsi="Times New Roman" w:cs="Times New Roman"/>
          <w:b/>
          <w:sz w:val="24"/>
          <w:lang w:val="es-MX"/>
        </w:rPr>
      </w:pPr>
      <w:r w:rsidRPr="00005E80">
        <w:rPr>
          <w:rFonts w:ascii="Times New Roman" w:hAnsi="Times New Roman" w:cs="Times New Roman"/>
          <w:b/>
          <w:sz w:val="24"/>
          <w:lang w:val="es-MX"/>
        </w:rPr>
        <w:lastRenderedPageBreak/>
        <w:t>Grado de Ejecución por Entidad</w:t>
      </w:r>
    </w:p>
    <w:p w:rsidR="007C3AF6" w:rsidRPr="00E90128" w:rsidRDefault="007C3AF6" w:rsidP="007C3AF6">
      <w:pPr>
        <w:spacing w:after="0" w:line="240" w:lineRule="auto"/>
        <w:jc w:val="center"/>
        <w:rPr>
          <w:rFonts w:ascii="Times New Roman" w:hAnsi="Times New Roman" w:cs="Times New Roman"/>
          <w:sz w:val="18"/>
          <w:szCs w:val="18"/>
          <w:lang w:val="es-MX"/>
        </w:rPr>
      </w:pPr>
      <w:r w:rsidRPr="00E90128">
        <w:rPr>
          <w:rFonts w:ascii="Times New Roman" w:hAnsi="Times New Roman" w:cs="Times New Roman"/>
          <w:sz w:val="18"/>
          <w:szCs w:val="18"/>
          <w:lang w:val="es-MX"/>
        </w:rPr>
        <w:t>Al 31 de julio del 2020</w:t>
      </w:r>
    </w:p>
    <w:p w:rsidR="007C3AF6" w:rsidRPr="00E90128" w:rsidRDefault="007C3AF6" w:rsidP="007C3AF6">
      <w:pPr>
        <w:spacing w:after="0" w:line="240" w:lineRule="auto"/>
        <w:jc w:val="center"/>
        <w:rPr>
          <w:rFonts w:ascii="Times New Roman" w:hAnsi="Times New Roman" w:cs="Times New Roman"/>
          <w:sz w:val="18"/>
          <w:szCs w:val="18"/>
          <w:lang w:val="es-MX"/>
        </w:rPr>
      </w:pPr>
      <w:r w:rsidRPr="00E90128">
        <w:rPr>
          <w:rFonts w:ascii="Times New Roman" w:hAnsi="Times New Roman" w:cs="Times New Roman"/>
          <w:noProof/>
          <w:sz w:val="18"/>
          <w:szCs w:val="18"/>
          <w:lang w:eastAsia="es-GT"/>
        </w:rPr>
        <w:drawing>
          <wp:anchor distT="0" distB="0" distL="114300" distR="114300" simplePos="0" relativeHeight="251815936" behindDoc="0" locked="0" layoutInCell="1" allowOverlap="1" wp14:anchorId="29719933" wp14:editId="060F015A">
            <wp:simplePos x="0" y="0"/>
            <wp:positionH relativeFrom="column">
              <wp:posOffset>635</wp:posOffset>
            </wp:positionH>
            <wp:positionV relativeFrom="paragraph">
              <wp:posOffset>132715</wp:posOffset>
            </wp:positionV>
            <wp:extent cx="2759075" cy="3227705"/>
            <wp:effectExtent l="0" t="0" r="3175" b="0"/>
            <wp:wrapSquare wrapText="bothSides"/>
            <wp:docPr id="227" name="Gráfico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E90128">
        <w:rPr>
          <w:rFonts w:ascii="Times New Roman" w:hAnsi="Times New Roman" w:cs="Times New Roman"/>
          <w:sz w:val="18"/>
          <w:szCs w:val="18"/>
          <w:lang w:val="es-MX"/>
        </w:rPr>
        <w:t>Millones de quetzales</w:t>
      </w:r>
    </w:p>
    <w:p w:rsidR="007C3AF6" w:rsidRPr="00E90128" w:rsidRDefault="007C3AF6" w:rsidP="007C3AF6">
      <w:pPr>
        <w:spacing w:after="0" w:line="240" w:lineRule="auto"/>
        <w:jc w:val="both"/>
        <w:rPr>
          <w:rFonts w:ascii="Times New Roman" w:hAnsi="Times New Roman" w:cs="Times New Roman"/>
          <w:sz w:val="16"/>
        </w:rPr>
      </w:pPr>
      <w:r w:rsidRPr="00E90128">
        <w:rPr>
          <w:rFonts w:ascii="Times New Roman" w:hAnsi="Times New Roman" w:cs="Times New Roman"/>
          <w:sz w:val="16"/>
        </w:rPr>
        <w:t>Fuente: Dirección de Análisis y Política Fiscal</w:t>
      </w:r>
    </w:p>
    <w:p w:rsidR="007C3AF6" w:rsidRPr="00F304F6" w:rsidRDefault="007C3AF6" w:rsidP="007C3AF6">
      <w:pPr>
        <w:pStyle w:val="Sinespaciado"/>
        <w:jc w:val="both"/>
        <w:rPr>
          <w:rFonts w:ascii="Times New Roman" w:hAnsi="Times New Roman" w:cs="Times New Roman"/>
          <w:color w:val="FF0000"/>
        </w:rPr>
      </w:pPr>
    </w:p>
    <w:p w:rsidR="007C3AF6" w:rsidRDefault="007C3AF6" w:rsidP="007C3AF6">
      <w:pPr>
        <w:pStyle w:val="Sinespaciado"/>
        <w:jc w:val="both"/>
        <w:rPr>
          <w:rFonts w:ascii="Times New Roman" w:hAnsi="Times New Roman" w:cs="Times New Roman"/>
          <w:lang w:val="es-MX"/>
        </w:rPr>
      </w:pPr>
      <w:r>
        <w:rPr>
          <w:rFonts w:ascii="Times New Roman" w:hAnsi="Times New Roman" w:cs="Times New Roman"/>
          <w:lang w:val="es-MX"/>
        </w:rPr>
        <w:t>En r</w:t>
      </w:r>
      <w:r w:rsidRPr="00C74885">
        <w:rPr>
          <w:rFonts w:ascii="Times New Roman" w:hAnsi="Times New Roman" w:cs="Times New Roman"/>
          <w:lang w:val="es-MX"/>
        </w:rPr>
        <w:t>elación con</w:t>
      </w:r>
      <w:r>
        <w:rPr>
          <w:rFonts w:ascii="Times New Roman" w:hAnsi="Times New Roman" w:cs="Times New Roman"/>
          <w:lang w:val="es-MX"/>
        </w:rPr>
        <w:t xml:space="preserve"> </w:t>
      </w:r>
      <w:r w:rsidRPr="00C74885">
        <w:rPr>
          <w:rFonts w:ascii="Times New Roman" w:hAnsi="Times New Roman" w:cs="Times New Roman"/>
          <w:lang w:val="es-MX"/>
        </w:rPr>
        <w:t>l</w:t>
      </w:r>
      <w:r>
        <w:rPr>
          <w:rFonts w:ascii="Times New Roman" w:hAnsi="Times New Roman" w:cs="Times New Roman"/>
          <w:lang w:val="es-MX"/>
        </w:rPr>
        <w:t>a ejecución del</w:t>
      </w:r>
      <w:r w:rsidRPr="00C74885">
        <w:rPr>
          <w:rFonts w:ascii="Times New Roman" w:hAnsi="Times New Roman" w:cs="Times New Roman"/>
          <w:lang w:val="es-MX"/>
        </w:rPr>
        <w:t xml:space="preserve"> gasto social, </w:t>
      </w:r>
      <w:r>
        <w:rPr>
          <w:rFonts w:ascii="Times New Roman" w:hAnsi="Times New Roman" w:cs="Times New Roman"/>
          <w:lang w:val="es-MX"/>
        </w:rPr>
        <w:t xml:space="preserve">que considera únicamente los sectores de salud, educación y vivienda, se reporta una ejecución de 49.1%, al incluir en el gasto social a los sectores que son parte de los compromisos asumidos por los Acuerdos de Paz, la ejecución se mantiene prácticamente en el mismo nivel (49.0%). </w:t>
      </w:r>
    </w:p>
    <w:p w:rsidR="007C3AF6" w:rsidRDefault="007C3AF6" w:rsidP="007C3AF6">
      <w:pPr>
        <w:pStyle w:val="Sinespaciado"/>
        <w:jc w:val="both"/>
        <w:rPr>
          <w:rFonts w:ascii="Times New Roman" w:hAnsi="Times New Roman" w:cs="Times New Roman"/>
          <w:lang w:val="es-MX"/>
        </w:rPr>
      </w:pPr>
    </w:p>
    <w:p w:rsidR="007C3AF6" w:rsidRDefault="007C3AF6" w:rsidP="007C3AF6">
      <w:pPr>
        <w:pStyle w:val="Sinespaciado"/>
        <w:jc w:val="both"/>
        <w:rPr>
          <w:rFonts w:ascii="Times New Roman" w:hAnsi="Times New Roman" w:cs="Times New Roman"/>
          <w:lang w:val="es-MX"/>
        </w:rPr>
      </w:pPr>
      <w:r>
        <w:rPr>
          <w:rFonts w:ascii="Times New Roman" w:hAnsi="Times New Roman" w:cs="Times New Roman"/>
          <w:lang w:val="es-MX"/>
        </w:rPr>
        <w:t xml:space="preserve">Los aportes dados al Organismo Judicial y a Corte de Constitucionalidad muestran el mayor dinamismo del gasto social con 56.2% de </w:t>
      </w:r>
      <w:r>
        <w:rPr>
          <w:rFonts w:ascii="Times New Roman" w:hAnsi="Times New Roman" w:cs="Times New Roman"/>
          <w:lang w:val="es-MX"/>
        </w:rPr>
        <w:lastRenderedPageBreak/>
        <w:t xml:space="preserve">ejecución. Seguido del sector </w:t>
      </w:r>
      <w:r w:rsidRPr="002B60D4">
        <w:rPr>
          <w:rFonts w:ascii="Times New Roman" w:hAnsi="Times New Roman" w:cs="Times New Roman"/>
          <w:lang w:val="es-MX"/>
        </w:rPr>
        <w:t xml:space="preserve">educación, ciencia y cultura con una ejecución de </w:t>
      </w:r>
      <w:r>
        <w:rPr>
          <w:rFonts w:ascii="Times New Roman" w:hAnsi="Times New Roman" w:cs="Times New Roman"/>
          <w:lang w:val="es-MX"/>
        </w:rPr>
        <w:t>53</w:t>
      </w:r>
      <w:r w:rsidRPr="002B60D4">
        <w:rPr>
          <w:rFonts w:ascii="Times New Roman" w:hAnsi="Times New Roman" w:cs="Times New Roman"/>
          <w:lang w:val="es-MX"/>
        </w:rPr>
        <w:t>.</w:t>
      </w:r>
      <w:r>
        <w:rPr>
          <w:rFonts w:ascii="Times New Roman" w:hAnsi="Times New Roman" w:cs="Times New Roman"/>
          <w:lang w:val="es-MX"/>
        </w:rPr>
        <w:t>2</w:t>
      </w:r>
      <w:r w:rsidRPr="002B60D4">
        <w:rPr>
          <w:rFonts w:ascii="Times New Roman" w:hAnsi="Times New Roman" w:cs="Times New Roman"/>
          <w:lang w:val="es-MX"/>
        </w:rPr>
        <w:t>%.</w:t>
      </w:r>
      <w:r>
        <w:rPr>
          <w:rFonts w:ascii="Times New Roman" w:hAnsi="Times New Roman" w:cs="Times New Roman"/>
          <w:lang w:val="es-MX"/>
        </w:rPr>
        <w:t xml:space="preserve"> </w:t>
      </w:r>
    </w:p>
    <w:p w:rsidR="007C3AF6" w:rsidRDefault="007C3AF6" w:rsidP="007C3AF6">
      <w:pPr>
        <w:pStyle w:val="Sinespaciado"/>
        <w:jc w:val="both"/>
        <w:rPr>
          <w:rFonts w:ascii="Times New Roman" w:hAnsi="Times New Roman" w:cs="Times New Roman"/>
          <w:lang w:val="es-MX"/>
        </w:rPr>
      </w:pPr>
    </w:p>
    <w:p w:rsidR="007C3AF6" w:rsidRDefault="007C3AF6" w:rsidP="007C3AF6">
      <w:pPr>
        <w:pStyle w:val="Sinespaciado"/>
        <w:jc w:val="both"/>
        <w:rPr>
          <w:rFonts w:ascii="Times New Roman" w:hAnsi="Times New Roman" w:cs="Times New Roman"/>
          <w:lang w:val="es-MX"/>
        </w:rPr>
      </w:pPr>
      <w:r>
        <w:rPr>
          <w:rFonts w:ascii="Times New Roman" w:hAnsi="Times New Roman" w:cs="Times New Roman"/>
          <w:lang w:val="es-MX"/>
        </w:rPr>
        <w:t xml:space="preserve">El sector con la menor ejecución del gasto social es el de la vivienda, reportando únicamente un 24.9% de ejecución. </w:t>
      </w:r>
    </w:p>
    <w:p w:rsidR="007C3AF6" w:rsidRDefault="007C3AF6" w:rsidP="007C3AF6">
      <w:pPr>
        <w:pStyle w:val="Sinespaciado"/>
        <w:jc w:val="both"/>
        <w:rPr>
          <w:rFonts w:ascii="Times New Roman" w:hAnsi="Times New Roman" w:cs="Times New Roman"/>
          <w:lang w:val="es-MX"/>
        </w:rPr>
      </w:pPr>
    </w:p>
    <w:p w:rsidR="007C3AF6" w:rsidRDefault="007C3AF6" w:rsidP="007C3AF6">
      <w:pPr>
        <w:pStyle w:val="Sinespaciado"/>
        <w:jc w:val="both"/>
        <w:rPr>
          <w:rFonts w:ascii="Times New Roman" w:hAnsi="Times New Roman" w:cs="Times New Roman"/>
          <w:lang w:val="es-MX"/>
        </w:rPr>
      </w:pPr>
      <w:r>
        <w:rPr>
          <w:rFonts w:ascii="Times New Roman" w:hAnsi="Times New Roman" w:cs="Times New Roman"/>
          <w:lang w:val="es-MX"/>
        </w:rPr>
        <w:t xml:space="preserve">Respecto al año anterior, el sector de salud y asistencia social reporta un crecimiento negativo de 4.7%, equivalente a Q273.9 millones y el sector vivienda reporta un retroceso de 1.0%, equivalente a Q1.5 millones. </w:t>
      </w:r>
    </w:p>
    <w:p w:rsidR="007C3AF6" w:rsidRDefault="007C3AF6" w:rsidP="007C3AF6">
      <w:pPr>
        <w:pStyle w:val="Sinespaciado"/>
        <w:jc w:val="both"/>
        <w:rPr>
          <w:rFonts w:ascii="Times New Roman" w:hAnsi="Times New Roman" w:cs="Times New Roman"/>
          <w:lang w:val="es-MX"/>
        </w:rPr>
      </w:pPr>
    </w:p>
    <w:p w:rsidR="007C3AF6" w:rsidRPr="00F304F6" w:rsidRDefault="007C3AF6" w:rsidP="007C3AF6">
      <w:pPr>
        <w:pStyle w:val="Sinespaciado"/>
        <w:jc w:val="both"/>
        <w:rPr>
          <w:rFonts w:ascii="Times New Roman" w:hAnsi="Times New Roman" w:cs="Times New Roman"/>
          <w:b/>
          <w:color w:val="FF0000"/>
          <w:lang w:val="es-MX"/>
        </w:rPr>
      </w:pPr>
      <w:r>
        <w:rPr>
          <w:rFonts w:ascii="Times New Roman" w:hAnsi="Times New Roman" w:cs="Times New Roman"/>
          <w:lang w:val="es-MX"/>
        </w:rPr>
        <w:t>En general, el gasto social reporta un crecimiento interanual de 1.9%, lo que es equivalente a Q422.4 millones más de lo ejecutado en 2019. El año anterior, el gasto social estaba creciendo a una tasa de dos dígitos (13.4%).</w:t>
      </w:r>
      <w:r w:rsidRPr="00F304F6">
        <w:rPr>
          <w:rFonts w:ascii="Times New Roman" w:hAnsi="Times New Roman" w:cs="Times New Roman"/>
          <w:color w:val="FF0000"/>
          <w:lang w:val="es-MX"/>
        </w:rPr>
        <w:t xml:space="preserve"> </w:t>
      </w:r>
    </w:p>
    <w:p w:rsidR="007C3AF6" w:rsidRPr="00F304F6" w:rsidRDefault="007C3AF6" w:rsidP="007C3AF6">
      <w:pPr>
        <w:pStyle w:val="Sinespaciado"/>
        <w:jc w:val="center"/>
        <w:rPr>
          <w:rFonts w:ascii="Times New Roman" w:hAnsi="Times New Roman" w:cs="Times New Roman"/>
          <w:b/>
          <w:color w:val="FF0000"/>
          <w:lang w:val="es-MX"/>
        </w:rPr>
      </w:pPr>
    </w:p>
    <w:p w:rsidR="007C3AF6" w:rsidRPr="00005E80" w:rsidRDefault="007C3AF6" w:rsidP="007C3AF6">
      <w:pPr>
        <w:pStyle w:val="Sinespaciado"/>
        <w:jc w:val="center"/>
        <w:rPr>
          <w:rFonts w:ascii="Times New Roman" w:hAnsi="Times New Roman" w:cs="Times New Roman"/>
          <w:b/>
          <w:sz w:val="23"/>
          <w:szCs w:val="23"/>
          <w:lang w:val="es-MX"/>
        </w:rPr>
      </w:pPr>
      <w:r w:rsidRPr="00005E80">
        <w:rPr>
          <w:rFonts w:ascii="Times New Roman" w:hAnsi="Times New Roman" w:cs="Times New Roman"/>
          <w:b/>
          <w:sz w:val="23"/>
          <w:szCs w:val="23"/>
          <w:lang w:val="es-MX"/>
        </w:rPr>
        <w:t xml:space="preserve">Ejecución y crecimiento del Gasto Social </w:t>
      </w:r>
    </w:p>
    <w:p w:rsidR="007C3AF6" w:rsidRPr="009D459C" w:rsidRDefault="007C3AF6" w:rsidP="007C3AF6">
      <w:pPr>
        <w:pStyle w:val="Sinespaciado"/>
        <w:jc w:val="center"/>
        <w:rPr>
          <w:rFonts w:ascii="Times New Roman" w:hAnsi="Times New Roman" w:cs="Times New Roman"/>
          <w:sz w:val="18"/>
          <w:szCs w:val="18"/>
          <w:lang w:val="es-MX"/>
        </w:rPr>
      </w:pPr>
      <w:r>
        <w:rPr>
          <w:rFonts w:ascii="Times New Roman" w:hAnsi="Times New Roman" w:cs="Times New Roman"/>
          <w:sz w:val="18"/>
          <w:szCs w:val="18"/>
          <w:lang w:val="es-MX"/>
        </w:rPr>
        <w:t>Al 31 de julio 2018-2020</w:t>
      </w:r>
    </w:p>
    <w:p w:rsidR="007C3AF6" w:rsidRPr="00CA1F67" w:rsidRDefault="007C3AF6" w:rsidP="007C3AF6">
      <w:pPr>
        <w:pStyle w:val="Sinespaciado"/>
        <w:jc w:val="center"/>
        <w:rPr>
          <w:rFonts w:ascii="Times New Roman" w:hAnsi="Times New Roman" w:cs="Times New Roman"/>
          <w:sz w:val="18"/>
          <w:szCs w:val="18"/>
          <w:lang w:val="es-MX"/>
        </w:rPr>
      </w:pPr>
      <w:r w:rsidRPr="00CA1F67">
        <w:rPr>
          <w:rFonts w:ascii="Times New Roman" w:hAnsi="Times New Roman" w:cs="Times New Roman"/>
          <w:sz w:val="18"/>
          <w:szCs w:val="18"/>
          <w:lang w:val="es-MX"/>
        </w:rPr>
        <w:t>Cifras en porcentajes y en millones de quetzales</w:t>
      </w:r>
    </w:p>
    <w:p w:rsidR="007C3AF6" w:rsidRDefault="007C3AF6" w:rsidP="007C3AF6">
      <w:pPr>
        <w:pStyle w:val="Sinespaciado"/>
        <w:jc w:val="center"/>
        <w:rPr>
          <w:rFonts w:ascii="Times New Roman" w:hAnsi="Times New Roman" w:cs="Times New Roman"/>
          <w:sz w:val="18"/>
          <w:szCs w:val="18"/>
          <w:lang w:val="es-MX"/>
        </w:rPr>
      </w:pPr>
      <w:r>
        <w:rPr>
          <w:rFonts w:ascii="Times New Roman" w:hAnsi="Times New Roman" w:cs="Times New Roman"/>
          <w:noProof/>
          <w:sz w:val="18"/>
          <w:szCs w:val="18"/>
          <w:lang w:eastAsia="es-GT"/>
        </w:rPr>
        <w:drawing>
          <wp:inline distT="0" distB="0" distL="0" distR="0" wp14:anchorId="08B37DED" wp14:editId="68F2ACF9">
            <wp:extent cx="2673302" cy="1949450"/>
            <wp:effectExtent l="0" t="0" r="0" b="0"/>
            <wp:docPr id="22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C3AF6" w:rsidRDefault="007C3AF6" w:rsidP="007C3AF6">
      <w:pPr>
        <w:pStyle w:val="Sinespaciado"/>
        <w:rPr>
          <w:rFonts w:ascii="Times New Roman" w:hAnsi="Times New Roman" w:cs="Times New Roman"/>
          <w:sz w:val="16"/>
        </w:rPr>
      </w:pPr>
      <w:r>
        <w:rPr>
          <w:rFonts w:ascii="Times New Roman" w:hAnsi="Times New Roman" w:cs="Times New Roman"/>
          <w:sz w:val="16"/>
        </w:rPr>
        <w:t xml:space="preserve">Fuente: </w:t>
      </w:r>
      <w:r w:rsidRPr="006F1F3C">
        <w:rPr>
          <w:rFonts w:ascii="Times New Roman" w:hAnsi="Times New Roman" w:cs="Times New Roman"/>
          <w:sz w:val="16"/>
        </w:rPr>
        <w:t xml:space="preserve">Dirección de Análisis </w:t>
      </w:r>
      <w:r>
        <w:rPr>
          <w:rFonts w:ascii="Times New Roman" w:hAnsi="Times New Roman" w:cs="Times New Roman"/>
          <w:sz w:val="16"/>
        </w:rPr>
        <w:t>y Política Fiscal</w:t>
      </w:r>
    </w:p>
    <w:p w:rsidR="00C5514E" w:rsidRPr="00D91E0F" w:rsidRDefault="00C5514E" w:rsidP="00E37543">
      <w:pPr>
        <w:pStyle w:val="Sinespaciado"/>
        <w:jc w:val="both"/>
        <w:rPr>
          <w:rFonts w:ascii="Times New Roman" w:hAnsi="Times New Roman" w:cs="Times New Roman"/>
          <w:b/>
          <w:color w:val="FF0000"/>
          <w:sz w:val="18"/>
          <w:lang w:val="es-MX"/>
        </w:rPr>
      </w:pPr>
    </w:p>
    <w:p w:rsidR="00BA782D" w:rsidRDefault="00BA782D" w:rsidP="00BA782D">
      <w:pPr>
        <w:pStyle w:val="Sinespaciado"/>
        <w:jc w:val="both"/>
        <w:rPr>
          <w:rFonts w:ascii="Times New Roman" w:hAnsi="Times New Roman" w:cs="Times New Roman"/>
          <w:color w:val="FF0000"/>
          <w:sz w:val="14"/>
        </w:rPr>
      </w:pPr>
    </w:p>
    <w:p w:rsidR="00005E80" w:rsidRPr="00D91E0F" w:rsidRDefault="00005E80" w:rsidP="00BA782D">
      <w:pPr>
        <w:pStyle w:val="Sinespaciado"/>
        <w:jc w:val="both"/>
        <w:rPr>
          <w:rFonts w:ascii="Times New Roman" w:hAnsi="Times New Roman" w:cs="Times New Roman"/>
          <w:color w:val="FF0000"/>
          <w:sz w:val="14"/>
        </w:rPr>
        <w:sectPr w:rsidR="00005E80" w:rsidRPr="00D91E0F" w:rsidSect="00040C99">
          <w:headerReference w:type="default" r:id="rId25"/>
          <w:footerReference w:type="default" r:id="rId26"/>
          <w:type w:val="continuous"/>
          <w:pgSz w:w="12240" w:h="15840" w:code="1"/>
          <w:pgMar w:top="1418" w:right="1418" w:bottom="1418" w:left="1701" w:header="709" w:footer="709" w:gutter="0"/>
          <w:cols w:num="2" w:space="708"/>
          <w:docGrid w:linePitch="360"/>
        </w:sectPr>
      </w:pPr>
    </w:p>
    <w:p w:rsidR="00BA782D" w:rsidRPr="00D91E0F" w:rsidRDefault="00BA782D" w:rsidP="00216605">
      <w:pPr>
        <w:pStyle w:val="Sinespaciado"/>
        <w:jc w:val="both"/>
        <w:rPr>
          <w:rFonts w:ascii="Times New Roman" w:hAnsi="Times New Roman" w:cs="Times New Roman"/>
          <w:color w:val="FF0000"/>
          <w:sz w:val="2"/>
          <w:lang w:val="es-MX"/>
        </w:rPr>
      </w:pPr>
    </w:p>
    <w:p w:rsidR="00216605" w:rsidRPr="00045827" w:rsidRDefault="00CF7EE0" w:rsidP="00216605">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216605" w:rsidRPr="00045827" w:rsidSect="00FA3B81">
          <w:type w:val="continuous"/>
          <w:pgSz w:w="12240" w:h="15840" w:code="1"/>
          <w:pgMar w:top="1418" w:right="1418" w:bottom="1418" w:left="1418" w:header="709" w:footer="709" w:gutter="0"/>
          <w:cols w:space="708"/>
          <w:docGrid w:linePitch="360"/>
        </w:sectPr>
      </w:pPr>
      <w:r w:rsidRPr="00045827">
        <w:rPr>
          <w:rFonts w:ascii="Times New Roman" w:hAnsi="Times New Roman" w:cs="Times New Roman"/>
          <w:b/>
          <w:lang w:val="es-MX"/>
        </w:rPr>
        <w:t>C</w:t>
      </w:r>
      <w:r w:rsidR="00F94C84" w:rsidRPr="00045827">
        <w:rPr>
          <w:rFonts w:ascii="Times New Roman" w:hAnsi="Times New Roman" w:cs="Times New Roman"/>
          <w:b/>
          <w:lang w:val="es-MX"/>
        </w:rPr>
        <w:t xml:space="preserve">olocación de Bonos </w:t>
      </w:r>
      <w:r w:rsidR="00897A38" w:rsidRPr="00045827">
        <w:rPr>
          <w:rFonts w:ascii="Times New Roman" w:hAnsi="Times New Roman" w:cs="Times New Roman"/>
          <w:b/>
          <w:lang w:val="es-MX"/>
        </w:rPr>
        <w:t>en el mercado interno</w:t>
      </w:r>
    </w:p>
    <w:p w:rsidR="00216605" w:rsidRPr="00D91E0F" w:rsidRDefault="00216605" w:rsidP="00216605">
      <w:pPr>
        <w:pStyle w:val="Sinespaciado"/>
        <w:rPr>
          <w:rFonts w:ascii="Times New Roman" w:hAnsi="Times New Roman" w:cs="Times New Roman"/>
          <w:b/>
          <w:color w:val="FF0000"/>
          <w:sz w:val="24"/>
          <w:lang w:val="es-MX"/>
        </w:rPr>
      </w:pPr>
    </w:p>
    <w:p w:rsidR="00216605" w:rsidRPr="00D91E0F" w:rsidRDefault="00216605" w:rsidP="00216605">
      <w:pPr>
        <w:pStyle w:val="Sinespaciado"/>
        <w:rPr>
          <w:rFonts w:ascii="Times New Roman" w:hAnsi="Times New Roman" w:cs="Times New Roman"/>
          <w:b/>
          <w:color w:val="FF0000"/>
          <w:lang w:val="es-MX"/>
        </w:rPr>
        <w:sectPr w:rsidR="00216605" w:rsidRPr="00D91E0F" w:rsidSect="004E358C">
          <w:type w:val="continuous"/>
          <w:pgSz w:w="12240" w:h="15840"/>
          <w:pgMar w:top="1417" w:right="1701" w:bottom="1417" w:left="1701" w:header="708" w:footer="708" w:gutter="0"/>
          <w:cols w:space="708"/>
          <w:docGrid w:linePitch="360"/>
        </w:sectPr>
      </w:pPr>
    </w:p>
    <w:p w:rsidR="007C3AF6" w:rsidRDefault="007C3AF6" w:rsidP="00005E80">
      <w:pPr>
        <w:pStyle w:val="Sinespaciado"/>
        <w:jc w:val="both"/>
        <w:rPr>
          <w:rFonts w:ascii="Times New Roman" w:hAnsi="Times New Roman" w:cs="Times New Roman"/>
        </w:rPr>
      </w:pPr>
      <w:r w:rsidRPr="00851F17">
        <w:rPr>
          <w:rFonts w:ascii="Times New Roman" w:hAnsi="Times New Roman" w:cs="Times New Roman"/>
        </w:rPr>
        <w:lastRenderedPageBreak/>
        <w:t>En cuanto al financiamiento</w:t>
      </w:r>
      <w:r>
        <w:rPr>
          <w:rFonts w:ascii="Times New Roman" w:hAnsi="Times New Roman" w:cs="Times New Roman"/>
        </w:rPr>
        <w:t xml:space="preserve"> del gasto público, al cierre de julio 2020 se obtuvo un flujo positivo</w:t>
      </w:r>
      <w:r w:rsidRPr="00851F17">
        <w:rPr>
          <w:rFonts w:ascii="Times New Roman" w:hAnsi="Times New Roman" w:cs="Times New Roman"/>
        </w:rPr>
        <w:t xml:space="preserve"> en el endeudamiento exter</w:t>
      </w:r>
      <w:r>
        <w:rPr>
          <w:rFonts w:ascii="Times New Roman" w:hAnsi="Times New Roman" w:cs="Times New Roman"/>
        </w:rPr>
        <w:t xml:space="preserve">no neto por el equivalente a Q10,114.1 millones, derivado de la colocación del Eurobono por US$1,200.0 millones y los desembolsos de préstamos que </w:t>
      </w:r>
      <w:r>
        <w:rPr>
          <w:rFonts w:ascii="Times New Roman" w:hAnsi="Times New Roman" w:cs="Times New Roman"/>
        </w:rPr>
        <w:lastRenderedPageBreak/>
        <w:t xml:space="preserve">alcanzan los Q2,677.7 millones, superando las amortizaciones. </w:t>
      </w:r>
    </w:p>
    <w:p w:rsidR="007C3AF6" w:rsidRPr="00851F17" w:rsidRDefault="007C3AF6" w:rsidP="00005E80">
      <w:pPr>
        <w:pStyle w:val="Sinespaciado"/>
        <w:jc w:val="both"/>
        <w:rPr>
          <w:rFonts w:ascii="Times New Roman" w:hAnsi="Times New Roman" w:cs="Times New Roman"/>
        </w:rPr>
      </w:pPr>
    </w:p>
    <w:p w:rsidR="007C3AF6" w:rsidRDefault="007C3AF6" w:rsidP="00005E80">
      <w:pPr>
        <w:pStyle w:val="Sinespaciado"/>
        <w:jc w:val="both"/>
        <w:rPr>
          <w:rFonts w:ascii="Times New Roman" w:hAnsi="Times New Roman" w:cs="Times New Roman"/>
        </w:rPr>
      </w:pPr>
      <w:r w:rsidRPr="00851F17">
        <w:rPr>
          <w:rFonts w:ascii="Times New Roman" w:hAnsi="Times New Roman" w:cs="Times New Roman"/>
        </w:rPr>
        <w:t>Asimismo,</w:t>
      </w:r>
      <w:r>
        <w:rPr>
          <w:rFonts w:ascii="Times New Roman" w:hAnsi="Times New Roman" w:cs="Times New Roman"/>
        </w:rPr>
        <w:t xml:space="preserve"> de</w:t>
      </w:r>
      <w:r w:rsidRPr="00851F17">
        <w:rPr>
          <w:rFonts w:ascii="Times New Roman" w:hAnsi="Times New Roman" w:cs="Times New Roman"/>
        </w:rPr>
        <w:t xml:space="preserve"> las colocaciones de Bonos del Tesoro</w:t>
      </w:r>
      <w:r>
        <w:rPr>
          <w:rFonts w:ascii="Times New Roman" w:hAnsi="Times New Roman" w:cs="Times New Roman"/>
        </w:rPr>
        <w:t xml:space="preserve"> aprobadas en el decreto 25-2018, prácticamente estas se han colocado en su </w:t>
      </w:r>
      <w:r>
        <w:rPr>
          <w:rFonts w:ascii="Times New Roman" w:hAnsi="Times New Roman" w:cs="Times New Roman"/>
        </w:rPr>
        <w:lastRenderedPageBreak/>
        <w:t xml:space="preserve">totalidad (99.6%), quedando un saldo de Q77.1 millones correspondiente al cupo destinado para pequeños inversionistas, de las aprobadas mediante el decreto 20-2020, estas han sido colocadas en su totalidad y del decreto 13-2020 queda una disponibilidad pendiente de colocar de Q5,000 millones. </w:t>
      </w:r>
    </w:p>
    <w:p w:rsidR="007C3AF6" w:rsidRDefault="007C3AF6" w:rsidP="007C3AF6">
      <w:pPr>
        <w:pStyle w:val="Sinespaciado"/>
        <w:jc w:val="both"/>
        <w:rPr>
          <w:rFonts w:ascii="Times New Roman" w:hAnsi="Times New Roman" w:cs="Times New Roman"/>
        </w:rPr>
      </w:pPr>
    </w:p>
    <w:p w:rsidR="007C3AF6" w:rsidRPr="00F304F6" w:rsidRDefault="007C3AF6" w:rsidP="007C3AF6">
      <w:pPr>
        <w:pStyle w:val="Sinespaciado"/>
        <w:jc w:val="both"/>
        <w:rPr>
          <w:rFonts w:ascii="Times New Roman" w:hAnsi="Times New Roman" w:cs="Times New Roman"/>
          <w:color w:val="FF0000"/>
        </w:rPr>
      </w:pPr>
      <w:r>
        <w:rPr>
          <w:rFonts w:ascii="Times New Roman" w:hAnsi="Times New Roman" w:cs="Times New Roman"/>
        </w:rPr>
        <w:t xml:space="preserve">El total </w:t>
      </w:r>
      <w:r w:rsidRPr="00851F17">
        <w:rPr>
          <w:rFonts w:ascii="Times New Roman" w:hAnsi="Times New Roman" w:cs="Times New Roman"/>
        </w:rPr>
        <w:t>adjudicado</w:t>
      </w:r>
      <w:r>
        <w:rPr>
          <w:rFonts w:ascii="Times New Roman" w:hAnsi="Times New Roman" w:cs="Times New Roman"/>
        </w:rPr>
        <w:t xml:space="preserve"> a la fecha asciende a</w:t>
      </w:r>
      <w:r w:rsidRPr="00851F17">
        <w:rPr>
          <w:rFonts w:ascii="Times New Roman" w:hAnsi="Times New Roman" w:cs="Times New Roman"/>
        </w:rPr>
        <w:t xml:space="preserve"> Q</w:t>
      </w:r>
      <w:r>
        <w:rPr>
          <w:rFonts w:ascii="Times New Roman" w:hAnsi="Times New Roman" w:cs="Times New Roman"/>
        </w:rPr>
        <w:t>30,627.8 millones, de los cuales Q24,970.7 millones corresponden a nuevo endeudamiento y Q5,657.0 millones al roll over.</w:t>
      </w:r>
    </w:p>
    <w:p w:rsidR="00005E80" w:rsidRDefault="00005E80" w:rsidP="007C3AF6">
      <w:pPr>
        <w:pStyle w:val="Sinespaciado"/>
        <w:jc w:val="both"/>
        <w:rPr>
          <w:rFonts w:ascii="Times New Roman" w:hAnsi="Times New Roman" w:cs="Times New Roman"/>
          <w:color w:val="FF0000"/>
        </w:rPr>
      </w:pPr>
    </w:p>
    <w:p w:rsidR="00005E80" w:rsidRDefault="00005E80" w:rsidP="007C3AF6">
      <w:pPr>
        <w:pStyle w:val="Sinespaciado"/>
        <w:jc w:val="both"/>
        <w:rPr>
          <w:rFonts w:ascii="Times New Roman" w:hAnsi="Times New Roman" w:cs="Times New Roman"/>
          <w:color w:val="FF0000"/>
        </w:rPr>
      </w:pPr>
    </w:p>
    <w:p w:rsidR="00005E80" w:rsidRDefault="00005E80" w:rsidP="007C3AF6">
      <w:pPr>
        <w:pStyle w:val="Sinespaciado"/>
        <w:jc w:val="both"/>
        <w:rPr>
          <w:rFonts w:ascii="Times New Roman" w:hAnsi="Times New Roman" w:cs="Times New Roman"/>
          <w:color w:val="FF0000"/>
        </w:rPr>
      </w:pPr>
    </w:p>
    <w:p w:rsidR="007C3AF6" w:rsidRPr="004E0813" w:rsidRDefault="007C3AF6" w:rsidP="007C3AF6">
      <w:pPr>
        <w:spacing w:after="0" w:line="240" w:lineRule="auto"/>
        <w:jc w:val="center"/>
        <w:rPr>
          <w:rFonts w:ascii="Times New Roman" w:hAnsi="Times New Roman" w:cs="Times New Roman"/>
          <w:b/>
        </w:rPr>
      </w:pPr>
      <w:r w:rsidRPr="004E0813">
        <w:rPr>
          <w:rFonts w:ascii="Times New Roman" w:hAnsi="Times New Roman" w:cs="Times New Roman"/>
          <w:b/>
        </w:rPr>
        <w:lastRenderedPageBreak/>
        <w:t>Colocación de Bonos del Tesoro</w:t>
      </w:r>
    </w:p>
    <w:p w:rsidR="007C3AF6" w:rsidRPr="004E0813" w:rsidRDefault="007C3AF6" w:rsidP="007C3AF6">
      <w:pPr>
        <w:pStyle w:val="Sinespaciado"/>
        <w:jc w:val="center"/>
        <w:rPr>
          <w:rFonts w:ascii="Times New Roman" w:hAnsi="Times New Roman" w:cs="Times New Roman"/>
          <w:sz w:val="18"/>
        </w:rPr>
      </w:pPr>
      <w:r w:rsidRPr="004E0813">
        <w:rPr>
          <w:rFonts w:ascii="Times New Roman" w:hAnsi="Times New Roman" w:cs="Times New Roman"/>
          <w:sz w:val="18"/>
        </w:rPr>
        <w:t>A julio 2020</w:t>
      </w:r>
    </w:p>
    <w:p w:rsidR="007C3AF6" w:rsidRPr="004E0813" w:rsidRDefault="007C3AF6" w:rsidP="007C3AF6">
      <w:pPr>
        <w:pStyle w:val="Sinespaciado"/>
        <w:jc w:val="center"/>
        <w:rPr>
          <w:rFonts w:ascii="Times New Roman" w:hAnsi="Times New Roman" w:cs="Times New Roman"/>
          <w:sz w:val="18"/>
        </w:rPr>
      </w:pPr>
      <w:r w:rsidRPr="004E0813">
        <w:rPr>
          <w:noProof/>
          <w:lang w:eastAsia="es-GT"/>
        </w:rPr>
        <w:drawing>
          <wp:anchor distT="0" distB="0" distL="114300" distR="114300" simplePos="0" relativeHeight="251817984" behindDoc="0" locked="0" layoutInCell="1" allowOverlap="1" wp14:anchorId="5853526F" wp14:editId="0F8E4E09">
            <wp:simplePos x="0" y="0"/>
            <wp:positionH relativeFrom="column">
              <wp:posOffset>0</wp:posOffset>
            </wp:positionH>
            <wp:positionV relativeFrom="paragraph">
              <wp:posOffset>156210</wp:posOffset>
            </wp:positionV>
            <wp:extent cx="2639060" cy="1793875"/>
            <wp:effectExtent l="0" t="0" r="8890" b="0"/>
            <wp:wrapSquare wrapText="bothSides"/>
            <wp:docPr id="229" name="Chart 1">
              <a:extLst xmlns:a="http://schemas.openxmlformats.org/drawingml/2006/main">
                <a:ext uri="{FF2B5EF4-FFF2-40B4-BE49-F238E27FC236}">
                  <a16:creationId xmlns:a16="http://schemas.microsoft.com/office/drawing/2014/main" id="{00000000-0008-0000-1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4E0813">
        <w:rPr>
          <w:rFonts w:ascii="Times New Roman" w:hAnsi="Times New Roman" w:cs="Times New Roman"/>
          <w:sz w:val="18"/>
        </w:rPr>
        <w:t>Millones de quetzales y porcentajes</w:t>
      </w:r>
    </w:p>
    <w:p w:rsidR="007C3AF6" w:rsidRPr="004E0813" w:rsidRDefault="007C3AF6" w:rsidP="007C3AF6">
      <w:pPr>
        <w:pStyle w:val="Sinespaciado"/>
        <w:rPr>
          <w:rFonts w:ascii="Times New Roman" w:hAnsi="Times New Roman" w:cs="Times New Roman"/>
          <w:sz w:val="18"/>
          <w:szCs w:val="18"/>
          <w:lang w:val="es-MX"/>
        </w:rPr>
      </w:pPr>
      <w:r w:rsidRPr="004E0813">
        <w:rPr>
          <w:rFonts w:ascii="Times New Roman" w:hAnsi="Times New Roman" w:cs="Times New Roman"/>
          <w:sz w:val="16"/>
        </w:rPr>
        <w:t>Fuente: Dirección de Análisis y Política Fiscal</w:t>
      </w:r>
    </w:p>
    <w:p w:rsidR="00216B0E" w:rsidRPr="00D91E0F" w:rsidRDefault="00216B0E" w:rsidP="000C65AB">
      <w:pPr>
        <w:pStyle w:val="Sinespaciado"/>
        <w:jc w:val="both"/>
        <w:rPr>
          <w:rFonts w:ascii="Times New Roman" w:hAnsi="Times New Roman" w:cs="Times New Roman"/>
          <w:color w:val="FF0000"/>
          <w:sz w:val="12"/>
        </w:rPr>
        <w:sectPr w:rsidR="00216B0E" w:rsidRPr="00D91E0F" w:rsidSect="00040C99">
          <w:headerReference w:type="default" r:id="rId28"/>
          <w:footerReference w:type="default" r:id="rId29"/>
          <w:type w:val="continuous"/>
          <w:pgSz w:w="12240" w:h="15840" w:code="1"/>
          <w:pgMar w:top="1418" w:right="1418" w:bottom="1418" w:left="1701" w:header="709" w:footer="709" w:gutter="0"/>
          <w:cols w:num="2" w:space="708"/>
          <w:docGrid w:linePitch="360"/>
        </w:sectPr>
      </w:pPr>
    </w:p>
    <w:p w:rsidR="009B76D6" w:rsidRPr="00D91E0F" w:rsidRDefault="009B76D6" w:rsidP="00CE75B5">
      <w:pPr>
        <w:pStyle w:val="Sinespaciado"/>
        <w:jc w:val="both"/>
        <w:rPr>
          <w:rFonts w:ascii="Times New Roman" w:hAnsi="Times New Roman" w:cs="Times New Roman"/>
          <w:color w:val="FF0000"/>
          <w:sz w:val="8"/>
        </w:rPr>
        <w:sectPr w:rsidR="009B76D6" w:rsidRPr="00D91E0F" w:rsidSect="007C66BE">
          <w:type w:val="continuous"/>
          <w:pgSz w:w="12240" w:h="15840"/>
          <w:pgMar w:top="1417" w:right="1701" w:bottom="1417" w:left="1701" w:header="708" w:footer="708" w:gutter="0"/>
          <w:cols w:num="2" w:space="708"/>
          <w:docGrid w:linePitch="360"/>
        </w:sectPr>
      </w:pPr>
    </w:p>
    <w:p w:rsidR="00B96036" w:rsidRPr="00005E80" w:rsidRDefault="00B96036" w:rsidP="00D4202F">
      <w:pPr>
        <w:spacing w:after="0"/>
        <w:rPr>
          <w:rFonts w:ascii="Times New Roman" w:hAnsi="Times New Roman" w:cs="Times New Roman"/>
          <w:color w:val="FF0000"/>
          <w:sz w:val="6"/>
        </w:rPr>
      </w:pPr>
    </w:p>
    <w:p w:rsidR="00F75F1E" w:rsidRPr="00045827" w:rsidRDefault="00F1031E" w:rsidP="00F75F1E">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F75F1E" w:rsidRPr="00045827" w:rsidSect="00FA3B81">
          <w:type w:val="continuous"/>
          <w:pgSz w:w="12240" w:h="15840" w:code="1"/>
          <w:pgMar w:top="1418" w:right="1418" w:bottom="1418" w:left="1418" w:header="709" w:footer="709" w:gutter="0"/>
          <w:cols w:space="708"/>
          <w:docGrid w:linePitch="360"/>
        </w:sectPr>
      </w:pPr>
      <w:r w:rsidRPr="00045827">
        <w:rPr>
          <w:rFonts w:ascii="Times New Roman" w:hAnsi="Times New Roman" w:cs="Times New Roman"/>
          <w:b/>
        </w:rPr>
        <w:t>Ejecución de</w:t>
      </w:r>
      <w:r w:rsidR="00045827" w:rsidRPr="00045827">
        <w:rPr>
          <w:rFonts w:ascii="Times New Roman" w:hAnsi="Times New Roman" w:cs="Times New Roman"/>
          <w:b/>
        </w:rPr>
        <w:t xml:space="preserve"> programas en el marco del COVID</w:t>
      </w:r>
      <w:r w:rsidRPr="00045827">
        <w:rPr>
          <w:rFonts w:ascii="Times New Roman" w:hAnsi="Times New Roman" w:cs="Times New Roman"/>
          <w:b/>
        </w:rPr>
        <w:t>-19</w:t>
      </w:r>
    </w:p>
    <w:p w:rsidR="00F75F1E" w:rsidRPr="00D91E0F" w:rsidRDefault="00F75F1E" w:rsidP="00F75F1E">
      <w:pPr>
        <w:pStyle w:val="Sinespaciado"/>
        <w:rPr>
          <w:rFonts w:ascii="Times New Roman" w:hAnsi="Times New Roman" w:cs="Times New Roman"/>
          <w:b/>
          <w:color w:val="FF0000"/>
          <w:sz w:val="20"/>
          <w:lang w:val="es-MX"/>
        </w:rPr>
      </w:pPr>
    </w:p>
    <w:p w:rsidR="00F75F1E" w:rsidRPr="00D91E0F" w:rsidRDefault="00F75F1E" w:rsidP="00F75F1E">
      <w:pPr>
        <w:pStyle w:val="Sinespaciado"/>
        <w:rPr>
          <w:rFonts w:ascii="Times New Roman" w:hAnsi="Times New Roman" w:cs="Times New Roman"/>
          <w:b/>
          <w:color w:val="FF0000"/>
          <w:sz w:val="18"/>
          <w:lang w:val="es-MX"/>
        </w:rPr>
        <w:sectPr w:rsidR="00F75F1E" w:rsidRPr="00D91E0F" w:rsidSect="004E358C">
          <w:type w:val="continuous"/>
          <w:pgSz w:w="12240" w:h="15840"/>
          <w:pgMar w:top="1417" w:right="1701" w:bottom="1417" w:left="1701" w:header="708" w:footer="708" w:gutter="0"/>
          <w:cols w:space="708"/>
          <w:docGrid w:linePitch="360"/>
        </w:sectPr>
      </w:pPr>
    </w:p>
    <w:p w:rsidR="00E875C2" w:rsidRPr="00F7228C" w:rsidRDefault="00E875C2" w:rsidP="00E875C2">
      <w:pPr>
        <w:spacing w:after="0" w:line="240" w:lineRule="auto"/>
        <w:jc w:val="both"/>
        <w:rPr>
          <w:rFonts w:ascii="Times New Roman" w:hAnsi="Times New Roman" w:cs="Times New Roman"/>
        </w:rPr>
      </w:pPr>
      <w:r w:rsidRPr="00F7228C">
        <w:rPr>
          <w:rFonts w:ascii="Times New Roman" w:hAnsi="Times New Roman" w:cs="Times New Roman"/>
        </w:rPr>
        <w:lastRenderedPageBreak/>
        <w:t xml:space="preserve">A través del programa 94 “Atención por desastres naturales y calamidades públicas”, subprograma 09 “Estado de Calamidad Pública por emergencia COVID-19 (DG 5-2020)” se le da seguimiento continuo a la ejecución de los programas que han sido asignados para la atención de la emergencia sanitaria y económica. </w:t>
      </w:r>
    </w:p>
    <w:p w:rsidR="00E875C2" w:rsidRPr="00F7228C" w:rsidRDefault="00E875C2" w:rsidP="00E875C2">
      <w:pPr>
        <w:spacing w:after="0" w:line="240" w:lineRule="auto"/>
        <w:ind w:left="-142"/>
        <w:jc w:val="both"/>
        <w:rPr>
          <w:rFonts w:ascii="Times New Roman" w:hAnsi="Times New Roman" w:cs="Times New Roman"/>
        </w:rPr>
      </w:pPr>
    </w:p>
    <w:p w:rsidR="00E875C2" w:rsidRPr="00F7228C" w:rsidRDefault="00E875C2" w:rsidP="00E875C2">
      <w:pPr>
        <w:spacing w:after="0" w:line="240" w:lineRule="auto"/>
        <w:jc w:val="both"/>
        <w:rPr>
          <w:rFonts w:ascii="Times New Roman" w:hAnsi="Times New Roman" w:cs="Times New Roman"/>
        </w:rPr>
      </w:pPr>
      <w:r w:rsidRPr="00F7228C">
        <w:rPr>
          <w:rFonts w:ascii="Times New Roman" w:hAnsi="Times New Roman" w:cs="Times New Roman"/>
        </w:rPr>
        <w:t>Al mes de julio, el presupuesto de dicho programa ascendía a Q14,388.8 millones para entidades de la Administración Central y la entidad virtual de las Obligaciones del Estado a cargo del Tesoro, con una ejecución de Q5,027.5 millones, reportando un avance de Q903.3 millones respecto a junio. Las actividades que reportan una ejecución completa al mes de julio son el aporte a la tarifa social de energía (Q270 millones) y el bono de asistencia para personas afectadas (Q100 millones); el resto de actividades reportan ejecuciones menores al 50%.</w:t>
      </w:r>
    </w:p>
    <w:p w:rsidR="00E875C2" w:rsidRPr="00F7228C" w:rsidRDefault="00E875C2" w:rsidP="00E875C2">
      <w:pPr>
        <w:spacing w:after="0" w:line="240" w:lineRule="auto"/>
        <w:ind w:left="-142"/>
        <w:jc w:val="both"/>
        <w:rPr>
          <w:rFonts w:ascii="Times New Roman" w:hAnsi="Times New Roman" w:cs="Times New Roman"/>
        </w:rPr>
      </w:pPr>
    </w:p>
    <w:p w:rsidR="00E875C2" w:rsidRPr="00F7228C" w:rsidRDefault="00E875C2" w:rsidP="00E875C2">
      <w:pPr>
        <w:spacing w:after="0" w:line="240" w:lineRule="auto"/>
        <w:jc w:val="both"/>
        <w:rPr>
          <w:rFonts w:ascii="Times New Roman" w:hAnsi="Times New Roman" w:cs="Times New Roman"/>
        </w:rPr>
      </w:pPr>
      <w:r w:rsidRPr="00F7228C">
        <w:rPr>
          <w:rFonts w:ascii="Times New Roman" w:hAnsi="Times New Roman" w:cs="Times New Roman"/>
        </w:rPr>
        <w:t xml:space="preserve">En el caso de las tres actividades que tienen el mayor presupuesto asignado, el Bono para Familias a cargo de Desarrollo Social reporta una ejecución de Q2,091.6 millones (34.8%), </w:t>
      </w:r>
      <w:r w:rsidRPr="00F7228C">
        <w:rPr>
          <w:rFonts w:ascii="Times New Roman" w:hAnsi="Times New Roman" w:cs="Times New Roman"/>
        </w:rPr>
        <w:lastRenderedPageBreak/>
        <w:t>alrededor de 2.1 millones de hogares han sido beneficiados con el pago de Q1,000.00, teniendo un plazo de 120 días para cobrarlo, esto con el fin de evitar aglomeraciones en los centros de retiro del efectivo. El pago del bono sufrió un retraso dado que el Ministerio de Desarrollo Social debía acatar las reformas que realizó el Congreso de la República al Reglamento del Fondo Bono Familia, al cumpl</w:t>
      </w:r>
      <w:r>
        <w:rPr>
          <w:rFonts w:ascii="Times New Roman" w:hAnsi="Times New Roman" w:cs="Times New Roman"/>
        </w:rPr>
        <w:t>ir con lo establecido se procedió</w:t>
      </w:r>
      <w:r w:rsidRPr="00F7228C">
        <w:rPr>
          <w:rFonts w:ascii="Times New Roman" w:hAnsi="Times New Roman" w:cs="Times New Roman"/>
        </w:rPr>
        <w:t xml:space="preserve"> a la reactivación del pago. </w:t>
      </w:r>
    </w:p>
    <w:p w:rsidR="00E875C2" w:rsidRPr="00F7228C" w:rsidRDefault="00E875C2" w:rsidP="00E875C2">
      <w:pPr>
        <w:spacing w:after="0" w:line="240" w:lineRule="auto"/>
        <w:ind w:left="-142"/>
        <w:jc w:val="both"/>
        <w:rPr>
          <w:rFonts w:ascii="Times New Roman" w:hAnsi="Times New Roman" w:cs="Times New Roman"/>
        </w:rPr>
      </w:pPr>
    </w:p>
    <w:p w:rsidR="00E875C2" w:rsidRPr="00F7228C" w:rsidRDefault="00E875C2" w:rsidP="00E875C2">
      <w:pPr>
        <w:spacing w:after="0" w:line="240" w:lineRule="auto"/>
        <w:jc w:val="both"/>
        <w:rPr>
          <w:rFonts w:ascii="Times New Roman" w:hAnsi="Times New Roman" w:cs="Times New Roman"/>
        </w:rPr>
      </w:pPr>
      <w:r w:rsidRPr="00F7228C">
        <w:rPr>
          <w:rFonts w:ascii="Times New Roman" w:hAnsi="Times New Roman" w:cs="Times New Roman"/>
        </w:rPr>
        <w:t xml:space="preserve">El Fondo para Capital de Trabajo reporta una ejecución de Q1,456.3 millones (48.7%), del cual ya se realizó la transferencia de recursos hacia el Banco Crédito Hipotecario Nacional (CHN) para iniciar con la ejecución de los préstamos en condiciones blandas. </w:t>
      </w:r>
    </w:p>
    <w:p w:rsidR="00E875C2" w:rsidRPr="00F7228C" w:rsidRDefault="00E875C2" w:rsidP="00E875C2">
      <w:pPr>
        <w:spacing w:after="0" w:line="240" w:lineRule="auto"/>
        <w:ind w:left="-142"/>
        <w:jc w:val="both"/>
        <w:rPr>
          <w:rFonts w:ascii="Times New Roman" w:hAnsi="Times New Roman" w:cs="Times New Roman"/>
        </w:rPr>
      </w:pPr>
    </w:p>
    <w:p w:rsidR="00E875C2" w:rsidRPr="00F7228C" w:rsidRDefault="00E875C2" w:rsidP="00E875C2">
      <w:pPr>
        <w:spacing w:after="0" w:line="240" w:lineRule="auto"/>
        <w:jc w:val="both"/>
        <w:rPr>
          <w:rFonts w:ascii="Times New Roman" w:hAnsi="Times New Roman" w:cs="Times New Roman"/>
        </w:rPr>
      </w:pPr>
      <w:r w:rsidRPr="00F7228C">
        <w:rPr>
          <w:rFonts w:ascii="Times New Roman" w:hAnsi="Times New Roman" w:cs="Times New Roman"/>
        </w:rPr>
        <w:t xml:space="preserve">Por su parte, el Fondo de Protección de Empleo reporta una ejecución de Q807.1 millones (40.4%), el número de trabajadores beneficiados asciende a 171,826, pertenecientes a 16,450 empresas, de las cuales el 20.6% pertenece al sector de industria manufacturera, 18.0% al sector hoteles, ocio, viajes, alojamiento y </w:t>
      </w:r>
      <w:r w:rsidRPr="00F7228C">
        <w:rPr>
          <w:rFonts w:ascii="Times New Roman" w:hAnsi="Times New Roman" w:cs="Times New Roman"/>
        </w:rPr>
        <w:lastRenderedPageBreak/>
        <w:t>restaurantes, 17.7% al sector comercio, 16.5% al sector de servicios profesionales, administrativos y financieros y el restante 27.2% corresponde al resto de los sectores. Del Fondo de Protección de Empleo se destinarían Q150 millones para un bono único para jubilados y pensionados del Estado el cual debiera de pagarse antes del 31 de agosto.</w:t>
      </w:r>
    </w:p>
    <w:p w:rsidR="00E875C2" w:rsidRPr="00F7228C" w:rsidRDefault="00E875C2" w:rsidP="00E875C2">
      <w:pPr>
        <w:spacing w:after="0" w:line="240" w:lineRule="auto"/>
        <w:ind w:left="-142"/>
        <w:jc w:val="both"/>
        <w:rPr>
          <w:rFonts w:ascii="Times New Roman" w:hAnsi="Times New Roman" w:cs="Times New Roman"/>
        </w:rPr>
      </w:pPr>
    </w:p>
    <w:p w:rsidR="00E875C2" w:rsidRDefault="00E875C2" w:rsidP="00E875C2">
      <w:pPr>
        <w:spacing w:after="0" w:line="240" w:lineRule="auto"/>
        <w:jc w:val="both"/>
        <w:rPr>
          <w:rFonts w:ascii="Times New Roman" w:hAnsi="Times New Roman" w:cs="Times New Roman"/>
        </w:rPr>
      </w:pPr>
      <w:r w:rsidRPr="00F7228C">
        <w:rPr>
          <w:rFonts w:ascii="Times New Roman" w:hAnsi="Times New Roman" w:cs="Times New Roman"/>
        </w:rPr>
        <w:t xml:space="preserve">Respecto a los insumos médicos a cargo del Ministerio de Salud Pública y Asistencia Social, reportan una ejecución de Q276.4 millones (16.7%). En relación al aporte económico al adulto mayor a cargo del Ministerio de Trabajo y Previsión Social, reporta una ejecución de Q4.7 millones (9.4%). Por su parte, el resto de intervenciones reporta una ejecución de 21.4 millones (12.9%). </w:t>
      </w:r>
    </w:p>
    <w:p w:rsidR="00E875C2" w:rsidRPr="00F7228C" w:rsidRDefault="00E875C2" w:rsidP="00E875C2">
      <w:pPr>
        <w:spacing w:after="0" w:line="240" w:lineRule="auto"/>
        <w:jc w:val="both"/>
        <w:rPr>
          <w:rFonts w:ascii="Times New Roman" w:hAnsi="Times New Roman" w:cs="Times New Roman"/>
          <w:sz w:val="14"/>
        </w:rPr>
      </w:pPr>
    </w:p>
    <w:p w:rsidR="00F1031E" w:rsidRPr="00D91E0F" w:rsidRDefault="00E875C2" w:rsidP="00E875C2">
      <w:pPr>
        <w:spacing w:after="0" w:line="240" w:lineRule="auto"/>
        <w:jc w:val="both"/>
        <w:rPr>
          <w:rFonts w:ascii="Times New Roman" w:hAnsi="Times New Roman" w:cs="Times New Roman"/>
          <w:color w:val="FF0000"/>
        </w:rPr>
      </w:pPr>
      <w:r w:rsidRPr="00F7228C">
        <w:rPr>
          <w:rFonts w:ascii="Times New Roman" w:hAnsi="Times New Roman" w:cs="Times New Roman"/>
        </w:rPr>
        <w:t xml:space="preserve">Alarma la nula ejecución en cuatro actividades, siendo estas el Fideicomiso de la </w:t>
      </w:r>
      <w:r w:rsidRPr="00F7228C">
        <w:rPr>
          <w:rFonts w:ascii="Times New Roman" w:hAnsi="Times New Roman" w:cs="Times New Roman"/>
        </w:rPr>
        <w:lastRenderedPageBreak/>
        <w:t>Mipyme, la Bolsa de Alimentos en el área urbana y rural, y el Apoyo a los Agricultores.</w:t>
      </w:r>
      <w:r w:rsidR="00F1031E" w:rsidRPr="00D91E0F">
        <w:rPr>
          <w:rFonts w:ascii="Times New Roman" w:hAnsi="Times New Roman" w:cs="Times New Roman"/>
          <w:color w:val="FF0000"/>
        </w:rPr>
        <w:t xml:space="preserve"> </w:t>
      </w:r>
    </w:p>
    <w:p w:rsidR="00725FE5" w:rsidRPr="00D91E0F" w:rsidRDefault="00725FE5" w:rsidP="00725FE5">
      <w:pPr>
        <w:spacing w:after="0" w:line="240" w:lineRule="auto"/>
        <w:jc w:val="both"/>
        <w:rPr>
          <w:rFonts w:ascii="Times New Roman" w:hAnsi="Times New Roman" w:cs="Times New Roman"/>
          <w:color w:val="FF0000"/>
        </w:rPr>
      </w:pPr>
    </w:p>
    <w:p w:rsidR="00F1031E" w:rsidRPr="00E875C2" w:rsidRDefault="00F1031E" w:rsidP="00F1031E">
      <w:pPr>
        <w:spacing w:after="0" w:line="240" w:lineRule="auto"/>
        <w:jc w:val="center"/>
        <w:rPr>
          <w:rFonts w:ascii="Times New Roman" w:hAnsi="Times New Roman" w:cs="Times New Roman"/>
          <w:b/>
          <w:sz w:val="20"/>
        </w:rPr>
      </w:pPr>
      <w:r w:rsidRPr="00E875C2">
        <w:rPr>
          <w:rFonts w:ascii="Times New Roman" w:hAnsi="Times New Roman" w:cs="Times New Roman"/>
          <w:b/>
          <w:sz w:val="20"/>
        </w:rPr>
        <w:t>Ejecución por emergencia COVID-19</w:t>
      </w:r>
    </w:p>
    <w:p w:rsidR="00F1031E" w:rsidRPr="00E875C2" w:rsidRDefault="00F7228C" w:rsidP="00F1031E">
      <w:pPr>
        <w:spacing w:after="0" w:line="240" w:lineRule="auto"/>
        <w:jc w:val="center"/>
        <w:rPr>
          <w:rFonts w:ascii="Times New Roman" w:hAnsi="Times New Roman" w:cs="Times New Roman"/>
          <w:sz w:val="18"/>
        </w:rPr>
      </w:pPr>
      <w:r w:rsidRPr="00E875C2">
        <w:rPr>
          <w:rFonts w:ascii="Times New Roman" w:hAnsi="Times New Roman" w:cs="Times New Roman"/>
          <w:sz w:val="18"/>
        </w:rPr>
        <w:t>A jul</w:t>
      </w:r>
      <w:r w:rsidR="00F1031E" w:rsidRPr="00E875C2">
        <w:rPr>
          <w:rFonts w:ascii="Times New Roman" w:hAnsi="Times New Roman" w:cs="Times New Roman"/>
          <w:sz w:val="18"/>
        </w:rPr>
        <w:t>io 2020</w:t>
      </w:r>
    </w:p>
    <w:p w:rsidR="00F1031E" w:rsidRPr="00E875C2" w:rsidRDefault="00E875C2" w:rsidP="00F1031E">
      <w:pPr>
        <w:spacing w:after="0" w:line="240" w:lineRule="auto"/>
        <w:jc w:val="center"/>
        <w:rPr>
          <w:rFonts w:ascii="Times New Roman" w:hAnsi="Times New Roman" w:cs="Times New Roman"/>
          <w:sz w:val="18"/>
        </w:rPr>
      </w:pPr>
      <w:r w:rsidRPr="00E875C2">
        <w:rPr>
          <w:noProof/>
          <w:lang w:eastAsia="es-GT"/>
        </w:rPr>
        <w:drawing>
          <wp:anchor distT="0" distB="0" distL="114300" distR="114300" simplePos="0" relativeHeight="251820032" behindDoc="0" locked="0" layoutInCell="1" allowOverlap="1" wp14:anchorId="619B5EBB" wp14:editId="208E1AFB">
            <wp:simplePos x="0" y="0"/>
            <wp:positionH relativeFrom="column">
              <wp:posOffset>-104140</wp:posOffset>
            </wp:positionH>
            <wp:positionV relativeFrom="paragraph">
              <wp:posOffset>159385</wp:posOffset>
            </wp:positionV>
            <wp:extent cx="2867660" cy="2613660"/>
            <wp:effectExtent l="0" t="0" r="8890" b="0"/>
            <wp:wrapSquare wrapText="bothSides"/>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29" r="1301"/>
                    <a:stretch/>
                  </pic:blipFill>
                  <pic:spPr bwMode="auto">
                    <a:xfrm>
                      <a:off x="0" y="0"/>
                      <a:ext cx="2867660" cy="2613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031E" w:rsidRPr="00E875C2">
        <w:rPr>
          <w:rFonts w:ascii="Times New Roman" w:hAnsi="Times New Roman" w:cs="Times New Roman"/>
          <w:sz w:val="18"/>
        </w:rPr>
        <w:t>Millones de quetzales y porcentajes</w:t>
      </w:r>
    </w:p>
    <w:p w:rsidR="00F1031E" w:rsidRPr="00E875C2" w:rsidRDefault="00F1031E" w:rsidP="00F1031E">
      <w:pPr>
        <w:spacing w:after="0" w:line="240" w:lineRule="auto"/>
        <w:jc w:val="both"/>
        <w:rPr>
          <w:rFonts w:ascii="Times New Roman" w:hAnsi="Times New Roman" w:cs="Times New Roman"/>
          <w:sz w:val="14"/>
        </w:rPr>
      </w:pPr>
      <w:r w:rsidRPr="00E875C2">
        <w:rPr>
          <w:rFonts w:ascii="Times New Roman" w:hAnsi="Times New Roman" w:cs="Times New Roman"/>
          <w:noProof/>
          <w:sz w:val="16"/>
        </w:rPr>
        <w:t>Fuente: SIGES y SICOIN</w:t>
      </w:r>
    </w:p>
    <w:p w:rsidR="00F7228C" w:rsidRPr="00D91E0F" w:rsidRDefault="00F7228C" w:rsidP="00F7228C">
      <w:pPr>
        <w:spacing w:after="0" w:line="240" w:lineRule="auto"/>
        <w:rPr>
          <w:rFonts w:ascii="Times New Roman" w:hAnsi="Times New Roman" w:cs="Times New Roman"/>
          <w:color w:val="FF0000"/>
          <w:sz w:val="8"/>
        </w:rPr>
      </w:pPr>
    </w:p>
    <w:p w:rsidR="009B76D6" w:rsidRPr="00D91E0F" w:rsidRDefault="009B76D6" w:rsidP="00D4202F">
      <w:pPr>
        <w:spacing w:after="0"/>
        <w:rPr>
          <w:rFonts w:ascii="Times New Roman" w:hAnsi="Times New Roman" w:cs="Times New Roman"/>
          <w:color w:val="FF0000"/>
          <w:sz w:val="6"/>
          <w:lang w:val="es-MX"/>
        </w:rPr>
      </w:pPr>
    </w:p>
    <w:p w:rsidR="00F75F1E" w:rsidRPr="00D91E0F" w:rsidRDefault="00F75F1E" w:rsidP="00D4202F">
      <w:pPr>
        <w:spacing w:after="0"/>
        <w:rPr>
          <w:rFonts w:ascii="Times New Roman" w:hAnsi="Times New Roman" w:cs="Times New Roman"/>
          <w:color w:val="FF0000"/>
          <w:sz w:val="20"/>
          <w:lang w:val="es-MX"/>
        </w:rPr>
        <w:sectPr w:rsidR="00F75F1E" w:rsidRPr="00D91E0F" w:rsidSect="004E358C">
          <w:type w:val="continuous"/>
          <w:pgSz w:w="12240" w:h="15840"/>
          <w:pgMar w:top="1417" w:right="1701" w:bottom="1417" w:left="1701" w:header="708" w:footer="708" w:gutter="0"/>
          <w:cols w:num="2" w:space="708"/>
          <w:docGrid w:linePitch="360"/>
        </w:sectPr>
      </w:pPr>
    </w:p>
    <w:p w:rsidR="00494D1D" w:rsidRPr="006A50B6" w:rsidRDefault="0042387A" w:rsidP="00BB4C28">
      <w:pPr>
        <w:pBdr>
          <w:top w:val="single" w:sz="4" w:space="0"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494D1D" w:rsidRPr="006A50B6" w:rsidSect="00FA3B81">
          <w:headerReference w:type="default" r:id="rId31"/>
          <w:footerReference w:type="default" r:id="rId32"/>
          <w:type w:val="continuous"/>
          <w:pgSz w:w="12240" w:h="15840" w:code="1"/>
          <w:pgMar w:top="1418" w:right="1418" w:bottom="1418" w:left="1418" w:header="709" w:footer="709" w:gutter="0"/>
          <w:cols w:space="708"/>
          <w:docGrid w:linePitch="360"/>
        </w:sectPr>
      </w:pPr>
      <w:r w:rsidRPr="006A50B6">
        <w:rPr>
          <w:rFonts w:ascii="Times New Roman" w:hAnsi="Times New Roman" w:cs="Times New Roman"/>
          <w:b/>
          <w:lang w:val="es-MX"/>
        </w:rPr>
        <w:lastRenderedPageBreak/>
        <w:t>Ambientes macroeconómicos (externo e interno)</w:t>
      </w:r>
    </w:p>
    <w:p w:rsidR="00494D1D" w:rsidRPr="00D91E0F" w:rsidRDefault="00494D1D" w:rsidP="00494D1D">
      <w:pPr>
        <w:pStyle w:val="Sinespaciado"/>
        <w:rPr>
          <w:rFonts w:ascii="Times New Roman" w:hAnsi="Times New Roman" w:cs="Times New Roman"/>
          <w:b/>
          <w:color w:val="FF0000"/>
          <w:sz w:val="18"/>
          <w:lang w:val="es-MX"/>
        </w:rPr>
      </w:pPr>
    </w:p>
    <w:p w:rsidR="00494D1D" w:rsidRPr="00D91E0F" w:rsidRDefault="00494D1D" w:rsidP="00494D1D">
      <w:pPr>
        <w:pStyle w:val="Sinespaciado"/>
        <w:rPr>
          <w:rFonts w:ascii="Times New Roman" w:hAnsi="Times New Roman" w:cs="Times New Roman"/>
          <w:b/>
          <w:color w:val="FF0000"/>
          <w:sz w:val="28"/>
          <w:lang w:val="es-MX"/>
        </w:rPr>
        <w:sectPr w:rsidR="00494D1D" w:rsidRPr="00D91E0F" w:rsidSect="004E358C">
          <w:type w:val="continuous"/>
          <w:pgSz w:w="12240" w:h="15840"/>
          <w:pgMar w:top="1417" w:right="1701" w:bottom="1417" w:left="1701" w:header="708" w:footer="708" w:gutter="0"/>
          <w:cols w:space="708"/>
          <w:docGrid w:linePitch="360"/>
        </w:sectPr>
      </w:pPr>
    </w:p>
    <w:p w:rsidR="007F774D" w:rsidRPr="005920D3" w:rsidRDefault="0022010B" w:rsidP="007F774D">
      <w:pPr>
        <w:pStyle w:val="Textodeglobo"/>
        <w:jc w:val="both"/>
        <w:rPr>
          <w:rFonts w:ascii="Times New Roman" w:hAnsi="Times New Roman" w:cs="Times New Roman"/>
          <w:sz w:val="22"/>
          <w:szCs w:val="22"/>
        </w:rPr>
      </w:pPr>
      <w:r w:rsidRPr="005920D3">
        <w:rPr>
          <w:rFonts w:ascii="Times New Roman" w:hAnsi="Times New Roman" w:cs="Times New Roman"/>
          <w:sz w:val="22"/>
          <w:szCs w:val="22"/>
        </w:rPr>
        <w:lastRenderedPageBreak/>
        <w:t>Entre lo más relevante ac</w:t>
      </w:r>
      <w:r w:rsidR="007F774D" w:rsidRPr="005920D3">
        <w:rPr>
          <w:rFonts w:ascii="Times New Roman" w:hAnsi="Times New Roman" w:cs="Times New Roman"/>
          <w:sz w:val="22"/>
          <w:szCs w:val="22"/>
        </w:rPr>
        <w:t xml:space="preserve">ontecido en julio se destaca el impacto </w:t>
      </w:r>
      <w:r w:rsidR="006A50B6" w:rsidRPr="005920D3">
        <w:rPr>
          <w:rFonts w:ascii="Times New Roman" w:hAnsi="Times New Roman" w:cs="Times New Roman"/>
          <w:sz w:val="22"/>
          <w:szCs w:val="22"/>
        </w:rPr>
        <w:t>atribuido a</w:t>
      </w:r>
      <w:r w:rsidR="007F774D" w:rsidRPr="005920D3">
        <w:rPr>
          <w:rFonts w:ascii="Times New Roman" w:hAnsi="Times New Roman" w:cs="Times New Roman"/>
          <w:sz w:val="22"/>
          <w:szCs w:val="22"/>
        </w:rPr>
        <w:t xml:space="preserve"> la pandemia que provocó </w:t>
      </w:r>
      <w:r w:rsidR="006A50B6" w:rsidRPr="005920D3">
        <w:rPr>
          <w:rFonts w:ascii="Times New Roman" w:hAnsi="Times New Roman" w:cs="Times New Roman"/>
          <w:sz w:val="22"/>
          <w:szCs w:val="22"/>
        </w:rPr>
        <w:t>en lo que va del año,</w:t>
      </w:r>
      <w:r w:rsidR="007F774D" w:rsidRPr="005920D3">
        <w:rPr>
          <w:rFonts w:ascii="Times New Roman" w:hAnsi="Times New Roman" w:cs="Times New Roman"/>
          <w:sz w:val="22"/>
          <w:szCs w:val="22"/>
        </w:rPr>
        <w:t xml:space="preserve"> la mayor contracción en la economía estadounidense desde que existen registros. El PIB cayó un 9.5% en el segundo trimestre del año respecto a los tres meses anteriores, según los datos publicados este jueves por el Departamento de Comercio. En tasa anualizada supone una caída del 32.9%. Se trata de un colapso de la economía sin precedentes, tanto en envergadura como en velocidad.  </w:t>
      </w:r>
    </w:p>
    <w:p w:rsidR="007F774D" w:rsidRPr="005920D3" w:rsidRDefault="007F774D" w:rsidP="007F774D">
      <w:pPr>
        <w:pStyle w:val="Textodeglobo"/>
        <w:jc w:val="both"/>
        <w:rPr>
          <w:rFonts w:ascii="Times New Roman" w:hAnsi="Times New Roman" w:cs="Times New Roman"/>
          <w:sz w:val="22"/>
          <w:szCs w:val="22"/>
        </w:rPr>
      </w:pPr>
    </w:p>
    <w:p w:rsidR="007F774D" w:rsidRPr="005920D3" w:rsidRDefault="007F774D" w:rsidP="007F774D">
      <w:pPr>
        <w:pStyle w:val="Textodeglobo"/>
        <w:jc w:val="both"/>
        <w:rPr>
          <w:rFonts w:ascii="Times New Roman" w:hAnsi="Times New Roman" w:cs="Times New Roman"/>
          <w:sz w:val="22"/>
          <w:szCs w:val="22"/>
        </w:rPr>
      </w:pPr>
      <w:r w:rsidRPr="005920D3">
        <w:rPr>
          <w:rFonts w:ascii="Times New Roman" w:hAnsi="Times New Roman" w:cs="Times New Roman"/>
          <w:sz w:val="22"/>
          <w:szCs w:val="22"/>
        </w:rPr>
        <w:t>El índice de desempleo en Estados Unidos bajó en julio al 10.2% frente al 11.1% del mes anterior, como resultado de la reapertura gradual de la economía tras las restricciones impuestas por la pandemia de coronavirus, según informó el Departamento de Trabajo.</w:t>
      </w:r>
    </w:p>
    <w:p w:rsidR="007F774D" w:rsidRPr="005920D3" w:rsidRDefault="007F774D" w:rsidP="007F774D">
      <w:pPr>
        <w:pStyle w:val="Textodeglobo"/>
        <w:jc w:val="both"/>
        <w:rPr>
          <w:rFonts w:ascii="Times New Roman" w:hAnsi="Times New Roman" w:cs="Times New Roman"/>
          <w:sz w:val="22"/>
          <w:szCs w:val="22"/>
        </w:rPr>
      </w:pPr>
    </w:p>
    <w:p w:rsidR="007F774D" w:rsidRPr="005920D3" w:rsidRDefault="007F774D" w:rsidP="0040580B">
      <w:pPr>
        <w:pStyle w:val="Textodeglobo"/>
        <w:jc w:val="both"/>
        <w:rPr>
          <w:rFonts w:ascii="Times New Roman" w:hAnsi="Times New Roman" w:cs="Times New Roman"/>
          <w:sz w:val="22"/>
          <w:szCs w:val="22"/>
        </w:rPr>
      </w:pPr>
      <w:r w:rsidRPr="005920D3">
        <w:rPr>
          <w:rFonts w:ascii="Times New Roman" w:hAnsi="Times New Roman" w:cs="Times New Roman"/>
          <w:sz w:val="22"/>
          <w:szCs w:val="22"/>
        </w:rPr>
        <w:lastRenderedPageBreak/>
        <w:t xml:space="preserve">La Reserva Federal (Fed) por su parte, alertó que la recuperación de la economía estadounidense está supeditada al desarrollo de la pandemia. Para dar un empujón a la actividad, el banco central de EE UU mantiene las tasas de interés muy cercanas a cero, entre el 0% y el 0.25%, el rango que mantiene desde marzo, cuando comenzó el cierre de la economía por el avance del coronavirus. </w:t>
      </w:r>
    </w:p>
    <w:p w:rsidR="007F774D" w:rsidRPr="005920D3" w:rsidRDefault="007F774D" w:rsidP="0040580B">
      <w:pPr>
        <w:pStyle w:val="Textodeglobo"/>
        <w:jc w:val="both"/>
        <w:rPr>
          <w:rFonts w:ascii="Times New Roman" w:hAnsi="Times New Roman" w:cs="Times New Roman"/>
          <w:sz w:val="22"/>
          <w:szCs w:val="22"/>
        </w:rPr>
      </w:pPr>
    </w:p>
    <w:p w:rsidR="007F774D" w:rsidRPr="005920D3" w:rsidRDefault="007F774D" w:rsidP="0040580B">
      <w:pPr>
        <w:pStyle w:val="Textodeglobo"/>
        <w:jc w:val="both"/>
        <w:rPr>
          <w:rFonts w:ascii="Times New Roman" w:hAnsi="Times New Roman" w:cs="Times New Roman"/>
          <w:sz w:val="22"/>
          <w:szCs w:val="22"/>
        </w:rPr>
      </w:pPr>
      <w:r w:rsidRPr="005920D3">
        <w:rPr>
          <w:rFonts w:ascii="Times New Roman" w:hAnsi="Times New Roman" w:cs="Times New Roman"/>
          <w:sz w:val="22"/>
          <w:szCs w:val="22"/>
        </w:rPr>
        <w:t xml:space="preserve">En la eurozona, el PIB registró entre abril y junio una caída del 12.1%, sin precedentes en toda la serie histórica, después de haber sufrido una contracción del 3.6% en el primer trimestre del año, según la primera estimación del dato publicada por Eurostat, que señala a España como la economía con peor evolución, con un derrumbe del 18.5% del PIB.  En el conjunto de la Unión Europea (UE), la actividad económica experimentó en el segundo trimestre del año una </w:t>
      </w:r>
      <w:r w:rsidRPr="005920D3">
        <w:rPr>
          <w:rFonts w:ascii="Times New Roman" w:hAnsi="Times New Roman" w:cs="Times New Roman"/>
          <w:sz w:val="22"/>
          <w:szCs w:val="22"/>
        </w:rPr>
        <w:lastRenderedPageBreak/>
        <w:t>caída del 11.9%, después de la contracción del 3.2% observada en los tres primeros meses de 2020. En comparación con el mismo periodo de 2019, la bajada del PIB en la UE fue del 14.4%.</w:t>
      </w:r>
    </w:p>
    <w:p w:rsidR="005920D3" w:rsidRDefault="005920D3" w:rsidP="00607D54">
      <w:pPr>
        <w:pStyle w:val="Textodeglobo"/>
        <w:jc w:val="both"/>
        <w:rPr>
          <w:rFonts w:ascii="Times New Roman" w:hAnsi="Times New Roman" w:cs="Times New Roman"/>
          <w:sz w:val="22"/>
          <w:szCs w:val="22"/>
          <w:lang w:val="es-MX"/>
        </w:rPr>
      </w:pPr>
    </w:p>
    <w:p w:rsidR="002166C6" w:rsidRPr="005920D3" w:rsidRDefault="00607D54" w:rsidP="00607D54">
      <w:pPr>
        <w:pStyle w:val="Textodeglobo"/>
        <w:jc w:val="both"/>
        <w:rPr>
          <w:rFonts w:ascii="Times New Roman" w:hAnsi="Times New Roman" w:cs="Times New Roman"/>
          <w:sz w:val="22"/>
          <w:szCs w:val="22"/>
          <w:lang w:val="es-MX"/>
        </w:rPr>
      </w:pPr>
      <w:r w:rsidRPr="005920D3">
        <w:rPr>
          <w:rFonts w:ascii="Times New Roman" w:hAnsi="Times New Roman" w:cs="Times New Roman"/>
          <w:sz w:val="22"/>
          <w:szCs w:val="22"/>
          <w:lang w:val="es-MX"/>
        </w:rPr>
        <w:t xml:space="preserve">En China, el PIB semestral disminuyó 1.6% interanual, sin </w:t>
      </w:r>
      <w:r w:rsidR="00F7228C" w:rsidRPr="005920D3">
        <w:rPr>
          <w:rFonts w:ascii="Times New Roman" w:hAnsi="Times New Roman" w:cs="Times New Roman"/>
          <w:sz w:val="22"/>
          <w:szCs w:val="22"/>
          <w:lang w:val="es-MX"/>
        </w:rPr>
        <w:t>embargo,</w:t>
      </w:r>
      <w:r w:rsidRPr="005920D3">
        <w:rPr>
          <w:rFonts w:ascii="Times New Roman" w:hAnsi="Times New Roman" w:cs="Times New Roman"/>
          <w:sz w:val="22"/>
          <w:szCs w:val="22"/>
          <w:lang w:val="es-MX"/>
        </w:rPr>
        <w:t xml:space="preserve"> el dato correspondiente al segundo trimestre muestra un sorprendente crecimiento de 3.2% interanual, superando los pronósticos de los analistas, que esperaban un avance del 2.5%, según información de la Oficina Nacional de Estadísticas (ONE). La oficina destacó que las expectativas de mercado son buenas, en general y que debido a la crisis del coronavirus, la Asamblea Nacional Popular (ANP, el Legislativo chino) decidió en su reunión anual, pospuesta de marzo a mayo precisamente por el virus, no marcarse un objetivo fijo de crecimiento para el presente ejercicio, rompiendo con más de un cuarto de siglo de tradición, como había hecho en los años anteriores con la excepción de 2019, cuando anunció como objetivo un valor de entre el 6% y el 6.5%. </w:t>
      </w:r>
    </w:p>
    <w:p w:rsidR="002166C6" w:rsidRPr="005920D3" w:rsidRDefault="002166C6" w:rsidP="0040580B">
      <w:pPr>
        <w:pStyle w:val="Textodeglobo"/>
        <w:jc w:val="both"/>
        <w:rPr>
          <w:rFonts w:ascii="Times New Roman" w:hAnsi="Times New Roman" w:cs="Times New Roman"/>
          <w:sz w:val="22"/>
          <w:szCs w:val="22"/>
        </w:rPr>
      </w:pPr>
    </w:p>
    <w:p w:rsidR="00147E43" w:rsidRPr="005920D3" w:rsidRDefault="00255829" w:rsidP="00255829">
      <w:pPr>
        <w:spacing w:after="0" w:line="240" w:lineRule="auto"/>
        <w:jc w:val="both"/>
        <w:rPr>
          <w:rFonts w:ascii="Times New Roman" w:hAnsi="Times New Roman" w:cs="Times New Roman"/>
        </w:rPr>
      </w:pPr>
      <w:r w:rsidRPr="005920D3">
        <w:rPr>
          <w:rFonts w:ascii="Times New Roman" w:hAnsi="Times New Roman" w:cs="Times New Roman"/>
        </w:rPr>
        <w:t xml:space="preserve">El Banco de Japón (BoJ) publicó su informe de previsiones, luego de su reunión mensual de dos días sobre política monetaria, ahí señala que espera una contracción de 4.7% en la economía en el ejercicio fiscal de 2020 debido a la pandemia de coronavirus.  Así mismo, la entidad estima que el índice de precios de consumo (IPC) de Japón sea negativo por el momento, principalmente afectado por la COVID-19 y la pasada disminución de los precios del crudo y caiga un 0.5% en el ejercicio, comprendido entre el 1 de abril de </w:t>
      </w:r>
      <w:r w:rsidRPr="005920D3">
        <w:rPr>
          <w:rFonts w:ascii="Times New Roman" w:hAnsi="Times New Roman" w:cs="Times New Roman"/>
        </w:rPr>
        <w:lastRenderedPageBreak/>
        <w:t xml:space="preserve">2020 y el 31 de marzo de 2021. En dicha reunión también decidió mantener sin cambios su política </w:t>
      </w:r>
      <w:r w:rsidR="00607D54" w:rsidRPr="005920D3">
        <w:rPr>
          <w:rFonts w:ascii="Times New Roman" w:hAnsi="Times New Roman" w:cs="Times New Roman"/>
        </w:rPr>
        <w:t>ultra flexible</w:t>
      </w:r>
      <w:r w:rsidRPr="005920D3">
        <w:rPr>
          <w:rFonts w:ascii="Times New Roman" w:hAnsi="Times New Roman" w:cs="Times New Roman"/>
        </w:rPr>
        <w:t>, con tipos de interés a corto plazo en el -0.1% y mantener en torno al 0% el rendimiento del bono estatal a largo plazo.</w:t>
      </w:r>
    </w:p>
    <w:p w:rsidR="000C73C8" w:rsidRPr="005920D3" w:rsidRDefault="000C73C8" w:rsidP="00D61F8E">
      <w:pPr>
        <w:pStyle w:val="Sinespaciado"/>
        <w:jc w:val="both"/>
        <w:rPr>
          <w:rFonts w:ascii="Times New Roman" w:eastAsia="Times New Roman" w:hAnsi="Times New Roman" w:cs="Times New Roman"/>
        </w:rPr>
      </w:pPr>
    </w:p>
    <w:p w:rsidR="00304547" w:rsidRPr="005920D3" w:rsidRDefault="00304547" w:rsidP="00304547">
      <w:pPr>
        <w:pStyle w:val="Sinespaciado"/>
        <w:jc w:val="both"/>
        <w:rPr>
          <w:rFonts w:ascii="Times New Roman" w:eastAsia="Times New Roman" w:hAnsi="Times New Roman" w:cs="Times New Roman"/>
          <w:lang w:val="es-MX"/>
        </w:rPr>
      </w:pPr>
      <w:r w:rsidRPr="005920D3">
        <w:rPr>
          <w:rFonts w:ascii="Times New Roman" w:eastAsia="Times New Roman" w:hAnsi="Times New Roman" w:cs="Times New Roman"/>
          <w:lang w:val="es-MX"/>
        </w:rPr>
        <w:t xml:space="preserve">En el ámbito interno, la percepción sobre la situación económica actual y el ambiente para los negocios aumentó, el nivel del Índice de Confianza de la Actividad Económica se situó en 38.68 puntos, superior en 6.26% con respecto al registrado el mes anterior y se redujo en 8.99% respecto al registrado en julio 2019.   Así mismo, se espera un ritmo inflacionario de 2.32% para julio, 2.59% para agosto y 2.73% para septiembre 2020; en un horizonte de 12 y 24 meses se esperaría un ritmo de 3.49% y 3.90% respectivamente. </w:t>
      </w:r>
    </w:p>
    <w:p w:rsidR="00304547" w:rsidRPr="005920D3" w:rsidRDefault="00304547" w:rsidP="00D61F8E">
      <w:pPr>
        <w:pStyle w:val="Sinespaciado"/>
        <w:jc w:val="both"/>
        <w:rPr>
          <w:rFonts w:ascii="Times New Roman" w:hAnsi="Times New Roman" w:cs="Times New Roman"/>
          <w:lang w:val="es-MX"/>
        </w:rPr>
      </w:pPr>
    </w:p>
    <w:p w:rsidR="00B06BC2" w:rsidRPr="00D91E0F" w:rsidRDefault="00B06BC2" w:rsidP="00D61F8E">
      <w:pPr>
        <w:pStyle w:val="Sinespaciado"/>
        <w:jc w:val="both"/>
        <w:rPr>
          <w:rFonts w:ascii="Times New Roman" w:hAnsi="Times New Roman" w:cs="Times New Roman"/>
          <w:color w:val="FF0000"/>
          <w:lang w:val="es-MX"/>
        </w:rPr>
      </w:pPr>
      <w:r w:rsidRPr="005920D3">
        <w:rPr>
          <w:rFonts w:ascii="Times New Roman" w:hAnsi="Times New Roman" w:cs="Times New Roman"/>
          <w:lang w:val="es-MX"/>
        </w:rPr>
        <w:t>El Banco de Guatemala indicó que</w:t>
      </w:r>
      <w:r w:rsidR="00112CA5" w:rsidRPr="005920D3">
        <w:rPr>
          <w:rFonts w:ascii="Times New Roman" w:hAnsi="Times New Roman" w:cs="Times New Roman"/>
          <w:lang w:val="es-MX"/>
        </w:rPr>
        <w:t xml:space="preserve"> la actividad económica en junio</w:t>
      </w:r>
      <w:r w:rsidRPr="005920D3">
        <w:rPr>
          <w:rFonts w:ascii="Times New Roman" w:hAnsi="Times New Roman" w:cs="Times New Roman"/>
          <w:lang w:val="es-MX"/>
        </w:rPr>
        <w:t xml:space="preserve"> de 2020 regi</w:t>
      </w:r>
      <w:r w:rsidR="00E652D9" w:rsidRPr="005920D3">
        <w:rPr>
          <w:rFonts w:ascii="Times New Roman" w:hAnsi="Times New Roman" w:cs="Times New Roman"/>
          <w:lang w:val="es-MX"/>
        </w:rPr>
        <w:t>s</w:t>
      </w:r>
      <w:r w:rsidR="00112CA5" w:rsidRPr="005920D3">
        <w:rPr>
          <w:rFonts w:ascii="Times New Roman" w:hAnsi="Times New Roman" w:cs="Times New Roman"/>
          <w:lang w:val="es-MX"/>
        </w:rPr>
        <w:t>tró una tasa de variación de -8.6</w:t>
      </w:r>
      <w:r w:rsidRPr="005920D3">
        <w:rPr>
          <w:rFonts w:ascii="Times New Roman" w:hAnsi="Times New Roman" w:cs="Times New Roman"/>
          <w:lang w:val="es-MX"/>
        </w:rPr>
        <w:t xml:space="preserve">% </w:t>
      </w:r>
      <w:r w:rsidR="00E652D9" w:rsidRPr="005920D3">
        <w:rPr>
          <w:rFonts w:ascii="Times New Roman" w:hAnsi="Times New Roman" w:cs="Times New Roman"/>
          <w:lang w:val="es-MX"/>
        </w:rPr>
        <w:t xml:space="preserve">respecto </w:t>
      </w:r>
      <w:r w:rsidR="00112CA5" w:rsidRPr="005920D3">
        <w:rPr>
          <w:rFonts w:ascii="Times New Roman" w:hAnsi="Times New Roman" w:cs="Times New Roman"/>
          <w:lang w:val="es-MX"/>
        </w:rPr>
        <w:t>de junio 2019 cuando se ubicó en 3.2</w:t>
      </w:r>
      <w:r w:rsidRPr="005920D3">
        <w:rPr>
          <w:rFonts w:ascii="Times New Roman" w:hAnsi="Times New Roman" w:cs="Times New Roman"/>
          <w:lang w:val="es-MX"/>
        </w:rPr>
        <w:t xml:space="preserve">%, de acuerdo a la estimación del IMAE publicada en </w:t>
      </w:r>
      <w:r w:rsidR="00112CA5" w:rsidRPr="005920D3">
        <w:rPr>
          <w:rFonts w:ascii="Times New Roman" w:hAnsi="Times New Roman" w:cs="Times New Roman"/>
          <w:lang w:val="es-MX"/>
        </w:rPr>
        <w:t>jul</w:t>
      </w:r>
      <w:r w:rsidR="00E652D9" w:rsidRPr="005920D3">
        <w:rPr>
          <w:rFonts w:ascii="Times New Roman" w:hAnsi="Times New Roman" w:cs="Times New Roman"/>
          <w:lang w:val="es-MX"/>
        </w:rPr>
        <w:t>io</w:t>
      </w:r>
      <w:r w:rsidRPr="005920D3">
        <w:rPr>
          <w:rFonts w:ascii="Times New Roman" w:hAnsi="Times New Roman" w:cs="Times New Roman"/>
          <w:lang w:val="es-MX"/>
        </w:rPr>
        <w:t>. Dicho resultado</w:t>
      </w:r>
      <w:r w:rsidR="00112CA5" w:rsidRPr="005920D3">
        <w:rPr>
          <w:rFonts w:ascii="Times New Roman" w:hAnsi="Times New Roman" w:cs="Times New Roman"/>
          <w:lang w:val="es-MX"/>
        </w:rPr>
        <w:t xml:space="preserve"> se explicó por el resultado que experimentaron, principalmente, las actividades económicas de Comercio y reparación de Vehículos; Actividades de alojamiento y de servicio de comidas; Industrias manufactureras; Enseñanza; Transporte y almacenamiento; Construcción; y Otras actividades de servicios como las deportivas, de esparcimiento y recreativas; los servicios personales (lavanderías, peluquerías, salones de belleza, entre otros); así como las actividades artísticas y de entretenimiento. </w:t>
      </w:r>
      <w:r w:rsidR="00112CA5" w:rsidRPr="005920D3">
        <w:rPr>
          <w:rFonts w:ascii="Times New Roman" w:hAnsi="Times New Roman" w:cs="Times New Roman"/>
          <w:lang w:val="es-MX"/>
        </w:rPr>
        <w:cr/>
      </w:r>
    </w:p>
    <w:p w:rsidR="00F062BF" w:rsidRPr="00D91E0F" w:rsidRDefault="00F062BF" w:rsidP="00975E49">
      <w:pPr>
        <w:pStyle w:val="Sinespaciado"/>
        <w:ind w:right="-188"/>
        <w:jc w:val="both"/>
        <w:rPr>
          <w:rFonts w:ascii="Times New Roman" w:hAnsi="Times New Roman" w:cs="Times New Roman"/>
          <w:color w:val="FF0000"/>
          <w:sz w:val="16"/>
        </w:rPr>
        <w:sectPr w:rsidR="00F062BF" w:rsidRPr="00D91E0F" w:rsidSect="00040C99">
          <w:headerReference w:type="default" r:id="rId33"/>
          <w:footerReference w:type="default" r:id="rId34"/>
          <w:type w:val="continuous"/>
          <w:pgSz w:w="12240" w:h="15840" w:code="1"/>
          <w:pgMar w:top="1418" w:right="1467" w:bottom="1418" w:left="1560" w:header="709" w:footer="709" w:gutter="0"/>
          <w:cols w:num="2" w:space="802"/>
          <w:docGrid w:linePitch="360"/>
        </w:sectPr>
      </w:pPr>
    </w:p>
    <w:p w:rsidR="00F062BF" w:rsidRPr="00D91E0F" w:rsidRDefault="00F062BF" w:rsidP="00F062BF">
      <w:pPr>
        <w:spacing w:after="0" w:line="240" w:lineRule="auto"/>
        <w:rPr>
          <w:rFonts w:ascii="Times New Roman" w:hAnsi="Times New Roman" w:cs="Times New Roman"/>
          <w:noProof/>
          <w:color w:val="FF0000"/>
          <w:sz w:val="16"/>
          <w:lang w:val="es-MX" w:eastAsia="es-GT"/>
        </w:rPr>
        <w:sectPr w:rsidR="00F062BF" w:rsidRPr="00D91E0F" w:rsidSect="00986297">
          <w:headerReference w:type="default" r:id="rId35"/>
          <w:footerReference w:type="default" r:id="rId36"/>
          <w:type w:val="continuous"/>
          <w:pgSz w:w="12240" w:h="15840" w:code="1"/>
          <w:pgMar w:top="1418" w:right="1418" w:bottom="1418" w:left="1418" w:header="709" w:footer="709" w:gutter="0"/>
          <w:cols w:num="2" w:space="708"/>
          <w:docGrid w:linePitch="360"/>
        </w:sectPr>
      </w:pPr>
    </w:p>
    <w:p w:rsidR="003D557F" w:rsidRPr="00D91E0F" w:rsidRDefault="003D557F" w:rsidP="00AD5816">
      <w:pPr>
        <w:spacing w:after="0" w:line="240" w:lineRule="auto"/>
        <w:rPr>
          <w:rFonts w:ascii="Times New Roman" w:hAnsi="Times New Roman" w:cs="Times New Roman"/>
          <w:noProof/>
          <w:color w:val="FF0000"/>
          <w:sz w:val="16"/>
          <w:lang w:eastAsia="es-GT"/>
        </w:rPr>
      </w:pPr>
    </w:p>
    <w:p w:rsidR="001A6038" w:rsidRPr="00D91E0F" w:rsidRDefault="001A6038" w:rsidP="00AD5816">
      <w:pPr>
        <w:spacing w:after="0" w:line="240" w:lineRule="auto"/>
        <w:rPr>
          <w:rFonts w:ascii="Times New Roman" w:hAnsi="Times New Roman" w:cs="Times New Roman"/>
          <w:noProof/>
          <w:color w:val="FF0000"/>
          <w:sz w:val="16"/>
          <w:lang w:eastAsia="es-GT"/>
        </w:rPr>
      </w:pPr>
    </w:p>
    <w:p w:rsidR="000C73C8" w:rsidRPr="00D91E0F" w:rsidRDefault="000C73C8" w:rsidP="00AD5816">
      <w:pPr>
        <w:spacing w:after="0" w:line="240" w:lineRule="auto"/>
        <w:rPr>
          <w:rFonts w:ascii="Times New Roman" w:hAnsi="Times New Roman" w:cs="Times New Roman"/>
          <w:noProof/>
          <w:color w:val="FF0000"/>
          <w:sz w:val="16"/>
          <w:lang w:eastAsia="es-GT"/>
        </w:rPr>
      </w:pPr>
    </w:p>
    <w:p w:rsidR="00F7228C" w:rsidRPr="00D91E0F" w:rsidRDefault="00F7228C" w:rsidP="00AD5816">
      <w:pPr>
        <w:spacing w:after="0" w:line="240" w:lineRule="auto"/>
        <w:rPr>
          <w:rFonts w:ascii="Times New Roman" w:hAnsi="Times New Roman" w:cs="Times New Roman"/>
          <w:noProof/>
          <w:color w:val="FF0000"/>
          <w:sz w:val="16"/>
          <w:lang w:eastAsia="es-GT"/>
        </w:rPr>
      </w:pPr>
    </w:p>
    <w:p w:rsidR="00F7228C" w:rsidRPr="00D91E0F" w:rsidRDefault="00F7228C" w:rsidP="00AD5816">
      <w:pPr>
        <w:spacing w:after="0" w:line="240" w:lineRule="auto"/>
        <w:rPr>
          <w:rFonts w:ascii="Times New Roman" w:hAnsi="Times New Roman" w:cs="Times New Roman"/>
          <w:noProof/>
          <w:color w:val="FF0000"/>
          <w:sz w:val="16"/>
          <w:lang w:eastAsia="es-GT"/>
        </w:rPr>
      </w:pPr>
    </w:p>
    <w:p w:rsidR="00F7228C" w:rsidRPr="00D91E0F" w:rsidRDefault="00F7228C" w:rsidP="00AD5816">
      <w:pPr>
        <w:spacing w:after="0" w:line="240" w:lineRule="auto"/>
        <w:rPr>
          <w:rFonts w:ascii="Times New Roman" w:hAnsi="Times New Roman" w:cs="Times New Roman"/>
          <w:noProof/>
          <w:color w:val="FF0000"/>
          <w:sz w:val="16"/>
          <w:lang w:eastAsia="es-GT"/>
        </w:rPr>
      </w:pPr>
    </w:p>
    <w:p w:rsidR="00C739AF" w:rsidRDefault="00C739AF" w:rsidP="00AD5816">
      <w:pPr>
        <w:spacing w:after="0" w:line="240" w:lineRule="auto"/>
        <w:rPr>
          <w:rFonts w:ascii="Times New Roman" w:hAnsi="Times New Roman" w:cs="Times New Roman"/>
          <w:noProof/>
          <w:color w:val="FF0000"/>
          <w:sz w:val="16"/>
          <w:lang w:eastAsia="es-GT"/>
        </w:rPr>
      </w:pPr>
    </w:p>
    <w:p w:rsidR="00045827" w:rsidRDefault="00045827" w:rsidP="00AD5816">
      <w:pPr>
        <w:spacing w:after="0" w:line="240" w:lineRule="auto"/>
        <w:rPr>
          <w:rFonts w:ascii="Times New Roman" w:hAnsi="Times New Roman" w:cs="Times New Roman"/>
          <w:noProof/>
          <w:color w:val="FF0000"/>
          <w:sz w:val="16"/>
          <w:lang w:eastAsia="es-GT"/>
        </w:rPr>
      </w:pPr>
    </w:p>
    <w:p w:rsidR="00045827" w:rsidRDefault="00045827" w:rsidP="00AD5816">
      <w:pPr>
        <w:spacing w:after="0" w:line="240" w:lineRule="auto"/>
        <w:rPr>
          <w:rFonts w:ascii="Times New Roman" w:hAnsi="Times New Roman" w:cs="Times New Roman"/>
          <w:noProof/>
          <w:color w:val="FF0000"/>
          <w:sz w:val="16"/>
          <w:lang w:eastAsia="es-GT"/>
        </w:rPr>
      </w:pPr>
    </w:p>
    <w:p w:rsidR="00C739AF" w:rsidRDefault="00C739AF" w:rsidP="00AD5816">
      <w:pPr>
        <w:spacing w:after="0" w:line="240" w:lineRule="auto"/>
        <w:rPr>
          <w:rFonts w:ascii="Times New Roman" w:hAnsi="Times New Roman" w:cs="Times New Roman"/>
          <w:noProof/>
          <w:color w:val="FF0000"/>
          <w:sz w:val="16"/>
          <w:lang w:eastAsia="es-GT"/>
        </w:rPr>
      </w:pPr>
    </w:p>
    <w:p w:rsidR="00005E80" w:rsidRDefault="00005E80" w:rsidP="00AD5816">
      <w:pPr>
        <w:spacing w:after="0" w:line="240" w:lineRule="auto"/>
        <w:rPr>
          <w:rFonts w:ascii="Times New Roman" w:hAnsi="Times New Roman" w:cs="Times New Roman"/>
          <w:noProof/>
          <w:color w:val="FF0000"/>
          <w:sz w:val="16"/>
          <w:lang w:eastAsia="es-GT"/>
        </w:rPr>
      </w:pPr>
    </w:p>
    <w:p w:rsidR="00005E80" w:rsidRDefault="00005E80" w:rsidP="00AD5816">
      <w:pPr>
        <w:spacing w:after="0" w:line="240" w:lineRule="auto"/>
        <w:rPr>
          <w:rFonts w:ascii="Times New Roman" w:hAnsi="Times New Roman" w:cs="Times New Roman"/>
          <w:noProof/>
          <w:color w:val="FF0000"/>
          <w:sz w:val="16"/>
          <w:lang w:eastAsia="es-GT"/>
        </w:rPr>
      </w:pPr>
    </w:p>
    <w:p w:rsidR="00005E80" w:rsidRDefault="00005E80" w:rsidP="00AD5816">
      <w:pPr>
        <w:spacing w:after="0" w:line="240" w:lineRule="auto"/>
        <w:rPr>
          <w:rFonts w:ascii="Times New Roman" w:hAnsi="Times New Roman" w:cs="Times New Roman"/>
          <w:noProof/>
          <w:color w:val="FF0000"/>
          <w:sz w:val="16"/>
          <w:lang w:eastAsia="es-GT"/>
        </w:rPr>
      </w:pPr>
    </w:p>
    <w:p w:rsidR="00005E80" w:rsidRPr="00D91E0F" w:rsidRDefault="00005E80" w:rsidP="00AD5816">
      <w:pPr>
        <w:spacing w:after="0" w:line="240" w:lineRule="auto"/>
        <w:rPr>
          <w:rFonts w:ascii="Times New Roman" w:hAnsi="Times New Roman" w:cs="Times New Roman"/>
          <w:noProof/>
          <w:color w:val="FF0000"/>
          <w:sz w:val="16"/>
          <w:lang w:eastAsia="es-GT"/>
        </w:rPr>
      </w:pPr>
    </w:p>
    <w:p w:rsidR="001F5581" w:rsidRPr="00045827" w:rsidRDefault="001F5581" w:rsidP="001F5581">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1F5581" w:rsidRPr="00045827" w:rsidSect="00FA3B81">
          <w:headerReference w:type="default" r:id="rId37"/>
          <w:footerReference w:type="default" r:id="rId38"/>
          <w:type w:val="continuous"/>
          <w:pgSz w:w="12240" w:h="15840" w:code="1"/>
          <w:pgMar w:top="1418" w:right="1418" w:bottom="1418" w:left="1418" w:header="709" w:footer="709" w:gutter="0"/>
          <w:cols w:space="708"/>
          <w:docGrid w:linePitch="360"/>
        </w:sectPr>
      </w:pPr>
      <w:r w:rsidRPr="00045827">
        <w:rPr>
          <w:rFonts w:ascii="Times New Roman" w:hAnsi="Times New Roman" w:cs="Times New Roman"/>
          <w:b/>
          <w:lang w:val="es-MX"/>
        </w:rPr>
        <w:t>Anexo</w:t>
      </w:r>
      <w:r w:rsidR="0008320B" w:rsidRPr="00045827">
        <w:rPr>
          <w:rFonts w:ascii="Times New Roman" w:hAnsi="Times New Roman" w:cs="Times New Roman"/>
          <w:b/>
          <w:lang w:val="es-MX"/>
        </w:rPr>
        <w:t>s</w:t>
      </w:r>
    </w:p>
    <w:p w:rsidR="001F5581" w:rsidRPr="00D91E0F" w:rsidRDefault="00045827" w:rsidP="00AD5816">
      <w:pPr>
        <w:spacing w:after="0" w:line="240" w:lineRule="auto"/>
        <w:rPr>
          <w:rFonts w:ascii="Times New Roman" w:hAnsi="Times New Roman" w:cs="Times New Roman"/>
          <w:noProof/>
          <w:color w:val="FF0000"/>
          <w:sz w:val="16"/>
          <w:lang w:val="es-MX" w:eastAsia="es-GT"/>
        </w:rPr>
        <w:sectPr w:rsidR="001F5581" w:rsidRPr="00D91E0F" w:rsidSect="00986297">
          <w:headerReference w:type="default" r:id="rId39"/>
          <w:footerReference w:type="default" r:id="rId40"/>
          <w:type w:val="continuous"/>
          <w:pgSz w:w="12240" w:h="15840" w:code="1"/>
          <w:pgMar w:top="1418" w:right="1418" w:bottom="1418" w:left="1418" w:header="709" w:footer="709" w:gutter="0"/>
          <w:cols w:num="2" w:space="708"/>
          <w:docGrid w:linePitch="360"/>
        </w:sectPr>
      </w:pPr>
      <w:bookmarkStart w:id="0" w:name="_GoBack"/>
      <w:r w:rsidRPr="00CF7EE0">
        <w:rPr>
          <w:noProof/>
          <w:lang w:eastAsia="es-GT"/>
        </w:rPr>
        <w:lastRenderedPageBreak/>
        <w:drawing>
          <wp:anchor distT="0" distB="0" distL="114300" distR="114300" simplePos="0" relativeHeight="251822080" behindDoc="0" locked="0" layoutInCell="1" allowOverlap="1" wp14:anchorId="14B955CB" wp14:editId="251D1295">
            <wp:simplePos x="0" y="0"/>
            <wp:positionH relativeFrom="column">
              <wp:posOffset>-3175</wp:posOffset>
            </wp:positionH>
            <wp:positionV relativeFrom="paragraph">
              <wp:posOffset>130546</wp:posOffset>
            </wp:positionV>
            <wp:extent cx="5900468" cy="5344539"/>
            <wp:effectExtent l="0" t="0" r="5080" b="8890"/>
            <wp:wrapSquare wrapText="bothSides"/>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00468" cy="534453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08320B" w:rsidRPr="00D91E0F" w:rsidRDefault="0008320B" w:rsidP="007E6BCF">
      <w:pPr>
        <w:spacing w:after="0" w:line="240" w:lineRule="auto"/>
        <w:rPr>
          <w:noProof/>
          <w:color w:val="FF0000"/>
          <w:lang w:eastAsia="es-GT"/>
        </w:rPr>
      </w:pPr>
    </w:p>
    <w:p w:rsidR="005834A0" w:rsidRPr="00D91E0F" w:rsidRDefault="005834A0" w:rsidP="007E6BCF">
      <w:pPr>
        <w:spacing w:after="0" w:line="240" w:lineRule="auto"/>
        <w:rPr>
          <w:noProof/>
          <w:color w:val="FF0000"/>
          <w:lang w:eastAsia="es-GT"/>
        </w:rPr>
      </w:pPr>
    </w:p>
    <w:p w:rsidR="005834A0" w:rsidRPr="00D91E0F" w:rsidRDefault="005834A0" w:rsidP="007E6BCF">
      <w:pPr>
        <w:spacing w:after="0" w:line="240" w:lineRule="auto"/>
        <w:rPr>
          <w:noProof/>
          <w:color w:val="FF0000"/>
          <w:lang w:eastAsia="es-GT"/>
        </w:rPr>
      </w:pPr>
    </w:p>
    <w:p w:rsidR="005834A0" w:rsidRPr="00D91E0F" w:rsidRDefault="005834A0" w:rsidP="007E6BCF">
      <w:pPr>
        <w:spacing w:after="0" w:line="240" w:lineRule="auto"/>
        <w:rPr>
          <w:noProof/>
          <w:color w:val="FF0000"/>
          <w:lang w:eastAsia="es-GT"/>
        </w:rPr>
      </w:pPr>
    </w:p>
    <w:p w:rsidR="005834A0" w:rsidRPr="00D91E0F" w:rsidRDefault="005834A0" w:rsidP="007E6BCF">
      <w:pPr>
        <w:spacing w:after="0" w:line="240" w:lineRule="auto"/>
        <w:rPr>
          <w:noProof/>
          <w:color w:val="FF0000"/>
          <w:lang w:eastAsia="es-GT"/>
        </w:rPr>
      </w:pPr>
    </w:p>
    <w:p w:rsidR="005834A0" w:rsidRPr="00D91E0F" w:rsidRDefault="005834A0" w:rsidP="007E6BCF">
      <w:pPr>
        <w:spacing w:after="0" w:line="240" w:lineRule="auto"/>
        <w:rPr>
          <w:noProof/>
          <w:color w:val="FF0000"/>
          <w:lang w:eastAsia="es-GT"/>
        </w:rPr>
      </w:pPr>
    </w:p>
    <w:p w:rsidR="005834A0" w:rsidRPr="00D91E0F" w:rsidRDefault="005834A0" w:rsidP="007E6BCF">
      <w:pPr>
        <w:spacing w:after="0" w:line="240" w:lineRule="auto"/>
        <w:rPr>
          <w:noProof/>
          <w:color w:val="FF0000"/>
          <w:lang w:eastAsia="es-GT"/>
        </w:rPr>
      </w:pPr>
    </w:p>
    <w:p w:rsidR="005834A0" w:rsidRPr="00D91E0F" w:rsidRDefault="005834A0" w:rsidP="007E6BCF">
      <w:pPr>
        <w:spacing w:after="0" w:line="240" w:lineRule="auto"/>
        <w:rPr>
          <w:noProof/>
          <w:color w:val="FF0000"/>
          <w:lang w:eastAsia="es-GT"/>
        </w:rPr>
      </w:pPr>
    </w:p>
    <w:p w:rsidR="005834A0" w:rsidRPr="00D91E0F" w:rsidRDefault="00045827" w:rsidP="007E6BCF">
      <w:pPr>
        <w:spacing w:after="0" w:line="240" w:lineRule="auto"/>
        <w:rPr>
          <w:noProof/>
          <w:color w:val="FF0000"/>
          <w:lang w:eastAsia="es-GT"/>
        </w:rPr>
      </w:pPr>
      <w:r w:rsidRPr="000E0E19">
        <w:rPr>
          <w:noProof/>
          <w:lang w:eastAsia="es-GT"/>
        </w:rPr>
        <w:drawing>
          <wp:anchor distT="0" distB="0" distL="114300" distR="114300" simplePos="0" relativeHeight="251824128" behindDoc="0" locked="0" layoutInCell="1" allowOverlap="1" wp14:anchorId="4B3B7389" wp14:editId="42CC3246">
            <wp:simplePos x="0" y="0"/>
            <wp:positionH relativeFrom="column">
              <wp:posOffset>-3810</wp:posOffset>
            </wp:positionH>
            <wp:positionV relativeFrom="paragraph">
              <wp:posOffset>174625</wp:posOffset>
            </wp:positionV>
            <wp:extent cx="6047105" cy="4806950"/>
            <wp:effectExtent l="0" t="0" r="0" b="0"/>
            <wp:wrapSquare wrapText="bothSides"/>
            <wp:docPr id="2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47105" cy="480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4A0" w:rsidRPr="00D91E0F" w:rsidRDefault="005834A0" w:rsidP="007E6BCF">
      <w:pPr>
        <w:spacing w:after="0" w:line="240" w:lineRule="auto"/>
        <w:rPr>
          <w:noProof/>
          <w:color w:val="FF0000"/>
          <w:lang w:eastAsia="es-GT"/>
        </w:rPr>
      </w:pPr>
    </w:p>
    <w:p w:rsidR="005834A0" w:rsidRPr="00D91E0F" w:rsidRDefault="005834A0" w:rsidP="007E6BCF">
      <w:pPr>
        <w:spacing w:after="0" w:line="240" w:lineRule="auto"/>
        <w:rPr>
          <w:noProof/>
          <w:color w:val="FF0000"/>
          <w:lang w:eastAsia="es-GT"/>
        </w:rPr>
      </w:pPr>
    </w:p>
    <w:p w:rsidR="00F1031E" w:rsidRPr="00D91E0F" w:rsidRDefault="00F1031E" w:rsidP="007E6BCF">
      <w:pPr>
        <w:spacing w:after="0" w:line="240" w:lineRule="auto"/>
        <w:rPr>
          <w:noProof/>
          <w:color w:val="FF0000"/>
          <w:lang w:eastAsia="es-GT"/>
        </w:rPr>
      </w:pPr>
    </w:p>
    <w:p w:rsidR="00F1031E" w:rsidRPr="00D91E0F" w:rsidRDefault="00F1031E" w:rsidP="007E6BCF">
      <w:pPr>
        <w:spacing w:after="0" w:line="240" w:lineRule="auto"/>
        <w:rPr>
          <w:noProof/>
          <w:color w:val="FF0000"/>
          <w:lang w:eastAsia="es-GT"/>
        </w:rPr>
      </w:pPr>
    </w:p>
    <w:p w:rsidR="00F1031E" w:rsidRPr="00D91E0F" w:rsidRDefault="00F1031E" w:rsidP="007E6BCF">
      <w:pPr>
        <w:spacing w:after="0" w:line="240" w:lineRule="auto"/>
        <w:rPr>
          <w:noProof/>
          <w:color w:val="FF0000"/>
          <w:lang w:eastAsia="es-GT"/>
        </w:rPr>
      </w:pPr>
    </w:p>
    <w:p w:rsidR="001F5581" w:rsidRPr="00D91E0F" w:rsidRDefault="001F5581" w:rsidP="007E6BCF">
      <w:pPr>
        <w:spacing w:after="0" w:line="240" w:lineRule="auto"/>
        <w:rPr>
          <w:rFonts w:ascii="Times New Roman" w:hAnsi="Times New Roman" w:cs="Times New Roman"/>
          <w:noProof/>
          <w:color w:val="FF0000"/>
          <w:sz w:val="16"/>
          <w:lang w:val="es-MX" w:eastAsia="es-GT"/>
        </w:rPr>
        <w:sectPr w:rsidR="001F5581" w:rsidRPr="00D91E0F" w:rsidSect="001F5581">
          <w:type w:val="continuous"/>
          <w:pgSz w:w="12240" w:h="15840" w:code="1"/>
          <w:pgMar w:top="1418" w:right="1418" w:bottom="1418" w:left="1418" w:header="709" w:footer="709" w:gutter="0"/>
          <w:cols w:space="708"/>
          <w:docGrid w:linePitch="360"/>
        </w:sectPr>
      </w:pPr>
    </w:p>
    <w:p w:rsidR="00AD5816" w:rsidRPr="00D91E0F" w:rsidRDefault="00AD5816" w:rsidP="00AD5816">
      <w:pPr>
        <w:spacing w:after="0" w:line="240" w:lineRule="auto"/>
        <w:rPr>
          <w:rFonts w:ascii="Times New Roman" w:hAnsi="Times New Roman" w:cs="Times New Roman"/>
          <w:noProof/>
          <w:color w:val="FF0000"/>
          <w:sz w:val="16"/>
          <w:lang w:eastAsia="es-GT"/>
        </w:rPr>
      </w:pPr>
    </w:p>
    <w:p w:rsidR="00AD5816" w:rsidRPr="00D91E0F" w:rsidRDefault="00AD5816" w:rsidP="00AD5816">
      <w:pPr>
        <w:spacing w:after="0" w:line="240" w:lineRule="auto"/>
        <w:rPr>
          <w:rFonts w:ascii="Times New Roman" w:hAnsi="Times New Roman" w:cs="Times New Roman"/>
          <w:noProof/>
          <w:color w:val="FF0000"/>
          <w:sz w:val="16"/>
          <w:lang w:eastAsia="es-GT"/>
        </w:rPr>
      </w:pPr>
    </w:p>
    <w:p w:rsidR="007703A2" w:rsidRPr="00D91E0F" w:rsidRDefault="007703A2" w:rsidP="00940C2E">
      <w:pPr>
        <w:pStyle w:val="Sinespaciado"/>
        <w:jc w:val="center"/>
        <w:rPr>
          <w:rFonts w:ascii="Times New Roman" w:hAnsi="Times New Roman" w:cs="Times New Roman"/>
          <w:color w:val="FF0000"/>
        </w:rPr>
      </w:pPr>
    </w:p>
    <w:sectPr w:rsidR="007703A2" w:rsidRPr="00D91E0F" w:rsidSect="00986297">
      <w:type w:val="continuous"/>
      <w:pgSz w:w="12240" w:h="15840" w:code="1"/>
      <w:pgMar w:top="1418" w:right="1418" w:bottom="1418" w:left="1418"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7F4D" w:rsidRDefault="00AA7F4D" w:rsidP="007D4651">
      <w:pPr>
        <w:spacing w:after="0" w:line="240" w:lineRule="auto"/>
      </w:pPr>
      <w:r>
        <w:separator/>
      </w:r>
    </w:p>
  </w:endnote>
  <w:endnote w:type="continuationSeparator" w:id="0">
    <w:p w:rsidR="00AA7F4D" w:rsidRDefault="00AA7F4D" w:rsidP="007D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737366140"/>
      <w:docPartObj>
        <w:docPartGallery w:val="Page Numbers (Bottom of Page)"/>
        <w:docPartUnique/>
      </w:docPartObj>
    </w:sdtPr>
    <w:sdtEndPr/>
    <w:sdtContent>
      <w:p w:rsidR="00E90128" w:rsidRDefault="00E90128">
        <w:pPr>
          <w:pStyle w:val="Piedepgina"/>
          <w:jc w:val="right"/>
          <w:rPr>
            <w:lang w:val="es-ES"/>
          </w:rPr>
        </w:pPr>
      </w:p>
      <w:p w:rsidR="00E90128" w:rsidRDefault="00E90128"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3360" behindDoc="0" locked="0" layoutInCell="1" allowOverlap="1" wp14:anchorId="30FD7748" wp14:editId="06D5E3CB">
                  <wp:simplePos x="0" y="0"/>
                  <wp:positionH relativeFrom="column">
                    <wp:posOffset>1755792</wp:posOffset>
                  </wp:positionH>
                  <wp:positionV relativeFrom="paragraph">
                    <wp:posOffset>70485</wp:posOffset>
                  </wp:positionV>
                  <wp:extent cx="5155565" cy="45719"/>
                  <wp:effectExtent l="38100" t="38100" r="64135" b="88265"/>
                  <wp:wrapNone/>
                  <wp:docPr id="3" name="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19BD47" id="3 Rectángulo" o:spid="_x0000_s1026" style="position:absolute;margin-left:138.25pt;margin-top:5.55pt;width:405.95pt;height: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tYPAMAAKU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90128" w:rsidRDefault="00E9012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005E80" w:rsidRPr="00005E80">
          <w:rPr>
            <w:rFonts w:ascii="Times New Roman" w:hAnsi="Times New Roman" w:cs="Times New Roman"/>
            <w:b/>
            <w:noProof/>
            <w:color w:val="1F497D" w:themeColor="text2"/>
            <w:lang w:val="es-ES"/>
          </w:rPr>
          <w:t>2</w:t>
        </w:r>
        <w:r w:rsidRPr="007D4651">
          <w:rPr>
            <w:rFonts w:ascii="Times New Roman" w:hAnsi="Times New Roman" w:cs="Times New Roman"/>
            <w:b/>
            <w:color w:val="1F497D" w:themeColor="text2"/>
          </w:rPr>
          <w:fldChar w:fldCharType="end"/>
        </w:r>
        <w:r>
          <w:rPr>
            <w:lang w:val="es-ES"/>
          </w:rPr>
          <w:t xml:space="preserve"> </w:t>
        </w:r>
      </w:p>
    </w:sdtContent>
  </w:sdt>
  <w:p w:rsidR="00E90128" w:rsidRDefault="00E90128" w:rsidP="007D4651">
    <w:pPr>
      <w:pStyle w:val="Piedepgina"/>
      <w:tabs>
        <w:tab w:val="clear" w:pos="4419"/>
        <w:tab w:val="clear" w:pos="8838"/>
        <w:tab w:val="left" w:pos="5777"/>
      </w:tabs>
    </w:pPr>
  </w:p>
  <w:p w:rsidR="00E90128" w:rsidRDefault="00E90128"/>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093235116"/>
      <w:docPartObj>
        <w:docPartGallery w:val="Page Numbers (Bottom of Page)"/>
        <w:docPartUnique/>
      </w:docPartObj>
    </w:sdtPr>
    <w:sdtEndPr/>
    <w:sdtContent>
      <w:p w:rsidR="00E90128" w:rsidRDefault="00E90128">
        <w:pPr>
          <w:pStyle w:val="Piedepgina"/>
          <w:jc w:val="right"/>
          <w:rPr>
            <w:lang w:val="es-ES"/>
          </w:rPr>
        </w:pPr>
      </w:p>
      <w:p w:rsidR="00E90128" w:rsidRDefault="00E90128"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30944" behindDoc="0" locked="0" layoutInCell="1" allowOverlap="1" wp14:anchorId="02DB86B6" wp14:editId="3ACBA8A4">
                  <wp:simplePos x="0" y="0"/>
                  <wp:positionH relativeFrom="column">
                    <wp:posOffset>1759602</wp:posOffset>
                  </wp:positionH>
                  <wp:positionV relativeFrom="paragraph">
                    <wp:posOffset>70485</wp:posOffset>
                  </wp:positionV>
                  <wp:extent cx="5155565" cy="45719"/>
                  <wp:effectExtent l="38100" t="38100" r="64135" b="88265"/>
                  <wp:wrapNone/>
                  <wp:docPr id="48"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9BF271" id="26 Rectángulo" o:spid="_x0000_s1026" style="position:absolute;margin-left:138.55pt;margin-top:5.55pt;width:405.95pt;height:3.6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HYBxbo+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90128" w:rsidRDefault="00E9012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005E80" w:rsidRPr="00005E80">
          <w:rPr>
            <w:rFonts w:ascii="Times New Roman" w:hAnsi="Times New Roman" w:cs="Times New Roman"/>
            <w:b/>
            <w:noProof/>
            <w:color w:val="1F497D" w:themeColor="text2"/>
            <w:lang w:val="es-ES"/>
          </w:rPr>
          <w:t>10</w:t>
        </w:r>
        <w:r w:rsidRPr="007D4651">
          <w:rPr>
            <w:rFonts w:ascii="Times New Roman" w:hAnsi="Times New Roman" w:cs="Times New Roman"/>
            <w:b/>
            <w:color w:val="1F497D" w:themeColor="text2"/>
          </w:rPr>
          <w:fldChar w:fldCharType="end"/>
        </w:r>
        <w:r>
          <w:rPr>
            <w:lang w:val="es-ES"/>
          </w:rPr>
          <w:t xml:space="preserve"> </w:t>
        </w:r>
      </w:p>
    </w:sdtContent>
  </w:sdt>
  <w:p w:rsidR="00E90128" w:rsidRDefault="00E90128" w:rsidP="007D4651">
    <w:pPr>
      <w:pStyle w:val="Piedepgina"/>
      <w:tabs>
        <w:tab w:val="clear" w:pos="4419"/>
        <w:tab w:val="clear" w:pos="8838"/>
        <w:tab w:val="left" w:pos="5777"/>
      </w:tabs>
    </w:pPr>
  </w:p>
  <w:p w:rsidR="00E90128" w:rsidRDefault="00E90128"/>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390385153"/>
      <w:docPartObj>
        <w:docPartGallery w:val="Page Numbers (Bottom of Page)"/>
        <w:docPartUnique/>
      </w:docPartObj>
    </w:sdtPr>
    <w:sdtEndPr/>
    <w:sdtContent>
      <w:p w:rsidR="00E90128" w:rsidRDefault="00E90128">
        <w:pPr>
          <w:pStyle w:val="Piedepgina"/>
          <w:jc w:val="right"/>
          <w:rPr>
            <w:lang w:val="es-ES"/>
          </w:rPr>
        </w:pPr>
      </w:p>
      <w:p w:rsidR="00E90128" w:rsidRDefault="00E90128"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83840" behindDoc="0" locked="0" layoutInCell="1" allowOverlap="1" wp14:anchorId="2AB36B97" wp14:editId="4033575F">
                  <wp:simplePos x="0" y="0"/>
                  <wp:positionH relativeFrom="column">
                    <wp:posOffset>1776669</wp:posOffset>
                  </wp:positionH>
                  <wp:positionV relativeFrom="paragraph">
                    <wp:posOffset>70516</wp:posOffset>
                  </wp:positionV>
                  <wp:extent cx="5155565" cy="45719"/>
                  <wp:effectExtent l="38100" t="38100" r="64135" b="88265"/>
                  <wp:wrapNone/>
                  <wp:docPr id="39"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3C0B72" id="39 Rectángulo" o:spid="_x0000_s1026" style="position:absolute;margin-left:139.9pt;margin-top:5.55pt;width:405.95pt;height:3.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2T2O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90128" w:rsidRDefault="00E9012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005E80" w:rsidRPr="00005E80">
          <w:rPr>
            <w:rFonts w:ascii="Times New Roman" w:hAnsi="Times New Roman" w:cs="Times New Roman"/>
            <w:b/>
            <w:noProof/>
            <w:color w:val="1F497D" w:themeColor="text2"/>
            <w:lang w:val="es-ES"/>
          </w:rPr>
          <w:t>11</w:t>
        </w:r>
        <w:r w:rsidRPr="007D4651">
          <w:rPr>
            <w:rFonts w:ascii="Times New Roman" w:hAnsi="Times New Roman" w:cs="Times New Roman"/>
            <w:b/>
            <w:color w:val="1F497D" w:themeColor="text2"/>
          </w:rPr>
          <w:fldChar w:fldCharType="end"/>
        </w:r>
        <w:r>
          <w:rPr>
            <w:lang w:val="es-ES"/>
          </w:rPr>
          <w:t xml:space="preserve"> </w:t>
        </w:r>
      </w:p>
    </w:sdtContent>
  </w:sdt>
  <w:p w:rsidR="00E90128" w:rsidRDefault="00E90128" w:rsidP="007D4651">
    <w:pPr>
      <w:pStyle w:val="Piedepgina"/>
      <w:tabs>
        <w:tab w:val="clear" w:pos="4419"/>
        <w:tab w:val="clear" w:pos="8838"/>
        <w:tab w:val="left" w:pos="5777"/>
      </w:tabs>
    </w:pPr>
  </w:p>
  <w:p w:rsidR="00E90128" w:rsidRDefault="00E90128"/>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759977768"/>
      <w:docPartObj>
        <w:docPartGallery w:val="Page Numbers (Bottom of Page)"/>
        <w:docPartUnique/>
      </w:docPartObj>
    </w:sdtPr>
    <w:sdtEndPr/>
    <w:sdtContent>
      <w:p w:rsidR="00E90128" w:rsidRDefault="00E90128">
        <w:pPr>
          <w:pStyle w:val="Piedepgina"/>
          <w:jc w:val="right"/>
          <w:rPr>
            <w:lang w:val="es-ES"/>
          </w:rPr>
        </w:pPr>
      </w:p>
      <w:p w:rsidR="00E90128" w:rsidRDefault="00E90128"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7456" behindDoc="0" locked="0" layoutInCell="1" allowOverlap="1" wp14:anchorId="2B016518" wp14:editId="6F900908">
                  <wp:simplePos x="0" y="0"/>
                  <wp:positionH relativeFrom="column">
                    <wp:posOffset>1776669</wp:posOffset>
                  </wp:positionH>
                  <wp:positionV relativeFrom="paragraph">
                    <wp:posOffset>70516</wp:posOffset>
                  </wp:positionV>
                  <wp:extent cx="5155565" cy="45719"/>
                  <wp:effectExtent l="38100" t="38100" r="64135" b="88265"/>
                  <wp:wrapNone/>
                  <wp:docPr id="8" name="8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580437" id="8 Rectángulo" o:spid="_x0000_s1026" style="position:absolute;margin-left:139.9pt;margin-top:5.55pt;width:405.95pt;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90128" w:rsidRDefault="00E9012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005E80" w:rsidRPr="00005E80">
          <w:rPr>
            <w:rFonts w:ascii="Times New Roman" w:hAnsi="Times New Roman" w:cs="Times New Roman"/>
            <w:b/>
            <w:noProof/>
            <w:color w:val="1F497D" w:themeColor="text2"/>
            <w:lang w:val="es-ES"/>
          </w:rPr>
          <w:t>3</w:t>
        </w:r>
        <w:r w:rsidRPr="007D4651">
          <w:rPr>
            <w:rFonts w:ascii="Times New Roman" w:hAnsi="Times New Roman" w:cs="Times New Roman"/>
            <w:b/>
            <w:color w:val="1F497D" w:themeColor="text2"/>
          </w:rPr>
          <w:fldChar w:fldCharType="end"/>
        </w:r>
        <w:r>
          <w:rPr>
            <w:lang w:val="es-ES"/>
          </w:rPr>
          <w:t xml:space="preserve"> </w:t>
        </w:r>
      </w:p>
    </w:sdtContent>
  </w:sdt>
  <w:p w:rsidR="00E90128" w:rsidRDefault="00E90128" w:rsidP="007D4651">
    <w:pPr>
      <w:pStyle w:val="Piedepgina"/>
      <w:tabs>
        <w:tab w:val="clear" w:pos="4419"/>
        <w:tab w:val="clear" w:pos="8838"/>
        <w:tab w:val="left" w:pos="5777"/>
      </w:tabs>
    </w:pPr>
  </w:p>
  <w:p w:rsidR="00E90128" w:rsidRDefault="00E90128"/>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358082904"/>
      <w:docPartObj>
        <w:docPartGallery w:val="Page Numbers (Bottom of Page)"/>
        <w:docPartUnique/>
      </w:docPartObj>
    </w:sdtPr>
    <w:sdtEndPr/>
    <w:sdtContent>
      <w:p w:rsidR="00E90128" w:rsidRDefault="00E90128">
        <w:pPr>
          <w:pStyle w:val="Piedepgina"/>
          <w:jc w:val="right"/>
          <w:rPr>
            <w:lang w:val="es-ES"/>
          </w:rPr>
        </w:pPr>
      </w:p>
      <w:p w:rsidR="00E90128" w:rsidRDefault="00E90128"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08416" behindDoc="0" locked="0" layoutInCell="1" allowOverlap="1" wp14:anchorId="5CB35F83" wp14:editId="6863FA88">
                  <wp:simplePos x="0" y="0"/>
                  <wp:positionH relativeFrom="column">
                    <wp:posOffset>1759602</wp:posOffset>
                  </wp:positionH>
                  <wp:positionV relativeFrom="paragraph">
                    <wp:posOffset>70485</wp:posOffset>
                  </wp:positionV>
                  <wp:extent cx="5155565" cy="45719"/>
                  <wp:effectExtent l="38100" t="38100" r="64135" b="88265"/>
                  <wp:wrapNone/>
                  <wp:docPr id="32" name="32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2E13D4" id="32 Rectángulo" o:spid="_x0000_s1026" style="position:absolute;margin-left:138.55pt;margin-top:5.55pt;width:405.95pt;height:3.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tG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STFSJAWcjRJ0Q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A9YC0Y+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90128" w:rsidRDefault="00E9012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Pr="00725FE5">
          <w:rPr>
            <w:rFonts w:ascii="Times New Roman" w:hAnsi="Times New Roman" w:cs="Times New Roman"/>
            <w:b/>
            <w:noProof/>
            <w:color w:val="1F497D" w:themeColor="text2"/>
            <w:lang w:val="es-ES"/>
          </w:rPr>
          <w:t>4</w:t>
        </w:r>
        <w:r w:rsidRPr="007D4651">
          <w:rPr>
            <w:rFonts w:ascii="Times New Roman" w:hAnsi="Times New Roman" w:cs="Times New Roman"/>
            <w:b/>
            <w:color w:val="1F497D" w:themeColor="text2"/>
          </w:rPr>
          <w:fldChar w:fldCharType="end"/>
        </w:r>
        <w:r>
          <w:rPr>
            <w:lang w:val="es-ES"/>
          </w:rPr>
          <w:t xml:space="preserve"> </w:t>
        </w:r>
      </w:p>
    </w:sdtContent>
  </w:sdt>
  <w:p w:rsidR="00E90128" w:rsidRDefault="00E90128" w:rsidP="007D4651">
    <w:pPr>
      <w:pStyle w:val="Piedepgina"/>
      <w:tabs>
        <w:tab w:val="clear" w:pos="4419"/>
        <w:tab w:val="clear" w:pos="8838"/>
        <w:tab w:val="left" w:pos="5777"/>
      </w:tabs>
    </w:pPr>
  </w:p>
  <w:p w:rsidR="00E90128" w:rsidRDefault="00E90128"/>
  <w:p w:rsidR="00E90128" w:rsidRDefault="00E90128"/>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057080796"/>
      <w:docPartObj>
        <w:docPartGallery w:val="Page Numbers (Bottom of Page)"/>
        <w:docPartUnique/>
      </w:docPartObj>
    </w:sdtPr>
    <w:sdtEndPr/>
    <w:sdtContent>
      <w:p w:rsidR="00E90128" w:rsidRDefault="00E90128">
        <w:pPr>
          <w:pStyle w:val="Piedepgina"/>
          <w:jc w:val="right"/>
          <w:rPr>
            <w:lang w:val="es-ES"/>
          </w:rPr>
        </w:pPr>
      </w:p>
      <w:p w:rsidR="00E90128" w:rsidRDefault="00E90128"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1552" behindDoc="0" locked="0" layoutInCell="1" allowOverlap="1" wp14:anchorId="18C5B1B5" wp14:editId="733F38F4">
                  <wp:simplePos x="0" y="0"/>
                  <wp:positionH relativeFrom="column">
                    <wp:posOffset>1776669</wp:posOffset>
                  </wp:positionH>
                  <wp:positionV relativeFrom="paragraph">
                    <wp:posOffset>70516</wp:posOffset>
                  </wp:positionV>
                  <wp:extent cx="5155565" cy="45719"/>
                  <wp:effectExtent l="38100" t="38100" r="64135" b="88265"/>
                  <wp:wrapNone/>
                  <wp:docPr id="16" name="1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2D1E99" id="16 Rectángulo" o:spid="_x0000_s1026" style="position:absolute;margin-left:139.9pt;margin-top:5.55pt;width:405.95pt;height: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&#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DkCE3GPQMAAKc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90128" w:rsidRDefault="00E9012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110E5F" w:rsidRPr="00110E5F">
          <w:rPr>
            <w:rFonts w:ascii="Times New Roman" w:hAnsi="Times New Roman" w:cs="Times New Roman"/>
            <w:b/>
            <w:noProof/>
            <w:color w:val="1F497D" w:themeColor="text2"/>
            <w:lang w:val="es-ES"/>
          </w:rPr>
          <w:t>4</w:t>
        </w:r>
        <w:r w:rsidRPr="007D4651">
          <w:rPr>
            <w:rFonts w:ascii="Times New Roman" w:hAnsi="Times New Roman" w:cs="Times New Roman"/>
            <w:b/>
            <w:color w:val="1F497D" w:themeColor="text2"/>
          </w:rPr>
          <w:fldChar w:fldCharType="end"/>
        </w:r>
        <w:r>
          <w:rPr>
            <w:lang w:val="es-ES"/>
          </w:rPr>
          <w:t xml:space="preserve"> </w:t>
        </w:r>
      </w:p>
    </w:sdtContent>
  </w:sdt>
  <w:p w:rsidR="00E90128" w:rsidRDefault="00E90128" w:rsidP="007D4651">
    <w:pPr>
      <w:pStyle w:val="Piedepgina"/>
      <w:tabs>
        <w:tab w:val="clear" w:pos="4419"/>
        <w:tab w:val="clear" w:pos="8838"/>
        <w:tab w:val="left" w:pos="5777"/>
      </w:tabs>
    </w:pPr>
  </w:p>
  <w:p w:rsidR="00E90128" w:rsidRDefault="00E90128"/>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2100707382"/>
      <w:docPartObj>
        <w:docPartGallery w:val="Page Numbers (Bottom of Page)"/>
        <w:docPartUnique/>
      </w:docPartObj>
    </w:sdtPr>
    <w:sdtEndPr/>
    <w:sdtContent>
      <w:p w:rsidR="00E90128" w:rsidRDefault="00E90128">
        <w:pPr>
          <w:pStyle w:val="Piedepgina"/>
          <w:jc w:val="right"/>
          <w:rPr>
            <w:lang w:val="es-ES"/>
          </w:rPr>
        </w:pPr>
      </w:p>
      <w:p w:rsidR="00E90128" w:rsidRDefault="00E90128"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28896" behindDoc="0" locked="0" layoutInCell="1" allowOverlap="1" wp14:anchorId="21645ED4" wp14:editId="2296B0DA">
                  <wp:simplePos x="0" y="0"/>
                  <wp:positionH relativeFrom="column">
                    <wp:posOffset>1751347</wp:posOffset>
                  </wp:positionH>
                  <wp:positionV relativeFrom="paragraph">
                    <wp:posOffset>72390</wp:posOffset>
                  </wp:positionV>
                  <wp:extent cx="5155565" cy="45719"/>
                  <wp:effectExtent l="38100" t="38100" r="64135" b="88265"/>
                  <wp:wrapNone/>
                  <wp:docPr id="55"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BC3373" id="23 Rectángulo" o:spid="_x0000_s1026" style="position:absolute;margin-left:137.9pt;margin-top:5.7pt;width:405.95pt;height:3.6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90128" w:rsidRDefault="00E9012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005E80" w:rsidRPr="00005E80">
          <w:rPr>
            <w:rFonts w:ascii="Times New Roman" w:hAnsi="Times New Roman" w:cs="Times New Roman"/>
            <w:b/>
            <w:noProof/>
            <w:color w:val="1F497D" w:themeColor="text2"/>
            <w:lang w:val="es-ES"/>
          </w:rPr>
          <w:t>6</w:t>
        </w:r>
        <w:r w:rsidRPr="007D4651">
          <w:rPr>
            <w:rFonts w:ascii="Times New Roman" w:hAnsi="Times New Roman" w:cs="Times New Roman"/>
            <w:b/>
            <w:color w:val="1F497D" w:themeColor="text2"/>
          </w:rPr>
          <w:fldChar w:fldCharType="end"/>
        </w:r>
        <w:r>
          <w:rPr>
            <w:lang w:val="es-ES"/>
          </w:rPr>
          <w:t xml:space="preserve"> </w:t>
        </w:r>
      </w:p>
    </w:sdtContent>
  </w:sdt>
  <w:p w:rsidR="00E90128" w:rsidRDefault="00E90128" w:rsidP="007D4651">
    <w:pPr>
      <w:pStyle w:val="Piedepgina"/>
      <w:tabs>
        <w:tab w:val="clear" w:pos="4419"/>
        <w:tab w:val="clear" w:pos="8838"/>
        <w:tab w:val="left" w:pos="5777"/>
      </w:tabs>
    </w:pPr>
  </w:p>
  <w:p w:rsidR="00E90128" w:rsidRDefault="00E90128"/>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781730484"/>
      <w:docPartObj>
        <w:docPartGallery w:val="Page Numbers (Bottom of Page)"/>
        <w:docPartUnique/>
      </w:docPartObj>
    </w:sdtPr>
    <w:sdtEndPr/>
    <w:sdtContent>
      <w:p w:rsidR="00E90128" w:rsidRDefault="00E90128">
        <w:pPr>
          <w:pStyle w:val="Piedepgina"/>
          <w:jc w:val="right"/>
          <w:rPr>
            <w:lang w:val="es-ES"/>
          </w:rPr>
        </w:pPr>
      </w:p>
      <w:p w:rsidR="00E90128" w:rsidRDefault="00E90128"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5648" behindDoc="0" locked="0" layoutInCell="1" allowOverlap="1" wp14:anchorId="00B61F9B" wp14:editId="65E73248">
                  <wp:simplePos x="0" y="0"/>
                  <wp:positionH relativeFrom="column">
                    <wp:posOffset>1751347</wp:posOffset>
                  </wp:positionH>
                  <wp:positionV relativeFrom="paragraph">
                    <wp:posOffset>72390</wp:posOffset>
                  </wp:positionV>
                  <wp:extent cx="5155565" cy="45719"/>
                  <wp:effectExtent l="38100" t="38100" r="64135" b="88265"/>
                  <wp:wrapNone/>
                  <wp:docPr id="23"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CE973B" id="23 Rectángulo" o:spid="_x0000_s1026" style="position:absolute;margin-left:137.9pt;margin-top:5.7pt;width:405.95pt;height: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Ke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cTrBSJAWcpRO0A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90128" w:rsidRDefault="00E9012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005E80" w:rsidRPr="00005E80">
          <w:rPr>
            <w:rFonts w:ascii="Times New Roman" w:hAnsi="Times New Roman" w:cs="Times New Roman"/>
            <w:b/>
            <w:noProof/>
            <w:color w:val="1F497D" w:themeColor="text2"/>
            <w:lang w:val="es-ES"/>
          </w:rPr>
          <w:t>8</w:t>
        </w:r>
        <w:r w:rsidRPr="007D4651">
          <w:rPr>
            <w:rFonts w:ascii="Times New Roman" w:hAnsi="Times New Roman" w:cs="Times New Roman"/>
            <w:b/>
            <w:color w:val="1F497D" w:themeColor="text2"/>
          </w:rPr>
          <w:fldChar w:fldCharType="end"/>
        </w:r>
        <w:r>
          <w:rPr>
            <w:lang w:val="es-ES"/>
          </w:rPr>
          <w:t xml:space="preserve"> </w:t>
        </w:r>
      </w:p>
    </w:sdtContent>
  </w:sdt>
  <w:p w:rsidR="00E90128" w:rsidRDefault="00E90128" w:rsidP="007D4651">
    <w:pPr>
      <w:pStyle w:val="Piedepgina"/>
      <w:tabs>
        <w:tab w:val="clear" w:pos="4419"/>
        <w:tab w:val="clear" w:pos="8838"/>
        <w:tab w:val="left" w:pos="5777"/>
      </w:tabs>
    </w:pPr>
  </w:p>
  <w:p w:rsidR="00E90128" w:rsidRDefault="00E90128"/>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567338240"/>
      <w:docPartObj>
        <w:docPartGallery w:val="Page Numbers (Bottom of Page)"/>
        <w:docPartUnique/>
      </w:docPartObj>
    </w:sdtPr>
    <w:sdtEndPr/>
    <w:sdtContent>
      <w:p w:rsidR="00E90128" w:rsidRDefault="00E90128">
        <w:pPr>
          <w:pStyle w:val="Piedepgina"/>
          <w:jc w:val="right"/>
          <w:rPr>
            <w:lang w:val="es-ES"/>
          </w:rPr>
        </w:pPr>
      </w:p>
      <w:p w:rsidR="00E90128" w:rsidRDefault="00E90128"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9744" behindDoc="0" locked="0" layoutInCell="1" allowOverlap="1" wp14:anchorId="2AFE97E4" wp14:editId="0415E0B8">
                  <wp:simplePos x="0" y="0"/>
                  <wp:positionH relativeFrom="column">
                    <wp:posOffset>1759602</wp:posOffset>
                  </wp:positionH>
                  <wp:positionV relativeFrom="paragraph">
                    <wp:posOffset>70485</wp:posOffset>
                  </wp:positionV>
                  <wp:extent cx="5155565" cy="45719"/>
                  <wp:effectExtent l="38100" t="38100" r="64135" b="88265"/>
                  <wp:wrapNone/>
                  <wp:docPr id="26"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723F3E" id="26 Rectángulo" o:spid="_x0000_s1026" style="position:absolute;margin-left:138.55pt;margin-top:5.55pt;width:405.95pt;height:3.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C4DNAA+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90128" w:rsidRDefault="00E9012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7C3AF6" w:rsidRPr="007C3AF6">
          <w:rPr>
            <w:rFonts w:ascii="Times New Roman" w:hAnsi="Times New Roman" w:cs="Times New Roman"/>
            <w:b/>
            <w:noProof/>
            <w:color w:val="1F497D" w:themeColor="text2"/>
            <w:lang w:val="es-ES"/>
          </w:rPr>
          <w:t>10</w:t>
        </w:r>
        <w:r w:rsidRPr="007D4651">
          <w:rPr>
            <w:rFonts w:ascii="Times New Roman" w:hAnsi="Times New Roman" w:cs="Times New Roman"/>
            <w:b/>
            <w:color w:val="1F497D" w:themeColor="text2"/>
          </w:rPr>
          <w:fldChar w:fldCharType="end"/>
        </w:r>
        <w:r>
          <w:rPr>
            <w:lang w:val="es-ES"/>
          </w:rPr>
          <w:t xml:space="preserve"> </w:t>
        </w:r>
      </w:p>
    </w:sdtContent>
  </w:sdt>
  <w:p w:rsidR="00E90128" w:rsidRDefault="00E90128" w:rsidP="007D4651">
    <w:pPr>
      <w:pStyle w:val="Piedepgina"/>
      <w:tabs>
        <w:tab w:val="clear" w:pos="4419"/>
        <w:tab w:val="clear" w:pos="8838"/>
        <w:tab w:val="left" w:pos="5777"/>
      </w:tabs>
    </w:pPr>
  </w:p>
  <w:p w:rsidR="00E90128" w:rsidRDefault="00E90128"/>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247607362"/>
      <w:docPartObj>
        <w:docPartGallery w:val="Page Numbers (Bottom of Page)"/>
        <w:docPartUnique/>
      </w:docPartObj>
    </w:sdtPr>
    <w:sdtEndPr/>
    <w:sdtContent>
      <w:p w:rsidR="00E90128" w:rsidRDefault="00E90128">
        <w:pPr>
          <w:pStyle w:val="Piedepgina"/>
          <w:jc w:val="right"/>
          <w:rPr>
            <w:lang w:val="es-ES"/>
          </w:rPr>
        </w:pPr>
      </w:p>
      <w:p w:rsidR="00E90128" w:rsidRDefault="00E90128" w:rsidP="00AF4290">
        <w:pPr>
          <w:pStyle w:val="Piedepgina"/>
          <w:tabs>
            <w:tab w:val="left" w:pos="2694"/>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24800" behindDoc="0" locked="0" layoutInCell="1" allowOverlap="1" wp14:anchorId="1CB502BF" wp14:editId="67372609">
                  <wp:simplePos x="0" y="0"/>
                  <wp:positionH relativeFrom="column">
                    <wp:posOffset>1776669</wp:posOffset>
                  </wp:positionH>
                  <wp:positionV relativeFrom="paragraph">
                    <wp:posOffset>70516</wp:posOffset>
                  </wp:positionV>
                  <wp:extent cx="5155565" cy="45719"/>
                  <wp:effectExtent l="38100" t="38100" r="64135" b="88265"/>
                  <wp:wrapNone/>
                  <wp:docPr id="7" name="24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9FA443" id="24 Rectángulo" o:spid="_x0000_s1026" style="position:absolute;margin-left:139.9pt;margin-top:5.55pt;width:405.95pt;height:3.6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&#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CTfsNYPQMAAKY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90128" w:rsidRDefault="00E9012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005E80" w:rsidRPr="00005E80">
          <w:rPr>
            <w:rFonts w:ascii="Times New Roman" w:hAnsi="Times New Roman" w:cs="Times New Roman"/>
            <w:b/>
            <w:noProof/>
            <w:color w:val="1F497D" w:themeColor="text2"/>
            <w:lang w:val="es-ES"/>
          </w:rPr>
          <w:t>9</w:t>
        </w:r>
        <w:r w:rsidRPr="007D4651">
          <w:rPr>
            <w:rFonts w:ascii="Times New Roman" w:hAnsi="Times New Roman" w:cs="Times New Roman"/>
            <w:b/>
            <w:color w:val="1F497D" w:themeColor="text2"/>
          </w:rPr>
          <w:fldChar w:fldCharType="end"/>
        </w:r>
        <w:r>
          <w:rPr>
            <w:lang w:val="es-ES"/>
          </w:rPr>
          <w:t xml:space="preserve"> </w:t>
        </w:r>
      </w:p>
    </w:sdtContent>
  </w:sdt>
  <w:p w:rsidR="00E90128" w:rsidRDefault="00E90128" w:rsidP="007D4651">
    <w:pPr>
      <w:pStyle w:val="Piedepgina"/>
      <w:tabs>
        <w:tab w:val="clear" w:pos="4419"/>
        <w:tab w:val="clear" w:pos="8838"/>
        <w:tab w:val="left" w:pos="5777"/>
      </w:tabs>
    </w:pPr>
  </w:p>
  <w:p w:rsidR="00E90128" w:rsidRDefault="00E90128"/>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476265944"/>
      <w:docPartObj>
        <w:docPartGallery w:val="Page Numbers (Bottom of Page)"/>
        <w:docPartUnique/>
      </w:docPartObj>
    </w:sdtPr>
    <w:sdtEndPr/>
    <w:sdtContent>
      <w:p w:rsidR="00E90128" w:rsidRDefault="00E90128">
        <w:pPr>
          <w:pStyle w:val="Piedepgina"/>
          <w:jc w:val="right"/>
          <w:rPr>
            <w:lang w:val="es-ES"/>
          </w:rPr>
        </w:pPr>
      </w:p>
      <w:p w:rsidR="00E90128" w:rsidRDefault="00E90128"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37088" behindDoc="0" locked="0" layoutInCell="1" allowOverlap="1" wp14:anchorId="3A32FA2B" wp14:editId="50B40DE0">
                  <wp:simplePos x="0" y="0"/>
                  <wp:positionH relativeFrom="column">
                    <wp:posOffset>1776669</wp:posOffset>
                  </wp:positionH>
                  <wp:positionV relativeFrom="paragraph">
                    <wp:posOffset>70516</wp:posOffset>
                  </wp:positionV>
                  <wp:extent cx="5155565" cy="45719"/>
                  <wp:effectExtent l="38100" t="38100" r="64135" b="88265"/>
                  <wp:wrapNone/>
                  <wp:docPr id="21"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E8225D" id="39 Rectángulo" o:spid="_x0000_s1026" style="position:absolute;margin-left:139.9pt;margin-top:5.55pt;width:405.95pt;height:3.6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Tl8mz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90128" w:rsidRDefault="00E9012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Pr="009F1C07">
          <w:rPr>
            <w:rFonts w:ascii="Times New Roman" w:hAnsi="Times New Roman" w:cs="Times New Roman"/>
            <w:b/>
            <w:noProof/>
            <w:color w:val="1F497D" w:themeColor="text2"/>
            <w:lang w:val="es-ES"/>
          </w:rPr>
          <w:t>10</w:t>
        </w:r>
        <w:r w:rsidRPr="007D4651">
          <w:rPr>
            <w:rFonts w:ascii="Times New Roman" w:hAnsi="Times New Roman" w:cs="Times New Roman"/>
            <w:b/>
            <w:color w:val="1F497D" w:themeColor="text2"/>
          </w:rPr>
          <w:fldChar w:fldCharType="end"/>
        </w:r>
        <w:r>
          <w:rPr>
            <w:lang w:val="es-ES"/>
          </w:rPr>
          <w:t xml:space="preserve"> </w:t>
        </w:r>
      </w:p>
    </w:sdtContent>
  </w:sdt>
  <w:p w:rsidR="00E90128" w:rsidRDefault="00E90128" w:rsidP="007D4651">
    <w:pPr>
      <w:pStyle w:val="Piedepgina"/>
      <w:tabs>
        <w:tab w:val="clear" w:pos="4419"/>
        <w:tab w:val="clear" w:pos="8838"/>
        <w:tab w:val="left" w:pos="5777"/>
      </w:tabs>
    </w:pPr>
  </w:p>
  <w:p w:rsidR="00E90128" w:rsidRDefault="00E9012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7F4D" w:rsidRDefault="00AA7F4D" w:rsidP="007D4651">
      <w:pPr>
        <w:spacing w:after="0" w:line="240" w:lineRule="auto"/>
      </w:pPr>
      <w:r>
        <w:separator/>
      </w:r>
    </w:p>
  </w:footnote>
  <w:footnote w:type="continuationSeparator" w:id="0">
    <w:p w:rsidR="00AA7F4D" w:rsidRDefault="00AA7F4D" w:rsidP="007D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28" w:rsidRPr="007D4651" w:rsidRDefault="00E90128" w:rsidP="00BD3A7C">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39136" behindDoc="0" locked="0" layoutInCell="1" allowOverlap="1" wp14:anchorId="4DF50681" wp14:editId="4C076133">
          <wp:simplePos x="0" y="0"/>
          <wp:positionH relativeFrom="column">
            <wp:posOffset>0</wp:posOffset>
          </wp:positionH>
          <wp:positionV relativeFrom="paragraph">
            <wp:posOffset>-635</wp:posOffset>
          </wp:positionV>
          <wp:extent cx="1598212" cy="723976"/>
          <wp:effectExtent l="0" t="0" r="2540" b="0"/>
          <wp:wrapNone/>
          <wp:docPr id="5" name="Imagen 5"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E90128" w:rsidRDefault="00E90128"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Julio 2020</w:t>
    </w:r>
  </w:p>
  <w:p w:rsidR="00E90128" w:rsidRDefault="00E90128"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14560" behindDoc="0" locked="0" layoutInCell="1" allowOverlap="1" wp14:anchorId="5228AF4D" wp14:editId="7DDA0BA3">
              <wp:simplePos x="0" y="0"/>
              <wp:positionH relativeFrom="column">
                <wp:posOffset>1720884</wp:posOffset>
              </wp:positionH>
              <wp:positionV relativeFrom="paragraph">
                <wp:posOffset>7980</wp:posOffset>
              </wp:positionV>
              <wp:extent cx="5155894" cy="45719"/>
              <wp:effectExtent l="38100" t="38100" r="64135" b="88265"/>
              <wp:wrapNone/>
              <wp:docPr id="11" name="1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115008" id="11 Rectángulo" o:spid="_x0000_s1026" style="position:absolute;margin-left:135.5pt;margin-top:.65pt;width:406pt;height:3.6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90128" w:rsidRPr="0073581B" w:rsidRDefault="00E90128" w:rsidP="00E16925">
    <w:pPr>
      <w:pStyle w:val="Encabezado"/>
      <w:rPr>
        <w:rFonts w:ascii="Times New Roman" w:hAnsi="Times New Roman" w:cs="Times New Roman"/>
        <w:b/>
        <w:lang w:val="es-MX"/>
      </w:rPr>
    </w:pPr>
    <w:r>
      <w:rPr>
        <w:rFonts w:ascii="Times New Roman" w:hAnsi="Times New Roman" w:cs="Times New Roman"/>
        <w:lang w:val="es-MX"/>
      </w:rPr>
      <w:tab/>
    </w:r>
    <w:r w:rsidRPr="0073581B">
      <w:rPr>
        <w:rFonts w:ascii="Times New Roman" w:hAnsi="Times New Roman" w:cs="Times New Roman"/>
        <w:b/>
        <w:color w:val="4F81BD" w:themeColor="accent1"/>
        <w:lang w:val="es-MX"/>
      </w:rPr>
      <w:t>Dirección de Análisis y Política Fiscal</w:t>
    </w:r>
  </w:p>
  <w:p w:rsidR="00E90128" w:rsidRPr="00E16925" w:rsidRDefault="00E90128" w:rsidP="00E16925">
    <w:pPr>
      <w:pStyle w:val="Encabezado"/>
      <w:rPr>
        <w:rFonts w:ascii="Times New Roman" w:hAnsi="Times New Roman" w:cs="Times New Roman"/>
        <w:lang w:val="es-MX"/>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28" w:rsidRPr="007D4651" w:rsidRDefault="00E90128" w:rsidP="00BD3A7C">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57568" behindDoc="0" locked="0" layoutInCell="1" allowOverlap="1" wp14:anchorId="26852471" wp14:editId="5CD3C343">
          <wp:simplePos x="0" y="0"/>
          <wp:positionH relativeFrom="column">
            <wp:posOffset>0</wp:posOffset>
          </wp:positionH>
          <wp:positionV relativeFrom="paragraph">
            <wp:posOffset>-635</wp:posOffset>
          </wp:positionV>
          <wp:extent cx="1598212" cy="723976"/>
          <wp:effectExtent l="0" t="0" r="2540" b="0"/>
          <wp:wrapNone/>
          <wp:docPr id="24" name="Imagen 24"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E90128" w:rsidRDefault="007F0C55"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Jul</w:t>
    </w:r>
    <w:r w:rsidR="00E90128">
      <w:rPr>
        <w:rFonts w:ascii="Times New Roman" w:hAnsi="Times New Roman" w:cs="Times New Roman"/>
        <w:color w:val="1F497D" w:themeColor="text2"/>
        <w:lang w:val="es-MX"/>
      </w:rPr>
      <w:t>io 2020</w:t>
    </w:r>
  </w:p>
  <w:p w:rsidR="00E90128" w:rsidRPr="004A73AA" w:rsidRDefault="00E90128" w:rsidP="007D4651">
    <w:pPr>
      <w:pStyle w:val="Encabezado"/>
      <w:jc w:val="right"/>
      <w:rPr>
        <w:rFonts w:ascii="Times New Roman" w:hAnsi="Times New Roman" w:cs="Times New Roman"/>
        <w:color w:val="1F497D" w:themeColor="text2"/>
        <w:lang w:val="es-MX"/>
      </w:rPr>
    </w:pPr>
    <w:r>
      <w:rPr>
        <w:rFonts w:ascii="Times New Roman" w:hAnsi="Times New Roman" w:cs="Times New Roman"/>
        <w:noProof/>
        <w:lang w:eastAsia="es-GT"/>
      </w:rPr>
      <mc:AlternateContent>
        <mc:Choice Requires="wps">
          <w:drawing>
            <wp:anchor distT="0" distB="0" distL="114300" distR="114300" simplePos="0" relativeHeight="251731968" behindDoc="0" locked="0" layoutInCell="1" allowOverlap="1" wp14:anchorId="42F6D4BB" wp14:editId="124BD949">
              <wp:simplePos x="0" y="0"/>
              <wp:positionH relativeFrom="column">
                <wp:posOffset>1711308</wp:posOffset>
              </wp:positionH>
              <wp:positionV relativeFrom="paragraph">
                <wp:posOffset>12065</wp:posOffset>
              </wp:positionV>
              <wp:extent cx="5155894" cy="45719"/>
              <wp:effectExtent l="38100" t="38100" r="64135" b="88265"/>
              <wp:wrapNone/>
              <wp:docPr id="46" name="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CF887F" id="1 Rectángulo" o:spid="_x0000_s1026" style="position:absolute;margin-left:134.75pt;margin-top:.95pt;width:406pt;height:3.6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90128" w:rsidRPr="004A73AA" w:rsidRDefault="00E90128" w:rsidP="00E16925">
    <w:pPr>
      <w:pStyle w:val="Encabezado"/>
      <w:rPr>
        <w:rFonts w:ascii="Times New Roman" w:hAnsi="Times New Roman" w:cs="Times New Roman"/>
        <w:color w:val="1F497D" w:themeColor="text2"/>
        <w:lang w:val="es-MX"/>
      </w:rPr>
    </w:pPr>
    <w:r>
      <w:rPr>
        <w:rFonts w:ascii="Times New Roman" w:hAnsi="Times New Roman" w:cs="Times New Roman"/>
        <w:color w:val="1F497D" w:themeColor="text2"/>
        <w:lang w:val="es-MX"/>
      </w:rPr>
      <w:t xml:space="preserve">                                                 </w:t>
    </w:r>
    <w:r w:rsidRPr="009F164F">
      <w:rPr>
        <w:rFonts w:ascii="Times New Roman" w:hAnsi="Times New Roman" w:cs="Times New Roman"/>
        <w:b/>
        <w:color w:val="4F81BD" w:themeColor="accent1"/>
        <w:lang w:val="es-MX"/>
      </w:rPr>
      <w:t>Dirección de Análisis y Política Fiscal</w:t>
    </w:r>
  </w:p>
  <w:p w:rsidR="00E90128" w:rsidRPr="007452E2" w:rsidRDefault="00E90128" w:rsidP="00E16925">
    <w:pPr>
      <w:pStyle w:val="Encabezado"/>
      <w:rPr>
        <w:rFonts w:ascii="Times New Roman" w:hAnsi="Times New Roman" w:cs="Times New Roman"/>
        <w:lang w:val="es-MX"/>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28" w:rsidRPr="007D4651" w:rsidRDefault="00E90128"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9376" behindDoc="0" locked="0" layoutInCell="1" allowOverlap="1" wp14:anchorId="0FC13B8F" wp14:editId="0316A7A8">
          <wp:simplePos x="0" y="0"/>
          <wp:positionH relativeFrom="column">
            <wp:posOffset>0</wp:posOffset>
          </wp:positionH>
          <wp:positionV relativeFrom="paragraph">
            <wp:posOffset>-635</wp:posOffset>
          </wp:positionV>
          <wp:extent cx="1598212" cy="723976"/>
          <wp:effectExtent l="0" t="0" r="2540" b="0"/>
          <wp:wrapNone/>
          <wp:docPr id="225" name="Imagen 225"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E90128" w:rsidRDefault="00E90128"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Julio 2020</w:t>
    </w:r>
  </w:p>
  <w:p w:rsidR="00E90128" w:rsidRDefault="00E90128"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681792" behindDoc="0" locked="0" layoutInCell="1" allowOverlap="1" wp14:anchorId="172A8F2E" wp14:editId="56C3A590">
              <wp:simplePos x="0" y="0"/>
              <wp:positionH relativeFrom="column">
                <wp:posOffset>1710568</wp:posOffset>
              </wp:positionH>
              <wp:positionV relativeFrom="paragraph">
                <wp:posOffset>29118</wp:posOffset>
              </wp:positionV>
              <wp:extent cx="5155894" cy="45719"/>
              <wp:effectExtent l="38100" t="38100" r="64135" b="88265"/>
              <wp:wrapNone/>
              <wp:docPr id="38" name="38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029AA7" id="38 Rectángulo" o:spid="_x0000_s1026" style="position:absolute;margin-left:134.7pt;margin-top:2.3pt;width:406pt;height:3.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k2nT4j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90128" w:rsidRDefault="00E90128"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E90128" w:rsidRPr="00E16925" w:rsidRDefault="00E90128" w:rsidP="00E16925">
    <w:pPr>
      <w:pStyle w:val="Encabezado"/>
      <w:rPr>
        <w:rFonts w:ascii="Times New Roman" w:hAnsi="Times New Roman" w:cs="Times New Roman"/>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28" w:rsidRPr="007D4651" w:rsidRDefault="00E90128" w:rsidP="00BD3A7C">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51424" behindDoc="0" locked="0" layoutInCell="1" allowOverlap="1" wp14:anchorId="5690A608" wp14:editId="063E5F18">
          <wp:simplePos x="0" y="0"/>
          <wp:positionH relativeFrom="column">
            <wp:posOffset>-182829</wp:posOffset>
          </wp:positionH>
          <wp:positionV relativeFrom="paragraph">
            <wp:posOffset>0</wp:posOffset>
          </wp:positionV>
          <wp:extent cx="1598212" cy="723976"/>
          <wp:effectExtent l="0" t="0" r="2540" b="0"/>
          <wp:wrapNone/>
          <wp:docPr id="15" name="Imagen 15"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E90128" w:rsidRDefault="00E90128"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Julio 2020</w:t>
    </w:r>
  </w:p>
  <w:p w:rsidR="00E90128" w:rsidRDefault="00E90128"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53472" behindDoc="0" locked="0" layoutInCell="1" allowOverlap="1" wp14:anchorId="21D2DB8F" wp14:editId="313DCD80">
              <wp:simplePos x="0" y="0"/>
              <wp:positionH relativeFrom="column">
                <wp:posOffset>1506550</wp:posOffset>
              </wp:positionH>
              <wp:positionV relativeFrom="paragraph">
                <wp:posOffset>15240</wp:posOffset>
              </wp:positionV>
              <wp:extent cx="5155894" cy="45719"/>
              <wp:effectExtent l="38100" t="38100" r="64135" b="88265"/>
              <wp:wrapNone/>
              <wp:docPr id="17" name="1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FCB241" id="11 Rectángulo" o:spid="_x0000_s1026" style="position:absolute;margin-left:118.65pt;margin-top:1.2pt;width:406pt;height:3.6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90128" w:rsidRDefault="00E90128" w:rsidP="00E16925">
    <w:pPr>
      <w:pStyle w:val="Encabezado"/>
      <w:rPr>
        <w:rFonts w:ascii="Times New Roman" w:hAnsi="Times New Roman" w:cs="Times New Roman"/>
        <w:lang w:val="es-MX"/>
      </w:rPr>
    </w:pPr>
    <w:r>
      <w:rPr>
        <w:rFonts w:ascii="Times New Roman" w:hAnsi="Times New Roman" w:cs="Times New Roman"/>
        <w:lang w:val="es-MX"/>
      </w:rPr>
      <w:t xml:space="preserve">                                            </w:t>
    </w:r>
    <w:r w:rsidRPr="009F164F">
      <w:rPr>
        <w:rFonts w:ascii="Times New Roman" w:hAnsi="Times New Roman" w:cs="Times New Roman"/>
        <w:b/>
        <w:color w:val="4F81BD" w:themeColor="accent1"/>
        <w:lang w:val="es-MX"/>
      </w:rPr>
      <w:t>Dirección de Análisis y Política Fiscal</w:t>
    </w:r>
  </w:p>
  <w:p w:rsidR="00E90128" w:rsidRPr="00E16925" w:rsidRDefault="00E90128" w:rsidP="00E16925">
    <w:pPr>
      <w:pStyle w:val="Encabezado"/>
      <w:rPr>
        <w:rFonts w:ascii="Times New Roman" w:hAnsi="Times New Roman" w:cs="Times New Roman"/>
        <w:lang w:val="es-MX"/>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28" w:rsidRPr="007D4651" w:rsidRDefault="00E90128"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1184" behindDoc="0" locked="0" layoutInCell="1" allowOverlap="1" wp14:anchorId="03B76468" wp14:editId="2D939DDC">
          <wp:simplePos x="0" y="0"/>
          <wp:positionH relativeFrom="column">
            <wp:posOffset>0</wp:posOffset>
          </wp:positionH>
          <wp:positionV relativeFrom="paragraph">
            <wp:posOffset>-635</wp:posOffset>
          </wp:positionV>
          <wp:extent cx="1598212" cy="723976"/>
          <wp:effectExtent l="0" t="0" r="2540" b="0"/>
          <wp:wrapNone/>
          <wp:docPr id="10" name="Imagen 10"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E90128" w:rsidRDefault="00E90128"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Enero 2020</w:t>
    </w:r>
  </w:p>
  <w:p w:rsidR="00E90128" w:rsidRDefault="00E90128"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06368" behindDoc="0" locked="0" layoutInCell="1" allowOverlap="1" wp14:anchorId="131BBD9E" wp14:editId="2A460ED2">
              <wp:simplePos x="0" y="0"/>
              <wp:positionH relativeFrom="column">
                <wp:posOffset>1710568</wp:posOffset>
              </wp:positionH>
              <wp:positionV relativeFrom="paragraph">
                <wp:posOffset>29118</wp:posOffset>
              </wp:positionV>
              <wp:extent cx="5155894" cy="45719"/>
              <wp:effectExtent l="38100" t="38100" r="64135" b="88265"/>
              <wp:wrapNone/>
              <wp:docPr id="31" name="3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AC4FA2" id="31 Rectángulo" o:spid="_x0000_s1026" style="position:absolute;margin-left:134.7pt;margin-top:2.3pt;width:406pt;height:3.6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dAedcD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90128" w:rsidRDefault="00E90128" w:rsidP="0001624A">
    <w:pPr>
      <w:pStyle w:val="Encabezado"/>
      <w:rPr>
        <w:rFonts w:ascii="Times New Roman" w:hAnsi="Times New Roman" w:cs="Times New Roman"/>
        <w:b/>
        <w:color w:val="4F81BD" w:themeColor="accent1"/>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E90128" w:rsidRPr="0001624A" w:rsidRDefault="00E90128" w:rsidP="0001624A">
    <w:pPr>
      <w:pStyle w:val="Encabezado"/>
      <w:rPr>
        <w:rFonts w:ascii="Times New Roman" w:hAnsi="Times New Roman" w:cs="Times New Roman"/>
        <w:lang w:val="es-MX"/>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28" w:rsidRPr="007D4651" w:rsidRDefault="00E90128" w:rsidP="00BD3A7C">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55520" behindDoc="0" locked="0" layoutInCell="1" allowOverlap="1" wp14:anchorId="5E8F1A5B" wp14:editId="32F304ED">
          <wp:simplePos x="0" y="0"/>
          <wp:positionH relativeFrom="column">
            <wp:posOffset>36576</wp:posOffset>
          </wp:positionH>
          <wp:positionV relativeFrom="paragraph">
            <wp:posOffset>-635</wp:posOffset>
          </wp:positionV>
          <wp:extent cx="1598212" cy="723976"/>
          <wp:effectExtent l="0" t="0" r="2540" b="0"/>
          <wp:wrapNone/>
          <wp:docPr id="18" name="Imagen 18"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E90128" w:rsidRDefault="00E90128" w:rsidP="005E4D76">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Mayo 2020</w:t>
    </w:r>
  </w:p>
  <w:p w:rsidR="00E90128" w:rsidRDefault="00E90128"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12512" behindDoc="0" locked="0" layoutInCell="1" allowOverlap="1" wp14:anchorId="3010D935" wp14:editId="11698951">
              <wp:simplePos x="0" y="0"/>
              <wp:positionH relativeFrom="column">
                <wp:posOffset>1736708</wp:posOffset>
              </wp:positionH>
              <wp:positionV relativeFrom="paragraph">
                <wp:posOffset>32385</wp:posOffset>
              </wp:positionV>
              <wp:extent cx="5155894" cy="45719"/>
              <wp:effectExtent l="38100" t="38100" r="64135" b="88265"/>
              <wp:wrapNone/>
              <wp:docPr id="6" name="6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5629DE" id="6 Rectángulo" o:spid="_x0000_s1026" style="position:absolute;margin-left:136.75pt;margin-top:2.55pt;width:406pt;height:3.6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90128" w:rsidRDefault="00E90128" w:rsidP="00E16925">
    <w:pPr>
      <w:pStyle w:val="Encabezado"/>
      <w:rPr>
        <w:rFonts w:ascii="Times New Roman" w:hAnsi="Times New Roman" w:cs="Times New Roman"/>
        <w:lang w:val="es-MX"/>
      </w:rPr>
    </w:pPr>
    <w:r>
      <w:rPr>
        <w:rFonts w:ascii="Times New Roman" w:hAnsi="Times New Roman" w:cs="Times New Roman"/>
        <w:lang w:val="es-MX"/>
      </w:rPr>
      <w:t xml:space="preserve">                                                  </w:t>
    </w:r>
    <w:r w:rsidRPr="009F164F">
      <w:rPr>
        <w:rFonts w:ascii="Times New Roman" w:hAnsi="Times New Roman" w:cs="Times New Roman"/>
        <w:b/>
        <w:color w:val="4F81BD" w:themeColor="accent1"/>
        <w:lang w:val="es-MX"/>
      </w:rPr>
      <w:t>Dirección de Análisis y Política Fiscal</w:t>
    </w:r>
  </w:p>
  <w:p w:rsidR="00E90128" w:rsidRPr="00E16925" w:rsidRDefault="00E90128" w:rsidP="00E16925">
    <w:pPr>
      <w:pStyle w:val="Encabezado"/>
      <w:rPr>
        <w:rFonts w:ascii="Times New Roman" w:hAnsi="Times New Roman" w:cs="Times New Roman"/>
        <w:lang w:val="es-MX"/>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28" w:rsidRPr="007D4651" w:rsidRDefault="00E90128"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3232" behindDoc="0" locked="0" layoutInCell="1" allowOverlap="1" wp14:anchorId="5B78DE6D" wp14:editId="46F9EA1E">
          <wp:simplePos x="0" y="0"/>
          <wp:positionH relativeFrom="column">
            <wp:posOffset>0</wp:posOffset>
          </wp:positionH>
          <wp:positionV relativeFrom="paragraph">
            <wp:posOffset>-635</wp:posOffset>
          </wp:positionV>
          <wp:extent cx="1598212" cy="723976"/>
          <wp:effectExtent l="0" t="0" r="2540" b="0"/>
          <wp:wrapNone/>
          <wp:docPr id="12" name="Imagen 12"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E90128" w:rsidRDefault="00E90128"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Julio 2020</w:t>
    </w:r>
  </w:p>
  <w:p w:rsidR="00E90128" w:rsidRDefault="00E90128"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26848" behindDoc="0" locked="0" layoutInCell="1" allowOverlap="1" wp14:anchorId="7C9757A9" wp14:editId="550AFBA2">
              <wp:simplePos x="0" y="0"/>
              <wp:positionH relativeFrom="column">
                <wp:posOffset>1710568</wp:posOffset>
              </wp:positionH>
              <wp:positionV relativeFrom="paragraph">
                <wp:posOffset>29118</wp:posOffset>
              </wp:positionV>
              <wp:extent cx="5155894" cy="45719"/>
              <wp:effectExtent l="38100" t="38100" r="64135" b="88265"/>
              <wp:wrapNone/>
              <wp:docPr id="54"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69F721" id="22 Rectángulo" o:spid="_x0000_s1026" style="position:absolute;margin-left:134.7pt;margin-top:2.3pt;width:406pt;height:3.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90128" w:rsidRDefault="00E90128"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E90128" w:rsidRPr="00E16925" w:rsidRDefault="00E90128" w:rsidP="00E16925">
    <w:pPr>
      <w:pStyle w:val="Encabezado"/>
      <w:rPr>
        <w:rFonts w:ascii="Times New Roman" w:hAnsi="Times New Roman" w:cs="Times New Roman"/>
        <w:lang w:val="es-MX"/>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28" w:rsidRPr="007D4651" w:rsidRDefault="00E90128"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5280" behindDoc="0" locked="0" layoutInCell="1" allowOverlap="1" wp14:anchorId="0A0B59C4" wp14:editId="707F5B03">
          <wp:simplePos x="0" y="0"/>
          <wp:positionH relativeFrom="column">
            <wp:posOffset>0</wp:posOffset>
          </wp:positionH>
          <wp:positionV relativeFrom="paragraph">
            <wp:posOffset>-635</wp:posOffset>
          </wp:positionV>
          <wp:extent cx="1598212" cy="723976"/>
          <wp:effectExtent l="0" t="0" r="2540" b="0"/>
          <wp:wrapNone/>
          <wp:docPr id="240" name="Imagen 240"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E90128" w:rsidRDefault="00E90128"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Julio 2020</w:t>
    </w:r>
  </w:p>
  <w:p w:rsidR="00E90128" w:rsidRDefault="00E90128"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673600" behindDoc="0" locked="0" layoutInCell="1" allowOverlap="1" wp14:anchorId="60D385BD" wp14:editId="2DBE830C">
              <wp:simplePos x="0" y="0"/>
              <wp:positionH relativeFrom="column">
                <wp:posOffset>1710568</wp:posOffset>
              </wp:positionH>
              <wp:positionV relativeFrom="paragraph">
                <wp:posOffset>29118</wp:posOffset>
              </wp:positionV>
              <wp:extent cx="5155894" cy="45719"/>
              <wp:effectExtent l="38100" t="38100" r="64135" b="88265"/>
              <wp:wrapNone/>
              <wp:docPr id="22"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EB1408" id="22 Rectángulo" o:spid="_x0000_s1026" style="position:absolute;margin-left:134.7pt;margin-top:2.3pt;width:406pt;height:3.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90128" w:rsidRDefault="00E90128"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E90128" w:rsidRPr="00E16925" w:rsidRDefault="00E90128" w:rsidP="00E16925">
    <w:pPr>
      <w:pStyle w:val="Encabezado"/>
      <w:rPr>
        <w:rFonts w:ascii="Times New Roman" w:hAnsi="Times New Roman" w:cs="Times New Roman"/>
        <w:lang w:val="es-MX"/>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28" w:rsidRPr="007D4651" w:rsidRDefault="00E90128" w:rsidP="00BD3A7C">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20704" behindDoc="1" locked="0" layoutInCell="1" allowOverlap="1" wp14:anchorId="7180DE1A" wp14:editId="77D590F7">
          <wp:simplePos x="0" y="0"/>
          <wp:positionH relativeFrom="column">
            <wp:posOffset>-93997</wp:posOffset>
          </wp:positionH>
          <wp:positionV relativeFrom="paragraph">
            <wp:posOffset>-177800</wp:posOffset>
          </wp:positionV>
          <wp:extent cx="1697990" cy="914400"/>
          <wp:effectExtent l="0" t="0" r="0" b="0"/>
          <wp:wrapNone/>
          <wp:docPr id="77" name="Imagen 77"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E90128" w:rsidRDefault="00E90128"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Septiembre 2019</w:t>
    </w:r>
  </w:p>
  <w:p w:rsidR="00E90128" w:rsidRPr="004A73AA" w:rsidRDefault="00E90128" w:rsidP="007D4651">
    <w:pPr>
      <w:pStyle w:val="Encabezado"/>
      <w:jc w:val="right"/>
      <w:rPr>
        <w:rFonts w:ascii="Times New Roman" w:hAnsi="Times New Roman" w:cs="Times New Roman"/>
        <w:color w:val="1F497D" w:themeColor="text2"/>
        <w:lang w:val="es-MX"/>
      </w:rPr>
    </w:pPr>
    <w:r>
      <w:rPr>
        <w:rFonts w:ascii="Times New Roman" w:hAnsi="Times New Roman" w:cs="Times New Roman"/>
        <w:noProof/>
        <w:lang w:eastAsia="es-GT"/>
      </w:rPr>
      <mc:AlternateContent>
        <mc:Choice Requires="wps">
          <w:drawing>
            <wp:anchor distT="0" distB="0" distL="114300" distR="114300" simplePos="0" relativeHeight="251710464" behindDoc="0" locked="0" layoutInCell="1" allowOverlap="1" wp14:anchorId="572747F1" wp14:editId="18FFDE44">
              <wp:simplePos x="0" y="0"/>
              <wp:positionH relativeFrom="column">
                <wp:posOffset>1711308</wp:posOffset>
              </wp:positionH>
              <wp:positionV relativeFrom="paragraph">
                <wp:posOffset>12065</wp:posOffset>
              </wp:positionV>
              <wp:extent cx="5155894" cy="45719"/>
              <wp:effectExtent l="38100" t="38100" r="64135" b="88265"/>
              <wp:wrapNone/>
              <wp:docPr id="1" name="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68CE59" id="1 Rectángulo" o:spid="_x0000_s1026" style="position:absolute;margin-left:134.75pt;margin-top:.95pt;width:406pt;height:3.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90128" w:rsidRPr="004A73AA" w:rsidRDefault="00E90128" w:rsidP="00E16925">
    <w:pPr>
      <w:pStyle w:val="Encabezado"/>
      <w:rPr>
        <w:rFonts w:ascii="Times New Roman" w:hAnsi="Times New Roman" w:cs="Times New Roman"/>
        <w:color w:val="1F497D" w:themeColor="text2"/>
        <w:lang w:val="es-MX"/>
      </w:rPr>
    </w:pPr>
    <w:r>
      <w:rPr>
        <w:rFonts w:ascii="Times New Roman" w:hAnsi="Times New Roman" w:cs="Times New Roman"/>
        <w:color w:val="1F497D" w:themeColor="text2"/>
        <w:lang w:val="es-MX"/>
      </w:rPr>
      <w:t xml:space="preserve">                                                 </w:t>
    </w:r>
    <w:r w:rsidRPr="009F164F">
      <w:rPr>
        <w:rFonts w:ascii="Times New Roman" w:hAnsi="Times New Roman" w:cs="Times New Roman"/>
        <w:b/>
        <w:color w:val="4F81BD" w:themeColor="accent1"/>
        <w:lang w:val="es-MX"/>
      </w:rPr>
      <w:t>Dirección de Análisis y Política Fiscal</w:t>
    </w:r>
  </w:p>
  <w:p w:rsidR="00E90128" w:rsidRPr="007452E2" w:rsidRDefault="00E90128" w:rsidP="00E16925">
    <w:pPr>
      <w:pStyle w:val="Encabezado"/>
      <w:rPr>
        <w:rFonts w:ascii="Times New Roman" w:hAnsi="Times New Roman" w:cs="Times New Roman"/>
        <w:lang w:val="es-MX"/>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28" w:rsidRPr="007D4651" w:rsidRDefault="00E90128"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7328" behindDoc="0" locked="0" layoutInCell="1" allowOverlap="1" wp14:anchorId="565AB2FB" wp14:editId="7091339A">
          <wp:simplePos x="0" y="0"/>
          <wp:positionH relativeFrom="column">
            <wp:posOffset>0</wp:posOffset>
          </wp:positionH>
          <wp:positionV relativeFrom="paragraph">
            <wp:posOffset>-635</wp:posOffset>
          </wp:positionV>
          <wp:extent cx="1598212" cy="723976"/>
          <wp:effectExtent l="0" t="0" r="2540" b="0"/>
          <wp:wrapNone/>
          <wp:docPr id="224" name="Imagen 224"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E90128" w:rsidRDefault="00E90128"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Julio 2020</w:t>
    </w:r>
  </w:p>
  <w:p w:rsidR="00E90128" w:rsidRDefault="00E90128"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22752" behindDoc="0" locked="0" layoutInCell="1" allowOverlap="1" wp14:anchorId="0D7594C8" wp14:editId="72D97D9E">
              <wp:simplePos x="0" y="0"/>
              <wp:positionH relativeFrom="column">
                <wp:posOffset>1710568</wp:posOffset>
              </wp:positionH>
              <wp:positionV relativeFrom="paragraph">
                <wp:posOffset>29118</wp:posOffset>
              </wp:positionV>
              <wp:extent cx="5155894" cy="45719"/>
              <wp:effectExtent l="38100" t="38100" r="64135" b="88265"/>
              <wp:wrapNone/>
              <wp:docPr id="20" name="20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2CE5C2" id="20 Rectángulo" o:spid="_x0000_s1026" style="position:absolute;margin-left:134.7pt;margin-top:2.3pt;width:406pt;height:3.6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90128" w:rsidRDefault="00E90128" w:rsidP="00E16925">
    <w:pPr>
      <w:pStyle w:val="Encabezado"/>
      <w:rPr>
        <w:rFonts w:ascii="Times New Roman" w:hAnsi="Times New Roman" w:cs="Times New Roman"/>
        <w:lang w:val="es-MX"/>
      </w:rPr>
    </w:pPr>
    <w:r>
      <w:rPr>
        <w:rFonts w:ascii="Times New Roman" w:hAnsi="Times New Roman" w:cs="Times New Roman"/>
        <w:lang w:val="es-MX"/>
      </w:rPr>
      <w:tab/>
      <w:t xml:space="preserve"> </w:t>
    </w:r>
    <w:r w:rsidRPr="009F164F">
      <w:rPr>
        <w:rFonts w:ascii="Times New Roman" w:hAnsi="Times New Roman" w:cs="Times New Roman"/>
        <w:b/>
        <w:color w:val="4F81BD" w:themeColor="accent1"/>
        <w:lang w:val="es-MX"/>
      </w:rPr>
      <w:t>Dirección de Análisis y Política Fiscal</w:t>
    </w:r>
  </w:p>
  <w:p w:rsidR="00E90128" w:rsidRPr="00E16925" w:rsidRDefault="00E90128" w:rsidP="00E16925">
    <w:pPr>
      <w:pStyle w:val="Encabezado"/>
      <w:rPr>
        <w:rFonts w:ascii="Times New Roman" w:hAnsi="Times New Roman" w:cs="Times New Roman"/>
        <w:lang w:val="es-MX"/>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28" w:rsidRPr="007D4651" w:rsidRDefault="00E90128" w:rsidP="007D4651">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36064" behindDoc="1" locked="0" layoutInCell="1" allowOverlap="1" wp14:anchorId="49BB2081" wp14:editId="2ADACAA8">
          <wp:simplePos x="0" y="0"/>
          <wp:positionH relativeFrom="column">
            <wp:posOffset>-89849</wp:posOffset>
          </wp:positionH>
          <wp:positionV relativeFrom="paragraph">
            <wp:posOffset>-163027</wp:posOffset>
          </wp:positionV>
          <wp:extent cx="1697990" cy="914400"/>
          <wp:effectExtent l="0" t="0" r="0" b="0"/>
          <wp:wrapNone/>
          <wp:docPr id="234" name="Imagen 234"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E90128" w:rsidRDefault="00E90128"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Noviembre 2018</w:t>
    </w:r>
  </w:p>
  <w:p w:rsidR="00E90128" w:rsidRDefault="00E90128"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35040" behindDoc="0" locked="0" layoutInCell="1" allowOverlap="1" wp14:anchorId="269D680C" wp14:editId="7FAD661A">
              <wp:simplePos x="0" y="0"/>
              <wp:positionH relativeFrom="column">
                <wp:posOffset>1710568</wp:posOffset>
              </wp:positionH>
              <wp:positionV relativeFrom="paragraph">
                <wp:posOffset>29118</wp:posOffset>
              </wp:positionV>
              <wp:extent cx="5155894" cy="45719"/>
              <wp:effectExtent l="38100" t="38100" r="64135" b="88265"/>
              <wp:wrapNone/>
              <wp:docPr id="2" name="38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61BA33" id="38 Rectángulo" o:spid="_x0000_s1026" style="position:absolute;margin-left:134.7pt;margin-top:2.3pt;width:406pt;height:3.6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90128" w:rsidRDefault="00E90128"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E90128" w:rsidRPr="00E16925" w:rsidRDefault="00E90128" w:rsidP="00E16925">
    <w:pPr>
      <w:pStyle w:val="Encabezado"/>
      <w:rPr>
        <w:rFonts w:ascii="Times New Roman" w:hAnsi="Times New Roman" w:cs="Times New Roman"/>
        <w:lang w:val="es-MX"/>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2341B"/>
    <w:multiLevelType w:val="hybridMultilevel"/>
    <w:tmpl w:val="7614440A"/>
    <w:lvl w:ilvl="0" w:tplc="B25265AA">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B8641F5"/>
    <w:multiLevelType w:val="hybridMultilevel"/>
    <w:tmpl w:val="6C9AD4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E370CD0"/>
    <w:multiLevelType w:val="hybridMultilevel"/>
    <w:tmpl w:val="6AFCB7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FD5081C"/>
    <w:multiLevelType w:val="hybridMultilevel"/>
    <w:tmpl w:val="7A082B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172228C2"/>
    <w:multiLevelType w:val="hybridMultilevel"/>
    <w:tmpl w:val="8B2A419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 w15:restartNumberingAfterBreak="0">
    <w:nsid w:val="284F18C2"/>
    <w:multiLevelType w:val="hybridMultilevel"/>
    <w:tmpl w:val="60180018"/>
    <w:lvl w:ilvl="0" w:tplc="8DF2F090">
      <w:start w:val="1"/>
      <w:numFmt w:val="decimal"/>
      <w:lvlText w:val="%1."/>
      <w:lvlJc w:val="left"/>
      <w:pPr>
        <w:ind w:left="1065" w:hanging="7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DA43097"/>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15:restartNumberingAfterBreak="0">
    <w:nsid w:val="2E3D271E"/>
    <w:multiLevelType w:val="hybridMultilevel"/>
    <w:tmpl w:val="C66CBD6C"/>
    <w:lvl w:ilvl="0" w:tplc="7A684F14">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318C7F52"/>
    <w:multiLevelType w:val="hybridMultilevel"/>
    <w:tmpl w:val="8BEAF8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32216C57"/>
    <w:multiLevelType w:val="hybridMultilevel"/>
    <w:tmpl w:val="4C90958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335D3E9F"/>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15:restartNumberingAfterBreak="0">
    <w:nsid w:val="36F16C9F"/>
    <w:multiLevelType w:val="hybridMultilevel"/>
    <w:tmpl w:val="DCD2DE5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4F1F1422"/>
    <w:multiLevelType w:val="hybridMultilevel"/>
    <w:tmpl w:val="ECB205F6"/>
    <w:lvl w:ilvl="0" w:tplc="100A000F">
      <w:start w:val="1"/>
      <w:numFmt w:val="decimal"/>
      <w:lvlText w:val="%1."/>
      <w:lvlJc w:val="left"/>
      <w:pPr>
        <w:ind w:left="360" w:hanging="360"/>
      </w:pPr>
      <w:rPr>
        <w:rFonts w:hint="default"/>
      </w:rPr>
    </w:lvl>
    <w:lvl w:ilvl="1" w:tplc="15DACC7C">
      <w:start w:val="1"/>
      <w:numFmt w:val="bullet"/>
      <w:lvlText w:val="-"/>
      <w:lvlJc w:val="left"/>
      <w:pPr>
        <w:ind w:left="1080" w:hanging="360"/>
      </w:pPr>
      <w:rPr>
        <w:rFonts w:ascii="Courier New" w:hAnsi="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 w15:restartNumberingAfterBreak="0">
    <w:nsid w:val="5EB178D6"/>
    <w:multiLevelType w:val="hybridMultilevel"/>
    <w:tmpl w:val="8794A3C4"/>
    <w:lvl w:ilvl="0" w:tplc="06C04D0C">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6DAE7A0A"/>
    <w:multiLevelType w:val="hybridMultilevel"/>
    <w:tmpl w:val="F59ACDD0"/>
    <w:lvl w:ilvl="0" w:tplc="527E0502">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7A3757A3"/>
    <w:multiLevelType w:val="hybridMultilevel"/>
    <w:tmpl w:val="C638E6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7F885ABE"/>
    <w:multiLevelType w:val="hybridMultilevel"/>
    <w:tmpl w:val="F0FA2C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8"/>
  </w:num>
  <w:num w:numId="4">
    <w:abstractNumId w:val="1"/>
  </w:num>
  <w:num w:numId="5">
    <w:abstractNumId w:val="13"/>
  </w:num>
  <w:num w:numId="6">
    <w:abstractNumId w:val="16"/>
  </w:num>
  <w:num w:numId="7">
    <w:abstractNumId w:val="15"/>
  </w:num>
  <w:num w:numId="8">
    <w:abstractNumId w:val="3"/>
  </w:num>
  <w:num w:numId="9">
    <w:abstractNumId w:val="10"/>
  </w:num>
  <w:num w:numId="10">
    <w:abstractNumId w:val="6"/>
  </w:num>
  <w:num w:numId="11">
    <w:abstractNumId w:val="9"/>
  </w:num>
  <w:num w:numId="12">
    <w:abstractNumId w:val="7"/>
  </w:num>
  <w:num w:numId="13">
    <w:abstractNumId w:val="0"/>
  </w:num>
  <w:num w:numId="14">
    <w:abstractNumId w:val="2"/>
  </w:num>
  <w:num w:numId="15">
    <w:abstractNumId w:val="5"/>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51"/>
    <w:rsid w:val="0000354D"/>
    <w:rsid w:val="000053A7"/>
    <w:rsid w:val="00005E80"/>
    <w:rsid w:val="00006489"/>
    <w:rsid w:val="000064C3"/>
    <w:rsid w:val="000067B1"/>
    <w:rsid w:val="00013A7F"/>
    <w:rsid w:val="00013C63"/>
    <w:rsid w:val="0001624A"/>
    <w:rsid w:val="00020E23"/>
    <w:rsid w:val="00022E98"/>
    <w:rsid w:val="00025121"/>
    <w:rsid w:val="00025788"/>
    <w:rsid w:val="00025D1E"/>
    <w:rsid w:val="00035835"/>
    <w:rsid w:val="000378CF"/>
    <w:rsid w:val="00040C99"/>
    <w:rsid w:val="00042B27"/>
    <w:rsid w:val="00045827"/>
    <w:rsid w:val="00045D14"/>
    <w:rsid w:val="00051776"/>
    <w:rsid w:val="00051A92"/>
    <w:rsid w:val="000530BD"/>
    <w:rsid w:val="00053517"/>
    <w:rsid w:val="0006261A"/>
    <w:rsid w:val="00063120"/>
    <w:rsid w:val="0006646A"/>
    <w:rsid w:val="000723B2"/>
    <w:rsid w:val="00072EEB"/>
    <w:rsid w:val="00074BC6"/>
    <w:rsid w:val="00076AB4"/>
    <w:rsid w:val="00076AD2"/>
    <w:rsid w:val="00076BF9"/>
    <w:rsid w:val="00080BD8"/>
    <w:rsid w:val="0008320B"/>
    <w:rsid w:val="0008348D"/>
    <w:rsid w:val="00087ADE"/>
    <w:rsid w:val="000A0A4F"/>
    <w:rsid w:val="000A6E8E"/>
    <w:rsid w:val="000B0279"/>
    <w:rsid w:val="000B56CE"/>
    <w:rsid w:val="000C1547"/>
    <w:rsid w:val="000C1FF2"/>
    <w:rsid w:val="000C21E1"/>
    <w:rsid w:val="000C2C25"/>
    <w:rsid w:val="000C4EC0"/>
    <w:rsid w:val="000C65AB"/>
    <w:rsid w:val="000C73C8"/>
    <w:rsid w:val="000D016D"/>
    <w:rsid w:val="000D2FA4"/>
    <w:rsid w:val="000D489E"/>
    <w:rsid w:val="000E43A8"/>
    <w:rsid w:val="000E5E43"/>
    <w:rsid w:val="000F1314"/>
    <w:rsid w:val="000F3B7F"/>
    <w:rsid w:val="000F4520"/>
    <w:rsid w:val="000F509C"/>
    <w:rsid w:val="000F5F87"/>
    <w:rsid w:val="00102939"/>
    <w:rsid w:val="00103DA9"/>
    <w:rsid w:val="001045CE"/>
    <w:rsid w:val="00106793"/>
    <w:rsid w:val="00107309"/>
    <w:rsid w:val="00110E5F"/>
    <w:rsid w:val="00111B77"/>
    <w:rsid w:val="00112CA5"/>
    <w:rsid w:val="001178B6"/>
    <w:rsid w:val="00117CF1"/>
    <w:rsid w:val="00120C4D"/>
    <w:rsid w:val="001259BA"/>
    <w:rsid w:val="0013022C"/>
    <w:rsid w:val="001339A4"/>
    <w:rsid w:val="00133DBA"/>
    <w:rsid w:val="0013436D"/>
    <w:rsid w:val="0013532B"/>
    <w:rsid w:val="00136D08"/>
    <w:rsid w:val="001375B9"/>
    <w:rsid w:val="0014167F"/>
    <w:rsid w:val="00142BF3"/>
    <w:rsid w:val="00142F1A"/>
    <w:rsid w:val="00143620"/>
    <w:rsid w:val="00145313"/>
    <w:rsid w:val="00147E43"/>
    <w:rsid w:val="00150585"/>
    <w:rsid w:val="00152798"/>
    <w:rsid w:val="001549AB"/>
    <w:rsid w:val="00155A02"/>
    <w:rsid w:val="00157402"/>
    <w:rsid w:val="00157C3A"/>
    <w:rsid w:val="00160EAC"/>
    <w:rsid w:val="00163944"/>
    <w:rsid w:val="00171909"/>
    <w:rsid w:val="001735EE"/>
    <w:rsid w:val="001741D8"/>
    <w:rsid w:val="0017454D"/>
    <w:rsid w:val="00182730"/>
    <w:rsid w:val="00185253"/>
    <w:rsid w:val="001913A4"/>
    <w:rsid w:val="00196A44"/>
    <w:rsid w:val="001A0C82"/>
    <w:rsid w:val="001A27B3"/>
    <w:rsid w:val="001A3185"/>
    <w:rsid w:val="001A6038"/>
    <w:rsid w:val="001A79F4"/>
    <w:rsid w:val="001B1DBB"/>
    <w:rsid w:val="001B3984"/>
    <w:rsid w:val="001B3EEE"/>
    <w:rsid w:val="001B5046"/>
    <w:rsid w:val="001C2FF5"/>
    <w:rsid w:val="001C3649"/>
    <w:rsid w:val="001D0065"/>
    <w:rsid w:val="001D3345"/>
    <w:rsid w:val="001D46C3"/>
    <w:rsid w:val="001D4C8E"/>
    <w:rsid w:val="001D5A5B"/>
    <w:rsid w:val="001E0E10"/>
    <w:rsid w:val="001E0F86"/>
    <w:rsid w:val="001E3B99"/>
    <w:rsid w:val="001E4CD2"/>
    <w:rsid w:val="001E61BB"/>
    <w:rsid w:val="001F2028"/>
    <w:rsid w:val="001F2EA3"/>
    <w:rsid w:val="001F34AD"/>
    <w:rsid w:val="001F4EE1"/>
    <w:rsid w:val="001F4F78"/>
    <w:rsid w:val="001F5240"/>
    <w:rsid w:val="001F5581"/>
    <w:rsid w:val="001F7141"/>
    <w:rsid w:val="00200FB1"/>
    <w:rsid w:val="00202594"/>
    <w:rsid w:val="0020377F"/>
    <w:rsid w:val="00207693"/>
    <w:rsid w:val="002101C9"/>
    <w:rsid w:val="00212A2C"/>
    <w:rsid w:val="00213C92"/>
    <w:rsid w:val="00216605"/>
    <w:rsid w:val="002166C6"/>
    <w:rsid w:val="0021693D"/>
    <w:rsid w:val="00216B0E"/>
    <w:rsid w:val="00216DA8"/>
    <w:rsid w:val="0022010B"/>
    <w:rsid w:val="002215C9"/>
    <w:rsid w:val="00222598"/>
    <w:rsid w:val="002262EA"/>
    <w:rsid w:val="002302ED"/>
    <w:rsid w:val="002335EE"/>
    <w:rsid w:val="0023642A"/>
    <w:rsid w:val="00240D86"/>
    <w:rsid w:val="00242202"/>
    <w:rsid w:val="00244AAA"/>
    <w:rsid w:val="002512EC"/>
    <w:rsid w:val="00252B28"/>
    <w:rsid w:val="00255829"/>
    <w:rsid w:val="00256F02"/>
    <w:rsid w:val="002610FC"/>
    <w:rsid w:val="00261B7A"/>
    <w:rsid w:val="00262E76"/>
    <w:rsid w:val="00263007"/>
    <w:rsid w:val="00263CC4"/>
    <w:rsid w:val="00264C3A"/>
    <w:rsid w:val="00264FC5"/>
    <w:rsid w:val="002672D5"/>
    <w:rsid w:val="00270CAB"/>
    <w:rsid w:val="002719C8"/>
    <w:rsid w:val="00273E2C"/>
    <w:rsid w:val="002752BD"/>
    <w:rsid w:val="00276250"/>
    <w:rsid w:val="00276A28"/>
    <w:rsid w:val="00281439"/>
    <w:rsid w:val="00281FB7"/>
    <w:rsid w:val="0028212F"/>
    <w:rsid w:val="00292AD2"/>
    <w:rsid w:val="00292AD8"/>
    <w:rsid w:val="0029321A"/>
    <w:rsid w:val="00295365"/>
    <w:rsid w:val="00296D57"/>
    <w:rsid w:val="002977ED"/>
    <w:rsid w:val="002A076B"/>
    <w:rsid w:val="002A5B1B"/>
    <w:rsid w:val="002B5E9D"/>
    <w:rsid w:val="002B7644"/>
    <w:rsid w:val="002C0021"/>
    <w:rsid w:val="002C2547"/>
    <w:rsid w:val="002C482A"/>
    <w:rsid w:val="002C6478"/>
    <w:rsid w:val="002C68B8"/>
    <w:rsid w:val="002C7F2B"/>
    <w:rsid w:val="002D11E8"/>
    <w:rsid w:val="002D15D0"/>
    <w:rsid w:val="002D1C01"/>
    <w:rsid w:val="002D3469"/>
    <w:rsid w:val="002D54E6"/>
    <w:rsid w:val="002E3F4C"/>
    <w:rsid w:val="002F14AA"/>
    <w:rsid w:val="002F29DE"/>
    <w:rsid w:val="002F2A42"/>
    <w:rsid w:val="002F5408"/>
    <w:rsid w:val="002F7E08"/>
    <w:rsid w:val="0030020D"/>
    <w:rsid w:val="00302D40"/>
    <w:rsid w:val="00304547"/>
    <w:rsid w:val="0030695C"/>
    <w:rsid w:val="00312262"/>
    <w:rsid w:val="00312D85"/>
    <w:rsid w:val="0031651A"/>
    <w:rsid w:val="00321745"/>
    <w:rsid w:val="0032198D"/>
    <w:rsid w:val="00322ECC"/>
    <w:rsid w:val="00330A9D"/>
    <w:rsid w:val="00334324"/>
    <w:rsid w:val="003371DC"/>
    <w:rsid w:val="00343A5D"/>
    <w:rsid w:val="00345216"/>
    <w:rsid w:val="0034700C"/>
    <w:rsid w:val="003523F0"/>
    <w:rsid w:val="0035279B"/>
    <w:rsid w:val="003531E5"/>
    <w:rsid w:val="003551C3"/>
    <w:rsid w:val="003566E1"/>
    <w:rsid w:val="00363AC1"/>
    <w:rsid w:val="003649D9"/>
    <w:rsid w:val="00364DD6"/>
    <w:rsid w:val="00366770"/>
    <w:rsid w:val="00367E12"/>
    <w:rsid w:val="00374D44"/>
    <w:rsid w:val="00376802"/>
    <w:rsid w:val="00376FE9"/>
    <w:rsid w:val="0038008D"/>
    <w:rsid w:val="003804E5"/>
    <w:rsid w:val="003806D1"/>
    <w:rsid w:val="00381A4F"/>
    <w:rsid w:val="0038488D"/>
    <w:rsid w:val="00385BA8"/>
    <w:rsid w:val="00393E59"/>
    <w:rsid w:val="0039499F"/>
    <w:rsid w:val="003968DB"/>
    <w:rsid w:val="003A1300"/>
    <w:rsid w:val="003A3726"/>
    <w:rsid w:val="003A72C9"/>
    <w:rsid w:val="003B00D2"/>
    <w:rsid w:val="003B13B4"/>
    <w:rsid w:val="003B1A93"/>
    <w:rsid w:val="003B24E3"/>
    <w:rsid w:val="003C3922"/>
    <w:rsid w:val="003C7085"/>
    <w:rsid w:val="003D05CE"/>
    <w:rsid w:val="003D15F7"/>
    <w:rsid w:val="003D2C99"/>
    <w:rsid w:val="003D38A7"/>
    <w:rsid w:val="003D557F"/>
    <w:rsid w:val="003D60E4"/>
    <w:rsid w:val="003D72D3"/>
    <w:rsid w:val="003D7EBA"/>
    <w:rsid w:val="003E25F8"/>
    <w:rsid w:val="003E2823"/>
    <w:rsid w:val="003E28F4"/>
    <w:rsid w:val="003E591D"/>
    <w:rsid w:val="003F0660"/>
    <w:rsid w:val="003F1E83"/>
    <w:rsid w:val="003F4609"/>
    <w:rsid w:val="003F7076"/>
    <w:rsid w:val="0040361C"/>
    <w:rsid w:val="0040580B"/>
    <w:rsid w:val="00410690"/>
    <w:rsid w:val="00413FBE"/>
    <w:rsid w:val="00416D41"/>
    <w:rsid w:val="00417F51"/>
    <w:rsid w:val="00421BA0"/>
    <w:rsid w:val="0042387A"/>
    <w:rsid w:val="0042628E"/>
    <w:rsid w:val="00426F4F"/>
    <w:rsid w:val="00433246"/>
    <w:rsid w:val="00434FC6"/>
    <w:rsid w:val="00443336"/>
    <w:rsid w:val="00443385"/>
    <w:rsid w:val="00443621"/>
    <w:rsid w:val="00447F4F"/>
    <w:rsid w:val="00450531"/>
    <w:rsid w:val="00451504"/>
    <w:rsid w:val="00452A5A"/>
    <w:rsid w:val="004575BA"/>
    <w:rsid w:val="004606FD"/>
    <w:rsid w:val="00460DC5"/>
    <w:rsid w:val="00464DB9"/>
    <w:rsid w:val="004650C5"/>
    <w:rsid w:val="00465F37"/>
    <w:rsid w:val="00471B35"/>
    <w:rsid w:val="00474EC2"/>
    <w:rsid w:val="00480824"/>
    <w:rsid w:val="00481B8E"/>
    <w:rsid w:val="004830FD"/>
    <w:rsid w:val="004835C8"/>
    <w:rsid w:val="00483632"/>
    <w:rsid w:val="0048385B"/>
    <w:rsid w:val="00487136"/>
    <w:rsid w:val="00492967"/>
    <w:rsid w:val="00494116"/>
    <w:rsid w:val="00494BC6"/>
    <w:rsid w:val="00494D1D"/>
    <w:rsid w:val="00495C21"/>
    <w:rsid w:val="00495F43"/>
    <w:rsid w:val="00497DD6"/>
    <w:rsid w:val="004A28E4"/>
    <w:rsid w:val="004A3D32"/>
    <w:rsid w:val="004A3DB8"/>
    <w:rsid w:val="004A6705"/>
    <w:rsid w:val="004A73AA"/>
    <w:rsid w:val="004B1E1A"/>
    <w:rsid w:val="004B336D"/>
    <w:rsid w:val="004B4B9F"/>
    <w:rsid w:val="004B5B0F"/>
    <w:rsid w:val="004B799B"/>
    <w:rsid w:val="004C208F"/>
    <w:rsid w:val="004C3B4E"/>
    <w:rsid w:val="004D0A0F"/>
    <w:rsid w:val="004D1F76"/>
    <w:rsid w:val="004D7482"/>
    <w:rsid w:val="004E0813"/>
    <w:rsid w:val="004E23E4"/>
    <w:rsid w:val="004E358C"/>
    <w:rsid w:val="004E4FDE"/>
    <w:rsid w:val="004E54B7"/>
    <w:rsid w:val="004E5D0E"/>
    <w:rsid w:val="004E61EC"/>
    <w:rsid w:val="004F02B2"/>
    <w:rsid w:val="004F0BCA"/>
    <w:rsid w:val="004F4F4D"/>
    <w:rsid w:val="004F7265"/>
    <w:rsid w:val="004F72F9"/>
    <w:rsid w:val="005004C9"/>
    <w:rsid w:val="005016F6"/>
    <w:rsid w:val="005016F7"/>
    <w:rsid w:val="00502FD6"/>
    <w:rsid w:val="005077A5"/>
    <w:rsid w:val="00507E67"/>
    <w:rsid w:val="005104DC"/>
    <w:rsid w:val="00511C93"/>
    <w:rsid w:val="00512601"/>
    <w:rsid w:val="0051308A"/>
    <w:rsid w:val="005136F3"/>
    <w:rsid w:val="00514CFD"/>
    <w:rsid w:val="00515CE6"/>
    <w:rsid w:val="00517930"/>
    <w:rsid w:val="00520FB0"/>
    <w:rsid w:val="005226CD"/>
    <w:rsid w:val="00523738"/>
    <w:rsid w:val="00530EAC"/>
    <w:rsid w:val="00532025"/>
    <w:rsid w:val="0053566F"/>
    <w:rsid w:val="005364DE"/>
    <w:rsid w:val="005428C6"/>
    <w:rsid w:val="00544E9A"/>
    <w:rsid w:val="00546650"/>
    <w:rsid w:val="0055248B"/>
    <w:rsid w:val="005537D0"/>
    <w:rsid w:val="005550D8"/>
    <w:rsid w:val="00573AB0"/>
    <w:rsid w:val="005755E9"/>
    <w:rsid w:val="00575DFA"/>
    <w:rsid w:val="00580D47"/>
    <w:rsid w:val="00582F9F"/>
    <w:rsid w:val="005834A0"/>
    <w:rsid w:val="00586745"/>
    <w:rsid w:val="005879A5"/>
    <w:rsid w:val="00591D14"/>
    <w:rsid w:val="005920D3"/>
    <w:rsid w:val="005925BD"/>
    <w:rsid w:val="00592D6E"/>
    <w:rsid w:val="0059421A"/>
    <w:rsid w:val="005948F0"/>
    <w:rsid w:val="005963A0"/>
    <w:rsid w:val="0059655C"/>
    <w:rsid w:val="00596662"/>
    <w:rsid w:val="0059700F"/>
    <w:rsid w:val="005979EB"/>
    <w:rsid w:val="005A03A9"/>
    <w:rsid w:val="005A1EFC"/>
    <w:rsid w:val="005A6ACE"/>
    <w:rsid w:val="005A6F91"/>
    <w:rsid w:val="005B0E84"/>
    <w:rsid w:val="005B1B53"/>
    <w:rsid w:val="005B44D1"/>
    <w:rsid w:val="005B4E4C"/>
    <w:rsid w:val="005B6D05"/>
    <w:rsid w:val="005C103A"/>
    <w:rsid w:val="005C275E"/>
    <w:rsid w:val="005C4C97"/>
    <w:rsid w:val="005D2336"/>
    <w:rsid w:val="005D5151"/>
    <w:rsid w:val="005D51CA"/>
    <w:rsid w:val="005D6423"/>
    <w:rsid w:val="005D7AC4"/>
    <w:rsid w:val="005E4D76"/>
    <w:rsid w:val="005E6BD0"/>
    <w:rsid w:val="005E7E89"/>
    <w:rsid w:val="005F04EC"/>
    <w:rsid w:val="005F18DE"/>
    <w:rsid w:val="005F470C"/>
    <w:rsid w:val="005F591A"/>
    <w:rsid w:val="0060094A"/>
    <w:rsid w:val="006014EC"/>
    <w:rsid w:val="00601C99"/>
    <w:rsid w:val="00603743"/>
    <w:rsid w:val="00604F51"/>
    <w:rsid w:val="006060AD"/>
    <w:rsid w:val="00606D70"/>
    <w:rsid w:val="00607D54"/>
    <w:rsid w:val="00610F84"/>
    <w:rsid w:val="00612573"/>
    <w:rsid w:val="0062255C"/>
    <w:rsid w:val="00623D8C"/>
    <w:rsid w:val="00623DEA"/>
    <w:rsid w:val="00623EC9"/>
    <w:rsid w:val="00624417"/>
    <w:rsid w:val="00625AA5"/>
    <w:rsid w:val="00632EE6"/>
    <w:rsid w:val="00633616"/>
    <w:rsid w:val="00634664"/>
    <w:rsid w:val="00637772"/>
    <w:rsid w:val="00637AC9"/>
    <w:rsid w:val="00640B12"/>
    <w:rsid w:val="0064258A"/>
    <w:rsid w:val="00643685"/>
    <w:rsid w:val="00643FB6"/>
    <w:rsid w:val="00651522"/>
    <w:rsid w:val="006525C5"/>
    <w:rsid w:val="006530FD"/>
    <w:rsid w:val="00654855"/>
    <w:rsid w:val="006553D6"/>
    <w:rsid w:val="00656178"/>
    <w:rsid w:val="00660888"/>
    <w:rsid w:val="00661E2A"/>
    <w:rsid w:val="006630B2"/>
    <w:rsid w:val="00663EB3"/>
    <w:rsid w:val="00665BB7"/>
    <w:rsid w:val="00666477"/>
    <w:rsid w:val="006668D4"/>
    <w:rsid w:val="0066791B"/>
    <w:rsid w:val="00670F33"/>
    <w:rsid w:val="0067132B"/>
    <w:rsid w:val="00674EAE"/>
    <w:rsid w:val="00676765"/>
    <w:rsid w:val="006820CE"/>
    <w:rsid w:val="006830CD"/>
    <w:rsid w:val="00685A33"/>
    <w:rsid w:val="00685C3A"/>
    <w:rsid w:val="006968BB"/>
    <w:rsid w:val="006A1473"/>
    <w:rsid w:val="006A41F1"/>
    <w:rsid w:val="006A50B6"/>
    <w:rsid w:val="006A64D5"/>
    <w:rsid w:val="006B0D82"/>
    <w:rsid w:val="006B40EC"/>
    <w:rsid w:val="006C0680"/>
    <w:rsid w:val="006C2F15"/>
    <w:rsid w:val="006C5639"/>
    <w:rsid w:val="006C7015"/>
    <w:rsid w:val="006D1857"/>
    <w:rsid w:val="006D7B6E"/>
    <w:rsid w:val="006D7BB6"/>
    <w:rsid w:val="006E082A"/>
    <w:rsid w:val="006E1C62"/>
    <w:rsid w:val="006E1D11"/>
    <w:rsid w:val="006E27A5"/>
    <w:rsid w:val="006E4937"/>
    <w:rsid w:val="006E63F3"/>
    <w:rsid w:val="006E6A13"/>
    <w:rsid w:val="006E737B"/>
    <w:rsid w:val="006F157C"/>
    <w:rsid w:val="006F202E"/>
    <w:rsid w:val="006F20A4"/>
    <w:rsid w:val="006F30E4"/>
    <w:rsid w:val="006F3C0D"/>
    <w:rsid w:val="006F3FF3"/>
    <w:rsid w:val="006F410A"/>
    <w:rsid w:val="006F4891"/>
    <w:rsid w:val="006F5EA0"/>
    <w:rsid w:val="006F7575"/>
    <w:rsid w:val="00706A33"/>
    <w:rsid w:val="00707145"/>
    <w:rsid w:val="00712339"/>
    <w:rsid w:val="00714E40"/>
    <w:rsid w:val="00715C88"/>
    <w:rsid w:val="00715D8F"/>
    <w:rsid w:val="0071791E"/>
    <w:rsid w:val="007206C9"/>
    <w:rsid w:val="00720E64"/>
    <w:rsid w:val="00723F6E"/>
    <w:rsid w:val="00725F93"/>
    <w:rsid w:val="00725FE5"/>
    <w:rsid w:val="007310AF"/>
    <w:rsid w:val="0073367E"/>
    <w:rsid w:val="0073437F"/>
    <w:rsid w:val="0073581B"/>
    <w:rsid w:val="007362C1"/>
    <w:rsid w:val="0074137E"/>
    <w:rsid w:val="007413CE"/>
    <w:rsid w:val="00741591"/>
    <w:rsid w:val="00741F6B"/>
    <w:rsid w:val="0074369F"/>
    <w:rsid w:val="0074528B"/>
    <w:rsid w:val="007452E2"/>
    <w:rsid w:val="00747C79"/>
    <w:rsid w:val="00751CCA"/>
    <w:rsid w:val="00754057"/>
    <w:rsid w:val="007572E9"/>
    <w:rsid w:val="0075770C"/>
    <w:rsid w:val="0076028F"/>
    <w:rsid w:val="00762722"/>
    <w:rsid w:val="00762FE3"/>
    <w:rsid w:val="0076667B"/>
    <w:rsid w:val="00767573"/>
    <w:rsid w:val="00767B56"/>
    <w:rsid w:val="007701C9"/>
    <w:rsid w:val="007703A2"/>
    <w:rsid w:val="007706F8"/>
    <w:rsid w:val="00771670"/>
    <w:rsid w:val="00773919"/>
    <w:rsid w:val="00775DE3"/>
    <w:rsid w:val="00776974"/>
    <w:rsid w:val="0078135B"/>
    <w:rsid w:val="007814D6"/>
    <w:rsid w:val="007846C7"/>
    <w:rsid w:val="00784AF8"/>
    <w:rsid w:val="007859CD"/>
    <w:rsid w:val="007A1B15"/>
    <w:rsid w:val="007A6523"/>
    <w:rsid w:val="007A7272"/>
    <w:rsid w:val="007A7814"/>
    <w:rsid w:val="007A7FB8"/>
    <w:rsid w:val="007B26CD"/>
    <w:rsid w:val="007B3D0C"/>
    <w:rsid w:val="007B5BA5"/>
    <w:rsid w:val="007B720C"/>
    <w:rsid w:val="007C0C8C"/>
    <w:rsid w:val="007C3AF6"/>
    <w:rsid w:val="007C4E46"/>
    <w:rsid w:val="007C66BE"/>
    <w:rsid w:val="007C6F35"/>
    <w:rsid w:val="007D0566"/>
    <w:rsid w:val="007D268B"/>
    <w:rsid w:val="007D38A9"/>
    <w:rsid w:val="007D4651"/>
    <w:rsid w:val="007D7CFE"/>
    <w:rsid w:val="007E314A"/>
    <w:rsid w:val="007E5841"/>
    <w:rsid w:val="007E6BCF"/>
    <w:rsid w:val="007E6F28"/>
    <w:rsid w:val="007F0C55"/>
    <w:rsid w:val="007F126E"/>
    <w:rsid w:val="007F443F"/>
    <w:rsid w:val="007F4528"/>
    <w:rsid w:val="007F6F57"/>
    <w:rsid w:val="007F774D"/>
    <w:rsid w:val="008010A6"/>
    <w:rsid w:val="00804E1C"/>
    <w:rsid w:val="00806D75"/>
    <w:rsid w:val="0081055D"/>
    <w:rsid w:val="0081058F"/>
    <w:rsid w:val="00810A4C"/>
    <w:rsid w:val="008112C9"/>
    <w:rsid w:val="00813E3C"/>
    <w:rsid w:val="0081609E"/>
    <w:rsid w:val="00822C6B"/>
    <w:rsid w:val="00823719"/>
    <w:rsid w:val="00825110"/>
    <w:rsid w:val="00826AEC"/>
    <w:rsid w:val="00826D9D"/>
    <w:rsid w:val="008274C1"/>
    <w:rsid w:val="008277A9"/>
    <w:rsid w:val="008316E1"/>
    <w:rsid w:val="00833E90"/>
    <w:rsid w:val="00835216"/>
    <w:rsid w:val="00835D5C"/>
    <w:rsid w:val="00837381"/>
    <w:rsid w:val="00842D8F"/>
    <w:rsid w:val="00842FFE"/>
    <w:rsid w:val="008501C7"/>
    <w:rsid w:val="00851B4B"/>
    <w:rsid w:val="00855D0B"/>
    <w:rsid w:val="00857302"/>
    <w:rsid w:val="0085741B"/>
    <w:rsid w:val="00861640"/>
    <w:rsid w:val="00870831"/>
    <w:rsid w:val="008718E5"/>
    <w:rsid w:val="00871B31"/>
    <w:rsid w:val="008827D6"/>
    <w:rsid w:val="008844B1"/>
    <w:rsid w:val="00890878"/>
    <w:rsid w:val="00891B11"/>
    <w:rsid w:val="00891F2D"/>
    <w:rsid w:val="00892181"/>
    <w:rsid w:val="00892DE1"/>
    <w:rsid w:val="00895722"/>
    <w:rsid w:val="00897192"/>
    <w:rsid w:val="00897A38"/>
    <w:rsid w:val="008A1777"/>
    <w:rsid w:val="008A2427"/>
    <w:rsid w:val="008A5760"/>
    <w:rsid w:val="008B110A"/>
    <w:rsid w:val="008B3C43"/>
    <w:rsid w:val="008B5573"/>
    <w:rsid w:val="008C079A"/>
    <w:rsid w:val="008C147E"/>
    <w:rsid w:val="008C7B2A"/>
    <w:rsid w:val="008D5E9E"/>
    <w:rsid w:val="008D72B1"/>
    <w:rsid w:val="008E0F73"/>
    <w:rsid w:val="008E5C4F"/>
    <w:rsid w:val="008E6162"/>
    <w:rsid w:val="008E7869"/>
    <w:rsid w:val="008E7927"/>
    <w:rsid w:val="008F312E"/>
    <w:rsid w:val="008F46B7"/>
    <w:rsid w:val="008F4BCE"/>
    <w:rsid w:val="008F5915"/>
    <w:rsid w:val="008F5DBB"/>
    <w:rsid w:val="0090034D"/>
    <w:rsid w:val="009062A4"/>
    <w:rsid w:val="00910163"/>
    <w:rsid w:val="00910B95"/>
    <w:rsid w:val="009121F7"/>
    <w:rsid w:val="00912A58"/>
    <w:rsid w:val="00916532"/>
    <w:rsid w:val="00917786"/>
    <w:rsid w:val="00920579"/>
    <w:rsid w:val="00924E88"/>
    <w:rsid w:val="00926505"/>
    <w:rsid w:val="00932C16"/>
    <w:rsid w:val="00934746"/>
    <w:rsid w:val="0093522C"/>
    <w:rsid w:val="00935D14"/>
    <w:rsid w:val="00936E17"/>
    <w:rsid w:val="00940C2E"/>
    <w:rsid w:val="00942163"/>
    <w:rsid w:val="0094219B"/>
    <w:rsid w:val="00946523"/>
    <w:rsid w:val="00950874"/>
    <w:rsid w:val="00951347"/>
    <w:rsid w:val="00954FB2"/>
    <w:rsid w:val="00956270"/>
    <w:rsid w:val="00963756"/>
    <w:rsid w:val="00964466"/>
    <w:rsid w:val="00964ECA"/>
    <w:rsid w:val="00965F44"/>
    <w:rsid w:val="00972FCF"/>
    <w:rsid w:val="00975E49"/>
    <w:rsid w:val="00981FB0"/>
    <w:rsid w:val="00982379"/>
    <w:rsid w:val="00986297"/>
    <w:rsid w:val="0099341E"/>
    <w:rsid w:val="00993857"/>
    <w:rsid w:val="00995540"/>
    <w:rsid w:val="00997A06"/>
    <w:rsid w:val="009A12F9"/>
    <w:rsid w:val="009A1EA3"/>
    <w:rsid w:val="009A1FA7"/>
    <w:rsid w:val="009A3187"/>
    <w:rsid w:val="009A47FE"/>
    <w:rsid w:val="009A5380"/>
    <w:rsid w:val="009A7441"/>
    <w:rsid w:val="009B10B6"/>
    <w:rsid w:val="009B2AD3"/>
    <w:rsid w:val="009B7148"/>
    <w:rsid w:val="009B7429"/>
    <w:rsid w:val="009B76D6"/>
    <w:rsid w:val="009C0583"/>
    <w:rsid w:val="009C0B93"/>
    <w:rsid w:val="009C361A"/>
    <w:rsid w:val="009C3938"/>
    <w:rsid w:val="009C4027"/>
    <w:rsid w:val="009C5F4E"/>
    <w:rsid w:val="009D0D94"/>
    <w:rsid w:val="009D1232"/>
    <w:rsid w:val="009D2132"/>
    <w:rsid w:val="009D25F9"/>
    <w:rsid w:val="009D2C22"/>
    <w:rsid w:val="009D38BF"/>
    <w:rsid w:val="009D4E7A"/>
    <w:rsid w:val="009D72CF"/>
    <w:rsid w:val="009E61BB"/>
    <w:rsid w:val="009F15B9"/>
    <w:rsid w:val="009F164F"/>
    <w:rsid w:val="009F1C07"/>
    <w:rsid w:val="009F1C62"/>
    <w:rsid w:val="009F530C"/>
    <w:rsid w:val="009F628A"/>
    <w:rsid w:val="00A00D30"/>
    <w:rsid w:val="00A0113A"/>
    <w:rsid w:val="00A04D8E"/>
    <w:rsid w:val="00A07BE4"/>
    <w:rsid w:val="00A11B04"/>
    <w:rsid w:val="00A15244"/>
    <w:rsid w:val="00A152B8"/>
    <w:rsid w:val="00A159B6"/>
    <w:rsid w:val="00A2151F"/>
    <w:rsid w:val="00A21A6A"/>
    <w:rsid w:val="00A24C4D"/>
    <w:rsid w:val="00A25906"/>
    <w:rsid w:val="00A26C76"/>
    <w:rsid w:val="00A305E5"/>
    <w:rsid w:val="00A32AA1"/>
    <w:rsid w:val="00A34EAE"/>
    <w:rsid w:val="00A40EAF"/>
    <w:rsid w:val="00A4399A"/>
    <w:rsid w:val="00A446DB"/>
    <w:rsid w:val="00A45BC8"/>
    <w:rsid w:val="00A46630"/>
    <w:rsid w:val="00A53877"/>
    <w:rsid w:val="00A54CC2"/>
    <w:rsid w:val="00A60591"/>
    <w:rsid w:val="00A64AE4"/>
    <w:rsid w:val="00A67992"/>
    <w:rsid w:val="00A706A2"/>
    <w:rsid w:val="00A7383F"/>
    <w:rsid w:val="00A74F16"/>
    <w:rsid w:val="00A75539"/>
    <w:rsid w:val="00A75E19"/>
    <w:rsid w:val="00A775C6"/>
    <w:rsid w:val="00A808B8"/>
    <w:rsid w:val="00A817F8"/>
    <w:rsid w:val="00A875EE"/>
    <w:rsid w:val="00A900E8"/>
    <w:rsid w:val="00A92B4B"/>
    <w:rsid w:val="00A92D6E"/>
    <w:rsid w:val="00A970F8"/>
    <w:rsid w:val="00AA11B9"/>
    <w:rsid w:val="00AA4872"/>
    <w:rsid w:val="00AA54A5"/>
    <w:rsid w:val="00AA6C6B"/>
    <w:rsid w:val="00AA7DB0"/>
    <w:rsid w:val="00AA7F4D"/>
    <w:rsid w:val="00AB1241"/>
    <w:rsid w:val="00AB20BD"/>
    <w:rsid w:val="00AB2522"/>
    <w:rsid w:val="00AB52BE"/>
    <w:rsid w:val="00AC5CAC"/>
    <w:rsid w:val="00AC7961"/>
    <w:rsid w:val="00AD3FF3"/>
    <w:rsid w:val="00AD4251"/>
    <w:rsid w:val="00AD4EF6"/>
    <w:rsid w:val="00AD55FD"/>
    <w:rsid w:val="00AD5816"/>
    <w:rsid w:val="00AE1096"/>
    <w:rsid w:val="00AE2039"/>
    <w:rsid w:val="00AE50A8"/>
    <w:rsid w:val="00AF067F"/>
    <w:rsid w:val="00AF073D"/>
    <w:rsid w:val="00AF4290"/>
    <w:rsid w:val="00AF644A"/>
    <w:rsid w:val="00AF68D3"/>
    <w:rsid w:val="00AF7ACE"/>
    <w:rsid w:val="00B00205"/>
    <w:rsid w:val="00B00A4F"/>
    <w:rsid w:val="00B00E20"/>
    <w:rsid w:val="00B0107A"/>
    <w:rsid w:val="00B02673"/>
    <w:rsid w:val="00B04D97"/>
    <w:rsid w:val="00B05AC1"/>
    <w:rsid w:val="00B06546"/>
    <w:rsid w:val="00B06BC2"/>
    <w:rsid w:val="00B11FD1"/>
    <w:rsid w:val="00B136D6"/>
    <w:rsid w:val="00B1448A"/>
    <w:rsid w:val="00B21010"/>
    <w:rsid w:val="00B26014"/>
    <w:rsid w:val="00B2709E"/>
    <w:rsid w:val="00B35FDC"/>
    <w:rsid w:val="00B368DA"/>
    <w:rsid w:val="00B43892"/>
    <w:rsid w:val="00B44B94"/>
    <w:rsid w:val="00B468EF"/>
    <w:rsid w:val="00B5017E"/>
    <w:rsid w:val="00B5079C"/>
    <w:rsid w:val="00B508E2"/>
    <w:rsid w:val="00B579BB"/>
    <w:rsid w:val="00B57AAB"/>
    <w:rsid w:val="00B57CED"/>
    <w:rsid w:val="00B606D0"/>
    <w:rsid w:val="00B60A33"/>
    <w:rsid w:val="00B632B3"/>
    <w:rsid w:val="00B667BC"/>
    <w:rsid w:val="00B667E7"/>
    <w:rsid w:val="00B7015D"/>
    <w:rsid w:val="00B7136E"/>
    <w:rsid w:val="00B718AB"/>
    <w:rsid w:val="00B7616E"/>
    <w:rsid w:val="00B827E1"/>
    <w:rsid w:val="00B83CAC"/>
    <w:rsid w:val="00B84995"/>
    <w:rsid w:val="00B85950"/>
    <w:rsid w:val="00B86812"/>
    <w:rsid w:val="00B91010"/>
    <w:rsid w:val="00B917E5"/>
    <w:rsid w:val="00B9286A"/>
    <w:rsid w:val="00B93470"/>
    <w:rsid w:val="00B95BBF"/>
    <w:rsid w:val="00B96036"/>
    <w:rsid w:val="00B96AC8"/>
    <w:rsid w:val="00BA12CD"/>
    <w:rsid w:val="00BA25B6"/>
    <w:rsid w:val="00BA3920"/>
    <w:rsid w:val="00BA6CC6"/>
    <w:rsid w:val="00BA782D"/>
    <w:rsid w:val="00BB1AAC"/>
    <w:rsid w:val="00BB4C28"/>
    <w:rsid w:val="00BB5426"/>
    <w:rsid w:val="00BC2768"/>
    <w:rsid w:val="00BC33C2"/>
    <w:rsid w:val="00BC4F9E"/>
    <w:rsid w:val="00BC647C"/>
    <w:rsid w:val="00BC7539"/>
    <w:rsid w:val="00BC79C1"/>
    <w:rsid w:val="00BD0FCC"/>
    <w:rsid w:val="00BD1088"/>
    <w:rsid w:val="00BD33FC"/>
    <w:rsid w:val="00BD3A7C"/>
    <w:rsid w:val="00BD4961"/>
    <w:rsid w:val="00BE0387"/>
    <w:rsid w:val="00BE2D99"/>
    <w:rsid w:val="00BE3A68"/>
    <w:rsid w:val="00BE54D6"/>
    <w:rsid w:val="00BF1481"/>
    <w:rsid w:val="00BF2610"/>
    <w:rsid w:val="00C001D0"/>
    <w:rsid w:val="00C02A39"/>
    <w:rsid w:val="00C02FE1"/>
    <w:rsid w:val="00C04E3C"/>
    <w:rsid w:val="00C05425"/>
    <w:rsid w:val="00C069B8"/>
    <w:rsid w:val="00C074EF"/>
    <w:rsid w:val="00C10B42"/>
    <w:rsid w:val="00C12720"/>
    <w:rsid w:val="00C15432"/>
    <w:rsid w:val="00C15AC4"/>
    <w:rsid w:val="00C21149"/>
    <w:rsid w:val="00C2773E"/>
    <w:rsid w:val="00C3128B"/>
    <w:rsid w:val="00C33674"/>
    <w:rsid w:val="00C3385B"/>
    <w:rsid w:val="00C41470"/>
    <w:rsid w:val="00C41FF2"/>
    <w:rsid w:val="00C43AE0"/>
    <w:rsid w:val="00C54747"/>
    <w:rsid w:val="00C5514E"/>
    <w:rsid w:val="00C55D92"/>
    <w:rsid w:val="00C56C98"/>
    <w:rsid w:val="00C61690"/>
    <w:rsid w:val="00C6254D"/>
    <w:rsid w:val="00C629B9"/>
    <w:rsid w:val="00C645BC"/>
    <w:rsid w:val="00C646C4"/>
    <w:rsid w:val="00C739AF"/>
    <w:rsid w:val="00C75935"/>
    <w:rsid w:val="00C76463"/>
    <w:rsid w:val="00C85696"/>
    <w:rsid w:val="00C9002C"/>
    <w:rsid w:val="00C91204"/>
    <w:rsid w:val="00C922D7"/>
    <w:rsid w:val="00C935C2"/>
    <w:rsid w:val="00C93727"/>
    <w:rsid w:val="00C95BFB"/>
    <w:rsid w:val="00CA19F5"/>
    <w:rsid w:val="00CA57D4"/>
    <w:rsid w:val="00CA6173"/>
    <w:rsid w:val="00CA65FF"/>
    <w:rsid w:val="00CB0938"/>
    <w:rsid w:val="00CB220A"/>
    <w:rsid w:val="00CC2800"/>
    <w:rsid w:val="00CC3420"/>
    <w:rsid w:val="00CC3BC7"/>
    <w:rsid w:val="00CC547C"/>
    <w:rsid w:val="00CC60FF"/>
    <w:rsid w:val="00CD58C8"/>
    <w:rsid w:val="00CD7760"/>
    <w:rsid w:val="00CE0468"/>
    <w:rsid w:val="00CE123C"/>
    <w:rsid w:val="00CE13DA"/>
    <w:rsid w:val="00CE1CE6"/>
    <w:rsid w:val="00CE3C39"/>
    <w:rsid w:val="00CE75B5"/>
    <w:rsid w:val="00CF0F94"/>
    <w:rsid w:val="00CF2D98"/>
    <w:rsid w:val="00CF436B"/>
    <w:rsid w:val="00CF5AB1"/>
    <w:rsid w:val="00CF73B4"/>
    <w:rsid w:val="00CF7EE0"/>
    <w:rsid w:val="00D00E78"/>
    <w:rsid w:val="00D01738"/>
    <w:rsid w:val="00D04F96"/>
    <w:rsid w:val="00D1383A"/>
    <w:rsid w:val="00D13E32"/>
    <w:rsid w:val="00D22050"/>
    <w:rsid w:val="00D23424"/>
    <w:rsid w:val="00D24DA4"/>
    <w:rsid w:val="00D26F28"/>
    <w:rsid w:val="00D30D15"/>
    <w:rsid w:val="00D32839"/>
    <w:rsid w:val="00D33EE3"/>
    <w:rsid w:val="00D343EC"/>
    <w:rsid w:val="00D3500F"/>
    <w:rsid w:val="00D36EA4"/>
    <w:rsid w:val="00D40769"/>
    <w:rsid w:val="00D4202F"/>
    <w:rsid w:val="00D43052"/>
    <w:rsid w:val="00D436D4"/>
    <w:rsid w:val="00D45810"/>
    <w:rsid w:val="00D466D2"/>
    <w:rsid w:val="00D50ABF"/>
    <w:rsid w:val="00D51EBD"/>
    <w:rsid w:val="00D532B4"/>
    <w:rsid w:val="00D55ACB"/>
    <w:rsid w:val="00D571E0"/>
    <w:rsid w:val="00D616E2"/>
    <w:rsid w:val="00D61F8E"/>
    <w:rsid w:val="00D63636"/>
    <w:rsid w:val="00D63CFC"/>
    <w:rsid w:val="00D66D34"/>
    <w:rsid w:val="00D66FE8"/>
    <w:rsid w:val="00D716E4"/>
    <w:rsid w:val="00D73D1A"/>
    <w:rsid w:val="00D7427C"/>
    <w:rsid w:val="00D75C74"/>
    <w:rsid w:val="00D75E95"/>
    <w:rsid w:val="00D858E5"/>
    <w:rsid w:val="00D91E0F"/>
    <w:rsid w:val="00D92557"/>
    <w:rsid w:val="00DA13C8"/>
    <w:rsid w:val="00DA53C7"/>
    <w:rsid w:val="00DA5809"/>
    <w:rsid w:val="00DA58BF"/>
    <w:rsid w:val="00DA7B48"/>
    <w:rsid w:val="00DA7C18"/>
    <w:rsid w:val="00DB03B7"/>
    <w:rsid w:val="00DB0C01"/>
    <w:rsid w:val="00DB2350"/>
    <w:rsid w:val="00DB4551"/>
    <w:rsid w:val="00DC1048"/>
    <w:rsid w:val="00DC44CF"/>
    <w:rsid w:val="00DC6DE1"/>
    <w:rsid w:val="00DD01C5"/>
    <w:rsid w:val="00DD23C0"/>
    <w:rsid w:val="00DD4AB3"/>
    <w:rsid w:val="00DD4D5D"/>
    <w:rsid w:val="00DD517E"/>
    <w:rsid w:val="00DE17E2"/>
    <w:rsid w:val="00DE3020"/>
    <w:rsid w:val="00DE4D85"/>
    <w:rsid w:val="00DE6D9A"/>
    <w:rsid w:val="00DE6DD3"/>
    <w:rsid w:val="00DF18B6"/>
    <w:rsid w:val="00DF317F"/>
    <w:rsid w:val="00DF3C7A"/>
    <w:rsid w:val="00DF42DF"/>
    <w:rsid w:val="00DF70C1"/>
    <w:rsid w:val="00DF71A8"/>
    <w:rsid w:val="00E027B0"/>
    <w:rsid w:val="00E02A24"/>
    <w:rsid w:val="00E06484"/>
    <w:rsid w:val="00E11403"/>
    <w:rsid w:val="00E11DA9"/>
    <w:rsid w:val="00E16303"/>
    <w:rsid w:val="00E16925"/>
    <w:rsid w:val="00E27247"/>
    <w:rsid w:val="00E31CA5"/>
    <w:rsid w:val="00E31D49"/>
    <w:rsid w:val="00E3382E"/>
    <w:rsid w:val="00E348DD"/>
    <w:rsid w:val="00E3492D"/>
    <w:rsid w:val="00E3753A"/>
    <w:rsid w:val="00E37543"/>
    <w:rsid w:val="00E412A7"/>
    <w:rsid w:val="00E42E28"/>
    <w:rsid w:val="00E43BF3"/>
    <w:rsid w:val="00E44DE5"/>
    <w:rsid w:val="00E45C4B"/>
    <w:rsid w:val="00E47525"/>
    <w:rsid w:val="00E47720"/>
    <w:rsid w:val="00E47F91"/>
    <w:rsid w:val="00E5126C"/>
    <w:rsid w:val="00E526A4"/>
    <w:rsid w:val="00E53B45"/>
    <w:rsid w:val="00E545F1"/>
    <w:rsid w:val="00E54BAD"/>
    <w:rsid w:val="00E551C4"/>
    <w:rsid w:val="00E56B67"/>
    <w:rsid w:val="00E570ED"/>
    <w:rsid w:val="00E627ED"/>
    <w:rsid w:val="00E62867"/>
    <w:rsid w:val="00E63798"/>
    <w:rsid w:val="00E652D9"/>
    <w:rsid w:val="00E6619D"/>
    <w:rsid w:val="00E7442E"/>
    <w:rsid w:val="00E756CD"/>
    <w:rsid w:val="00E82188"/>
    <w:rsid w:val="00E825A1"/>
    <w:rsid w:val="00E85293"/>
    <w:rsid w:val="00E871CE"/>
    <w:rsid w:val="00E875C2"/>
    <w:rsid w:val="00E87AC7"/>
    <w:rsid w:val="00E90128"/>
    <w:rsid w:val="00E9315E"/>
    <w:rsid w:val="00E9468D"/>
    <w:rsid w:val="00E94F03"/>
    <w:rsid w:val="00E97903"/>
    <w:rsid w:val="00EA37FC"/>
    <w:rsid w:val="00EA68DF"/>
    <w:rsid w:val="00EB0687"/>
    <w:rsid w:val="00EB0FC5"/>
    <w:rsid w:val="00EB1910"/>
    <w:rsid w:val="00EB317F"/>
    <w:rsid w:val="00EB335D"/>
    <w:rsid w:val="00EB62F2"/>
    <w:rsid w:val="00EC17EF"/>
    <w:rsid w:val="00ED2C29"/>
    <w:rsid w:val="00ED3624"/>
    <w:rsid w:val="00ED7253"/>
    <w:rsid w:val="00EE02F0"/>
    <w:rsid w:val="00EE2F16"/>
    <w:rsid w:val="00EE68A4"/>
    <w:rsid w:val="00EE6FBD"/>
    <w:rsid w:val="00EE72DB"/>
    <w:rsid w:val="00EF1CB1"/>
    <w:rsid w:val="00EF56F9"/>
    <w:rsid w:val="00F00537"/>
    <w:rsid w:val="00F03418"/>
    <w:rsid w:val="00F04678"/>
    <w:rsid w:val="00F062BF"/>
    <w:rsid w:val="00F06437"/>
    <w:rsid w:val="00F0775B"/>
    <w:rsid w:val="00F1031E"/>
    <w:rsid w:val="00F10A29"/>
    <w:rsid w:val="00F10ACE"/>
    <w:rsid w:val="00F16658"/>
    <w:rsid w:val="00F16692"/>
    <w:rsid w:val="00F20D0D"/>
    <w:rsid w:val="00F229CE"/>
    <w:rsid w:val="00F23065"/>
    <w:rsid w:val="00F25E21"/>
    <w:rsid w:val="00F26087"/>
    <w:rsid w:val="00F27024"/>
    <w:rsid w:val="00F27DDD"/>
    <w:rsid w:val="00F304F6"/>
    <w:rsid w:val="00F3088D"/>
    <w:rsid w:val="00F341FB"/>
    <w:rsid w:val="00F37AD2"/>
    <w:rsid w:val="00F43CF0"/>
    <w:rsid w:val="00F4680E"/>
    <w:rsid w:val="00F46EBB"/>
    <w:rsid w:val="00F47088"/>
    <w:rsid w:val="00F51B37"/>
    <w:rsid w:val="00F541D1"/>
    <w:rsid w:val="00F54C17"/>
    <w:rsid w:val="00F641E1"/>
    <w:rsid w:val="00F644EA"/>
    <w:rsid w:val="00F6521F"/>
    <w:rsid w:val="00F652E7"/>
    <w:rsid w:val="00F654C6"/>
    <w:rsid w:val="00F674C8"/>
    <w:rsid w:val="00F70176"/>
    <w:rsid w:val="00F70871"/>
    <w:rsid w:val="00F7228C"/>
    <w:rsid w:val="00F73186"/>
    <w:rsid w:val="00F75C84"/>
    <w:rsid w:val="00F75EDB"/>
    <w:rsid w:val="00F75F1E"/>
    <w:rsid w:val="00F762E5"/>
    <w:rsid w:val="00F76491"/>
    <w:rsid w:val="00F81BD3"/>
    <w:rsid w:val="00F8230E"/>
    <w:rsid w:val="00F930A8"/>
    <w:rsid w:val="00F94C84"/>
    <w:rsid w:val="00FA3B81"/>
    <w:rsid w:val="00FA5DE4"/>
    <w:rsid w:val="00FA5E7B"/>
    <w:rsid w:val="00FA7384"/>
    <w:rsid w:val="00FB2C2F"/>
    <w:rsid w:val="00FB5F5C"/>
    <w:rsid w:val="00FB6AF8"/>
    <w:rsid w:val="00FB6E59"/>
    <w:rsid w:val="00FC0D3E"/>
    <w:rsid w:val="00FC319F"/>
    <w:rsid w:val="00FC3884"/>
    <w:rsid w:val="00FC4DC9"/>
    <w:rsid w:val="00FC4F6B"/>
    <w:rsid w:val="00FD36A3"/>
    <w:rsid w:val="00FD4333"/>
    <w:rsid w:val="00FD46E0"/>
    <w:rsid w:val="00FD61B9"/>
    <w:rsid w:val="00FD7FF0"/>
    <w:rsid w:val="00FE1018"/>
    <w:rsid w:val="00FE16D2"/>
    <w:rsid w:val="00FE1950"/>
    <w:rsid w:val="00FE2ED3"/>
    <w:rsid w:val="00FE4F72"/>
    <w:rsid w:val="00FE500D"/>
    <w:rsid w:val="00FE56B8"/>
    <w:rsid w:val="00FE65DB"/>
    <w:rsid w:val="00FE6FD3"/>
    <w:rsid w:val="00FF0C96"/>
    <w:rsid w:val="00FF2904"/>
    <w:rsid w:val="00FF58D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44FCB7"/>
  <w15:docId w15:val="{1AA4A7E8-964A-4F29-B8D4-C4D20DB8C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4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4651"/>
  </w:style>
  <w:style w:type="paragraph" w:styleId="Piedepgina">
    <w:name w:val="footer"/>
    <w:basedOn w:val="Normal"/>
    <w:link w:val="PiedepginaCar"/>
    <w:uiPriority w:val="99"/>
    <w:unhideWhenUsed/>
    <w:rsid w:val="007D4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4651"/>
  </w:style>
  <w:style w:type="paragraph" w:styleId="Sinespaciado">
    <w:name w:val="No Spacing"/>
    <w:link w:val="SinespaciadoCar"/>
    <w:uiPriority w:val="1"/>
    <w:qFormat/>
    <w:rsid w:val="007D4651"/>
    <w:pPr>
      <w:spacing w:after="0" w:line="240" w:lineRule="auto"/>
    </w:pPr>
  </w:style>
  <w:style w:type="character" w:customStyle="1" w:styleId="SinespaciadoCar">
    <w:name w:val="Sin espaciado Car"/>
    <w:basedOn w:val="Fuentedeprrafopredeter"/>
    <w:link w:val="Sinespaciado"/>
    <w:uiPriority w:val="1"/>
    <w:locked/>
    <w:rsid w:val="007D4651"/>
  </w:style>
  <w:style w:type="paragraph" w:styleId="Textonotapie">
    <w:name w:val="footnote text"/>
    <w:aliases w:val="Texto nota pie Car Car Car Car Car Car,Texto nota pie Car Car Car Car Car Car Car,Texto nota pie Car Car Car Car Car Car Ca"/>
    <w:basedOn w:val="Normal"/>
    <w:link w:val="TextonotapieCar"/>
    <w:uiPriority w:val="99"/>
    <w:unhideWhenUsed/>
    <w:rsid w:val="00FA3B81"/>
    <w:pPr>
      <w:spacing w:after="0" w:line="240" w:lineRule="auto"/>
    </w:pPr>
    <w:rPr>
      <w:sz w:val="20"/>
      <w:szCs w:val="20"/>
    </w:rPr>
  </w:style>
  <w:style w:type="character" w:customStyle="1" w:styleId="TextonotapieCar">
    <w:name w:val="Texto nota pie Car"/>
    <w:aliases w:val="Texto nota pie Car Car Car Car Car Car Car1,Texto nota pie Car Car Car Car Car Car Car Car,Texto nota pie Car Car Car Car Car Car Ca Car"/>
    <w:basedOn w:val="Fuentedeprrafopredeter"/>
    <w:link w:val="Textonotapie"/>
    <w:uiPriority w:val="99"/>
    <w:rsid w:val="00FA3B81"/>
    <w:rPr>
      <w:sz w:val="20"/>
      <w:szCs w:val="20"/>
    </w:rPr>
  </w:style>
  <w:style w:type="character" w:styleId="Refdenotaalpie">
    <w:name w:val="footnote reference"/>
    <w:basedOn w:val="Fuentedeprrafopredeter"/>
    <w:uiPriority w:val="99"/>
    <w:semiHidden/>
    <w:unhideWhenUsed/>
    <w:rsid w:val="00FA3B81"/>
    <w:rPr>
      <w:vertAlign w:val="superscript"/>
    </w:rPr>
  </w:style>
  <w:style w:type="table" w:styleId="Tablaconcuadrcula">
    <w:name w:val="Table Grid"/>
    <w:basedOn w:val="Tablanormal"/>
    <w:uiPriority w:val="59"/>
    <w:rsid w:val="00FA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D01C5"/>
    <w:pPr>
      <w:spacing w:after="0" w:line="240" w:lineRule="auto"/>
      <w:ind w:left="720"/>
      <w:contextualSpacing/>
    </w:pPr>
  </w:style>
  <w:style w:type="paragraph" w:styleId="NormalWeb">
    <w:name w:val="Normal (Web)"/>
    <w:basedOn w:val="Normal"/>
    <w:uiPriority w:val="99"/>
    <w:semiHidden/>
    <w:unhideWhenUsed/>
    <w:rsid w:val="00213C92"/>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customStyle="1" w:styleId="Default">
    <w:name w:val="Default"/>
    <w:rsid w:val="00EB317F"/>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AF42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4290"/>
    <w:rPr>
      <w:rFonts w:ascii="Tahoma" w:hAnsi="Tahoma" w:cs="Tahoma"/>
      <w:sz w:val="16"/>
      <w:szCs w:val="16"/>
    </w:rPr>
  </w:style>
  <w:style w:type="paragraph" w:customStyle="1" w:styleId="Normal1">
    <w:name w:val="Normal1"/>
    <w:basedOn w:val="Normal"/>
    <w:rsid w:val="00F541D1"/>
    <w:pPr>
      <w:spacing w:after="0" w:line="240" w:lineRule="auto"/>
    </w:pPr>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951055">
      <w:bodyDiv w:val="1"/>
      <w:marLeft w:val="0"/>
      <w:marRight w:val="0"/>
      <w:marTop w:val="0"/>
      <w:marBottom w:val="0"/>
      <w:divBdr>
        <w:top w:val="none" w:sz="0" w:space="0" w:color="auto"/>
        <w:left w:val="none" w:sz="0" w:space="0" w:color="auto"/>
        <w:bottom w:val="none" w:sz="0" w:space="0" w:color="auto"/>
        <w:right w:val="none" w:sz="0" w:space="0" w:color="auto"/>
      </w:divBdr>
    </w:div>
    <w:div w:id="517159523">
      <w:bodyDiv w:val="1"/>
      <w:marLeft w:val="0"/>
      <w:marRight w:val="0"/>
      <w:marTop w:val="0"/>
      <w:marBottom w:val="0"/>
      <w:divBdr>
        <w:top w:val="none" w:sz="0" w:space="0" w:color="auto"/>
        <w:left w:val="none" w:sz="0" w:space="0" w:color="auto"/>
        <w:bottom w:val="none" w:sz="0" w:space="0" w:color="auto"/>
        <w:right w:val="none" w:sz="0" w:space="0" w:color="auto"/>
      </w:divBdr>
    </w:div>
    <w:div w:id="528221259">
      <w:bodyDiv w:val="1"/>
      <w:marLeft w:val="0"/>
      <w:marRight w:val="0"/>
      <w:marTop w:val="0"/>
      <w:marBottom w:val="0"/>
      <w:divBdr>
        <w:top w:val="none" w:sz="0" w:space="0" w:color="auto"/>
        <w:left w:val="none" w:sz="0" w:space="0" w:color="auto"/>
        <w:bottom w:val="none" w:sz="0" w:space="0" w:color="auto"/>
        <w:right w:val="none" w:sz="0" w:space="0" w:color="auto"/>
      </w:divBdr>
    </w:div>
    <w:div w:id="536358022">
      <w:bodyDiv w:val="1"/>
      <w:marLeft w:val="0"/>
      <w:marRight w:val="0"/>
      <w:marTop w:val="0"/>
      <w:marBottom w:val="0"/>
      <w:divBdr>
        <w:top w:val="none" w:sz="0" w:space="0" w:color="auto"/>
        <w:left w:val="none" w:sz="0" w:space="0" w:color="auto"/>
        <w:bottom w:val="none" w:sz="0" w:space="0" w:color="auto"/>
        <w:right w:val="none" w:sz="0" w:space="0" w:color="auto"/>
      </w:divBdr>
    </w:div>
    <w:div w:id="1241788255">
      <w:bodyDiv w:val="1"/>
      <w:marLeft w:val="0"/>
      <w:marRight w:val="0"/>
      <w:marTop w:val="0"/>
      <w:marBottom w:val="0"/>
      <w:divBdr>
        <w:top w:val="none" w:sz="0" w:space="0" w:color="auto"/>
        <w:left w:val="none" w:sz="0" w:space="0" w:color="auto"/>
        <w:bottom w:val="none" w:sz="0" w:space="0" w:color="auto"/>
        <w:right w:val="none" w:sz="0" w:space="0" w:color="auto"/>
      </w:divBdr>
    </w:div>
    <w:div w:id="1562714576">
      <w:bodyDiv w:val="1"/>
      <w:marLeft w:val="0"/>
      <w:marRight w:val="0"/>
      <w:marTop w:val="0"/>
      <w:marBottom w:val="0"/>
      <w:divBdr>
        <w:top w:val="none" w:sz="0" w:space="0" w:color="auto"/>
        <w:left w:val="none" w:sz="0" w:space="0" w:color="auto"/>
        <w:bottom w:val="none" w:sz="0" w:space="0" w:color="auto"/>
        <w:right w:val="none" w:sz="0" w:space="0" w:color="auto"/>
      </w:divBdr>
      <w:divsChild>
        <w:div w:id="330841121">
          <w:marLeft w:val="150"/>
          <w:marRight w:val="0"/>
          <w:marTop w:val="90"/>
          <w:marBottom w:val="0"/>
          <w:divBdr>
            <w:top w:val="none" w:sz="0" w:space="0" w:color="auto"/>
            <w:left w:val="none" w:sz="0" w:space="0" w:color="auto"/>
            <w:bottom w:val="none" w:sz="0" w:space="0" w:color="auto"/>
            <w:right w:val="none" w:sz="0" w:space="0" w:color="auto"/>
          </w:divBdr>
        </w:div>
        <w:div w:id="1742369145">
          <w:marLeft w:val="0"/>
          <w:marRight w:val="0"/>
          <w:marTop w:val="0"/>
          <w:marBottom w:val="0"/>
          <w:divBdr>
            <w:top w:val="none" w:sz="0" w:space="0" w:color="auto"/>
            <w:left w:val="none" w:sz="0" w:space="0" w:color="auto"/>
            <w:bottom w:val="none" w:sz="0" w:space="0" w:color="auto"/>
            <w:right w:val="none" w:sz="0" w:space="0" w:color="auto"/>
          </w:divBdr>
        </w:div>
      </w:divsChild>
    </w:div>
    <w:div w:id="198950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header" Target="header4.xml"/><Relationship Id="rId26" Type="http://schemas.openxmlformats.org/officeDocument/2006/relationships/footer" Target="footer5.xm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footer" Target="footer8.xml"/><Relationship Id="rId42"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header" Target="header8.xml"/><Relationship Id="rId38"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5.xml"/><Relationship Id="rId29" Type="http://schemas.openxmlformats.org/officeDocument/2006/relationships/footer" Target="footer6.xml"/><Relationship Id="rId41"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9.xml"/><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8.xml"/><Relationship Id="rId28" Type="http://schemas.openxmlformats.org/officeDocument/2006/relationships/header" Target="header6.xml"/><Relationship Id="rId36" Type="http://schemas.openxmlformats.org/officeDocument/2006/relationships/footer" Target="footer9.xml"/><Relationship Id="rId10" Type="http://schemas.openxmlformats.org/officeDocument/2006/relationships/chart" Target="charts/chart1.xml"/><Relationship Id="rId19" Type="http://schemas.openxmlformats.org/officeDocument/2006/relationships/footer" Target="footer4.xml"/><Relationship Id="rId31" Type="http://schemas.openxmlformats.org/officeDocument/2006/relationships/header" Target="header7.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chart" Target="charts/chart10.xml"/><Relationship Id="rId30" Type="http://schemas.openxmlformats.org/officeDocument/2006/relationships/image" Target="media/image2.emf"/><Relationship Id="rId35" Type="http://schemas.openxmlformats.org/officeDocument/2006/relationships/header" Target="header9.xm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seargueta\Desktop\Informes%202020\Sitfin\Julio\Sitfin%20al%20310720%20(18082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seargueta\Desktop\Informes%202020\Sitfin\Julio\Sitfin%20al%20310720%20(050820).xlsx" TargetMode="External"/><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E:\Informes%202020\Sitfin\Mayo\Informe%20mensual\Book%20cifras%20mayo.xlsx" TargetMode="Externa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74588080764791"/>
          <c:y val="5.0552103956334832E-2"/>
          <c:w val="0.8643048865739279"/>
          <c:h val="0.83258589195279087"/>
        </c:manualLayout>
      </c:layout>
      <c:barChart>
        <c:barDir val="col"/>
        <c:grouping val="clustered"/>
        <c:varyColors val="0"/>
        <c:ser>
          <c:idx val="1"/>
          <c:order val="0"/>
          <c:spPr>
            <a:scene3d>
              <a:camera prst="orthographicFront"/>
              <a:lightRig rig="threePt" dir="t"/>
            </a:scene3d>
            <a:sp3d>
              <a:bevelT prst="angle"/>
            </a:sp3d>
          </c:spPr>
          <c:invertIfNegative val="0"/>
          <c:dPt>
            <c:idx val="0"/>
            <c:invertIfNegative val="0"/>
            <c:bubble3D val="0"/>
            <c:spPr>
              <a:solidFill>
                <a:schemeClr val="accent1">
                  <a:lumMod val="50000"/>
                </a:schemeClr>
              </a:solidFill>
              <a:scene3d>
                <a:camera prst="orthographicFront"/>
                <a:lightRig rig="threePt" dir="t"/>
              </a:scene3d>
              <a:sp3d>
                <a:bevelT prst="angle"/>
              </a:sp3d>
            </c:spPr>
            <c:extLst>
              <c:ext xmlns:c16="http://schemas.microsoft.com/office/drawing/2014/chart" uri="{C3380CC4-5D6E-409C-BE32-E72D297353CC}">
                <c16:uniqueId val="{00000001-6600-45B7-B17D-08186DE3B500}"/>
              </c:ext>
            </c:extLst>
          </c:dPt>
          <c:dPt>
            <c:idx val="1"/>
            <c:invertIfNegative val="0"/>
            <c:bubble3D val="0"/>
            <c:spPr>
              <a:solidFill>
                <a:schemeClr val="accent1">
                  <a:lumMod val="50000"/>
                </a:schemeClr>
              </a:solidFill>
              <a:scene3d>
                <a:camera prst="orthographicFront"/>
                <a:lightRig rig="threePt" dir="t"/>
              </a:scene3d>
              <a:sp3d>
                <a:bevelT prst="angle"/>
              </a:sp3d>
            </c:spPr>
            <c:extLst>
              <c:ext xmlns:c16="http://schemas.microsoft.com/office/drawing/2014/chart" uri="{C3380CC4-5D6E-409C-BE32-E72D297353CC}">
                <c16:uniqueId val="{00000003-6600-45B7-B17D-08186DE3B500}"/>
              </c:ext>
            </c:extLst>
          </c:dPt>
          <c:dPt>
            <c:idx val="2"/>
            <c:invertIfNegative val="0"/>
            <c:bubble3D val="0"/>
            <c:spPr>
              <a:solidFill>
                <a:schemeClr val="accent1">
                  <a:lumMod val="50000"/>
                </a:schemeClr>
              </a:solidFill>
              <a:scene3d>
                <a:camera prst="orthographicFront"/>
                <a:lightRig rig="threePt" dir="t"/>
              </a:scene3d>
              <a:sp3d>
                <a:bevelT prst="angle"/>
              </a:sp3d>
            </c:spPr>
            <c:extLst>
              <c:ext xmlns:c16="http://schemas.microsoft.com/office/drawing/2014/chart" uri="{C3380CC4-5D6E-409C-BE32-E72D297353CC}">
                <c16:uniqueId val="{00000005-6600-45B7-B17D-08186DE3B500}"/>
              </c:ext>
            </c:extLst>
          </c:dPt>
          <c:dPt>
            <c:idx val="3"/>
            <c:invertIfNegative val="0"/>
            <c:bubble3D val="0"/>
            <c:spPr>
              <a:solidFill>
                <a:srgbClr val="C00000"/>
              </a:solidFill>
              <a:scene3d>
                <a:camera prst="orthographicFront"/>
                <a:lightRig rig="threePt" dir="t"/>
              </a:scene3d>
              <a:sp3d>
                <a:bevelT prst="angle"/>
              </a:sp3d>
            </c:spPr>
            <c:extLst>
              <c:ext xmlns:c16="http://schemas.microsoft.com/office/drawing/2014/chart" uri="{C3380CC4-5D6E-409C-BE32-E72D297353CC}">
                <c16:uniqueId val="{00000007-6600-45B7-B17D-08186DE3B500}"/>
              </c:ext>
            </c:extLst>
          </c:dPt>
          <c:dLbls>
            <c:dLbl>
              <c:idx val="3"/>
              <c:spPr>
                <a:noFill/>
                <a:ln>
                  <a:noFill/>
                </a:ln>
                <a:effectLst/>
              </c:spPr>
              <c:txPr>
                <a:bodyPr wrap="square" lIns="38100" tIns="19050" rIns="38100" bIns="19050" anchor="ctr">
                  <a:spAutoFit/>
                </a:bodyPr>
                <a:lstStyle/>
                <a:p>
                  <a:pPr>
                    <a:defRPr sz="1100" b="1"/>
                  </a:pPr>
                  <a:endParaRPr lang="es-GT"/>
                </a:p>
              </c:txPr>
              <c:showLegendKey val="0"/>
              <c:showVal val="1"/>
              <c:showCatName val="0"/>
              <c:showSerName val="0"/>
              <c:showPercent val="0"/>
              <c:showBubbleSize val="0"/>
              <c:extLst>
                <c:ext xmlns:c16="http://schemas.microsoft.com/office/drawing/2014/chart" uri="{C3380CC4-5D6E-409C-BE32-E72D297353CC}">
                  <c16:uniqueId val="{00000007-6600-45B7-B17D-08186DE3B500}"/>
                </c:ext>
              </c:extLst>
            </c:dLbl>
            <c:spPr>
              <a:noFill/>
              <a:ln>
                <a:noFill/>
              </a:ln>
              <a:effectLst/>
            </c:spPr>
            <c:txPr>
              <a:bodyPr wrap="square" lIns="38100" tIns="19050" rIns="38100" bIns="19050" anchor="ctr">
                <a:spAutoFit/>
              </a:bodyPr>
              <a:lstStyle/>
              <a:p>
                <a:pPr>
                  <a:defRPr sz="1100"/>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'Reporte Diario'!$M$61:$P$61</c:f>
              <c:numCache>
                <c:formatCode>General</c:formatCode>
                <c:ptCount val="4"/>
                <c:pt idx="0">
                  <c:v>2017</c:v>
                </c:pt>
                <c:pt idx="1">
                  <c:v>2018</c:v>
                </c:pt>
                <c:pt idx="2">
                  <c:v>2019</c:v>
                </c:pt>
                <c:pt idx="3">
                  <c:v>2020</c:v>
                </c:pt>
              </c:numCache>
            </c:numRef>
          </c:cat>
          <c:val>
            <c:numRef>
              <c:f>'Reporte Diario'!$M$62:$P$62</c:f>
              <c:numCache>
                <c:formatCode>_-* #,##0.0_-;\-* #,##0.0_-;_-* "-"??_-;_-@_-</c:formatCode>
                <c:ptCount val="4"/>
                <c:pt idx="0">
                  <c:v>735.38019308000185</c:v>
                </c:pt>
                <c:pt idx="1">
                  <c:v>-495.69224975999987</c:v>
                </c:pt>
                <c:pt idx="2">
                  <c:v>-4096.57633919</c:v>
                </c:pt>
                <c:pt idx="3">
                  <c:v>-11134.604169880004</c:v>
                </c:pt>
              </c:numCache>
            </c:numRef>
          </c:val>
          <c:extLst>
            <c:ext xmlns:c16="http://schemas.microsoft.com/office/drawing/2014/chart" uri="{C3380CC4-5D6E-409C-BE32-E72D297353CC}">
              <c16:uniqueId val="{00000008-6600-45B7-B17D-08186DE3B500}"/>
            </c:ext>
          </c:extLst>
        </c:ser>
        <c:dLbls>
          <c:showLegendKey val="0"/>
          <c:showVal val="0"/>
          <c:showCatName val="0"/>
          <c:showSerName val="0"/>
          <c:showPercent val="0"/>
          <c:showBubbleSize val="0"/>
        </c:dLbls>
        <c:gapWidth val="71"/>
        <c:axId val="122387840"/>
        <c:axId val="122397824"/>
      </c:barChart>
      <c:catAx>
        <c:axId val="122387840"/>
        <c:scaling>
          <c:orientation val="minMax"/>
        </c:scaling>
        <c:delete val="0"/>
        <c:axPos val="b"/>
        <c:numFmt formatCode="General" sourceLinked="0"/>
        <c:majorTickMark val="out"/>
        <c:minorTickMark val="none"/>
        <c:tickLblPos val="low"/>
        <c:txPr>
          <a:bodyPr/>
          <a:lstStyle/>
          <a:p>
            <a:pPr>
              <a:defRPr lang="es-GT" sz="1200"/>
            </a:pPr>
            <a:endParaRPr lang="es-GT"/>
          </a:p>
        </c:txPr>
        <c:crossAx val="122397824"/>
        <c:crosses val="autoZero"/>
        <c:auto val="1"/>
        <c:lblAlgn val="ctr"/>
        <c:lblOffset val="100"/>
        <c:noMultiLvlLbl val="0"/>
      </c:catAx>
      <c:valAx>
        <c:axId val="122397824"/>
        <c:scaling>
          <c:orientation val="minMax"/>
        </c:scaling>
        <c:delete val="0"/>
        <c:axPos val="l"/>
        <c:numFmt formatCode="_-* #,##0.0_-;\-* #,##0.0_-;_-* &quot;-&quot;??_-;_-@_-" sourceLinked="1"/>
        <c:majorTickMark val="out"/>
        <c:minorTickMark val="none"/>
        <c:tickLblPos val="nextTo"/>
        <c:txPr>
          <a:bodyPr/>
          <a:lstStyle/>
          <a:p>
            <a:pPr>
              <a:defRPr lang="es-GT" sz="1200"/>
            </a:pPr>
            <a:endParaRPr lang="es-GT"/>
          </a:p>
        </c:txPr>
        <c:crossAx val="122387840"/>
        <c:crosses val="autoZero"/>
        <c:crossBetween val="between"/>
      </c:valAx>
    </c:plotArea>
    <c:plotVisOnly val="1"/>
    <c:dispBlanksAs val="gap"/>
    <c:showDLblsOverMax val="0"/>
  </c:chart>
  <c:spPr>
    <a:ln>
      <a:noFill/>
    </a:ln>
    <a:effectLst/>
  </c:spPr>
  <c:txPr>
    <a:bodyPr/>
    <a:lstStyle/>
    <a:p>
      <a:pPr>
        <a:defRPr sz="1400">
          <a:latin typeface="Times New Roman" pitchFamily="18" charset="0"/>
          <a:cs typeface="Times New Roman" pitchFamily="18" charset="0"/>
        </a:defRPr>
      </a:pPr>
      <a:endParaRPr lang="es-G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overlay val="0"/>
      <c:txPr>
        <a:bodyPr/>
        <a:lstStyle/>
        <a:p>
          <a:pPr>
            <a:defRPr lang="es-GT"/>
          </a:pPr>
          <a:endParaRPr lang="es-GT"/>
        </a:p>
      </c:txPr>
    </c:title>
    <c:autoTitleDeleted val="0"/>
    <c:plotArea>
      <c:layout>
        <c:manualLayout>
          <c:layoutTarget val="inner"/>
          <c:xMode val="edge"/>
          <c:yMode val="edge"/>
          <c:x val="2.3611111111111117E-2"/>
          <c:y val="5.7870370370370371E-2"/>
          <c:w val="0.94166666666666654"/>
          <c:h val="0.8935185185185186"/>
        </c:manualLayout>
      </c:layout>
      <c:ofPieChart>
        <c:ofPieType val="bar"/>
        <c:varyColors val="1"/>
        <c:ser>
          <c:idx val="0"/>
          <c:order val="0"/>
          <c:tx>
            <c:strRef>
              <c:f>'Bonos dash'!$F$51</c:f>
              <c:strCache>
                <c:ptCount val="1"/>
              </c:strCache>
            </c:strRef>
          </c:tx>
          <c:dLbls>
            <c:dLbl>
              <c:idx val="0"/>
              <c:layout>
                <c:manualLayout>
                  <c:x val="1.8556198174343248E-2"/>
                  <c:y val="-4.7401524825264824E-3"/>
                </c:manualLayout>
              </c:layout>
              <c:spPr/>
              <c:txPr>
                <a:bodyPr/>
                <a:lstStyle/>
                <a:p>
                  <a:pPr>
                    <a:defRPr lang="es-GT" sz="900" b="1">
                      <a:solidFill>
                        <a:schemeClr val="bg1"/>
                      </a:solidFill>
                      <a:latin typeface="Times New Roman" pitchFamily="18" charset="0"/>
                      <a:cs typeface="Times New Roman"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6270276415727495"/>
                      <c:h val="0.23725801332910182"/>
                    </c:manualLayout>
                  </c15:layout>
                </c:ext>
                <c:ext xmlns:c16="http://schemas.microsoft.com/office/drawing/2014/chart" uri="{C3380CC4-5D6E-409C-BE32-E72D297353CC}">
                  <c16:uniqueId val="{00000000-B345-4339-8CE4-67E8D47C9412}"/>
                </c:ext>
              </c:extLst>
            </c:dLbl>
            <c:dLbl>
              <c:idx val="1"/>
              <c:layout>
                <c:manualLayout>
                  <c:x val="-9.128075472207164E-4"/>
                  <c:y val="-7.6021360547957495E-2"/>
                </c:manualLayout>
              </c:layout>
              <c:spPr/>
              <c:txPr>
                <a:bodyPr/>
                <a:lstStyle/>
                <a:p>
                  <a:pPr>
                    <a:defRPr lang="es-GT" sz="900" b="1">
                      <a:solidFill>
                        <a:sysClr val="windowText" lastClr="000000"/>
                      </a:solidFill>
                      <a:latin typeface="Times New Roman" pitchFamily="18" charset="0"/>
                      <a:cs typeface="Times New Roman"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32050740668518057"/>
                      <c:h val="0.27610282450015866"/>
                    </c:manualLayout>
                  </c15:layout>
                </c:ext>
                <c:ext xmlns:c16="http://schemas.microsoft.com/office/drawing/2014/chart" uri="{C3380CC4-5D6E-409C-BE32-E72D297353CC}">
                  <c16:uniqueId val="{00000001-B345-4339-8CE4-67E8D47C9412}"/>
                </c:ext>
              </c:extLst>
            </c:dLbl>
            <c:dLbl>
              <c:idx val="2"/>
              <c:layout>
                <c:manualLayout>
                  <c:x val="-2.538882575630224E-2"/>
                  <c:y val="-8.5762050292745458E-4"/>
                </c:manualLayout>
              </c:layout>
              <c:spPr>
                <a:noFill/>
                <a:ln>
                  <a:noFill/>
                </a:ln>
                <a:effectLst/>
              </c:spPr>
              <c:txPr>
                <a:bodyPr/>
                <a:lstStyle/>
                <a:p>
                  <a:pPr>
                    <a:defRPr lang="es-GT" sz="900" b="1">
                      <a:latin typeface="Times New Roman" pitchFamily="18" charset="0"/>
                      <a:cs typeface="Times New Roman"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5692624246051227"/>
                      <c:h val="0.23801967629324028"/>
                    </c:manualLayout>
                  </c15:layout>
                </c:ext>
                <c:ext xmlns:c16="http://schemas.microsoft.com/office/drawing/2014/chart" uri="{C3380CC4-5D6E-409C-BE32-E72D297353CC}">
                  <c16:uniqueId val="{00000002-B345-4339-8CE4-67E8D47C9412}"/>
                </c:ext>
              </c:extLst>
            </c:dLbl>
            <c:dLbl>
              <c:idx val="3"/>
              <c:layout>
                <c:manualLayout>
                  <c:x val="-0.35082203110606053"/>
                  <c:y val="-2.7351397006824481E-2"/>
                </c:manualLayout>
              </c:layout>
              <c:tx>
                <c:rich>
                  <a:bodyPr/>
                  <a:lstStyle/>
                  <a:p>
                    <a:pPr>
                      <a:defRPr lang="es-GT" sz="900" b="1" i="0">
                        <a:latin typeface="Times New Roman" pitchFamily="18" charset="0"/>
                        <a:cs typeface="Times New Roman" pitchFamily="18" charset="0"/>
                      </a:defRPr>
                    </a:pPr>
                    <a:r>
                      <a:rPr lang="en-US" sz="900" b="1" i="0"/>
                      <a:t>Colocado;</a:t>
                    </a:r>
                    <a:r>
                      <a:rPr lang="en-US" sz="900" b="1" i="0" baseline="0"/>
                      <a:t> </a:t>
                    </a:r>
                    <a:fld id="{EA1B1F60-5B38-41DA-BE9A-C92DB5034322}" type="VALUE">
                      <a:rPr lang="en-US" sz="900" b="1" i="0" baseline="0"/>
                      <a:pPr>
                        <a:defRPr lang="es-GT" sz="900" b="1" i="0">
                          <a:latin typeface="Times New Roman" pitchFamily="18" charset="0"/>
                          <a:cs typeface="Times New Roman" pitchFamily="18" charset="0"/>
                        </a:defRPr>
                      </a:pPr>
                      <a:t>[VALOR]</a:t>
                    </a:fld>
                    <a:r>
                      <a:rPr lang="en-US" sz="900" b="1" i="0" baseline="0"/>
                      <a:t>; </a:t>
                    </a:r>
                    <a:fld id="{D54F9560-26B3-4101-8B3D-4FB4D0FB0F2A}" type="PERCENTAGE">
                      <a:rPr lang="en-US" sz="900" b="1" i="0" baseline="0"/>
                      <a:pPr>
                        <a:defRPr lang="es-GT" sz="900" b="1" i="0">
                          <a:latin typeface="Times New Roman" pitchFamily="18" charset="0"/>
                          <a:cs typeface="Times New Roman" pitchFamily="18" charset="0"/>
                        </a:defRPr>
                      </a:pPr>
                      <a:t>[PORCENTAJE]</a:t>
                    </a:fld>
                    <a:endParaRPr lang="en-US" sz="900" b="1" i="0"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347267292912041"/>
                      <c:h val="0.31101237702316725"/>
                    </c:manualLayout>
                  </c15:layout>
                  <c15:dlblFieldTable/>
                  <c15:showDataLabelsRange val="0"/>
                </c:ext>
                <c:ext xmlns:c16="http://schemas.microsoft.com/office/drawing/2014/chart" uri="{C3380CC4-5D6E-409C-BE32-E72D297353CC}">
                  <c16:uniqueId val="{00000003-B345-4339-8CE4-67E8D47C9412}"/>
                </c:ext>
              </c:extLst>
            </c:dLbl>
            <c:spPr>
              <a:noFill/>
              <a:ln>
                <a:noFill/>
              </a:ln>
              <a:effectLst/>
            </c:spPr>
            <c:txPr>
              <a:bodyPr/>
              <a:lstStyle/>
              <a:p>
                <a:pPr>
                  <a:defRPr lang="es-GT">
                    <a:latin typeface="Times New Roman" pitchFamily="18" charset="0"/>
                    <a:cs typeface="Times New Roman" pitchFamily="18" charset="0"/>
                  </a:defRPr>
                </a:pPr>
                <a:endParaRPr lang="es-GT"/>
              </a:p>
            </c:txPr>
            <c:showLegendKey val="0"/>
            <c:showVal val="1"/>
            <c:showCatName val="1"/>
            <c:showSerName val="0"/>
            <c:showPercent val="1"/>
            <c:showBubbleSize val="0"/>
            <c:showLeaderLines val="1"/>
            <c:extLst>
              <c:ext xmlns:c15="http://schemas.microsoft.com/office/drawing/2012/chart" uri="{CE6537A1-D6FC-4f65-9D91-7224C49458BB}"/>
            </c:extLst>
          </c:dLbls>
          <c:cat>
            <c:strRef>
              <c:f>'Bonos dash'!$E$52:$E$54</c:f>
              <c:strCache>
                <c:ptCount val="3"/>
                <c:pt idx="0">
                  <c:v>Por colocar</c:v>
                </c:pt>
                <c:pt idx="1">
                  <c:v>Nuevo endeudamiento</c:v>
                </c:pt>
                <c:pt idx="2">
                  <c:v>Roll over</c:v>
                </c:pt>
              </c:strCache>
            </c:strRef>
          </c:cat>
          <c:val>
            <c:numRef>
              <c:f>'Bonos dash'!$F$52:$F$54</c:f>
              <c:numCache>
                <c:formatCode>#,##0.0</c:formatCode>
                <c:ptCount val="3"/>
                <c:pt idx="0">
                  <c:v>5077.2940890000027</c:v>
                </c:pt>
                <c:pt idx="1">
                  <c:v>24970.749</c:v>
                </c:pt>
                <c:pt idx="2">
                  <c:v>5657.0219999999999</c:v>
                </c:pt>
              </c:numCache>
            </c:numRef>
          </c:val>
          <c:extLst>
            <c:ext xmlns:c16="http://schemas.microsoft.com/office/drawing/2014/chart" uri="{C3380CC4-5D6E-409C-BE32-E72D297353CC}">
              <c16:uniqueId val="{00000004-B345-4339-8CE4-67E8D47C9412}"/>
            </c:ext>
          </c:extLst>
        </c:ser>
        <c:dLbls>
          <c:showLegendKey val="0"/>
          <c:showVal val="0"/>
          <c:showCatName val="0"/>
          <c:showSerName val="0"/>
          <c:showPercent val="0"/>
          <c:showBubbleSize val="0"/>
          <c:showLeaderLines val="1"/>
        </c:dLbls>
        <c:gapWidth val="100"/>
        <c:splitType val="pos"/>
        <c:splitPos val="2"/>
        <c:secondPieSize val="75"/>
        <c:serLines/>
      </c:ofPieChart>
    </c:plotArea>
    <c:plotVisOnly val="1"/>
    <c:dispBlanksAs val="zero"/>
    <c:showDLblsOverMax val="0"/>
  </c:chart>
  <c:spPr>
    <a:solidFill>
      <a:schemeClr val="bg1"/>
    </a:solid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487688620862198E-2"/>
          <c:y val="5.5928102315935015E-2"/>
          <c:w val="0.84040051013690165"/>
          <c:h val="0.83126366384789552"/>
        </c:manualLayout>
      </c:layout>
      <c:barChart>
        <c:barDir val="col"/>
        <c:grouping val="clustered"/>
        <c:varyColors val="0"/>
        <c:ser>
          <c:idx val="1"/>
          <c:order val="0"/>
          <c:tx>
            <c:strRef>
              <c:f>Hoja1!$B$1</c:f>
              <c:strCache>
                <c:ptCount val="1"/>
                <c:pt idx="0">
                  <c:v>Presupuesto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Hoja1!$A$2:$A$8</c:f>
              <c:strCache>
                <c:ptCount val="7"/>
                <c:pt idx="0">
                  <c:v>Ene</c:v>
                </c:pt>
                <c:pt idx="1">
                  <c:v>Feb</c:v>
                </c:pt>
                <c:pt idx="2">
                  <c:v>Mar</c:v>
                </c:pt>
                <c:pt idx="3">
                  <c:v>Abr</c:v>
                </c:pt>
                <c:pt idx="4">
                  <c:v>May</c:v>
                </c:pt>
                <c:pt idx="5">
                  <c:v>Jun</c:v>
                </c:pt>
                <c:pt idx="6">
                  <c:v>Jul</c:v>
                </c:pt>
              </c:strCache>
            </c:strRef>
          </c:cat>
          <c:val>
            <c:numRef>
              <c:f>Hoja1!$B$2:$B$8</c:f>
              <c:numCache>
                <c:formatCode>#,##0.0</c:formatCode>
                <c:ptCount val="7"/>
                <c:pt idx="0">
                  <c:v>349.20241674657336</c:v>
                </c:pt>
                <c:pt idx="1">
                  <c:v>193.42550369467926</c:v>
                </c:pt>
                <c:pt idx="2">
                  <c:v>-314.76373369276735</c:v>
                </c:pt>
                <c:pt idx="3">
                  <c:v>-979.28058514958502</c:v>
                </c:pt>
                <c:pt idx="4">
                  <c:v>-1068.6108046022096</c:v>
                </c:pt>
                <c:pt idx="5">
                  <c:v>-881.41704989829395</c:v>
                </c:pt>
                <c:pt idx="6">
                  <c:v>-1255.4000000000001</c:v>
                </c:pt>
              </c:numCache>
            </c:numRef>
          </c:val>
          <c:extLst>
            <c:ext xmlns:c16="http://schemas.microsoft.com/office/drawing/2014/chart" uri="{C3380CC4-5D6E-409C-BE32-E72D297353CC}">
              <c16:uniqueId val="{00000000-87F2-4A19-9EF5-28DF7BEE3B53}"/>
            </c:ext>
          </c:extLst>
        </c:ser>
        <c:dLbls>
          <c:showLegendKey val="0"/>
          <c:showVal val="0"/>
          <c:showCatName val="0"/>
          <c:showSerName val="0"/>
          <c:showPercent val="0"/>
          <c:showBubbleSize val="0"/>
        </c:dLbls>
        <c:gapWidth val="17"/>
        <c:axId val="549794840"/>
        <c:axId val="549798448"/>
      </c:barChart>
      <c:catAx>
        <c:axId val="549794840"/>
        <c:scaling>
          <c:orientation val="minMax"/>
        </c:scaling>
        <c:delete val="0"/>
        <c:axPos val="b"/>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49798448"/>
        <c:crosses val="autoZero"/>
        <c:auto val="0"/>
        <c:lblAlgn val="ctr"/>
        <c:lblOffset val="100"/>
        <c:noMultiLvlLbl val="1"/>
      </c:catAx>
      <c:valAx>
        <c:axId val="54979844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4979484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27913531103816"/>
          <c:y val="6.738131699846861E-2"/>
          <c:w val="0.76739983147862978"/>
          <c:h val="0.68530453675659042"/>
        </c:manualLayout>
      </c:layout>
      <c:lineChart>
        <c:grouping val="standard"/>
        <c:varyColors val="0"/>
        <c:ser>
          <c:idx val="0"/>
          <c:order val="0"/>
          <c:tx>
            <c:strRef>
              <c:f>Hoja1!$B$1</c:f>
              <c:strCache>
                <c:ptCount val="1"/>
                <c:pt idx="0">
                  <c:v>Internos</c:v>
                </c:pt>
              </c:strCache>
            </c:strRef>
          </c:tx>
          <c:spPr>
            <a:ln w="22225" cap="rnd">
              <a:solidFill>
                <a:schemeClr val="accent1"/>
              </a:solidFill>
              <a:round/>
            </a:ln>
            <a:effectLst/>
          </c:spPr>
          <c:marker>
            <c:symbol val="none"/>
          </c:marker>
          <c:dLbls>
            <c:dLbl>
              <c:idx val="54"/>
              <c:layout>
                <c:manualLayout>
                  <c:x val="0"/>
                  <c:y val="-4.7017337643256003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06-40BD-8BE0-3444FB3CADB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Hoja1!$A$2:$A$57</c:f>
              <c:numCache>
                <c:formatCode>mmm\-yy</c:formatCode>
                <c:ptCount val="56"/>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numCache>
            </c:numRef>
          </c:cat>
          <c:val>
            <c:numRef>
              <c:f>Hoja1!$B$2:$B$57</c:f>
              <c:numCache>
                <c:formatCode>0.0%</c:formatCode>
                <c:ptCount val="56"/>
                <c:pt idx="0">
                  <c:v>4.424943918444435E-2</c:v>
                </c:pt>
                <c:pt idx="1">
                  <c:v>2.643268365127982E-2</c:v>
                </c:pt>
                <c:pt idx="2">
                  <c:v>3.4638111190548049E-2</c:v>
                </c:pt>
                <c:pt idx="3">
                  <c:v>3.26622653918196E-2</c:v>
                </c:pt>
                <c:pt idx="4">
                  <c:v>9.0379431490401618E-2</c:v>
                </c:pt>
                <c:pt idx="5">
                  <c:v>9.2363743549651822E-2</c:v>
                </c:pt>
                <c:pt idx="6">
                  <c:v>0.10610924594334903</c:v>
                </c:pt>
                <c:pt idx="7">
                  <c:v>0.11655301784927863</c:v>
                </c:pt>
                <c:pt idx="8">
                  <c:v>0.11637814431515436</c:v>
                </c:pt>
                <c:pt idx="9">
                  <c:v>0.11486490493072066</c:v>
                </c:pt>
                <c:pt idx="10">
                  <c:v>0.11900714945640045</c:v>
                </c:pt>
                <c:pt idx="11">
                  <c:v>0.12819065443220334</c:v>
                </c:pt>
                <c:pt idx="12">
                  <c:v>5.9182082284754411E-2</c:v>
                </c:pt>
                <c:pt idx="13">
                  <c:v>7.4212646020694439E-2</c:v>
                </c:pt>
                <c:pt idx="14">
                  <c:v>0.10347575974463363</c:v>
                </c:pt>
                <c:pt idx="15">
                  <c:v>0.11723172144890004</c:v>
                </c:pt>
                <c:pt idx="16">
                  <c:v>5.9228800487155286E-2</c:v>
                </c:pt>
                <c:pt idx="17">
                  <c:v>8.9567767108291507E-2</c:v>
                </c:pt>
                <c:pt idx="18">
                  <c:v>6.5256294542686E-2</c:v>
                </c:pt>
                <c:pt idx="19">
                  <c:v>5.3387499574891306E-2</c:v>
                </c:pt>
                <c:pt idx="20">
                  <c:v>5.3652773553085176E-2</c:v>
                </c:pt>
                <c:pt idx="21">
                  <c:v>5.1085057617270557E-2</c:v>
                </c:pt>
                <c:pt idx="22">
                  <c:v>4.7429612878236771E-2</c:v>
                </c:pt>
                <c:pt idx="23">
                  <c:v>3.8832748141549356E-2</c:v>
                </c:pt>
                <c:pt idx="24">
                  <c:v>9.5029678328446332E-2</c:v>
                </c:pt>
                <c:pt idx="25">
                  <c:v>7.418438541927741E-2</c:v>
                </c:pt>
                <c:pt idx="26">
                  <c:v>4.4331472829025387E-2</c:v>
                </c:pt>
                <c:pt idx="27">
                  <c:v>3.061679143747309E-2</c:v>
                </c:pt>
                <c:pt idx="28">
                  <c:v>3.567349270858533E-2</c:v>
                </c:pt>
                <c:pt idx="29">
                  <c:v>6.9833455101353525E-3</c:v>
                </c:pt>
                <c:pt idx="30">
                  <c:v>1.3620570745746408E-2</c:v>
                </c:pt>
                <c:pt idx="31">
                  <c:v>1.3639138792564287E-2</c:v>
                </c:pt>
                <c:pt idx="32">
                  <c:v>1.1608366599742848E-2</c:v>
                </c:pt>
                <c:pt idx="33">
                  <c:v>1.520436753258525E-2</c:v>
                </c:pt>
                <c:pt idx="34">
                  <c:v>2.0182723094225086E-2</c:v>
                </c:pt>
                <c:pt idx="35">
                  <c:v>1.8941089642273923E-2</c:v>
                </c:pt>
                <c:pt idx="36">
                  <c:v>1.2133373398879099E-2</c:v>
                </c:pt>
                <c:pt idx="37">
                  <c:v>1.3171949561501473E-2</c:v>
                </c:pt>
                <c:pt idx="38">
                  <c:v>2.1515546627187465E-2</c:v>
                </c:pt>
                <c:pt idx="39">
                  <c:v>2.6500406128148413E-2</c:v>
                </c:pt>
                <c:pt idx="40">
                  <c:v>3.3774818086861336E-2</c:v>
                </c:pt>
                <c:pt idx="41">
                  <c:v>3.0658139325091094E-2</c:v>
                </c:pt>
                <c:pt idx="42">
                  <c:v>3.6913059989126973E-2</c:v>
                </c:pt>
                <c:pt idx="43">
                  <c:v>4.1640139238722451E-2</c:v>
                </c:pt>
                <c:pt idx="44">
                  <c:v>4.8135226542253884E-2</c:v>
                </c:pt>
                <c:pt idx="45">
                  <c:v>5.7783454456295402E-2</c:v>
                </c:pt>
                <c:pt idx="46">
                  <c:v>5.5422204220258564E-2</c:v>
                </c:pt>
                <c:pt idx="47">
                  <c:v>6.6597541083223355E-2</c:v>
                </c:pt>
                <c:pt idx="48">
                  <c:v>0.12355001333193627</c:v>
                </c:pt>
                <c:pt idx="49">
                  <c:v>0.11702529453413946</c:v>
                </c:pt>
                <c:pt idx="50">
                  <c:v>-4.1376857438148007E-2</c:v>
                </c:pt>
                <c:pt idx="51">
                  <c:v>3.5452036221880423E-2</c:v>
                </c:pt>
                <c:pt idx="52">
                  <c:v>-4.4472266464743448E-3</c:v>
                </c:pt>
                <c:pt idx="53">
                  <c:v>-2.7504188353693282E-2</c:v>
                </c:pt>
                <c:pt idx="54">
                  <c:v>-4.4938565530911578E-2</c:v>
                </c:pt>
              </c:numCache>
            </c:numRef>
          </c:val>
          <c:smooth val="0"/>
          <c:extLst>
            <c:ext xmlns:c16="http://schemas.microsoft.com/office/drawing/2014/chart" uri="{C3380CC4-5D6E-409C-BE32-E72D297353CC}">
              <c16:uniqueId val="{00000001-1E06-40BD-8BE0-3444FB3CADB6}"/>
            </c:ext>
          </c:extLst>
        </c:ser>
        <c:ser>
          <c:idx val="1"/>
          <c:order val="1"/>
          <c:tx>
            <c:strRef>
              <c:f>Hoja1!$C$1</c:f>
              <c:strCache>
                <c:ptCount val="1"/>
                <c:pt idx="0">
                  <c:v>Aduanas</c:v>
                </c:pt>
              </c:strCache>
            </c:strRef>
          </c:tx>
          <c:spPr>
            <a:ln w="22225" cap="rnd">
              <a:solidFill>
                <a:schemeClr val="accent2"/>
              </a:solidFill>
              <a:round/>
            </a:ln>
            <a:effectLst/>
          </c:spPr>
          <c:marker>
            <c:symbol val="none"/>
          </c:marker>
          <c:dLbls>
            <c:dLbl>
              <c:idx val="54"/>
              <c:layout>
                <c:manualLayout>
                  <c:x val="0"/>
                  <c:y val="4.7017337643255844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06-40BD-8BE0-3444FB3CADB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Hoja1!$A$2:$A$57</c:f>
              <c:numCache>
                <c:formatCode>mmm\-yy</c:formatCode>
                <c:ptCount val="56"/>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numCache>
            </c:numRef>
          </c:cat>
          <c:val>
            <c:numRef>
              <c:f>Hoja1!$C$2:$C$57</c:f>
              <c:numCache>
                <c:formatCode>0.0%</c:formatCode>
                <c:ptCount val="56"/>
                <c:pt idx="0">
                  <c:v>-3.074061674235995E-2</c:v>
                </c:pt>
                <c:pt idx="1">
                  <c:v>-8.2683265494918334E-3</c:v>
                </c:pt>
                <c:pt idx="2">
                  <c:v>-3.4892831345091135E-2</c:v>
                </c:pt>
                <c:pt idx="3">
                  <c:v>-7.8077923586968856E-3</c:v>
                </c:pt>
                <c:pt idx="4">
                  <c:v>-7.3763902362521394E-3</c:v>
                </c:pt>
                <c:pt idx="5">
                  <c:v>7.8420292078540399E-4</c:v>
                </c:pt>
                <c:pt idx="6">
                  <c:v>-2.6337873050912619E-2</c:v>
                </c:pt>
                <c:pt idx="7">
                  <c:v>-1.2524519959355107E-2</c:v>
                </c:pt>
                <c:pt idx="8">
                  <c:v>-1.1445146411512397E-2</c:v>
                </c:pt>
                <c:pt idx="9">
                  <c:v>-1.8433826052644431E-2</c:v>
                </c:pt>
                <c:pt idx="10">
                  <c:v>-1.051112797892062E-2</c:v>
                </c:pt>
                <c:pt idx="11">
                  <c:v>-7.2746433534310873E-3</c:v>
                </c:pt>
                <c:pt idx="12">
                  <c:v>0.10614681311325014</c:v>
                </c:pt>
                <c:pt idx="13">
                  <c:v>7.2752015905392486E-2</c:v>
                </c:pt>
                <c:pt idx="14">
                  <c:v>9.3348002892399196E-2</c:v>
                </c:pt>
                <c:pt idx="15">
                  <c:v>3.0864910932986156E-2</c:v>
                </c:pt>
                <c:pt idx="16">
                  <c:v>3.4568977151425928E-2</c:v>
                </c:pt>
                <c:pt idx="17">
                  <c:v>3.9623468418318541E-2</c:v>
                </c:pt>
                <c:pt idx="18">
                  <c:v>4.9776252684956557E-2</c:v>
                </c:pt>
                <c:pt idx="19">
                  <c:v>4.8512568678109158E-2</c:v>
                </c:pt>
                <c:pt idx="20">
                  <c:v>3.9267322923518311E-2</c:v>
                </c:pt>
                <c:pt idx="21">
                  <c:v>5.3547664989434196E-2</c:v>
                </c:pt>
                <c:pt idx="22">
                  <c:v>6.4620526664914912E-2</c:v>
                </c:pt>
                <c:pt idx="23">
                  <c:v>7.1192261205467844E-2</c:v>
                </c:pt>
                <c:pt idx="24">
                  <c:v>8.3856014173852023E-2</c:v>
                </c:pt>
                <c:pt idx="25">
                  <c:v>7.2340311732032259E-2</c:v>
                </c:pt>
                <c:pt idx="26">
                  <c:v>2.8078972297937987E-2</c:v>
                </c:pt>
                <c:pt idx="27">
                  <c:v>8.8263205068506378E-2</c:v>
                </c:pt>
                <c:pt idx="28">
                  <c:v>9.9942194018473263E-2</c:v>
                </c:pt>
                <c:pt idx="29">
                  <c:v>9.0778243708949491E-2</c:v>
                </c:pt>
                <c:pt idx="30">
                  <c:v>9.6117993092632581E-2</c:v>
                </c:pt>
                <c:pt idx="31">
                  <c:v>9.362038133141648E-2</c:v>
                </c:pt>
                <c:pt idx="32">
                  <c:v>9.9634642430840969E-2</c:v>
                </c:pt>
                <c:pt idx="33">
                  <c:v>0.10646041863454814</c:v>
                </c:pt>
                <c:pt idx="34">
                  <c:v>9.5903636881582877E-2</c:v>
                </c:pt>
                <c:pt idx="35">
                  <c:v>8.7701990150353515E-2</c:v>
                </c:pt>
                <c:pt idx="36">
                  <c:v>0.14231067091366278</c:v>
                </c:pt>
                <c:pt idx="37">
                  <c:v>0.11052035471847166</c:v>
                </c:pt>
                <c:pt idx="38">
                  <c:v>0.11776701403870615</c:v>
                </c:pt>
                <c:pt idx="39">
                  <c:v>8.4371207706589679E-2</c:v>
                </c:pt>
                <c:pt idx="40">
                  <c:v>8.0291446384383569E-2</c:v>
                </c:pt>
                <c:pt idx="41">
                  <c:v>6.4402755717617888E-2</c:v>
                </c:pt>
                <c:pt idx="42">
                  <c:v>6.4084902736351479E-2</c:v>
                </c:pt>
                <c:pt idx="43">
                  <c:v>5.8328328182996048E-2</c:v>
                </c:pt>
                <c:pt idx="44">
                  <c:v>5.4179983367725004E-2</c:v>
                </c:pt>
                <c:pt idx="45">
                  <c:v>5.4293890454141902E-2</c:v>
                </c:pt>
                <c:pt idx="46">
                  <c:v>5.6123803819541074E-2</c:v>
                </c:pt>
                <c:pt idx="47">
                  <c:v>5.7210781442385228E-2</c:v>
                </c:pt>
                <c:pt idx="48">
                  <c:v>2.7905007283526517E-2</c:v>
                </c:pt>
                <c:pt idx="49">
                  <c:v>3.8650962860691473E-2</c:v>
                </c:pt>
                <c:pt idx="50">
                  <c:v>-1.1235832074303342E-2</c:v>
                </c:pt>
                <c:pt idx="51">
                  <c:v>-5.8261269272745553E-2</c:v>
                </c:pt>
                <c:pt idx="52">
                  <c:v>-0.11287105165476008</c:v>
                </c:pt>
                <c:pt idx="53">
                  <c:v>-0.11810895465675075</c:v>
                </c:pt>
                <c:pt idx="54">
                  <c:v>-0.1252328743924298</c:v>
                </c:pt>
              </c:numCache>
            </c:numRef>
          </c:val>
          <c:smooth val="0"/>
          <c:extLst>
            <c:ext xmlns:c16="http://schemas.microsoft.com/office/drawing/2014/chart" uri="{C3380CC4-5D6E-409C-BE32-E72D297353CC}">
              <c16:uniqueId val="{00000003-1E06-40BD-8BE0-3444FB3CADB6}"/>
            </c:ext>
          </c:extLst>
        </c:ser>
        <c:ser>
          <c:idx val="2"/>
          <c:order val="2"/>
          <c:tx>
            <c:strRef>
              <c:f>Hoja1!$D$1</c:f>
              <c:strCache>
                <c:ptCount val="1"/>
                <c:pt idx="0">
                  <c:v>Totales</c:v>
                </c:pt>
              </c:strCache>
            </c:strRef>
          </c:tx>
          <c:spPr>
            <a:ln w="22225" cap="rnd">
              <a:solidFill>
                <a:schemeClr val="accent3"/>
              </a:solidFill>
              <a:round/>
            </a:ln>
            <a:effectLst/>
          </c:spPr>
          <c:marker>
            <c:symbol val="none"/>
          </c:marker>
          <c:dLbls>
            <c:dLbl>
              <c:idx val="54"/>
              <c:layout>
                <c:manualLayout>
                  <c:x val="0"/>
                  <c:y val="4.70173376432559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06-40BD-8BE0-3444FB3CADB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Hoja1!$A$2:$A$57</c:f>
              <c:numCache>
                <c:formatCode>mmm\-yy</c:formatCode>
                <c:ptCount val="56"/>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numCache>
            </c:numRef>
          </c:cat>
          <c:val>
            <c:numRef>
              <c:f>Hoja1!$D$2:$D$57</c:f>
              <c:numCache>
                <c:formatCode>0.0%</c:formatCode>
                <c:ptCount val="56"/>
                <c:pt idx="0">
                  <c:v>2.6818050354776579E-2</c:v>
                </c:pt>
                <c:pt idx="1">
                  <c:v>1.7037438450319575E-2</c:v>
                </c:pt>
                <c:pt idx="2">
                  <c:v>1.5090896491614769E-2</c:v>
                </c:pt>
                <c:pt idx="3">
                  <c:v>2.193593869869237E-2</c:v>
                </c:pt>
                <c:pt idx="4">
                  <c:v>6.3074722971557362E-2</c:v>
                </c:pt>
                <c:pt idx="5">
                  <c:v>6.605323003950736E-2</c:v>
                </c:pt>
                <c:pt idx="6">
                  <c:v>6.9339644115689492E-2</c:v>
                </c:pt>
                <c:pt idx="7">
                  <c:v>7.9831348295670734E-2</c:v>
                </c:pt>
                <c:pt idx="8">
                  <c:v>7.9010789607875553E-2</c:v>
                </c:pt>
                <c:pt idx="9">
                  <c:v>7.668263629211669E-2</c:v>
                </c:pt>
                <c:pt idx="10">
                  <c:v>8.1104109219026999E-2</c:v>
                </c:pt>
                <c:pt idx="11">
                  <c:v>8.8048669447153838E-2</c:v>
                </c:pt>
                <c:pt idx="12">
                  <c:v>6.9487050821729124E-2</c:v>
                </c:pt>
                <c:pt idx="13">
                  <c:v>7.3827022517823249E-2</c:v>
                </c:pt>
                <c:pt idx="14">
                  <c:v>0.10076874487525411</c:v>
                </c:pt>
                <c:pt idx="15">
                  <c:v>9.5007005592681271E-2</c:v>
                </c:pt>
                <c:pt idx="16">
                  <c:v>5.279739808014261E-2</c:v>
                </c:pt>
                <c:pt idx="17">
                  <c:v>7.6097434045871548E-2</c:v>
                </c:pt>
                <c:pt idx="18">
                  <c:v>6.1343282800082166E-2</c:v>
                </c:pt>
                <c:pt idx="19">
                  <c:v>5.2119232848030217E-2</c:v>
                </c:pt>
                <c:pt idx="20">
                  <c:v>4.9799934948974389E-2</c:v>
                </c:pt>
                <c:pt idx="21">
                  <c:v>5.1728134301197937E-2</c:v>
                </c:pt>
                <c:pt idx="22">
                  <c:v>5.2034143286658452E-2</c:v>
                </c:pt>
                <c:pt idx="23">
                  <c:v>4.7581650280832166E-2</c:v>
                </c:pt>
                <c:pt idx="24">
                  <c:v>9.2493921006903346E-2</c:v>
                </c:pt>
                <c:pt idx="25">
                  <c:v>7.3698015702486463E-2</c:v>
                </c:pt>
                <c:pt idx="26">
                  <c:v>4.0016680576675512E-2</c:v>
                </c:pt>
                <c:pt idx="27">
                  <c:v>4.4581969858168868E-2</c:v>
                </c:pt>
                <c:pt idx="28">
                  <c:v>5.2144869251667503E-2</c:v>
                </c:pt>
                <c:pt idx="29">
                  <c:v>2.8817404101354249E-2</c:v>
                </c:pt>
                <c:pt idx="30">
                  <c:v>3.4246820315482429E-2</c:v>
                </c:pt>
                <c:pt idx="31">
                  <c:v>3.4375806237206374E-2</c:v>
                </c:pt>
                <c:pt idx="32">
                  <c:v>3.4947805171942736E-2</c:v>
                </c:pt>
                <c:pt idx="33">
                  <c:v>3.9075881160395953E-2</c:v>
                </c:pt>
                <c:pt idx="34">
                  <c:v>4.0706969971971763E-2</c:v>
                </c:pt>
                <c:pt idx="35">
                  <c:v>3.7950676594244781E-2</c:v>
                </c:pt>
                <c:pt idx="36">
                  <c:v>4.144229832341817E-2</c:v>
                </c:pt>
                <c:pt idx="37">
                  <c:v>3.8814875506469448E-2</c:v>
                </c:pt>
                <c:pt idx="38">
                  <c:v>4.6775539995209447E-2</c:v>
                </c:pt>
                <c:pt idx="39">
                  <c:v>4.110619818220318E-2</c:v>
                </c:pt>
                <c:pt idx="40">
                  <c:v>4.6238114373573946E-2</c:v>
                </c:pt>
                <c:pt idx="41">
                  <c:v>3.9980363745735659E-2</c:v>
                </c:pt>
                <c:pt idx="42">
                  <c:v>4.4113053319681628E-2</c:v>
                </c:pt>
                <c:pt idx="43">
                  <c:v>4.6214688048084929E-2</c:v>
                </c:pt>
                <c:pt idx="44">
                  <c:v>4.983811764446E-2</c:v>
                </c:pt>
                <c:pt idx="45">
                  <c:v>5.6811428030196343E-2</c:v>
                </c:pt>
                <c:pt idx="46">
                  <c:v>5.5622459797806112E-2</c:v>
                </c:pt>
                <c:pt idx="47">
                  <c:v>6.3878097653571775E-2</c:v>
                </c:pt>
                <c:pt idx="48">
                  <c:v>9.9930227400694793E-2</c:v>
                </c:pt>
                <c:pt idx="49">
                  <c:v>9.4955364780330287E-2</c:v>
                </c:pt>
                <c:pt idx="50">
                  <c:v>-3.2930263457499387E-2</c:v>
                </c:pt>
                <c:pt idx="51">
                  <c:v>1.0817192152208222E-2</c:v>
                </c:pt>
                <c:pt idx="52">
                  <c:v>-3.4442982920086962E-2</c:v>
                </c:pt>
                <c:pt idx="53">
                  <c:v>-5.312229055088713E-2</c:v>
                </c:pt>
                <c:pt idx="54">
                  <c:v>-6.8000000000000005E-2</c:v>
                </c:pt>
              </c:numCache>
            </c:numRef>
          </c:val>
          <c:smooth val="0"/>
          <c:extLst>
            <c:ext xmlns:c16="http://schemas.microsoft.com/office/drawing/2014/chart" uri="{C3380CC4-5D6E-409C-BE32-E72D297353CC}">
              <c16:uniqueId val="{00000005-1E06-40BD-8BE0-3444FB3CADB6}"/>
            </c:ext>
          </c:extLst>
        </c:ser>
        <c:dLbls>
          <c:showLegendKey val="0"/>
          <c:showVal val="1"/>
          <c:showCatName val="0"/>
          <c:showSerName val="0"/>
          <c:showPercent val="0"/>
          <c:showBubbleSize val="0"/>
        </c:dLbls>
        <c:smooth val="0"/>
        <c:axId val="384392984"/>
        <c:axId val="384392000"/>
      </c:lineChart>
      <c:dateAx>
        <c:axId val="384392984"/>
        <c:scaling>
          <c:orientation val="minMax"/>
          <c:max val="44044"/>
        </c:scaling>
        <c:delete val="0"/>
        <c:axPos val="b"/>
        <c:numFmt formatCode="mmm\-yy"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4392000"/>
        <c:crosses val="autoZero"/>
        <c:auto val="0"/>
        <c:lblOffset val="100"/>
        <c:baseTimeUnit val="months"/>
        <c:majorUnit val="3"/>
        <c:majorTimeUnit val="months"/>
      </c:dateAx>
      <c:valAx>
        <c:axId val="38439200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4392984"/>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4.9809880775973113E-2"/>
          <c:y val="0.90792052403969625"/>
          <c:w val="0.89054014004706972"/>
          <c:h val="9.207947596030366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800"/>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07304717279506"/>
          <c:y val="2.3351650833320785E-2"/>
          <c:w val="0.73899767637009151"/>
          <c:h val="0.92124358260188799"/>
        </c:manualLayout>
      </c:layout>
      <c:barChart>
        <c:barDir val="bar"/>
        <c:grouping val="clustered"/>
        <c:varyColors val="0"/>
        <c:ser>
          <c:idx val="0"/>
          <c:order val="0"/>
          <c:tx>
            <c:strRef>
              <c:f>Hoja1!$B$1</c:f>
              <c:strCache>
                <c:ptCount val="1"/>
                <c:pt idx="0">
                  <c:v>2020-2019</c:v>
                </c:pt>
              </c:strCache>
            </c:strRef>
          </c:tx>
          <c:spPr>
            <a:solidFill>
              <a:schemeClr val="accent1"/>
            </a:solidFill>
            <a:ln>
              <a:noFill/>
            </a:ln>
            <a:effectLst/>
          </c:spPr>
          <c:invertIfNegative val="0"/>
          <c:dLbls>
            <c:dLbl>
              <c:idx val="7"/>
              <c:layout>
                <c:manualLayout>
                  <c:x val="0"/>
                  <c:y val="3.60360360360360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35-4FCB-A249-D6E008C8DBA4}"/>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Hoja1!$A$2:$A$19</c:f>
              <c:strCache>
                <c:ptCount val="18"/>
                <c:pt idx="0">
                  <c:v>IVA imp</c:v>
                </c:pt>
                <c:pt idx="1">
                  <c:v>ISCV</c:v>
                </c:pt>
                <c:pt idx="2">
                  <c:v>Petróleo</c:v>
                </c:pt>
                <c:pt idx="3">
                  <c:v>DAI</c:v>
                </c:pt>
                <c:pt idx="4">
                  <c:v>IVA dom</c:v>
                </c:pt>
                <c:pt idx="5">
                  <c:v>IPRIMA</c:v>
                </c:pt>
                <c:pt idx="6">
                  <c:v>Salidas</c:v>
                </c:pt>
                <c:pt idx="7">
                  <c:v>ISR</c:v>
                </c:pt>
                <c:pt idx="8">
                  <c:v>Timbres</c:v>
                </c:pt>
                <c:pt idx="9">
                  <c:v>Tabacos</c:v>
                </c:pt>
                <c:pt idx="10">
                  <c:v>Propiedad</c:v>
                </c:pt>
                <c:pt idx="11">
                  <c:v>Regalías</c:v>
                </c:pt>
                <c:pt idx="12">
                  <c:v>IETAAP</c:v>
                </c:pt>
                <c:pt idx="13">
                  <c:v>Bebidas</c:v>
                </c:pt>
                <c:pt idx="14">
                  <c:v>Otros</c:v>
                </c:pt>
                <c:pt idx="15">
                  <c:v>Cemento</c:v>
                </c:pt>
                <c:pt idx="16">
                  <c:v>IEMA</c:v>
                </c:pt>
                <c:pt idx="17">
                  <c:v>ISO</c:v>
                </c:pt>
              </c:strCache>
            </c:strRef>
          </c:cat>
          <c:val>
            <c:numRef>
              <c:f>Hoja1!$B$2:$B$19</c:f>
              <c:numCache>
                <c:formatCode>#,##0.0</c:formatCode>
                <c:ptCount val="18"/>
                <c:pt idx="0">
                  <c:v>-1037.69917962</c:v>
                </c:pt>
                <c:pt idx="1">
                  <c:v>-374.64671290999991</c:v>
                </c:pt>
                <c:pt idx="2">
                  <c:v>-284.96063159000005</c:v>
                </c:pt>
                <c:pt idx="3">
                  <c:v>-217.29157237000004</c:v>
                </c:pt>
                <c:pt idx="4">
                  <c:v>-193.93212062000111</c:v>
                </c:pt>
                <c:pt idx="5">
                  <c:v>-129.66404657999999</c:v>
                </c:pt>
                <c:pt idx="6">
                  <c:v>-100.06120563</c:v>
                </c:pt>
                <c:pt idx="7">
                  <c:v>-70.934946010000203</c:v>
                </c:pt>
                <c:pt idx="8">
                  <c:v>-60.237299839999991</c:v>
                </c:pt>
                <c:pt idx="9">
                  <c:v>-53.930091320000031</c:v>
                </c:pt>
                <c:pt idx="10">
                  <c:v>-22.291730090000001</c:v>
                </c:pt>
                <c:pt idx="11">
                  <c:v>-18.064358299999981</c:v>
                </c:pt>
                <c:pt idx="12">
                  <c:v>-4.0369560900000003</c:v>
                </c:pt>
                <c:pt idx="13">
                  <c:v>-1.5395315100000744</c:v>
                </c:pt>
                <c:pt idx="14">
                  <c:v>0.26296507999999985</c:v>
                </c:pt>
                <c:pt idx="15">
                  <c:v>1.2550403000000045</c:v>
                </c:pt>
                <c:pt idx="16">
                  <c:v>1.9382655000000002</c:v>
                </c:pt>
                <c:pt idx="17">
                  <c:v>85.682908500000394</c:v>
                </c:pt>
              </c:numCache>
            </c:numRef>
          </c:val>
          <c:extLst>
            <c:ext xmlns:c16="http://schemas.microsoft.com/office/drawing/2014/chart" uri="{C3380CC4-5D6E-409C-BE32-E72D297353CC}">
              <c16:uniqueId val="{00000001-3335-4FCB-A249-D6E008C8DBA4}"/>
            </c:ext>
          </c:extLst>
        </c:ser>
        <c:ser>
          <c:idx val="1"/>
          <c:order val="1"/>
          <c:tx>
            <c:strRef>
              <c:f>Hoja1!$C$1</c:f>
              <c:strCache>
                <c:ptCount val="1"/>
                <c:pt idx="0">
                  <c:v>2020-Pres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Hoja1!$A$2:$A$19</c:f>
              <c:strCache>
                <c:ptCount val="18"/>
                <c:pt idx="0">
                  <c:v>IVA imp</c:v>
                </c:pt>
                <c:pt idx="1">
                  <c:v>ISCV</c:v>
                </c:pt>
                <c:pt idx="2">
                  <c:v>Petróleo</c:v>
                </c:pt>
                <c:pt idx="3">
                  <c:v>DAI</c:v>
                </c:pt>
                <c:pt idx="4">
                  <c:v>IVA dom</c:v>
                </c:pt>
                <c:pt idx="5">
                  <c:v>IPRIMA</c:v>
                </c:pt>
                <c:pt idx="6">
                  <c:v>Salidas</c:v>
                </c:pt>
                <c:pt idx="7">
                  <c:v>ISR</c:v>
                </c:pt>
                <c:pt idx="8">
                  <c:v>Timbres</c:v>
                </c:pt>
                <c:pt idx="9">
                  <c:v>Tabacos</c:v>
                </c:pt>
                <c:pt idx="10">
                  <c:v>Propiedad</c:v>
                </c:pt>
                <c:pt idx="11">
                  <c:v>Regalías</c:v>
                </c:pt>
                <c:pt idx="12">
                  <c:v>IETAAP</c:v>
                </c:pt>
                <c:pt idx="13">
                  <c:v>Bebidas</c:v>
                </c:pt>
                <c:pt idx="14">
                  <c:v>Otros</c:v>
                </c:pt>
                <c:pt idx="15">
                  <c:v>Cemento</c:v>
                </c:pt>
                <c:pt idx="16">
                  <c:v>IEMA</c:v>
                </c:pt>
                <c:pt idx="17">
                  <c:v>ISO</c:v>
                </c:pt>
              </c:strCache>
            </c:strRef>
          </c:cat>
          <c:val>
            <c:numRef>
              <c:f>Hoja1!$C$2:$C$19</c:f>
              <c:numCache>
                <c:formatCode>#,##0.0</c:formatCode>
                <c:ptCount val="18"/>
                <c:pt idx="0">
                  <c:v>-1488.9558662300024</c:v>
                </c:pt>
                <c:pt idx="1">
                  <c:v>-388.65648080999995</c:v>
                </c:pt>
                <c:pt idx="2">
                  <c:v>-174.37266772000021</c:v>
                </c:pt>
                <c:pt idx="3">
                  <c:v>-227.58833545999983</c:v>
                </c:pt>
                <c:pt idx="4">
                  <c:v>-814.73183506000078</c:v>
                </c:pt>
                <c:pt idx="5">
                  <c:v>-167.82713634999993</c:v>
                </c:pt>
                <c:pt idx="6">
                  <c:v>-97.269811257153137</c:v>
                </c:pt>
                <c:pt idx="7">
                  <c:v>-278.66919408000103</c:v>
                </c:pt>
                <c:pt idx="8">
                  <c:v>-97.242996600000083</c:v>
                </c:pt>
                <c:pt idx="9">
                  <c:v>-57.816678150000058</c:v>
                </c:pt>
                <c:pt idx="10">
                  <c:v>-12.94869885</c:v>
                </c:pt>
                <c:pt idx="11">
                  <c:v>-51.184093856955457</c:v>
                </c:pt>
                <c:pt idx="12">
                  <c:v>0.42586694000000003</c:v>
                </c:pt>
                <c:pt idx="13">
                  <c:v>17.308615079999981</c:v>
                </c:pt>
                <c:pt idx="14">
                  <c:v>-0.53606186000000022</c:v>
                </c:pt>
                <c:pt idx="15">
                  <c:v>-1.1496487999999943</c:v>
                </c:pt>
                <c:pt idx="16">
                  <c:v>1.9382655000000002</c:v>
                </c:pt>
                <c:pt idx="17">
                  <c:v>-120.50886041999956</c:v>
                </c:pt>
              </c:numCache>
            </c:numRef>
          </c:val>
          <c:extLst>
            <c:ext xmlns:c16="http://schemas.microsoft.com/office/drawing/2014/chart" uri="{C3380CC4-5D6E-409C-BE32-E72D297353CC}">
              <c16:uniqueId val="{00000002-3335-4FCB-A249-D6E008C8DBA4}"/>
            </c:ext>
          </c:extLst>
        </c:ser>
        <c:dLbls>
          <c:showLegendKey val="0"/>
          <c:showVal val="0"/>
          <c:showCatName val="0"/>
          <c:showSerName val="0"/>
          <c:showPercent val="0"/>
          <c:showBubbleSize val="0"/>
        </c:dLbls>
        <c:gapWidth val="50"/>
        <c:axId val="611096848"/>
        <c:axId val="611093568"/>
      </c:barChart>
      <c:catAx>
        <c:axId val="61109684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11093568"/>
        <c:crosses val="autoZero"/>
        <c:auto val="1"/>
        <c:lblAlgn val="ctr"/>
        <c:lblOffset val="100"/>
        <c:noMultiLvlLbl val="0"/>
      </c:catAx>
      <c:valAx>
        <c:axId val="611093568"/>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mn-lt"/>
                <a:ea typeface="+mn-ea"/>
                <a:cs typeface="+mn-cs"/>
              </a:defRPr>
            </a:pPr>
            <a:endParaRPr lang="es-GT"/>
          </a:p>
        </c:txPr>
        <c:crossAx val="61109684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9477283821064043"/>
          <c:y val="4.4387883946939065E-2"/>
          <c:w val="0.23432207960306337"/>
          <c:h val="0.10674821307713894"/>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700"/>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065282100439626E-2"/>
          <c:y val="6.4814814814814811E-2"/>
          <c:w val="0.90027196826641009"/>
          <c:h val="0.77102590267990456"/>
        </c:manualLayout>
      </c:layout>
      <c:barChart>
        <c:barDir val="col"/>
        <c:grouping val="clustered"/>
        <c:varyColors val="0"/>
        <c:ser>
          <c:idx val="0"/>
          <c:order val="0"/>
          <c:tx>
            <c:strRef>
              <c:f>'Ritmo de ejecución'!$B$2</c:f>
              <c:strCache>
                <c:ptCount val="1"/>
                <c:pt idx="0">
                  <c:v>2018</c:v>
                </c:pt>
              </c:strCache>
            </c:strRef>
          </c:tx>
          <c:spPr>
            <a:solidFill>
              <a:schemeClr val="accent1"/>
            </a:solidFill>
            <a:ln>
              <a:noFill/>
            </a:ln>
            <a:effectLst/>
          </c:spPr>
          <c:invertIfNegative val="0"/>
          <c:cat>
            <c:strRef>
              <c:f>'Ritmo de ejecución'!$A$3:$A$14</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'Ritmo de ejecución'!$B$3:$B$14</c:f>
            </c:numRef>
          </c:val>
          <c:extLst>
            <c:ext xmlns:c16="http://schemas.microsoft.com/office/drawing/2014/chart" uri="{C3380CC4-5D6E-409C-BE32-E72D297353CC}">
              <c16:uniqueId val="{00000000-C2CF-4952-998D-6E6D1A928330}"/>
            </c:ext>
          </c:extLst>
        </c:ser>
        <c:ser>
          <c:idx val="1"/>
          <c:order val="1"/>
          <c:tx>
            <c:strRef>
              <c:f>'Ritmo de ejecución'!$C$2</c:f>
              <c:strCache>
                <c:ptCount val="1"/>
                <c:pt idx="0">
                  <c:v>2019</c:v>
                </c:pt>
              </c:strCache>
            </c:strRef>
          </c:tx>
          <c:spPr>
            <a:solidFill>
              <a:schemeClr val="accent2"/>
            </a:solidFill>
            <a:ln>
              <a:noFill/>
            </a:ln>
            <a:effectLst/>
          </c:spPr>
          <c:invertIfNegative val="0"/>
          <c:cat>
            <c:strRef>
              <c:f>'Ritmo de ejecución'!$A$3:$A$14</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'Ritmo de ejecución'!$C$3:$C$14</c:f>
            </c:numRef>
          </c:val>
          <c:extLst>
            <c:ext xmlns:c16="http://schemas.microsoft.com/office/drawing/2014/chart" uri="{C3380CC4-5D6E-409C-BE32-E72D297353CC}">
              <c16:uniqueId val="{00000001-C2CF-4952-998D-6E6D1A928330}"/>
            </c:ext>
          </c:extLst>
        </c:ser>
        <c:ser>
          <c:idx val="2"/>
          <c:order val="2"/>
          <c:tx>
            <c:strRef>
              <c:f>'Ritmo de ejecución'!$D$2</c:f>
              <c:strCache>
                <c:ptCount val="1"/>
                <c:pt idx="0">
                  <c:v>2020</c:v>
                </c:pt>
              </c:strCache>
            </c:strRef>
          </c:tx>
          <c:spPr>
            <a:solidFill>
              <a:schemeClr val="accent3"/>
            </a:solidFill>
            <a:ln>
              <a:noFill/>
            </a:ln>
            <a:effectLst/>
          </c:spPr>
          <c:invertIfNegative val="0"/>
          <c:cat>
            <c:strRef>
              <c:f>'Ritmo de ejecución'!$A$3:$A$14</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'Ritmo de ejecución'!$D$3:$D$14</c:f>
            </c:numRef>
          </c:val>
          <c:extLst>
            <c:ext xmlns:c16="http://schemas.microsoft.com/office/drawing/2014/chart" uri="{C3380CC4-5D6E-409C-BE32-E72D297353CC}">
              <c16:uniqueId val="{00000002-C2CF-4952-998D-6E6D1A928330}"/>
            </c:ext>
          </c:extLst>
        </c:ser>
        <c:dLbls>
          <c:showLegendKey val="0"/>
          <c:showVal val="0"/>
          <c:showCatName val="0"/>
          <c:showSerName val="0"/>
          <c:showPercent val="0"/>
          <c:showBubbleSize val="0"/>
        </c:dLbls>
        <c:gapWidth val="219"/>
        <c:overlap val="-27"/>
        <c:axId val="403343584"/>
        <c:axId val="403340960"/>
      </c:barChart>
      <c:barChart>
        <c:barDir val="col"/>
        <c:grouping val="clustered"/>
        <c:varyColors val="0"/>
        <c:ser>
          <c:idx val="4"/>
          <c:order val="4"/>
          <c:tx>
            <c:strRef>
              <c:f>'Ritmo de ejecución'!$F$2</c:f>
              <c:strCache>
                <c:ptCount val="1"/>
                <c:pt idx="0">
                  <c:v>2020</c:v>
                </c:pt>
              </c:strCache>
            </c:strRef>
          </c:tx>
          <c:spPr>
            <a:solidFill>
              <a:srgbClr val="FF9999"/>
            </a:solidFill>
            <a:ln w="9525">
              <a:solidFill>
                <a:sysClr val="windowText" lastClr="000000">
                  <a:lumMod val="95000"/>
                  <a:lumOff val="5000"/>
                </a:sysClr>
              </a:solidFill>
            </a:ln>
            <a:effectLst/>
          </c:spPr>
          <c:invertIfNegative val="0"/>
          <c:dLbls>
            <c:dLbl>
              <c:idx val="0"/>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CF-4952-998D-6E6D1A928330}"/>
                </c:ext>
              </c:extLst>
            </c:dLbl>
            <c:dLbl>
              <c:idx val="1"/>
              <c:layout>
                <c:manualLayout>
                  <c:x val="0"/>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CF-4952-998D-6E6D1A928330}"/>
                </c:ext>
              </c:extLst>
            </c:dLbl>
            <c:dLbl>
              <c:idx val="2"/>
              <c:layout>
                <c:manualLayout>
                  <c:x val="0"/>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CF-4952-998D-6E6D1A928330}"/>
                </c:ext>
              </c:extLst>
            </c:dLbl>
            <c:dLbl>
              <c:idx val="3"/>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CF-4952-998D-6E6D1A928330}"/>
                </c:ext>
              </c:extLst>
            </c:dLbl>
            <c:dLbl>
              <c:idx val="4"/>
              <c:layout>
                <c:manualLayout>
                  <c:x val="0"/>
                  <c:y val="1.8518518518518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2CF-4952-998D-6E6D1A928330}"/>
                </c:ext>
              </c:extLst>
            </c:dLbl>
            <c:dLbl>
              <c:idx val="5"/>
              <c:layout>
                <c:manualLayout>
                  <c:x val="-1.0185067526415994E-16"/>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2CF-4952-998D-6E6D1A928330}"/>
                </c:ext>
              </c:extLst>
            </c:dLbl>
            <c:dLbl>
              <c:idx val="6"/>
              <c:layout>
                <c:manualLayout>
                  <c:x val="-2.7778746434375065E-3"/>
                  <c:y val="2.82586905895787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2CF-4952-998D-6E6D1A928330}"/>
                </c:ext>
              </c:extLst>
            </c:dLbl>
            <c:dLbl>
              <c:idx val="7"/>
              <c:layout>
                <c:manualLayout>
                  <c:x val="-5.5555555555556572E-3"/>
                  <c:y val="1.3888888888888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2CF-4952-998D-6E6D1A928330}"/>
                </c:ext>
              </c:extLst>
            </c:dLbl>
            <c:dLbl>
              <c:idx val="10"/>
              <c:layout>
                <c:manualLayout>
                  <c:x val="-2.0252725062068617E-16"/>
                  <c:y val="-1.9600326198814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2CF-4952-998D-6E6D1A928330}"/>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'Ritmo de ejecución'!$A$3:$A$14</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'Ritmo de ejecución'!$F$3:$F$14</c:f>
              <c:numCache>
                <c:formatCode>0.0</c:formatCode>
                <c:ptCount val="12"/>
                <c:pt idx="0">
                  <c:v>4.8191861258905817</c:v>
                </c:pt>
                <c:pt idx="1">
                  <c:v>9.5655130970186519E-2</c:v>
                </c:pt>
                <c:pt idx="2">
                  <c:v>2.3974325379896584</c:v>
                </c:pt>
                <c:pt idx="3">
                  <c:v>-1.9848700717106169</c:v>
                </c:pt>
                <c:pt idx="4">
                  <c:v>4.2224631181484256</c:v>
                </c:pt>
                <c:pt idx="5">
                  <c:v>9.0680434021580965</c:v>
                </c:pt>
                <c:pt idx="6">
                  <c:v>10.232293442045986</c:v>
                </c:pt>
              </c:numCache>
            </c:numRef>
          </c:val>
          <c:extLst>
            <c:ext xmlns:c16="http://schemas.microsoft.com/office/drawing/2014/chart" uri="{C3380CC4-5D6E-409C-BE32-E72D297353CC}">
              <c16:uniqueId val="{0000000C-C2CF-4952-998D-6E6D1A928330}"/>
            </c:ext>
          </c:extLst>
        </c:ser>
        <c:dLbls>
          <c:showLegendKey val="0"/>
          <c:showVal val="0"/>
          <c:showCatName val="0"/>
          <c:showSerName val="0"/>
          <c:showPercent val="0"/>
          <c:showBubbleSize val="0"/>
        </c:dLbls>
        <c:gapWidth val="48"/>
        <c:axId val="403343584"/>
        <c:axId val="403340960"/>
      </c:barChart>
      <c:lineChart>
        <c:grouping val="stacked"/>
        <c:varyColors val="0"/>
        <c:ser>
          <c:idx val="3"/>
          <c:order val="3"/>
          <c:tx>
            <c:strRef>
              <c:f>'Ritmo de ejecución'!$E$2</c:f>
              <c:strCache>
                <c:ptCount val="1"/>
                <c:pt idx="0">
                  <c:v>2019</c:v>
                </c:pt>
              </c:strCache>
            </c:strRef>
          </c:tx>
          <c:spPr>
            <a:ln w="15875" cap="rnd">
              <a:solidFill>
                <a:srgbClr val="4F81BD">
                  <a:lumMod val="50000"/>
                </a:srgbClr>
              </a:solidFill>
              <a:prstDash val="dash"/>
              <a:round/>
            </a:ln>
            <a:effectLst/>
          </c:spPr>
          <c:marker>
            <c:symbol val="circle"/>
            <c:size val="3"/>
            <c:spPr>
              <a:solidFill>
                <a:schemeClr val="accent5">
                  <a:lumMod val="75000"/>
                </a:schemeClr>
              </a:solidFill>
              <a:ln w="9525">
                <a:noFill/>
              </a:ln>
              <a:effectLst/>
            </c:spPr>
          </c:marker>
          <c:dLbls>
            <c:dLbl>
              <c:idx val="0"/>
              <c:layout>
                <c:manualLayout>
                  <c:x val="-4.166658511842436E-2"/>
                  <c:y val="-4.528447018311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2CF-4952-998D-6E6D1A928330}"/>
                </c:ext>
              </c:extLst>
            </c:dLbl>
            <c:dLbl>
              <c:idx val="1"/>
              <c:layout>
                <c:manualLayout>
                  <c:x val="-4.7457801073284685E-2"/>
                  <c:y val="3.91657730769919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2CF-4952-998D-6E6D1A928330}"/>
                </c:ext>
              </c:extLst>
            </c:dLbl>
            <c:dLbl>
              <c:idx val="2"/>
              <c:layout>
                <c:manualLayout>
                  <c:x val="-2.4512797861200055E-2"/>
                  <c:y val="3.5245707837229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2CF-4952-998D-6E6D1A928330}"/>
                </c:ext>
              </c:extLst>
            </c:dLbl>
            <c:dLbl>
              <c:idx val="3"/>
              <c:layout>
                <c:manualLayout>
                  <c:x val="-3.6111111111111163E-2"/>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2CF-4952-998D-6E6D1A928330}"/>
                </c:ext>
              </c:extLst>
            </c:dLbl>
            <c:dLbl>
              <c:idx val="4"/>
              <c:layout>
                <c:manualLayout>
                  <c:x val="-3.8621271122244047E-2"/>
                  <c:y val="-4.45047784669273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2CF-4952-998D-6E6D1A928330}"/>
                </c:ext>
              </c:extLst>
            </c:dLbl>
            <c:dLbl>
              <c:idx val="5"/>
              <c:layout>
                <c:manualLayout>
                  <c:x val="-2.9752608335017909E-2"/>
                  <c:y val="-3.45360834288656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2CF-4952-998D-6E6D1A928330}"/>
                </c:ext>
              </c:extLst>
            </c:dLbl>
            <c:dLbl>
              <c:idx val="6"/>
              <c:layout>
                <c:manualLayout>
                  <c:x val="-4.1666666666666664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2CF-4952-998D-6E6D1A928330}"/>
                </c:ext>
              </c:extLst>
            </c:dLbl>
            <c:dLbl>
              <c:idx val="7"/>
              <c:layout>
                <c:manualLayout>
                  <c:x val="-4.1634618207439258E-2"/>
                  <c:y val="-4.16665895000280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2CF-4952-998D-6E6D1A928330}"/>
                </c:ext>
              </c:extLst>
            </c:dLbl>
            <c:dLbl>
              <c:idx val="8"/>
              <c:layout>
                <c:manualLayout>
                  <c:x val="-3.8664739953528475E-2"/>
                  <c:y val="-3.9200652397629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2CF-4952-998D-6E6D1A928330}"/>
                </c:ext>
              </c:extLst>
            </c:dLbl>
            <c:dLbl>
              <c:idx val="9"/>
              <c:layout>
                <c:manualLayout>
                  <c:x val="-2.9528397873573597E-2"/>
                  <c:y val="-3.52805871578662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2CF-4952-998D-6E6D1A928330}"/>
                </c:ext>
              </c:extLst>
            </c:dLbl>
            <c:dLbl>
              <c:idx val="10"/>
              <c:layout>
                <c:manualLayout>
                  <c:x val="-2.4855904255839771E-2"/>
                  <c:y val="-3.13605219181033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2CF-4952-998D-6E6D1A928330}"/>
                </c:ext>
              </c:extLst>
            </c:dLbl>
            <c:dLbl>
              <c:idx val="11"/>
              <c:layout>
                <c:manualLayout>
                  <c:x val="-3.5335568723623798E-2"/>
                  <c:y val="4.3120717637392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2CF-4952-998D-6E6D1A928330}"/>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'Ritmo de ejecución'!$A$3:$A$14</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'Ritmo de ejecución'!$E$3:$E$14</c:f>
              <c:numCache>
                <c:formatCode>0.0</c:formatCode>
                <c:ptCount val="12"/>
                <c:pt idx="0">
                  <c:v>20.715694271915368</c:v>
                </c:pt>
                <c:pt idx="1">
                  <c:v>17.630002749494039</c:v>
                </c:pt>
                <c:pt idx="2">
                  <c:v>18.165392937803176</c:v>
                </c:pt>
                <c:pt idx="3">
                  <c:v>20.703408806932089</c:v>
                </c:pt>
                <c:pt idx="4">
                  <c:v>17.578750434332633</c:v>
                </c:pt>
                <c:pt idx="5">
                  <c:v>16.508106889104582</c:v>
                </c:pt>
                <c:pt idx="6">
                  <c:v>14.01542103722484</c:v>
                </c:pt>
                <c:pt idx="7">
                  <c:v>13.125863649471839</c:v>
                </c:pt>
                <c:pt idx="8">
                  <c:v>13.157770371012447</c:v>
                </c:pt>
                <c:pt idx="9">
                  <c:v>13.088136423900721</c:v>
                </c:pt>
                <c:pt idx="10">
                  <c:v>11.442904301610966</c:v>
                </c:pt>
                <c:pt idx="11">
                  <c:v>9.8002902457205749</c:v>
                </c:pt>
              </c:numCache>
            </c:numRef>
          </c:val>
          <c:smooth val="0"/>
          <c:extLst>
            <c:ext xmlns:c16="http://schemas.microsoft.com/office/drawing/2014/chart" uri="{C3380CC4-5D6E-409C-BE32-E72D297353CC}">
              <c16:uniqueId val="{00000019-C2CF-4952-998D-6E6D1A928330}"/>
            </c:ext>
          </c:extLst>
        </c:ser>
        <c:dLbls>
          <c:showLegendKey val="0"/>
          <c:showVal val="0"/>
          <c:showCatName val="0"/>
          <c:showSerName val="0"/>
          <c:showPercent val="0"/>
          <c:showBubbleSize val="0"/>
        </c:dLbls>
        <c:marker val="1"/>
        <c:smooth val="0"/>
        <c:axId val="403343584"/>
        <c:axId val="403340960"/>
      </c:lineChart>
      <c:catAx>
        <c:axId val="4033435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403340960"/>
        <c:crosses val="autoZero"/>
        <c:auto val="1"/>
        <c:lblAlgn val="ctr"/>
        <c:lblOffset val="100"/>
        <c:noMultiLvlLbl val="0"/>
      </c:catAx>
      <c:valAx>
        <c:axId val="40334096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403343584"/>
        <c:crosses val="autoZero"/>
        <c:crossBetween val="between"/>
      </c:valAx>
      <c:spPr>
        <a:noFill/>
        <a:ln>
          <a:noFill/>
        </a:ln>
        <a:effectLst/>
      </c:spPr>
    </c:plotArea>
    <c:legend>
      <c:legendPos val="b"/>
      <c:layout>
        <c:manualLayout>
          <c:xMode val="edge"/>
          <c:yMode val="edge"/>
          <c:x val="0.63280130838383908"/>
          <c:y val="2.4447347818064853E-2"/>
          <c:w val="0.29299882133865246"/>
          <c:h val="0.1707181393992417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207307558661745"/>
          <c:y val="2.6944039402482106E-2"/>
          <c:w val="0.6229893723734159"/>
          <c:h val="0.89663933983560695"/>
        </c:manualLayout>
      </c:layout>
      <c:barChart>
        <c:barDir val="bar"/>
        <c:grouping val="clustered"/>
        <c:varyColors val="0"/>
        <c:ser>
          <c:idx val="0"/>
          <c:order val="0"/>
          <c:tx>
            <c:strRef>
              <c:f>Hoja1!$B$1</c:f>
              <c:strCache>
                <c:ptCount val="1"/>
                <c:pt idx="0">
                  <c:v>2019</c:v>
                </c:pt>
              </c:strCache>
            </c:strRef>
          </c:tx>
          <c:spPr>
            <a:solidFill>
              <a:schemeClr val="accent1">
                <a:lumMod val="75000"/>
              </a:schemeClr>
            </a:solidFill>
            <a:ln>
              <a:noFill/>
            </a:ln>
            <a:effectLst>
              <a:outerShdw blurRad="50800" dist="38100" algn="l" rotWithShape="0">
                <a:prstClr val="black">
                  <a:alpha val="40000"/>
                </a:prstClr>
              </a:outerShdw>
            </a:effectLst>
          </c:spPr>
          <c:invertIfNegative val="0"/>
          <c:dLbls>
            <c:dLbl>
              <c:idx val="5"/>
              <c:layout>
                <c:manualLayout>
                  <c:x val="-7.6408787010507611E-3"/>
                  <c:y val="5.48696844993141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7C-417D-B4AC-5D7AD4530426}"/>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Inversión Real Directa </c:v>
                </c:pt>
                <c:pt idx="1">
                  <c:v>Trans. De Capital</c:v>
                </c:pt>
                <c:pt idx="2">
                  <c:v>Bienes y servicios </c:v>
                </c:pt>
                <c:pt idx="3">
                  <c:v>Prestaciones a la S.S</c:v>
                </c:pt>
                <c:pt idx="4">
                  <c:v>Intereses </c:v>
                </c:pt>
                <c:pt idx="5">
                  <c:v>Remuneraciones </c:v>
                </c:pt>
                <c:pt idx="6">
                  <c:v>Inversión Financiera</c:v>
                </c:pt>
                <c:pt idx="7">
                  <c:v>Trans. Corrientes</c:v>
                </c:pt>
              </c:strCache>
            </c:strRef>
          </c:cat>
          <c:val>
            <c:numRef>
              <c:f>Hoja1!$B$2:$B$9</c:f>
              <c:numCache>
                <c:formatCode>#,##0.0</c:formatCode>
                <c:ptCount val="8"/>
                <c:pt idx="0">
                  <c:v>1087.3</c:v>
                </c:pt>
                <c:pt idx="1">
                  <c:v>1012.8</c:v>
                </c:pt>
                <c:pt idx="2">
                  <c:v>235</c:v>
                </c:pt>
                <c:pt idx="3">
                  <c:v>378</c:v>
                </c:pt>
                <c:pt idx="4" formatCode="0.0">
                  <c:v>596.70000000000005</c:v>
                </c:pt>
                <c:pt idx="5">
                  <c:v>1005.1</c:v>
                </c:pt>
                <c:pt idx="6">
                  <c:v>0</c:v>
                </c:pt>
                <c:pt idx="7">
                  <c:v>1038.9000000000001</c:v>
                </c:pt>
              </c:numCache>
            </c:numRef>
          </c:val>
          <c:extLst>
            <c:ext xmlns:c16="http://schemas.microsoft.com/office/drawing/2014/chart" uri="{C3380CC4-5D6E-409C-BE32-E72D297353CC}">
              <c16:uniqueId val="{00000001-477C-417D-B4AC-5D7AD4530426}"/>
            </c:ext>
          </c:extLst>
        </c:ser>
        <c:ser>
          <c:idx val="1"/>
          <c:order val="1"/>
          <c:tx>
            <c:strRef>
              <c:f>Hoja1!$C$1</c:f>
              <c:strCache>
                <c:ptCount val="1"/>
                <c:pt idx="0">
                  <c:v>2020</c:v>
                </c:pt>
              </c:strCache>
            </c:strRef>
          </c:tx>
          <c:spPr>
            <a:solidFill>
              <a:schemeClr val="accent6">
                <a:lumMod val="75000"/>
              </a:schemeClr>
            </a:solidFill>
            <a:ln>
              <a:noFill/>
            </a:ln>
            <a:effectLst>
              <a:outerShdw blurRad="50800" dist="38100" dir="2700000" algn="tl" rotWithShape="0">
                <a:prstClr val="black">
                  <a:alpha val="40000"/>
                </a:prstClr>
              </a:outerShdw>
            </a:effectLst>
          </c:spPr>
          <c:invertIfNegative val="0"/>
          <c:dPt>
            <c:idx val="7"/>
            <c:invertIfNegative val="0"/>
            <c:bubble3D val="0"/>
            <c:spPr>
              <a:solidFill>
                <a:schemeClr val="accent6">
                  <a:lumMod val="75000"/>
                </a:schemeClr>
              </a:soli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3-477C-417D-B4AC-5D7AD4530426}"/>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Inversión Real Directa </c:v>
                </c:pt>
                <c:pt idx="1">
                  <c:v>Trans. De Capital</c:v>
                </c:pt>
                <c:pt idx="2">
                  <c:v>Bienes y servicios </c:v>
                </c:pt>
                <c:pt idx="3">
                  <c:v>Prestaciones a la S.S</c:v>
                </c:pt>
                <c:pt idx="4">
                  <c:v>Intereses </c:v>
                </c:pt>
                <c:pt idx="5">
                  <c:v>Remuneraciones </c:v>
                </c:pt>
                <c:pt idx="6">
                  <c:v>Inversión Financiera</c:v>
                </c:pt>
                <c:pt idx="7">
                  <c:v>Trans. Corrientes</c:v>
                </c:pt>
              </c:strCache>
            </c:strRef>
          </c:cat>
          <c:val>
            <c:numRef>
              <c:f>Hoja1!$C$2:$C$9</c:f>
              <c:numCache>
                <c:formatCode>#,##0.0</c:formatCode>
                <c:ptCount val="8"/>
                <c:pt idx="0">
                  <c:v>-900</c:v>
                </c:pt>
                <c:pt idx="1">
                  <c:v>-137.19999999999999</c:v>
                </c:pt>
                <c:pt idx="2">
                  <c:v>11.6</c:v>
                </c:pt>
                <c:pt idx="3">
                  <c:v>38.1</c:v>
                </c:pt>
                <c:pt idx="4" formatCode="0.0">
                  <c:v>271.2</c:v>
                </c:pt>
                <c:pt idx="5">
                  <c:v>1420.8</c:v>
                </c:pt>
                <c:pt idx="6">
                  <c:v>1446.7</c:v>
                </c:pt>
                <c:pt idx="7">
                  <c:v>2342.9</c:v>
                </c:pt>
              </c:numCache>
            </c:numRef>
          </c:val>
          <c:extLst>
            <c:ext xmlns:c16="http://schemas.microsoft.com/office/drawing/2014/chart" uri="{C3380CC4-5D6E-409C-BE32-E72D297353CC}">
              <c16:uniqueId val="{00000004-477C-417D-B4AC-5D7AD4530426}"/>
            </c:ext>
          </c:extLst>
        </c:ser>
        <c:dLbls>
          <c:showLegendKey val="0"/>
          <c:showVal val="0"/>
          <c:showCatName val="0"/>
          <c:showSerName val="0"/>
          <c:showPercent val="0"/>
          <c:showBubbleSize val="0"/>
        </c:dLbls>
        <c:gapWidth val="75"/>
        <c:axId val="441794784"/>
        <c:axId val="441790848"/>
      </c:barChart>
      <c:catAx>
        <c:axId val="44179478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441790848"/>
        <c:crosses val="autoZero"/>
        <c:auto val="1"/>
        <c:lblAlgn val="ctr"/>
        <c:lblOffset val="100"/>
        <c:noMultiLvlLbl val="0"/>
      </c:catAx>
      <c:valAx>
        <c:axId val="441790848"/>
        <c:scaling>
          <c:orientation val="minMax"/>
          <c:max val="2500"/>
          <c:min val="-150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441794784"/>
        <c:crosses val="autoZero"/>
        <c:crossBetween val="between"/>
      </c:valAx>
      <c:spPr>
        <a:noFill/>
        <a:ln>
          <a:noFill/>
        </a:ln>
        <a:effectLst/>
      </c:spPr>
    </c:plotArea>
    <c:legend>
      <c:legendPos val="b"/>
      <c:layout>
        <c:manualLayout>
          <c:xMode val="edge"/>
          <c:yMode val="edge"/>
          <c:x val="0.74350696408530759"/>
          <c:y val="0.47732909929468692"/>
          <c:w val="0.20596271002043956"/>
          <c:h val="0.169357225408552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9.2787853226486708E-2"/>
          <c:w val="0.90489558370421086"/>
          <c:h val="0.72371176532869697"/>
        </c:manualLayout>
      </c:layout>
      <c:barChart>
        <c:barDir val="col"/>
        <c:grouping val="clustered"/>
        <c:varyColors val="0"/>
        <c:ser>
          <c:idx val="0"/>
          <c:order val="0"/>
          <c:tx>
            <c:strRef>
              <c:f>Hoja1!$B$1</c:f>
              <c:strCache>
                <c:ptCount val="1"/>
                <c:pt idx="0">
                  <c:v>% de ejecución</c:v>
                </c:pt>
              </c:strCache>
            </c:strRef>
          </c:tx>
          <c:spPr>
            <a:solidFill>
              <a:schemeClr val="tx2">
                <a:lumMod val="60000"/>
                <a:lumOff val="40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C7C5-4A1D-B5A3-6CE773FE1F70}"/>
              </c:ext>
            </c:extLst>
          </c:dPt>
          <c:dPt>
            <c:idx val="6"/>
            <c:invertIfNegative val="0"/>
            <c:bubble3D val="0"/>
            <c:spPr>
              <a:solidFill>
                <a:srgbClr val="FFC000"/>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C7C5-4A1D-B5A3-6CE773FE1F70}"/>
              </c:ext>
            </c:extLst>
          </c:dPt>
          <c:dLbls>
            <c:dLbl>
              <c:idx val="3"/>
              <c:layout>
                <c:manualLayout>
                  <c:x val="-8.0109772984700854E-17"/>
                  <c:y val="0.1418966737438074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C5-4A1D-B5A3-6CE773FE1F70}"/>
                </c:ext>
              </c:extLst>
            </c:dLbl>
            <c:dLbl>
              <c:idx val="4"/>
              <c:layout>
                <c:manualLayout>
                  <c:x val="-8.0109772984700854E-17"/>
                  <c:y val="0.1418966737438074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C5-4A1D-B5A3-6CE773FE1F70}"/>
                </c:ext>
              </c:extLst>
            </c:dLbl>
            <c:dLbl>
              <c:idx val="5"/>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1-C7C5-4A1D-B5A3-6CE773FE1F70}"/>
                </c:ext>
              </c:extLst>
            </c:dLbl>
            <c:dLbl>
              <c:idx val="6"/>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C7C5-4A1D-B5A3-6CE773FE1F70}"/>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2015</c:v>
                </c:pt>
                <c:pt idx="1">
                  <c:v>2016</c:v>
                </c:pt>
                <c:pt idx="2">
                  <c:v>2017</c:v>
                </c:pt>
                <c:pt idx="3">
                  <c:v>2018</c:v>
                </c:pt>
                <c:pt idx="4">
                  <c:v>2019</c:v>
                </c:pt>
                <c:pt idx="5">
                  <c:v>2020 Con Covid-19</c:v>
                </c:pt>
                <c:pt idx="6">
                  <c:v>2021 Sin Covid-19</c:v>
                </c:pt>
              </c:strCache>
            </c:strRef>
          </c:cat>
          <c:val>
            <c:numRef>
              <c:f>Hoja1!$B$2:$B$8</c:f>
              <c:numCache>
                <c:formatCode>General</c:formatCode>
                <c:ptCount val="7"/>
                <c:pt idx="0">
                  <c:v>52.3</c:v>
                </c:pt>
                <c:pt idx="1">
                  <c:v>49.5</c:v>
                </c:pt>
                <c:pt idx="2" formatCode="0.0">
                  <c:v>48</c:v>
                </c:pt>
                <c:pt idx="3">
                  <c:v>51.3</c:v>
                </c:pt>
                <c:pt idx="4">
                  <c:v>51.2</c:v>
                </c:pt>
                <c:pt idx="5">
                  <c:v>46.1</c:v>
                </c:pt>
                <c:pt idx="6">
                  <c:v>47.8</c:v>
                </c:pt>
              </c:numCache>
            </c:numRef>
          </c:val>
          <c:extLst>
            <c:ext xmlns:c16="http://schemas.microsoft.com/office/drawing/2014/chart" uri="{C3380CC4-5D6E-409C-BE32-E72D297353CC}">
              <c16:uniqueId val="{00000006-C7C5-4A1D-B5A3-6CE773FE1F70}"/>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28575" cap="rnd">
              <a:solidFill>
                <a:srgbClr val="C00000"/>
              </a:solidFill>
              <a:prstDash val="sysDash"/>
              <a:round/>
            </a:ln>
            <a:effectLst/>
          </c:spPr>
          <c:marker>
            <c:symbol val="none"/>
          </c:marker>
          <c:dLbls>
            <c:dLbl>
              <c:idx val="2"/>
              <c:layout>
                <c:manualLayout>
                  <c:x val="-0.20974454607856124"/>
                  <c:y val="-5.1167252958106826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28619165667433361"/>
                      <c:h val="0.15151902782219379"/>
                    </c:manualLayout>
                  </c15:layout>
                </c:ext>
                <c:ext xmlns:c16="http://schemas.microsoft.com/office/drawing/2014/chart" uri="{C3380CC4-5D6E-409C-BE32-E72D297353CC}">
                  <c16:uniqueId val="{00000007-C7C5-4A1D-B5A3-6CE773FE1F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2015</c:v>
                </c:pt>
                <c:pt idx="1">
                  <c:v>2016</c:v>
                </c:pt>
                <c:pt idx="2">
                  <c:v>2017</c:v>
                </c:pt>
                <c:pt idx="3">
                  <c:v>2018</c:v>
                </c:pt>
                <c:pt idx="4">
                  <c:v>2019</c:v>
                </c:pt>
                <c:pt idx="5">
                  <c:v>2020 Con Covid-19</c:v>
                </c:pt>
                <c:pt idx="6">
                  <c:v>2021 Sin Covid-19</c:v>
                </c:pt>
              </c:strCache>
            </c:strRef>
          </c:cat>
          <c:val>
            <c:numRef>
              <c:f>Hoja1!$C$2:$C$8</c:f>
              <c:numCache>
                <c:formatCode>General</c:formatCode>
                <c:ptCount val="7"/>
                <c:pt idx="0">
                  <c:v>50.5</c:v>
                </c:pt>
                <c:pt idx="1">
                  <c:v>50.5</c:v>
                </c:pt>
                <c:pt idx="2">
                  <c:v>50.5</c:v>
                </c:pt>
                <c:pt idx="3">
                  <c:v>50.5</c:v>
                </c:pt>
                <c:pt idx="4">
                  <c:v>50.5</c:v>
                </c:pt>
              </c:numCache>
            </c:numRef>
          </c:val>
          <c:smooth val="0"/>
          <c:extLst>
            <c:ext xmlns:c16="http://schemas.microsoft.com/office/drawing/2014/chart" uri="{C3380CC4-5D6E-409C-BE32-E72D297353CC}">
              <c16:uniqueId val="{00000008-C7C5-4A1D-B5A3-6CE773FE1F70}"/>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max val="52.5"/>
          <c:min val="40.5"/>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1229258735818"/>
          <c:y val="2.1552184025777264E-2"/>
          <c:w val="0.67851163903657341"/>
          <c:h val="0.91286999694143922"/>
        </c:manualLayout>
      </c:layout>
      <c:barChart>
        <c:barDir val="bar"/>
        <c:grouping val="clustered"/>
        <c:varyColors val="0"/>
        <c:ser>
          <c:idx val="0"/>
          <c:order val="0"/>
          <c:tx>
            <c:strRef>
              <c:f>Hoja1!$B$1</c:f>
              <c:strCache>
                <c:ptCount val="1"/>
                <c:pt idx="0">
                  <c:v>%</c:v>
                </c:pt>
              </c:strCache>
            </c:strRef>
          </c:tx>
          <c:spPr>
            <a:solidFill>
              <a:srgbClr val="FF9999">
                <a:alpha val="75000"/>
              </a:srgbClr>
            </a:solidFill>
            <a:ln>
              <a:solidFill>
                <a:schemeClr val="tx1">
                  <a:lumMod val="95000"/>
                  <a:lumOff val="5000"/>
                </a:schemeClr>
              </a:solidFill>
            </a:ln>
            <a:effectLst/>
          </c:spPr>
          <c:invertIfNegative val="0"/>
          <c:dPt>
            <c:idx val="12"/>
            <c:invertIfNegative val="0"/>
            <c:bubble3D val="0"/>
            <c:spPr>
              <a:solidFill>
                <a:srgbClr val="C00000">
                  <a:alpha val="75000"/>
                </a:srgbClr>
              </a:solidFill>
              <a:ln>
                <a:solidFill>
                  <a:schemeClr val="tx1">
                    <a:lumMod val="95000"/>
                    <a:lumOff val="5000"/>
                  </a:schemeClr>
                </a:solidFill>
              </a:ln>
              <a:effectLst/>
            </c:spPr>
            <c:extLst>
              <c:ext xmlns:c16="http://schemas.microsoft.com/office/drawing/2014/chart" uri="{C3380CC4-5D6E-409C-BE32-E72D297353CC}">
                <c16:uniqueId val="{00000001-BA29-4C1A-9CC6-62E537D7EBD3}"/>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Hoja1!$A$2:$A$21</c:f>
              <c:strCache>
                <c:ptCount val="20"/>
                <c:pt idx="0">
                  <c:v>Agricultura</c:v>
                </c:pt>
                <c:pt idx="1">
                  <c:v>Cultura</c:v>
                </c:pt>
                <c:pt idx="2">
                  <c:v>Economía</c:v>
                </c:pt>
                <c:pt idx="3">
                  <c:v>Desarrollo</c:v>
                </c:pt>
                <c:pt idx="4">
                  <c:v>Comunicaciones</c:v>
                </c:pt>
                <c:pt idx="5">
                  <c:v>Secretarías</c:v>
                </c:pt>
                <c:pt idx="6">
                  <c:v>Ambiente </c:v>
                </c:pt>
                <c:pt idx="7">
                  <c:v>Energía</c:v>
                </c:pt>
                <c:pt idx="8">
                  <c:v>Finanzas</c:v>
                </c:pt>
                <c:pt idx="9">
                  <c:v>Salud Pública </c:v>
                </c:pt>
                <c:pt idx="10">
                  <c:v>MINREX</c:v>
                </c:pt>
                <c:pt idx="11">
                  <c:v>Trabajo </c:v>
                </c:pt>
                <c:pt idx="12">
                  <c:v>Total</c:v>
                </c:pt>
                <c:pt idx="13">
                  <c:v>Gobernación</c:v>
                </c:pt>
                <c:pt idx="14">
                  <c:v>Defensa </c:v>
                </c:pt>
                <c:pt idx="15">
                  <c:v>Deuda Pública</c:v>
                </c:pt>
                <c:pt idx="16">
                  <c:v>Obligaciones </c:v>
                </c:pt>
                <c:pt idx="17">
                  <c:v>Presidencia</c:v>
                </c:pt>
                <c:pt idx="18">
                  <c:v>Educación </c:v>
                </c:pt>
                <c:pt idx="19">
                  <c:v>PGN</c:v>
                </c:pt>
              </c:strCache>
            </c:strRef>
          </c:cat>
          <c:val>
            <c:numRef>
              <c:f>Hoja1!$B$2:$B$21</c:f>
              <c:numCache>
                <c:formatCode>0.0</c:formatCode>
                <c:ptCount val="20"/>
                <c:pt idx="0">
                  <c:v>25.738367493728077</c:v>
                </c:pt>
                <c:pt idx="1">
                  <c:v>27.762133999187743</c:v>
                </c:pt>
                <c:pt idx="2">
                  <c:v>33.551799362407522</c:v>
                </c:pt>
                <c:pt idx="3">
                  <c:v>34.015335700160676</c:v>
                </c:pt>
                <c:pt idx="4">
                  <c:v>35.021081976751908</c:v>
                </c:pt>
                <c:pt idx="5">
                  <c:v>39.621422200109571</c:v>
                </c:pt>
                <c:pt idx="6">
                  <c:v>41.299007716960453</c:v>
                </c:pt>
                <c:pt idx="7">
                  <c:v>41.718105093014493</c:v>
                </c:pt>
                <c:pt idx="8">
                  <c:v>42.379297017292629</c:v>
                </c:pt>
                <c:pt idx="9">
                  <c:v>42.625768814141942</c:v>
                </c:pt>
                <c:pt idx="10">
                  <c:v>44.599144904234819</c:v>
                </c:pt>
                <c:pt idx="11">
                  <c:v>46.01462033989997</c:v>
                </c:pt>
                <c:pt idx="12">
                  <c:v>46.117549723246704</c:v>
                </c:pt>
                <c:pt idx="13">
                  <c:v>46.584447520669165</c:v>
                </c:pt>
                <c:pt idx="14">
                  <c:v>46.757667235413919</c:v>
                </c:pt>
                <c:pt idx="15">
                  <c:v>48.244999333378964</c:v>
                </c:pt>
                <c:pt idx="16">
                  <c:v>48.72454846510437</c:v>
                </c:pt>
                <c:pt idx="17">
                  <c:v>51.158845662337662</c:v>
                </c:pt>
                <c:pt idx="18">
                  <c:v>55.78282584403884</c:v>
                </c:pt>
                <c:pt idx="19">
                  <c:v>57.616781539528652</c:v>
                </c:pt>
              </c:numCache>
            </c:numRef>
          </c:val>
          <c:extLst>
            <c:ext xmlns:c16="http://schemas.microsoft.com/office/drawing/2014/chart" uri="{C3380CC4-5D6E-409C-BE32-E72D297353CC}">
              <c16:uniqueId val="{00000002-BA29-4C1A-9CC6-62E537D7EBD3}"/>
            </c:ext>
          </c:extLst>
        </c:ser>
        <c:dLbls>
          <c:showLegendKey val="0"/>
          <c:showVal val="0"/>
          <c:showCatName val="0"/>
          <c:showSerName val="0"/>
          <c:showPercent val="0"/>
          <c:showBubbleSize val="0"/>
        </c:dLbls>
        <c:gapWidth val="10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6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Sheet1!$B$1</c:f>
              <c:strCache>
                <c:ptCount val="1"/>
                <c:pt idx="0">
                  <c:v>Gasto Social</c:v>
                </c:pt>
              </c:strCache>
            </c:strRef>
          </c:tx>
          <c:spPr>
            <a:solidFill>
              <a:schemeClr val="accent4">
                <a:shade val="76000"/>
              </a:schemeClr>
            </a:solidFill>
            <a:ln>
              <a:noFill/>
            </a:ln>
            <a:effectLst/>
            <a:scene3d>
              <a:camera prst="orthographicFront"/>
              <a:lightRig rig="threePt" dir="t"/>
            </a:scene3d>
            <a:sp3d>
              <a:bevelT w="165100" prst="coolSlant"/>
              <a:bevelB prst="angle"/>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2019</c:v>
                </c:pt>
                <c:pt idx="2">
                  <c:v>2020</c:v>
                </c:pt>
              </c:numCache>
            </c:numRef>
          </c:cat>
          <c:val>
            <c:numRef>
              <c:f>Sheet1!$B$2:$B$4</c:f>
              <c:numCache>
                <c:formatCode>#,##0.0</c:formatCode>
                <c:ptCount val="3"/>
                <c:pt idx="0">
                  <c:v>19891.425317770001</c:v>
                </c:pt>
                <c:pt idx="1">
                  <c:v>22563.821760030001</c:v>
                </c:pt>
                <c:pt idx="2">
                  <c:v>22986.245065760002</c:v>
                </c:pt>
              </c:numCache>
            </c:numRef>
          </c:val>
          <c:extLst>
            <c:ext xmlns:c16="http://schemas.microsoft.com/office/drawing/2014/chart" uri="{C3380CC4-5D6E-409C-BE32-E72D297353CC}">
              <c16:uniqueId val="{00000000-1880-41D6-84E8-EF011E179F6F}"/>
            </c:ext>
          </c:extLst>
        </c:ser>
        <c:dLbls>
          <c:showLegendKey val="0"/>
          <c:showVal val="0"/>
          <c:showCatName val="0"/>
          <c:showSerName val="0"/>
          <c:showPercent val="0"/>
          <c:showBubbleSize val="0"/>
        </c:dLbls>
        <c:gapWidth val="69"/>
        <c:axId val="464936640"/>
        <c:axId val="464935656"/>
      </c:barChart>
      <c:lineChart>
        <c:grouping val="standard"/>
        <c:varyColors val="0"/>
        <c:ser>
          <c:idx val="1"/>
          <c:order val="1"/>
          <c:tx>
            <c:strRef>
              <c:f>Sheet1!$C$1</c:f>
              <c:strCache>
                <c:ptCount val="1"/>
                <c:pt idx="0">
                  <c:v>Crecimiento interanual </c:v>
                </c:pt>
              </c:strCache>
            </c:strRef>
          </c:tx>
          <c:spPr>
            <a:ln w="28575" cap="rnd" cmpd="thickThin">
              <a:solidFill>
                <a:srgbClr val="C00000"/>
              </a:solidFill>
              <a:prstDash val="dashDot"/>
              <a:round/>
            </a:ln>
            <a:effectLst/>
          </c:spPr>
          <c:marker>
            <c:symbol val="none"/>
          </c:marker>
          <c:dPt>
            <c:idx val="1"/>
            <c:marker>
              <c:symbol val="none"/>
            </c:marker>
            <c:bubble3D val="0"/>
            <c:spPr>
              <a:ln w="28575" cap="rnd" cmpd="thickThin">
                <a:solidFill>
                  <a:srgbClr val="C00000"/>
                </a:solidFill>
                <a:prstDash val="dash"/>
                <a:round/>
              </a:ln>
              <a:effectLst/>
            </c:spPr>
            <c:extLst>
              <c:ext xmlns:c16="http://schemas.microsoft.com/office/drawing/2014/chart" uri="{C3380CC4-5D6E-409C-BE32-E72D297353CC}">
                <c16:uniqueId val="{00000002-1880-41D6-84E8-EF011E179F6F}"/>
              </c:ext>
            </c:extLst>
          </c:dPt>
          <c:dPt>
            <c:idx val="2"/>
            <c:marker>
              <c:symbol val="none"/>
            </c:marker>
            <c:bubble3D val="0"/>
            <c:spPr>
              <a:ln w="28575" cap="rnd" cmpd="thickThin">
                <a:solidFill>
                  <a:srgbClr val="C00000"/>
                </a:solidFill>
                <a:prstDash val="dash"/>
                <a:round/>
              </a:ln>
              <a:effectLst/>
            </c:spPr>
            <c:extLst>
              <c:ext xmlns:c16="http://schemas.microsoft.com/office/drawing/2014/chart" uri="{C3380CC4-5D6E-409C-BE32-E72D297353CC}">
                <c16:uniqueId val="{00000004-1880-41D6-84E8-EF011E179F6F}"/>
              </c:ext>
            </c:extLst>
          </c:dPt>
          <c:dLbls>
            <c:dLbl>
              <c:idx val="0"/>
              <c:layout>
                <c:manualLayout>
                  <c:x val="-6.2771607918879813E-2"/>
                  <c:y val="-5.6120659417748159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80-41D6-84E8-EF011E179F6F}"/>
                </c:ext>
              </c:extLst>
            </c:dLbl>
            <c:dLbl>
              <c:idx val="1"/>
              <c:layout>
                <c:manualLayout>
                  <c:x val="-9.6571704490584262E-2"/>
                  <c:y val="-8.4180772949939961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15:layout>
                    <c:manualLayout>
                      <c:w val="0.14365041042974408"/>
                      <c:h val="0.12869196331167126"/>
                    </c:manualLayout>
                  </c15:layout>
                </c:ext>
                <c:ext xmlns:c16="http://schemas.microsoft.com/office/drawing/2014/chart" uri="{C3380CC4-5D6E-409C-BE32-E72D297353CC}">
                  <c16:uniqueId val="{00000002-1880-41D6-84E8-EF011E179F6F}"/>
                </c:ext>
              </c:extLst>
            </c:dLbl>
            <c:dLbl>
              <c:idx val="2"/>
              <c:layout>
                <c:manualLayout>
                  <c:x val="-3.8628681796233792E-2"/>
                  <c:y val="6.7476383265856954E-3"/>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80-41D6-84E8-EF011E179F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Sheet1!$A$2:$A$4</c:f>
              <c:numCache>
                <c:formatCode>General</c:formatCode>
                <c:ptCount val="3"/>
                <c:pt idx="0">
                  <c:v>2018</c:v>
                </c:pt>
                <c:pt idx="1">
                  <c:v>2019</c:v>
                </c:pt>
                <c:pt idx="2">
                  <c:v>2020</c:v>
                </c:pt>
              </c:numCache>
            </c:numRef>
          </c:cat>
          <c:val>
            <c:numRef>
              <c:f>Sheet1!$C$2:$C$4</c:f>
              <c:numCache>
                <c:formatCode>0.0</c:formatCode>
                <c:ptCount val="3"/>
                <c:pt idx="0">
                  <c:v>7.3822718772798099</c:v>
                </c:pt>
                <c:pt idx="1">
                  <c:v>13.434916802430518</c:v>
                </c:pt>
                <c:pt idx="2">
                  <c:v>1.8721265848602373</c:v>
                </c:pt>
              </c:numCache>
            </c:numRef>
          </c:val>
          <c:smooth val="0"/>
          <c:extLst>
            <c:ext xmlns:c16="http://schemas.microsoft.com/office/drawing/2014/chart" uri="{C3380CC4-5D6E-409C-BE32-E72D297353CC}">
              <c16:uniqueId val="{00000006-1880-41D6-84E8-EF011E179F6F}"/>
            </c:ext>
          </c:extLst>
        </c:ser>
        <c:dLbls>
          <c:showLegendKey val="0"/>
          <c:showVal val="0"/>
          <c:showCatName val="0"/>
          <c:showSerName val="0"/>
          <c:showPercent val="0"/>
          <c:showBubbleSize val="0"/>
        </c:dLbls>
        <c:marker val="1"/>
        <c:smooth val="0"/>
        <c:axId val="464889736"/>
        <c:axId val="464899576"/>
      </c:lineChart>
      <c:catAx>
        <c:axId val="46493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464935656"/>
        <c:crosses val="autoZero"/>
        <c:auto val="1"/>
        <c:lblAlgn val="ctr"/>
        <c:lblOffset val="100"/>
        <c:noMultiLvlLbl val="0"/>
      </c:catAx>
      <c:valAx>
        <c:axId val="464935656"/>
        <c:scaling>
          <c:orientation val="minMax"/>
          <c:max val="23000"/>
          <c:min val="1700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464936640"/>
        <c:crosses val="autoZero"/>
        <c:crossBetween val="between"/>
      </c:valAx>
      <c:valAx>
        <c:axId val="46489957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464889736"/>
        <c:crosses val="max"/>
        <c:crossBetween val="between"/>
      </c:valAx>
      <c:catAx>
        <c:axId val="464889736"/>
        <c:scaling>
          <c:orientation val="minMax"/>
        </c:scaling>
        <c:delete val="1"/>
        <c:axPos val="b"/>
        <c:numFmt formatCode="General" sourceLinked="1"/>
        <c:majorTickMark val="out"/>
        <c:minorTickMark val="none"/>
        <c:tickLblPos val="nextTo"/>
        <c:crossAx val="4648995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DA204-EDBE-48F6-ACD1-7E3220632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11</Pages>
  <Words>3234</Words>
  <Characters>17789</Characters>
  <Application>Microsoft Office Word</Application>
  <DocSecurity>0</DocSecurity>
  <Lines>148</Lines>
  <Paragraphs>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20982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 Enrique De León Meneses</dc:creator>
  <cp:lastModifiedBy>Saul Enrique De León Meneses</cp:lastModifiedBy>
  <cp:revision>10</cp:revision>
  <dcterms:created xsi:type="dcterms:W3CDTF">2020-08-31T14:20:00Z</dcterms:created>
  <dcterms:modified xsi:type="dcterms:W3CDTF">2020-08-31T15:59:00Z</dcterms:modified>
</cp:coreProperties>
</file>