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9453FD" w:rsidRDefault="00E348DD"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9453FD" w:rsidSect="00754057">
          <w:headerReference w:type="default" r:id="rId8"/>
          <w:footerReference w:type="default" r:id="rId9"/>
          <w:pgSz w:w="12240" w:h="15840" w:code="1"/>
          <w:pgMar w:top="1418" w:right="1418" w:bottom="1418" w:left="1418" w:header="709" w:footer="709" w:gutter="0"/>
          <w:cols w:space="708"/>
          <w:docGrid w:linePitch="360"/>
        </w:sectPr>
      </w:pPr>
      <w:r w:rsidRPr="009453FD">
        <w:rPr>
          <w:rFonts w:ascii="Times New Roman" w:hAnsi="Times New Roman" w:cs="Times New Roman"/>
          <w:b/>
          <w:lang w:val="es-MX"/>
        </w:rPr>
        <w:t xml:space="preserve">En </w:t>
      </w:r>
      <w:r w:rsidR="00634664" w:rsidRPr="009453FD">
        <w:rPr>
          <w:rFonts w:ascii="Times New Roman" w:hAnsi="Times New Roman" w:cs="Times New Roman"/>
          <w:b/>
          <w:lang w:val="es-MX"/>
        </w:rPr>
        <w:t>f</w:t>
      </w:r>
      <w:r w:rsidRPr="009453FD">
        <w:rPr>
          <w:rFonts w:ascii="Times New Roman" w:hAnsi="Times New Roman" w:cs="Times New Roman"/>
          <w:b/>
          <w:lang w:val="es-MX"/>
        </w:rPr>
        <w:t>e</w:t>
      </w:r>
      <w:r w:rsidR="00634664" w:rsidRPr="009453FD">
        <w:rPr>
          <w:rFonts w:ascii="Times New Roman" w:hAnsi="Times New Roman" w:cs="Times New Roman"/>
          <w:b/>
          <w:lang w:val="es-MX"/>
        </w:rPr>
        <w:t>br</w:t>
      </w:r>
      <w:r w:rsidR="00E37543" w:rsidRPr="009453FD">
        <w:rPr>
          <w:rFonts w:ascii="Times New Roman" w:hAnsi="Times New Roman" w:cs="Times New Roman"/>
          <w:b/>
          <w:lang w:val="es-MX"/>
        </w:rPr>
        <w:t>ero</w:t>
      </w:r>
      <w:r w:rsidR="003D7EBA" w:rsidRPr="009453FD">
        <w:rPr>
          <w:rFonts w:ascii="Times New Roman" w:hAnsi="Times New Roman" w:cs="Times New Roman"/>
          <w:b/>
          <w:lang w:val="es-MX"/>
        </w:rPr>
        <w:t xml:space="preserve"> </w:t>
      </w:r>
      <w:r w:rsidR="00E37543" w:rsidRPr="009453FD">
        <w:rPr>
          <w:rFonts w:ascii="Times New Roman" w:hAnsi="Times New Roman" w:cs="Times New Roman"/>
          <w:b/>
          <w:lang w:val="es-MX"/>
        </w:rPr>
        <w:t xml:space="preserve">se reporta superávit </w:t>
      </w:r>
      <w:r w:rsidR="004B799B" w:rsidRPr="009453FD">
        <w:rPr>
          <w:rFonts w:ascii="Times New Roman" w:hAnsi="Times New Roman" w:cs="Times New Roman"/>
          <w:b/>
          <w:lang w:val="es-MX"/>
        </w:rPr>
        <w:t>fiscal</w:t>
      </w:r>
    </w:p>
    <w:p w:rsidR="007D4651" w:rsidRPr="009453FD" w:rsidRDefault="007D4651" w:rsidP="007D4651">
      <w:pPr>
        <w:pStyle w:val="Sinespaciado"/>
        <w:rPr>
          <w:rFonts w:ascii="Times New Roman" w:hAnsi="Times New Roman" w:cs="Times New Roman"/>
          <w:b/>
          <w:color w:val="FF0000"/>
          <w:sz w:val="6"/>
          <w:lang w:val="es-MX"/>
        </w:rPr>
      </w:pPr>
    </w:p>
    <w:p w:rsidR="007D4651" w:rsidRPr="009453FD" w:rsidRDefault="007D4651" w:rsidP="007D4651">
      <w:pPr>
        <w:pStyle w:val="Sinespaciado"/>
        <w:jc w:val="center"/>
        <w:rPr>
          <w:rFonts w:ascii="Times New Roman" w:hAnsi="Times New Roman" w:cs="Times New Roman"/>
          <w:b/>
          <w:color w:val="FF0000"/>
          <w:sz w:val="16"/>
          <w:lang w:val="es-MX"/>
        </w:rPr>
      </w:pPr>
    </w:p>
    <w:p w:rsidR="009C4027" w:rsidRPr="009453FD" w:rsidRDefault="009C4027" w:rsidP="007D4651">
      <w:pPr>
        <w:pStyle w:val="Sinespaciado"/>
        <w:jc w:val="center"/>
        <w:rPr>
          <w:rFonts w:ascii="Times New Roman" w:hAnsi="Times New Roman" w:cs="Times New Roman"/>
          <w:b/>
          <w:color w:val="FF0000"/>
          <w:lang w:val="es-MX"/>
        </w:rPr>
        <w:sectPr w:rsidR="009C4027" w:rsidRPr="009453FD" w:rsidSect="004E358C">
          <w:type w:val="continuous"/>
          <w:pgSz w:w="12240" w:h="15840"/>
          <w:pgMar w:top="1417" w:right="1701" w:bottom="1417" w:left="1701" w:header="708" w:footer="708" w:gutter="0"/>
          <w:cols w:space="708"/>
          <w:docGrid w:linePitch="360"/>
        </w:sectPr>
      </w:pPr>
    </w:p>
    <w:p w:rsidR="009453FD" w:rsidRPr="00D13BE4" w:rsidRDefault="009453FD" w:rsidP="009453FD">
      <w:pPr>
        <w:pStyle w:val="Sinespaciado"/>
        <w:jc w:val="both"/>
        <w:rPr>
          <w:rFonts w:ascii="Times New Roman" w:hAnsi="Times New Roman" w:cs="Times New Roman"/>
          <w:lang w:val="es-MX"/>
        </w:rPr>
      </w:pPr>
      <w:r>
        <w:rPr>
          <w:rFonts w:ascii="Times New Roman" w:hAnsi="Times New Roman" w:cs="Times New Roman"/>
          <w:lang w:val="es-MX"/>
        </w:rPr>
        <w:lastRenderedPageBreak/>
        <w:t>E</w:t>
      </w:r>
      <w:r w:rsidRPr="00F92177">
        <w:rPr>
          <w:rFonts w:ascii="Times New Roman" w:hAnsi="Times New Roman" w:cs="Times New Roman"/>
          <w:lang w:val="es-MX"/>
        </w:rPr>
        <w:t>l resultado pr</w:t>
      </w:r>
      <w:r>
        <w:rPr>
          <w:rFonts w:ascii="Times New Roman" w:hAnsi="Times New Roman" w:cs="Times New Roman"/>
          <w:lang w:val="es-MX"/>
        </w:rPr>
        <w:t>esupuestario del gobierno muestra, un superávit</w:t>
      </w:r>
      <w:r w:rsidRPr="00F92177">
        <w:rPr>
          <w:rFonts w:ascii="Times New Roman" w:hAnsi="Times New Roman" w:cs="Times New Roman"/>
          <w:lang w:val="es-MX"/>
        </w:rPr>
        <w:t xml:space="preserve"> fiscal</w:t>
      </w:r>
      <w:r>
        <w:rPr>
          <w:rFonts w:ascii="Times New Roman" w:hAnsi="Times New Roman" w:cs="Times New Roman"/>
          <w:lang w:val="es-MX"/>
        </w:rPr>
        <w:t xml:space="preserve"> que se sitúa al 29 de febrero</w:t>
      </w:r>
      <w:r w:rsidRPr="00D13BE4">
        <w:rPr>
          <w:rFonts w:ascii="Times New Roman" w:hAnsi="Times New Roman" w:cs="Times New Roman"/>
          <w:lang w:val="es-MX"/>
        </w:rPr>
        <w:t xml:space="preserve"> de 20</w:t>
      </w:r>
      <w:r>
        <w:rPr>
          <w:rFonts w:ascii="Times New Roman" w:hAnsi="Times New Roman" w:cs="Times New Roman"/>
          <w:lang w:val="es-MX"/>
        </w:rPr>
        <w:t xml:space="preserve">20 </w:t>
      </w:r>
      <w:r w:rsidRPr="00D13BE4">
        <w:rPr>
          <w:rFonts w:ascii="Times New Roman" w:hAnsi="Times New Roman" w:cs="Times New Roman"/>
          <w:lang w:val="es-MX"/>
        </w:rPr>
        <w:t>en Q</w:t>
      </w:r>
      <w:r>
        <w:rPr>
          <w:rFonts w:ascii="Times New Roman" w:hAnsi="Times New Roman" w:cs="Times New Roman"/>
          <w:lang w:val="es-MX"/>
        </w:rPr>
        <w:t>882</w:t>
      </w:r>
      <w:r w:rsidRPr="00D13BE4">
        <w:rPr>
          <w:rFonts w:ascii="Times New Roman" w:hAnsi="Times New Roman" w:cs="Times New Roman"/>
          <w:lang w:val="es-MX"/>
        </w:rPr>
        <w:t>.</w:t>
      </w:r>
      <w:r>
        <w:rPr>
          <w:rFonts w:ascii="Times New Roman" w:hAnsi="Times New Roman" w:cs="Times New Roman"/>
          <w:lang w:val="es-MX"/>
        </w:rPr>
        <w:t>7</w:t>
      </w:r>
      <w:r w:rsidRPr="00D13BE4">
        <w:rPr>
          <w:rFonts w:ascii="Times New Roman" w:hAnsi="Times New Roman" w:cs="Times New Roman"/>
          <w:lang w:val="es-MX"/>
        </w:rPr>
        <w:t xml:space="preserve"> millones. </w:t>
      </w:r>
      <w:r>
        <w:rPr>
          <w:rFonts w:ascii="Times New Roman" w:hAnsi="Times New Roman" w:cs="Times New Roman"/>
          <w:lang w:val="es-MX"/>
        </w:rPr>
        <w:t>Este superávit</w:t>
      </w:r>
      <w:r w:rsidRPr="00D13BE4">
        <w:rPr>
          <w:rFonts w:ascii="Times New Roman" w:hAnsi="Times New Roman" w:cs="Times New Roman"/>
          <w:lang w:val="es-MX"/>
        </w:rPr>
        <w:t xml:space="preserve"> es equivalente al </w:t>
      </w:r>
      <w:r>
        <w:rPr>
          <w:rFonts w:ascii="Times New Roman" w:hAnsi="Times New Roman" w:cs="Times New Roman"/>
          <w:lang w:val="es-MX"/>
        </w:rPr>
        <w:t>0</w:t>
      </w:r>
      <w:r w:rsidRPr="00D13BE4">
        <w:rPr>
          <w:rFonts w:ascii="Times New Roman" w:hAnsi="Times New Roman" w:cs="Times New Roman"/>
          <w:lang w:val="es-MX"/>
        </w:rPr>
        <w:t>.</w:t>
      </w:r>
      <w:r>
        <w:rPr>
          <w:rFonts w:ascii="Times New Roman" w:hAnsi="Times New Roman" w:cs="Times New Roman"/>
          <w:lang w:val="es-MX"/>
        </w:rPr>
        <w:t>1</w:t>
      </w:r>
      <w:r w:rsidRPr="00D13BE4">
        <w:rPr>
          <w:rFonts w:ascii="Times New Roman" w:hAnsi="Times New Roman" w:cs="Times New Roman"/>
          <w:lang w:val="es-MX"/>
        </w:rPr>
        <w:t>% del PIB</w:t>
      </w:r>
      <w:r>
        <w:rPr>
          <w:rFonts w:ascii="Times New Roman" w:hAnsi="Times New Roman" w:cs="Times New Roman"/>
          <w:lang w:val="es-MX"/>
        </w:rPr>
        <w:t>. E</w:t>
      </w:r>
      <w:r w:rsidRPr="00D13BE4">
        <w:rPr>
          <w:rFonts w:ascii="Times New Roman" w:hAnsi="Times New Roman" w:cs="Times New Roman"/>
          <w:lang w:val="es-MX"/>
        </w:rPr>
        <w:t xml:space="preserve">n </w:t>
      </w:r>
      <w:r>
        <w:rPr>
          <w:rFonts w:ascii="Times New Roman" w:hAnsi="Times New Roman" w:cs="Times New Roman"/>
          <w:lang w:val="es-MX"/>
        </w:rPr>
        <w:t xml:space="preserve">el </w:t>
      </w:r>
      <w:r w:rsidRPr="00D13BE4">
        <w:rPr>
          <w:rFonts w:ascii="Times New Roman" w:hAnsi="Times New Roman" w:cs="Times New Roman"/>
          <w:lang w:val="es-MX"/>
        </w:rPr>
        <w:t>año</w:t>
      </w:r>
      <w:r>
        <w:rPr>
          <w:rFonts w:ascii="Times New Roman" w:hAnsi="Times New Roman" w:cs="Times New Roman"/>
          <w:lang w:val="es-MX"/>
        </w:rPr>
        <w:t xml:space="preserve"> 2017 y 2018 también se reportó superávit</w:t>
      </w:r>
      <w:r w:rsidRPr="00D13BE4">
        <w:rPr>
          <w:rFonts w:ascii="Times New Roman" w:hAnsi="Times New Roman" w:cs="Times New Roman"/>
          <w:lang w:val="es-MX"/>
        </w:rPr>
        <w:t xml:space="preserve"> fiscal</w:t>
      </w:r>
      <w:r>
        <w:rPr>
          <w:rFonts w:ascii="Times New Roman" w:hAnsi="Times New Roman" w:cs="Times New Roman"/>
          <w:lang w:val="es-MX"/>
        </w:rPr>
        <w:t xml:space="preserve"> y en 2019 se reportó un leve déficit fiscal </w:t>
      </w:r>
      <w:r w:rsidRPr="00D13BE4">
        <w:rPr>
          <w:rFonts w:ascii="Times New Roman" w:hAnsi="Times New Roman" w:cs="Times New Roman"/>
          <w:lang w:val="es-MX"/>
        </w:rPr>
        <w:t>a</w:t>
      </w:r>
      <w:r>
        <w:rPr>
          <w:rFonts w:ascii="Times New Roman" w:hAnsi="Times New Roman" w:cs="Times New Roman"/>
          <w:lang w:val="es-MX"/>
        </w:rPr>
        <w:t xml:space="preserve"> febrero.</w:t>
      </w:r>
      <w:r w:rsidRPr="00D13BE4">
        <w:rPr>
          <w:rFonts w:ascii="Times New Roman" w:hAnsi="Times New Roman" w:cs="Times New Roman"/>
          <w:lang w:val="es-MX"/>
        </w:rPr>
        <w:t xml:space="preserve"> </w:t>
      </w:r>
    </w:p>
    <w:p w:rsidR="009453FD" w:rsidRPr="00D13BE4" w:rsidRDefault="009453FD" w:rsidP="009453FD">
      <w:pPr>
        <w:pStyle w:val="Sinespaciado"/>
        <w:jc w:val="both"/>
        <w:rPr>
          <w:rFonts w:ascii="Times New Roman" w:hAnsi="Times New Roman" w:cs="Times New Roman"/>
          <w:lang w:val="es-MX"/>
        </w:rPr>
      </w:pPr>
    </w:p>
    <w:p w:rsidR="009453FD" w:rsidRDefault="009453FD" w:rsidP="009453FD">
      <w:pPr>
        <w:pStyle w:val="Sinespaciado"/>
        <w:jc w:val="both"/>
        <w:rPr>
          <w:rFonts w:ascii="Times New Roman" w:hAnsi="Times New Roman" w:cs="Times New Roman"/>
          <w:lang w:val="es-MX"/>
        </w:rPr>
      </w:pPr>
      <w:r w:rsidRPr="00D13BE4">
        <w:rPr>
          <w:rFonts w:ascii="Times New Roman" w:hAnsi="Times New Roman" w:cs="Times New Roman"/>
          <w:lang w:val="es-MX"/>
        </w:rPr>
        <w:t>E</w:t>
      </w:r>
      <w:r>
        <w:rPr>
          <w:rFonts w:ascii="Times New Roman" w:hAnsi="Times New Roman" w:cs="Times New Roman"/>
          <w:lang w:val="es-MX"/>
        </w:rPr>
        <w:t>l superávit</w:t>
      </w:r>
      <w:r w:rsidRPr="00D13BE4">
        <w:rPr>
          <w:rFonts w:ascii="Times New Roman" w:hAnsi="Times New Roman" w:cs="Times New Roman"/>
          <w:lang w:val="es-MX"/>
        </w:rPr>
        <w:t xml:space="preserve"> fiscal está explicado por</w:t>
      </w:r>
      <w:r>
        <w:rPr>
          <w:rFonts w:ascii="Times New Roman" w:hAnsi="Times New Roman" w:cs="Times New Roman"/>
          <w:lang w:val="es-MX"/>
        </w:rPr>
        <w:t xml:space="preserve"> el nivel de recaudación tributaria, que permite que se encuentre por arriba de la meta de presupuesto,</w:t>
      </w:r>
    </w:p>
    <w:p w:rsidR="009453FD" w:rsidRDefault="009453FD" w:rsidP="009453FD">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por su parte, el gasto público mostró un desempeño positivo, pero menor al observado en enero, derivado que reporta un crecimiento interanual únicamente del 0.2%. La ejecución de febrero del presente ejercicio fiscal fue menor en Q241.6 millones a la observada el año previo.  </w:t>
      </w:r>
    </w:p>
    <w:p w:rsidR="00634664" w:rsidRPr="009453FD" w:rsidRDefault="00634664" w:rsidP="00634664">
      <w:pPr>
        <w:pStyle w:val="Sinespaciado"/>
        <w:jc w:val="both"/>
        <w:rPr>
          <w:rFonts w:ascii="Times New Roman" w:hAnsi="Times New Roman" w:cs="Times New Roman"/>
          <w:color w:val="FF0000"/>
          <w:lang w:val="es-MX"/>
        </w:rPr>
      </w:pPr>
      <w:r w:rsidRPr="009453FD">
        <w:rPr>
          <w:rFonts w:ascii="Times New Roman" w:hAnsi="Times New Roman" w:cs="Times New Roman"/>
          <w:color w:val="FF0000"/>
          <w:lang w:val="es-MX"/>
        </w:rPr>
        <w:t xml:space="preserve"> </w:t>
      </w:r>
    </w:p>
    <w:p w:rsidR="009C4027" w:rsidRPr="009453FD" w:rsidRDefault="009C4027" w:rsidP="007D4651">
      <w:pPr>
        <w:pStyle w:val="Sinespaciado"/>
        <w:jc w:val="center"/>
        <w:rPr>
          <w:rFonts w:ascii="Times New Roman" w:hAnsi="Times New Roman" w:cs="Times New Roman"/>
          <w:b/>
          <w:color w:val="FF0000"/>
          <w:sz w:val="14"/>
          <w:lang w:val="es-MX"/>
        </w:rPr>
      </w:pPr>
    </w:p>
    <w:p w:rsidR="009C4027" w:rsidRPr="009453FD" w:rsidRDefault="009C4027" w:rsidP="007D4651">
      <w:pPr>
        <w:pStyle w:val="Sinespaciado"/>
        <w:jc w:val="center"/>
        <w:rPr>
          <w:rFonts w:ascii="Times New Roman" w:hAnsi="Times New Roman" w:cs="Times New Roman"/>
          <w:b/>
          <w:color w:val="FF0000"/>
          <w:lang w:val="es-MX"/>
        </w:rPr>
      </w:pPr>
    </w:p>
    <w:p w:rsidR="00E37543" w:rsidRPr="009453FD" w:rsidRDefault="00E37543" w:rsidP="007D4651">
      <w:pPr>
        <w:pStyle w:val="Sinespaciado"/>
        <w:jc w:val="center"/>
        <w:rPr>
          <w:rFonts w:ascii="Times New Roman" w:hAnsi="Times New Roman" w:cs="Times New Roman"/>
          <w:b/>
          <w:color w:val="FF0000"/>
          <w:lang w:val="es-MX"/>
        </w:rPr>
      </w:pPr>
    </w:p>
    <w:p w:rsidR="00E37543" w:rsidRPr="009453FD" w:rsidRDefault="00E37543" w:rsidP="007D4651">
      <w:pPr>
        <w:pStyle w:val="Sinespaciado"/>
        <w:jc w:val="center"/>
        <w:rPr>
          <w:rFonts w:ascii="Times New Roman" w:hAnsi="Times New Roman" w:cs="Times New Roman"/>
          <w:b/>
          <w:color w:val="FF0000"/>
          <w:lang w:val="es-MX"/>
        </w:rPr>
        <w:sectPr w:rsidR="00E37543" w:rsidRPr="009453FD" w:rsidSect="007D4651">
          <w:type w:val="continuous"/>
          <w:pgSz w:w="12240" w:h="15840" w:code="1"/>
          <w:pgMar w:top="1418" w:right="1418" w:bottom="1418" w:left="1418" w:header="709" w:footer="709" w:gutter="0"/>
          <w:cols w:num="2" w:space="708"/>
          <w:docGrid w:linePitch="360"/>
        </w:sectPr>
      </w:pPr>
    </w:p>
    <w:p w:rsidR="00634664" w:rsidRPr="009453FD" w:rsidRDefault="00634664" w:rsidP="006F5EA0">
      <w:pPr>
        <w:pStyle w:val="Sinespaciado"/>
        <w:jc w:val="center"/>
        <w:rPr>
          <w:rFonts w:ascii="Times New Roman" w:hAnsi="Times New Roman" w:cs="Times New Roman"/>
          <w:b/>
          <w:color w:val="FF0000"/>
          <w:sz w:val="24"/>
          <w:lang w:val="es-MX"/>
        </w:rPr>
      </w:pPr>
    </w:p>
    <w:p w:rsidR="00634664" w:rsidRPr="009453FD" w:rsidRDefault="00634664" w:rsidP="006F5EA0">
      <w:pPr>
        <w:pStyle w:val="Sinespaciado"/>
        <w:jc w:val="center"/>
        <w:rPr>
          <w:rFonts w:ascii="Times New Roman" w:hAnsi="Times New Roman" w:cs="Times New Roman"/>
          <w:b/>
          <w:color w:val="FF0000"/>
          <w:sz w:val="24"/>
          <w:lang w:val="es-MX"/>
        </w:rPr>
      </w:pPr>
    </w:p>
    <w:p w:rsidR="006F5EA0" w:rsidRPr="007570C7" w:rsidRDefault="00950874" w:rsidP="006F5EA0">
      <w:pPr>
        <w:pStyle w:val="Sinespaciado"/>
        <w:jc w:val="center"/>
        <w:rPr>
          <w:rFonts w:ascii="Times New Roman" w:hAnsi="Times New Roman" w:cs="Times New Roman"/>
          <w:b/>
          <w:sz w:val="24"/>
          <w:lang w:val="es-MX"/>
        </w:rPr>
      </w:pPr>
      <w:r w:rsidRPr="007570C7">
        <w:rPr>
          <w:rFonts w:ascii="Times New Roman" w:hAnsi="Times New Roman" w:cs="Times New Roman"/>
          <w:b/>
          <w:sz w:val="24"/>
          <w:lang w:val="es-MX"/>
        </w:rPr>
        <w:t>Resultado Presupuestario</w:t>
      </w:r>
    </w:p>
    <w:p w:rsidR="00950874" w:rsidRPr="007570C7" w:rsidRDefault="006F5EA0" w:rsidP="006F5EA0">
      <w:pPr>
        <w:pStyle w:val="Sinespaciado"/>
        <w:jc w:val="center"/>
        <w:rPr>
          <w:rFonts w:ascii="Times New Roman" w:hAnsi="Times New Roman" w:cs="Times New Roman"/>
          <w:sz w:val="18"/>
          <w:lang w:val="es-MX"/>
        </w:rPr>
      </w:pPr>
      <w:r w:rsidRPr="007570C7">
        <w:rPr>
          <w:rFonts w:ascii="Times New Roman" w:hAnsi="Times New Roman" w:cs="Times New Roman"/>
          <w:sz w:val="20"/>
          <w:lang w:val="es-MX"/>
        </w:rPr>
        <w:t xml:space="preserve">       </w:t>
      </w:r>
      <w:r w:rsidR="00634664" w:rsidRPr="007570C7">
        <w:rPr>
          <w:rFonts w:ascii="Times New Roman" w:hAnsi="Times New Roman" w:cs="Times New Roman"/>
          <w:sz w:val="20"/>
          <w:lang w:val="es-MX"/>
        </w:rPr>
        <w:t>Al 29</w:t>
      </w:r>
      <w:r w:rsidRPr="007570C7">
        <w:rPr>
          <w:rFonts w:ascii="Times New Roman" w:hAnsi="Times New Roman" w:cs="Times New Roman"/>
          <w:sz w:val="20"/>
          <w:lang w:val="es-MX"/>
        </w:rPr>
        <w:t xml:space="preserve"> de </w:t>
      </w:r>
      <w:r w:rsidR="00634664" w:rsidRPr="007570C7">
        <w:rPr>
          <w:rFonts w:ascii="Times New Roman" w:hAnsi="Times New Roman" w:cs="Times New Roman"/>
          <w:sz w:val="20"/>
          <w:lang w:val="es-MX"/>
        </w:rPr>
        <w:t>febr</w:t>
      </w:r>
      <w:r w:rsidR="00E37543" w:rsidRPr="007570C7">
        <w:rPr>
          <w:rFonts w:ascii="Times New Roman" w:hAnsi="Times New Roman" w:cs="Times New Roman"/>
          <w:sz w:val="20"/>
          <w:lang w:val="es-MX"/>
        </w:rPr>
        <w:t>ero</w:t>
      </w:r>
      <w:r w:rsidRPr="007570C7">
        <w:rPr>
          <w:rFonts w:ascii="Times New Roman" w:hAnsi="Times New Roman" w:cs="Times New Roman"/>
          <w:sz w:val="20"/>
          <w:lang w:val="es-MX"/>
        </w:rPr>
        <w:t xml:space="preserve"> de cada año</w:t>
      </w:r>
      <w:r w:rsidR="00F27024" w:rsidRPr="007570C7">
        <w:rPr>
          <w:rFonts w:ascii="Times New Roman" w:hAnsi="Times New Roman" w:cs="Times New Roman"/>
          <w:b/>
          <w:lang w:val="es-MX"/>
        </w:rPr>
        <w:tab/>
      </w:r>
    </w:p>
    <w:p w:rsidR="00E06484" w:rsidRPr="007570C7" w:rsidRDefault="00950874" w:rsidP="00E06484">
      <w:pPr>
        <w:pStyle w:val="Sinespaciado"/>
        <w:jc w:val="center"/>
        <w:rPr>
          <w:rFonts w:ascii="Times New Roman" w:hAnsi="Times New Roman" w:cs="Times New Roman"/>
          <w:sz w:val="18"/>
          <w:lang w:val="es-MX"/>
        </w:rPr>
      </w:pPr>
      <w:r w:rsidRPr="007570C7">
        <w:rPr>
          <w:rFonts w:ascii="Times New Roman" w:hAnsi="Times New Roman" w:cs="Times New Roman"/>
          <w:sz w:val="18"/>
          <w:lang w:val="es-MX"/>
        </w:rPr>
        <w:t>Millones de quetzales</w:t>
      </w:r>
    </w:p>
    <w:p w:rsidR="005C4C97" w:rsidRPr="007570C7" w:rsidRDefault="007570C7" w:rsidP="005F470C">
      <w:pPr>
        <w:pStyle w:val="Sinespaciado"/>
        <w:jc w:val="center"/>
        <w:rPr>
          <w:noProof/>
          <w:lang w:eastAsia="es-GT"/>
        </w:rPr>
      </w:pPr>
      <w:r w:rsidRPr="007570C7">
        <w:rPr>
          <w:noProof/>
          <w:lang w:eastAsia="es-GT"/>
        </w:rPr>
        <w:drawing>
          <wp:inline distT="0" distB="0" distL="0" distR="0" wp14:anchorId="19DB16DB" wp14:editId="05088031">
            <wp:extent cx="5712031" cy="2909455"/>
            <wp:effectExtent l="0" t="0" r="3175" b="5715"/>
            <wp:docPr id="15" name="Gráfico 15">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C97" w:rsidRPr="007570C7" w:rsidRDefault="007F443F" w:rsidP="005F470C">
      <w:pPr>
        <w:pStyle w:val="Sinespaciado"/>
        <w:jc w:val="both"/>
        <w:rPr>
          <w:rFonts w:ascii="Times New Roman" w:hAnsi="Times New Roman" w:cs="Times New Roman"/>
          <w:sz w:val="16"/>
        </w:rPr>
      </w:pPr>
      <w:r w:rsidRPr="007570C7">
        <w:rPr>
          <w:rFonts w:ascii="Times New Roman" w:hAnsi="Times New Roman" w:cs="Times New Roman"/>
          <w:sz w:val="16"/>
        </w:rPr>
        <w:t xml:space="preserve">          </w:t>
      </w:r>
      <w:r w:rsidR="00157C3A" w:rsidRPr="007570C7">
        <w:rPr>
          <w:rFonts w:ascii="Times New Roman" w:hAnsi="Times New Roman" w:cs="Times New Roman"/>
          <w:sz w:val="16"/>
        </w:rPr>
        <w:t>F</w:t>
      </w:r>
      <w:r w:rsidR="007D4651" w:rsidRPr="007570C7">
        <w:rPr>
          <w:rFonts w:ascii="Times New Roman" w:hAnsi="Times New Roman" w:cs="Times New Roman"/>
          <w:sz w:val="16"/>
        </w:rPr>
        <w:t>uente: Dirección de Análisis y Política fiscal</w:t>
      </w:r>
    </w:p>
    <w:p w:rsidR="005C4C97" w:rsidRPr="009453FD" w:rsidRDefault="005C4C97" w:rsidP="007D4651">
      <w:pPr>
        <w:spacing w:after="0" w:line="240" w:lineRule="auto"/>
        <w:rPr>
          <w:rFonts w:ascii="Times New Roman" w:hAnsi="Times New Roman" w:cs="Times New Roman"/>
          <w:color w:val="FF0000"/>
          <w:lang w:val="es-MX"/>
        </w:rPr>
      </w:pPr>
    </w:p>
    <w:p w:rsidR="005C4C97" w:rsidRPr="009453FD" w:rsidRDefault="005C4C97" w:rsidP="007D4651">
      <w:pPr>
        <w:spacing w:after="0" w:line="240" w:lineRule="auto"/>
        <w:rPr>
          <w:rFonts w:ascii="Times New Roman" w:hAnsi="Times New Roman" w:cs="Times New Roman"/>
          <w:color w:val="FF0000"/>
          <w:lang w:val="es-MX"/>
        </w:rPr>
        <w:sectPr w:rsidR="005C4C97" w:rsidRPr="009453FD" w:rsidSect="007D4651">
          <w:type w:val="continuous"/>
          <w:pgSz w:w="12240" w:h="15840" w:code="1"/>
          <w:pgMar w:top="1418" w:right="1418" w:bottom="1418" w:left="1418" w:header="709" w:footer="709" w:gutter="0"/>
          <w:cols w:space="708"/>
          <w:docGrid w:linePitch="360"/>
        </w:sectPr>
      </w:pPr>
    </w:p>
    <w:p w:rsidR="00E16925" w:rsidRPr="007570C7" w:rsidRDefault="00F94C84"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7570C7"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7570C7">
        <w:rPr>
          <w:rFonts w:ascii="Times New Roman" w:hAnsi="Times New Roman" w:cs="Times New Roman"/>
          <w:b/>
          <w:lang w:val="es-MX"/>
        </w:rPr>
        <w:lastRenderedPageBreak/>
        <w:t>Se mantiene la brecha positiva en recaudación</w:t>
      </w:r>
    </w:p>
    <w:p w:rsidR="00E16925" w:rsidRPr="009453FD" w:rsidRDefault="00E16925" w:rsidP="00E16925">
      <w:pPr>
        <w:pStyle w:val="Sinespaciado"/>
        <w:rPr>
          <w:rFonts w:ascii="Times New Roman" w:hAnsi="Times New Roman" w:cs="Times New Roman"/>
          <w:b/>
          <w:color w:val="FF0000"/>
          <w:sz w:val="8"/>
          <w:lang w:val="es-MX"/>
        </w:rPr>
      </w:pPr>
    </w:p>
    <w:p w:rsidR="00E16925" w:rsidRPr="009453FD" w:rsidRDefault="00E16925" w:rsidP="00E16925">
      <w:pPr>
        <w:pStyle w:val="Sinespaciado"/>
        <w:jc w:val="center"/>
        <w:rPr>
          <w:rFonts w:ascii="Times New Roman" w:hAnsi="Times New Roman" w:cs="Times New Roman"/>
          <w:b/>
          <w:color w:val="FF0000"/>
          <w:sz w:val="24"/>
          <w:lang w:val="es-MX"/>
        </w:rPr>
      </w:pPr>
    </w:p>
    <w:p w:rsidR="00343A5D" w:rsidRPr="009453FD" w:rsidRDefault="00343A5D" w:rsidP="00F25E21">
      <w:pPr>
        <w:pStyle w:val="Sinespaciado"/>
        <w:rPr>
          <w:rFonts w:ascii="Times New Roman" w:hAnsi="Times New Roman" w:cs="Times New Roman"/>
          <w:b/>
          <w:color w:val="FF0000"/>
          <w:sz w:val="20"/>
          <w:lang w:val="es-MX"/>
        </w:rPr>
        <w:sectPr w:rsidR="00343A5D" w:rsidRPr="009453FD" w:rsidSect="004E358C">
          <w:type w:val="continuous"/>
          <w:pgSz w:w="12240" w:h="15840"/>
          <w:pgMar w:top="1417" w:right="1701" w:bottom="1417" w:left="1701" w:header="708" w:footer="708" w:gutter="0"/>
          <w:cols w:space="708"/>
          <w:docGrid w:linePitch="360"/>
        </w:sectPr>
      </w:pPr>
    </w:p>
    <w:p w:rsidR="007570C7" w:rsidRDefault="007570C7" w:rsidP="007570C7">
      <w:pPr>
        <w:pStyle w:val="Sinespaciado"/>
        <w:jc w:val="both"/>
        <w:rPr>
          <w:rFonts w:ascii="Times New Roman" w:hAnsi="Times New Roman" w:cs="Times New Roman"/>
          <w:lang w:val="es-MX"/>
        </w:rPr>
      </w:pPr>
      <w:r w:rsidRPr="007570C7">
        <w:rPr>
          <w:rFonts w:ascii="Times New Roman" w:hAnsi="Times New Roman" w:cs="Times New Roman"/>
          <w:lang w:val="es-MX"/>
        </w:rPr>
        <w:lastRenderedPageBreak/>
        <w:t xml:space="preserve">La recaudación tributaria preliminar de acumulada a febrero mostró un nivel de Q10,840.3 millones, con una ejecución de 105.2%, además se generó una brecha positiva </w:t>
      </w:r>
      <w:r w:rsidRPr="007570C7">
        <w:rPr>
          <w:rFonts w:ascii="Times New Roman" w:hAnsi="Times New Roman" w:cs="Times New Roman"/>
          <w:lang w:val="es-MX"/>
        </w:rPr>
        <w:lastRenderedPageBreak/>
        <w:t>de Q 531.6 millones respecto a la meta programada por SAT.</w:t>
      </w:r>
    </w:p>
    <w:p w:rsidR="007570C7" w:rsidRDefault="007570C7" w:rsidP="007570C7">
      <w:pPr>
        <w:pStyle w:val="Sinespaciado"/>
        <w:jc w:val="both"/>
        <w:rPr>
          <w:rFonts w:ascii="Times New Roman" w:hAnsi="Times New Roman" w:cs="Times New Roman"/>
          <w:lang w:val="es-MX"/>
        </w:rPr>
      </w:pPr>
    </w:p>
    <w:p w:rsidR="007570C7" w:rsidRDefault="007570C7" w:rsidP="007570C7">
      <w:pPr>
        <w:pStyle w:val="Sinespaciado"/>
        <w:jc w:val="both"/>
        <w:rPr>
          <w:rFonts w:ascii="Times New Roman" w:hAnsi="Times New Roman" w:cs="Times New Roman"/>
          <w:lang w:val="es-MX"/>
        </w:rPr>
      </w:pPr>
    </w:p>
    <w:p w:rsidR="007570C7" w:rsidRPr="007570C7" w:rsidRDefault="007570C7" w:rsidP="007570C7">
      <w:pPr>
        <w:pStyle w:val="Sinespaciado"/>
        <w:jc w:val="both"/>
        <w:rPr>
          <w:rFonts w:ascii="Times New Roman" w:hAnsi="Times New Roman" w:cs="Times New Roman"/>
          <w:lang w:val="es-MX"/>
        </w:rPr>
      </w:pPr>
    </w:p>
    <w:p w:rsidR="007570C7" w:rsidRPr="00A41BC9" w:rsidRDefault="007570C7" w:rsidP="007570C7">
      <w:pPr>
        <w:spacing w:after="0"/>
        <w:jc w:val="center"/>
        <w:rPr>
          <w:rFonts w:ascii="Times New Roman" w:hAnsi="Times New Roman" w:cs="Times New Roman"/>
          <w:b/>
        </w:rPr>
      </w:pPr>
      <w:r w:rsidRPr="00A41BC9">
        <w:rPr>
          <w:rFonts w:ascii="Times New Roman" w:hAnsi="Times New Roman" w:cs="Times New Roman"/>
          <w:b/>
        </w:rPr>
        <w:lastRenderedPageBreak/>
        <w:t>Recaudación Tributaria</w:t>
      </w:r>
    </w:p>
    <w:p w:rsidR="007570C7" w:rsidRPr="00532CD1" w:rsidRDefault="007570C7" w:rsidP="007570C7">
      <w:pPr>
        <w:spacing w:after="0"/>
        <w:jc w:val="center"/>
        <w:rPr>
          <w:rFonts w:ascii="Times New Roman" w:hAnsi="Times New Roman" w:cs="Times New Roman"/>
        </w:rPr>
      </w:pPr>
      <w:r w:rsidRPr="00532CD1">
        <w:rPr>
          <w:rFonts w:ascii="Times New Roman" w:hAnsi="Times New Roman" w:cs="Times New Roman"/>
        </w:rPr>
        <w:t>Millones de quetzales</w:t>
      </w:r>
    </w:p>
    <w:p w:rsidR="007570C7" w:rsidRPr="00A41BC9" w:rsidRDefault="007570C7" w:rsidP="007570C7">
      <w:pPr>
        <w:jc w:val="both"/>
        <w:rPr>
          <w:rFonts w:ascii="Times New Roman" w:hAnsi="Times New Roman" w:cs="Times New Roman"/>
        </w:rPr>
      </w:pPr>
      <w:r w:rsidRPr="00A41BC9">
        <w:rPr>
          <w:rFonts w:ascii="Times New Roman" w:hAnsi="Times New Roman" w:cs="Times New Roman"/>
          <w:b/>
          <w:noProof/>
          <w:sz w:val="20"/>
          <w:lang w:eastAsia="es-GT"/>
        </w:rPr>
        <w:drawing>
          <wp:inline distT="0" distB="0" distL="0" distR="0" wp14:anchorId="13B7B278" wp14:editId="09465314">
            <wp:extent cx="2577465" cy="2216506"/>
            <wp:effectExtent l="0" t="0" r="0" b="0"/>
            <wp:docPr id="243" name="Gráfico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70C7" w:rsidRPr="00532CD1" w:rsidRDefault="007570C7" w:rsidP="007570C7">
      <w:pPr>
        <w:spacing w:after="0"/>
        <w:jc w:val="both"/>
        <w:rPr>
          <w:rFonts w:ascii="Times New Roman" w:hAnsi="Times New Roman" w:cs="Times New Roman"/>
          <w:sz w:val="12"/>
        </w:rPr>
      </w:pPr>
      <w:r w:rsidRPr="00532CD1">
        <w:rPr>
          <w:rFonts w:ascii="Times New Roman" w:hAnsi="Times New Roman" w:cs="Times New Roman"/>
          <w:sz w:val="12"/>
        </w:rPr>
        <w:t>Fuente: Ministerio de Finanzas Públicas</w:t>
      </w:r>
    </w:p>
    <w:p w:rsidR="007570C7" w:rsidRPr="00A41BC9" w:rsidRDefault="007570C7" w:rsidP="007570C7">
      <w:pPr>
        <w:spacing w:after="0" w:line="240" w:lineRule="auto"/>
        <w:jc w:val="both"/>
        <w:rPr>
          <w:rFonts w:ascii="Times New Roman" w:hAnsi="Times New Roman" w:cs="Times New Roman"/>
        </w:rPr>
      </w:pPr>
    </w:p>
    <w:p w:rsidR="007570C7" w:rsidRDefault="007570C7" w:rsidP="007570C7">
      <w:pPr>
        <w:spacing w:after="0" w:line="240" w:lineRule="auto"/>
        <w:jc w:val="both"/>
        <w:rPr>
          <w:rFonts w:ascii="Times New Roman" w:hAnsi="Times New Roman" w:cs="Times New Roman"/>
        </w:rPr>
      </w:pPr>
      <w:r w:rsidRPr="00A41BC9">
        <w:rPr>
          <w:rFonts w:ascii="Times New Roman" w:hAnsi="Times New Roman" w:cs="Times New Roman"/>
        </w:rPr>
        <w:t>De manera interanual se observó un crecimiento de 9.4% (Q 932.7 millones). Dicho crecimiento fue mayor al observado en los últimos 6 años y está influenciado principalmente por el impuesto sobre la renta -ISR- y el impuesto al valor agregado total -IVA-.</w:t>
      </w:r>
    </w:p>
    <w:p w:rsidR="00532CD1" w:rsidRPr="00A41BC9" w:rsidRDefault="00532CD1" w:rsidP="007570C7">
      <w:pPr>
        <w:spacing w:after="0" w:line="240" w:lineRule="auto"/>
        <w:jc w:val="both"/>
        <w:rPr>
          <w:rFonts w:ascii="Times New Roman" w:hAnsi="Times New Roman" w:cs="Times New Roman"/>
        </w:rPr>
      </w:pPr>
    </w:p>
    <w:p w:rsidR="007570C7" w:rsidRPr="00A41BC9" w:rsidRDefault="007570C7" w:rsidP="007570C7">
      <w:pPr>
        <w:spacing w:after="0" w:line="240" w:lineRule="auto"/>
        <w:jc w:val="center"/>
        <w:rPr>
          <w:rFonts w:ascii="Times New Roman" w:hAnsi="Times New Roman" w:cs="Times New Roman"/>
          <w:b/>
        </w:rPr>
      </w:pPr>
      <w:r w:rsidRPr="00A41BC9">
        <w:rPr>
          <w:rFonts w:ascii="Times New Roman" w:hAnsi="Times New Roman" w:cs="Times New Roman"/>
          <w:b/>
        </w:rPr>
        <w:t>Variación interanual de la recaudación</w:t>
      </w:r>
    </w:p>
    <w:p w:rsidR="007570C7" w:rsidRPr="00A41BC9" w:rsidRDefault="007570C7" w:rsidP="007570C7">
      <w:pPr>
        <w:spacing w:after="0" w:line="240" w:lineRule="auto"/>
        <w:jc w:val="center"/>
        <w:rPr>
          <w:rFonts w:ascii="Times New Roman" w:hAnsi="Times New Roman" w:cs="Times New Roman"/>
          <w:b/>
        </w:rPr>
      </w:pPr>
      <w:r w:rsidRPr="00A41BC9">
        <w:rPr>
          <w:rFonts w:ascii="Times New Roman" w:hAnsi="Times New Roman" w:cs="Times New Roman"/>
          <w:b/>
        </w:rPr>
        <w:t>2014-2020</w:t>
      </w:r>
    </w:p>
    <w:p w:rsidR="007570C7" w:rsidRPr="00532CD1" w:rsidRDefault="007570C7" w:rsidP="007570C7">
      <w:pPr>
        <w:spacing w:after="0" w:line="240" w:lineRule="auto"/>
        <w:jc w:val="center"/>
        <w:rPr>
          <w:rFonts w:ascii="Times New Roman" w:hAnsi="Times New Roman" w:cs="Times New Roman"/>
        </w:rPr>
      </w:pPr>
      <w:r w:rsidRPr="00532CD1">
        <w:rPr>
          <w:rFonts w:ascii="Times New Roman" w:hAnsi="Times New Roman" w:cs="Times New Roman"/>
        </w:rPr>
        <w:t>Porcentajes</w:t>
      </w:r>
    </w:p>
    <w:p w:rsidR="007570C7" w:rsidRPr="00A41BC9" w:rsidRDefault="007570C7" w:rsidP="007570C7">
      <w:pPr>
        <w:spacing w:after="0" w:line="240" w:lineRule="auto"/>
        <w:jc w:val="both"/>
        <w:rPr>
          <w:rFonts w:ascii="Times New Roman" w:hAnsi="Times New Roman" w:cs="Times New Roman"/>
        </w:rPr>
      </w:pPr>
      <w:r w:rsidRPr="00A41BC9">
        <w:rPr>
          <w:rFonts w:ascii="Times New Roman" w:hAnsi="Times New Roman" w:cs="Times New Roman"/>
          <w:noProof/>
          <w:lang w:eastAsia="es-GT"/>
        </w:rPr>
        <w:drawing>
          <wp:inline distT="0" distB="0" distL="0" distR="0" wp14:anchorId="69EDE38E" wp14:editId="663FAEC0">
            <wp:extent cx="2734573" cy="2061713"/>
            <wp:effectExtent l="0" t="0" r="8890" b="0"/>
            <wp:docPr id="244" name="Gráfico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70C7" w:rsidRPr="00532CD1" w:rsidRDefault="007570C7" w:rsidP="007570C7">
      <w:pPr>
        <w:spacing w:after="0" w:line="240" w:lineRule="auto"/>
        <w:jc w:val="both"/>
        <w:rPr>
          <w:rFonts w:ascii="Times New Roman" w:hAnsi="Times New Roman" w:cs="Times New Roman"/>
          <w:sz w:val="12"/>
        </w:rPr>
      </w:pPr>
      <w:r w:rsidRPr="00532CD1">
        <w:rPr>
          <w:rFonts w:ascii="Times New Roman" w:hAnsi="Times New Roman" w:cs="Times New Roman"/>
          <w:sz w:val="12"/>
        </w:rPr>
        <w:t>Fuente: Ministerio de Finanzas Públicas</w:t>
      </w:r>
    </w:p>
    <w:p w:rsidR="007570C7" w:rsidRPr="00A41BC9" w:rsidRDefault="007570C7"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b/>
        </w:rPr>
      </w:pPr>
    </w:p>
    <w:p w:rsidR="007570C7" w:rsidRDefault="007570C7" w:rsidP="007570C7">
      <w:pPr>
        <w:spacing w:after="0" w:line="240" w:lineRule="auto"/>
        <w:jc w:val="both"/>
        <w:rPr>
          <w:rFonts w:ascii="Times New Roman" w:hAnsi="Times New Roman" w:cs="Times New Roman"/>
          <w:b/>
        </w:rPr>
      </w:pPr>
      <w:r w:rsidRPr="00A41BC9">
        <w:rPr>
          <w:rFonts w:ascii="Times New Roman" w:hAnsi="Times New Roman" w:cs="Times New Roman"/>
          <w:b/>
        </w:rPr>
        <w:lastRenderedPageBreak/>
        <w:t>El Impuesto a la renta y el ISO</w:t>
      </w:r>
    </w:p>
    <w:p w:rsidR="00532CD1" w:rsidRPr="00A41BC9" w:rsidRDefault="00532CD1" w:rsidP="007570C7">
      <w:pPr>
        <w:spacing w:after="0" w:line="240" w:lineRule="auto"/>
        <w:jc w:val="both"/>
        <w:rPr>
          <w:rFonts w:ascii="Times New Roman" w:hAnsi="Times New Roman" w:cs="Times New Roman"/>
          <w:b/>
        </w:rPr>
      </w:pPr>
    </w:p>
    <w:p w:rsidR="007570C7" w:rsidRPr="00A41BC9" w:rsidRDefault="007570C7" w:rsidP="007570C7">
      <w:pPr>
        <w:spacing w:after="0" w:line="240" w:lineRule="auto"/>
        <w:jc w:val="both"/>
        <w:rPr>
          <w:rFonts w:ascii="Times New Roman" w:hAnsi="Times New Roman" w:cs="Times New Roman"/>
        </w:rPr>
      </w:pPr>
      <w:r w:rsidRPr="00A41BC9">
        <w:rPr>
          <w:rFonts w:ascii="Times New Roman" w:hAnsi="Times New Roman" w:cs="Times New Roman"/>
        </w:rPr>
        <w:t>El ISR de manera acumulada tiene un crecimiento de 13.8% respecto a lo observado a la misma fecha de 2019.</w:t>
      </w:r>
    </w:p>
    <w:p w:rsidR="007570C7" w:rsidRPr="00A41BC9" w:rsidRDefault="007570C7" w:rsidP="007570C7">
      <w:pPr>
        <w:spacing w:after="0" w:line="240" w:lineRule="auto"/>
        <w:jc w:val="both"/>
        <w:rPr>
          <w:rFonts w:ascii="Times New Roman" w:hAnsi="Times New Roman" w:cs="Times New Roman"/>
        </w:rPr>
      </w:pPr>
      <w:r w:rsidRPr="00A41BC9">
        <w:rPr>
          <w:rFonts w:ascii="Times New Roman" w:hAnsi="Times New Roman" w:cs="Times New Roman"/>
        </w:rPr>
        <w:t>Para el caso del ISO este impuesto luego del primer pago trimestral registrado en enero se observa un crecimiento de 3.9% respecto a lo observado en 2019.</w:t>
      </w:r>
    </w:p>
    <w:p w:rsidR="00532CD1" w:rsidRDefault="00532CD1" w:rsidP="007570C7">
      <w:pPr>
        <w:spacing w:after="0" w:line="240" w:lineRule="auto"/>
        <w:jc w:val="both"/>
        <w:rPr>
          <w:rFonts w:ascii="Times New Roman" w:hAnsi="Times New Roman" w:cs="Times New Roman"/>
          <w:b/>
        </w:rPr>
      </w:pPr>
    </w:p>
    <w:p w:rsidR="007570C7" w:rsidRPr="00A41BC9" w:rsidRDefault="007570C7" w:rsidP="007570C7">
      <w:pPr>
        <w:spacing w:after="0" w:line="240" w:lineRule="auto"/>
        <w:jc w:val="both"/>
        <w:rPr>
          <w:rFonts w:ascii="Times New Roman" w:hAnsi="Times New Roman" w:cs="Times New Roman"/>
          <w:b/>
        </w:rPr>
      </w:pPr>
      <w:r w:rsidRPr="00A41BC9">
        <w:rPr>
          <w:rFonts w:ascii="Times New Roman" w:hAnsi="Times New Roman" w:cs="Times New Roman"/>
          <w:b/>
        </w:rPr>
        <w:t>El impuesto al valor agregado</w:t>
      </w:r>
    </w:p>
    <w:p w:rsidR="00532CD1" w:rsidRDefault="00532CD1" w:rsidP="007570C7">
      <w:pPr>
        <w:spacing w:after="0" w:line="240" w:lineRule="auto"/>
        <w:jc w:val="both"/>
        <w:rPr>
          <w:rFonts w:ascii="Times New Roman" w:hAnsi="Times New Roman" w:cs="Times New Roman"/>
        </w:rPr>
      </w:pPr>
    </w:p>
    <w:p w:rsidR="007570C7" w:rsidRPr="00A41BC9" w:rsidRDefault="007570C7" w:rsidP="007570C7">
      <w:pPr>
        <w:spacing w:after="0" w:line="240" w:lineRule="auto"/>
        <w:jc w:val="both"/>
        <w:rPr>
          <w:rFonts w:ascii="Times New Roman" w:hAnsi="Times New Roman" w:cs="Times New Roman"/>
        </w:rPr>
      </w:pPr>
      <w:r w:rsidRPr="00A41BC9">
        <w:rPr>
          <w:rFonts w:ascii="Times New Roman" w:hAnsi="Times New Roman" w:cs="Times New Roman"/>
        </w:rPr>
        <w:t>Este impuesto crece 7.7% (Q 370.4 millones) de manera interanual, el IVA asociado al comercio exterior crece 3.5% (Q 83 millones) de manera interanual, con relación a la meta se han dejado de recaudar Q38.1 millones.</w:t>
      </w:r>
    </w:p>
    <w:p w:rsidR="00532CD1" w:rsidRDefault="00532CD1" w:rsidP="007570C7">
      <w:pPr>
        <w:spacing w:after="0" w:line="240" w:lineRule="auto"/>
        <w:jc w:val="both"/>
        <w:rPr>
          <w:rFonts w:ascii="Times New Roman" w:hAnsi="Times New Roman" w:cs="Times New Roman"/>
          <w:b/>
          <w:bCs/>
        </w:rPr>
      </w:pPr>
    </w:p>
    <w:p w:rsidR="007570C7" w:rsidRPr="00A41BC9" w:rsidRDefault="007570C7" w:rsidP="007570C7">
      <w:pPr>
        <w:spacing w:after="0" w:line="240" w:lineRule="auto"/>
        <w:jc w:val="both"/>
        <w:rPr>
          <w:rFonts w:ascii="Times New Roman" w:hAnsi="Times New Roman" w:cs="Times New Roman"/>
          <w:b/>
          <w:bCs/>
        </w:rPr>
      </w:pPr>
      <w:r w:rsidRPr="00A41BC9">
        <w:rPr>
          <w:rFonts w:ascii="Times New Roman" w:hAnsi="Times New Roman" w:cs="Times New Roman"/>
          <w:b/>
          <w:bCs/>
        </w:rPr>
        <w:t>Los demás impuestos</w:t>
      </w:r>
    </w:p>
    <w:p w:rsidR="00532CD1" w:rsidRDefault="00532CD1" w:rsidP="007570C7">
      <w:pPr>
        <w:spacing w:after="0" w:line="240" w:lineRule="auto"/>
        <w:jc w:val="both"/>
        <w:rPr>
          <w:rFonts w:ascii="Times New Roman" w:hAnsi="Times New Roman" w:cs="Times New Roman"/>
        </w:rPr>
      </w:pPr>
    </w:p>
    <w:p w:rsidR="005834A0" w:rsidRDefault="007570C7" w:rsidP="007570C7">
      <w:pPr>
        <w:spacing w:after="0" w:line="240" w:lineRule="auto"/>
        <w:jc w:val="both"/>
        <w:rPr>
          <w:rFonts w:ascii="Times New Roman" w:hAnsi="Times New Roman" w:cs="Times New Roman"/>
        </w:rPr>
      </w:pPr>
      <w:r w:rsidRPr="00A41BC9">
        <w:rPr>
          <w:rFonts w:ascii="Times New Roman" w:hAnsi="Times New Roman" w:cs="Times New Roman"/>
        </w:rPr>
        <w:t>De los demás impuestos, destacan los derivados del petróleo que tiene una ejecución acumulada a febrero de 123.1% respecto a la meta y una variación interanual de 16.7%, el impuesto a la distribución de bebidas, el IPRIMA, el tabaco, regalías e hidrocarburos compartibles, superaron la meta y lo observado en 2019, el impuesto a los timbres, el de cemento, y el de salidas del país no superaron la meta.</w:t>
      </w: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Default="00532CD1" w:rsidP="007570C7">
      <w:pPr>
        <w:spacing w:after="0" w:line="240" w:lineRule="auto"/>
        <w:jc w:val="both"/>
        <w:rPr>
          <w:rFonts w:ascii="Times New Roman" w:hAnsi="Times New Roman" w:cs="Times New Roman"/>
        </w:rPr>
      </w:pPr>
    </w:p>
    <w:p w:rsidR="00532CD1" w:rsidRPr="009453FD" w:rsidRDefault="00532CD1" w:rsidP="007570C7">
      <w:pPr>
        <w:spacing w:after="0" w:line="240" w:lineRule="auto"/>
        <w:jc w:val="both"/>
        <w:rPr>
          <w:rFonts w:ascii="Times New Roman" w:hAnsi="Times New Roman" w:cs="Times New Roman"/>
          <w:color w:val="FF0000"/>
        </w:rPr>
      </w:pPr>
    </w:p>
    <w:p w:rsidR="00FE1950" w:rsidRPr="009453FD" w:rsidRDefault="00FE1950" w:rsidP="00FE1950">
      <w:pPr>
        <w:spacing w:after="0" w:line="240" w:lineRule="auto"/>
        <w:jc w:val="both"/>
        <w:rPr>
          <w:rFonts w:ascii="Times New Roman" w:hAnsi="Times New Roman" w:cs="Times New Roman"/>
          <w:color w:val="FF0000"/>
        </w:rPr>
      </w:pPr>
    </w:p>
    <w:p w:rsidR="00FE1950" w:rsidRPr="009453FD" w:rsidRDefault="00FE1950" w:rsidP="00FE1950">
      <w:pPr>
        <w:spacing w:after="0" w:line="240" w:lineRule="auto"/>
        <w:jc w:val="both"/>
        <w:rPr>
          <w:rFonts w:ascii="Times New Roman" w:hAnsi="Times New Roman" w:cs="Times New Roman"/>
          <w:color w:val="FF0000"/>
        </w:rPr>
        <w:sectPr w:rsidR="00FE1950" w:rsidRPr="009453FD" w:rsidSect="0092653C">
          <w:type w:val="continuous"/>
          <w:pgSz w:w="12240" w:h="15840"/>
          <w:pgMar w:top="1417" w:right="1701" w:bottom="1417" w:left="1701" w:header="720" w:footer="720" w:gutter="0"/>
          <w:cols w:num="2" w:space="720"/>
          <w:docGrid w:linePitch="360"/>
        </w:sectPr>
      </w:pPr>
    </w:p>
    <w:p w:rsidR="00312262" w:rsidRPr="009453FD" w:rsidRDefault="00312262" w:rsidP="00674EAE">
      <w:pPr>
        <w:pStyle w:val="Sinespaciado"/>
        <w:jc w:val="both"/>
        <w:rPr>
          <w:rFonts w:ascii="Times New Roman" w:hAnsi="Times New Roman" w:cs="Times New Roman"/>
          <w:color w:val="FF0000"/>
          <w:szCs w:val="18"/>
        </w:rPr>
      </w:pPr>
    </w:p>
    <w:p w:rsidR="001A6038" w:rsidRDefault="001A6038" w:rsidP="00674EAE">
      <w:pPr>
        <w:pStyle w:val="Sinespaciado"/>
        <w:jc w:val="both"/>
        <w:rPr>
          <w:rFonts w:ascii="Times New Roman" w:hAnsi="Times New Roman" w:cs="Times New Roman"/>
          <w:color w:val="FF0000"/>
          <w:szCs w:val="18"/>
        </w:rPr>
      </w:pPr>
    </w:p>
    <w:p w:rsidR="00537B9E" w:rsidRDefault="00537B9E" w:rsidP="00674EAE">
      <w:pPr>
        <w:pStyle w:val="Sinespaciado"/>
        <w:jc w:val="both"/>
        <w:rPr>
          <w:rFonts w:ascii="Times New Roman" w:hAnsi="Times New Roman" w:cs="Times New Roman"/>
          <w:color w:val="FF0000"/>
          <w:szCs w:val="18"/>
        </w:rPr>
      </w:pPr>
    </w:p>
    <w:p w:rsidR="00537B9E" w:rsidRPr="009453FD" w:rsidRDefault="00537B9E" w:rsidP="00674EAE">
      <w:pPr>
        <w:pStyle w:val="Sinespaciado"/>
        <w:jc w:val="both"/>
        <w:rPr>
          <w:rFonts w:ascii="Times New Roman" w:hAnsi="Times New Roman" w:cs="Times New Roman"/>
          <w:color w:val="FF0000"/>
          <w:szCs w:val="18"/>
        </w:rPr>
        <w:sectPr w:rsidR="00537B9E" w:rsidRPr="009453FD" w:rsidSect="005A03A9">
          <w:headerReference w:type="default" r:id="rId15"/>
          <w:footerReference w:type="default" r:id="rId16"/>
          <w:type w:val="continuous"/>
          <w:pgSz w:w="12240" w:h="15840"/>
          <w:pgMar w:top="1417" w:right="1701" w:bottom="1417" w:left="1701" w:header="708" w:footer="708" w:gutter="0"/>
          <w:cols w:num="2" w:space="708"/>
          <w:docGrid w:linePitch="360"/>
        </w:sectPr>
      </w:pPr>
    </w:p>
    <w:p w:rsidR="00FA3B81" w:rsidRPr="007570C7" w:rsidRDefault="00936E17"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7570C7" w:rsidSect="00FA3B81">
          <w:headerReference w:type="default" r:id="rId17"/>
          <w:footerReference w:type="default" r:id="rId18"/>
          <w:type w:val="continuous"/>
          <w:pgSz w:w="12240" w:h="15840" w:code="1"/>
          <w:pgMar w:top="1418" w:right="1418" w:bottom="1418" w:left="1418" w:header="709" w:footer="709" w:gutter="0"/>
          <w:cols w:space="708"/>
          <w:docGrid w:linePitch="360"/>
        </w:sectPr>
      </w:pPr>
      <w:r w:rsidRPr="007570C7">
        <w:rPr>
          <w:rFonts w:ascii="Times New Roman" w:hAnsi="Times New Roman" w:cs="Times New Roman"/>
          <w:b/>
          <w:lang w:val="es-MX"/>
        </w:rPr>
        <w:lastRenderedPageBreak/>
        <w:t xml:space="preserve">En </w:t>
      </w:r>
      <w:r w:rsidR="00634664" w:rsidRPr="007570C7">
        <w:rPr>
          <w:rFonts w:ascii="Times New Roman" w:hAnsi="Times New Roman" w:cs="Times New Roman"/>
          <w:b/>
          <w:lang w:val="es-MX"/>
        </w:rPr>
        <w:t>febrero</w:t>
      </w:r>
      <w:r w:rsidR="00E37543" w:rsidRPr="007570C7">
        <w:rPr>
          <w:rFonts w:ascii="Times New Roman" w:hAnsi="Times New Roman" w:cs="Times New Roman"/>
          <w:b/>
          <w:lang w:val="es-MX"/>
        </w:rPr>
        <w:t xml:space="preserve"> se</w:t>
      </w:r>
      <w:r w:rsidRPr="007570C7">
        <w:rPr>
          <w:rFonts w:ascii="Times New Roman" w:hAnsi="Times New Roman" w:cs="Times New Roman"/>
          <w:b/>
          <w:lang w:val="es-MX"/>
        </w:rPr>
        <w:t xml:space="preserve"> observa un</w:t>
      </w:r>
      <w:r w:rsidR="00634664" w:rsidRPr="007570C7">
        <w:rPr>
          <w:rFonts w:ascii="Times New Roman" w:hAnsi="Times New Roman" w:cs="Times New Roman"/>
          <w:b/>
          <w:lang w:val="es-MX"/>
        </w:rPr>
        <w:t>a fuerte desaceleración del</w:t>
      </w:r>
      <w:r w:rsidR="00E37543" w:rsidRPr="007570C7">
        <w:rPr>
          <w:rFonts w:ascii="Times New Roman" w:hAnsi="Times New Roman" w:cs="Times New Roman"/>
          <w:b/>
          <w:lang w:val="es-MX"/>
        </w:rPr>
        <w:t xml:space="preserve"> gasto</w:t>
      </w:r>
    </w:p>
    <w:p w:rsidR="00FA3B81" w:rsidRPr="009453FD" w:rsidRDefault="00FA3B81" w:rsidP="00FA3B81">
      <w:pPr>
        <w:pStyle w:val="Sinespaciado"/>
        <w:rPr>
          <w:rFonts w:ascii="Times New Roman" w:hAnsi="Times New Roman" w:cs="Times New Roman"/>
          <w:b/>
          <w:color w:val="FF0000"/>
          <w:sz w:val="18"/>
          <w:lang w:val="es-MX"/>
        </w:rPr>
      </w:pPr>
    </w:p>
    <w:p w:rsidR="00FA3B81" w:rsidRPr="009453FD" w:rsidRDefault="00FA3B81" w:rsidP="00FA3B81">
      <w:pPr>
        <w:pStyle w:val="Sinespaciado"/>
        <w:jc w:val="center"/>
        <w:rPr>
          <w:rFonts w:ascii="Times New Roman" w:hAnsi="Times New Roman" w:cs="Times New Roman"/>
          <w:b/>
          <w:color w:val="FF0000"/>
          <w:lang w:val="es-MX"/>
        </w:rPr>
        <w:sectPr w:rsidR="00FA3B81" w:rsidRPr="009453FD" w:rsidSect="004E358C">
          <w:type w:val="continuous"/>
          <w:pgSz w:w="12240" w:h="15840"/>
          <w:pgMar w:top="1417" w:right="1701" w:bottom="1417" w:left="1701" w:header="708" w:footer="708" w:gutter="0"/>
          <w:cols w:space="708"/>
          <w:docGrid w:linePitch="360"/>
        </w:sectPr>
      </w:pPr>
    </w:p>
    <w:p w:rsidR="00634664" w:rsidRPr="009453FD" w:rsidRDefault="007570C7" w:rsidP="00634664">
      <w:pPr>
        <w:pStyle w:val="Sinespaciado"/>
        <w:jc w:val="both"/>
        <w:rPr>
          <w:rFonts w:ascii="Times New Roman" w:hAnsi="Times New Roman" w:cs="Times New Roman"/>
          <w:color w:val="FF0000"/>
        </w:rPr>
      </w:pPr>
      <w:r w:rsidRPr="00EC7D03">
        <w:rPr>
          <w:rFonts w:ascii="Times New Roman" w:hAnsi="Times New Roman" w:cs="Times New Roman"/>
          <w:lang w:val="es-MX"/>
        </w:rPr>
        <w:lastRenderedPageBreak/>
        <w:t>La ejecución del gasto público sin incluir las amortizaciones de</w:t>
      </w:r>
      <w:r>
        <w:rPr>
          <w:rFonts w:ascii="Times New Roman" w:hAnsi="Times New Roman" w:cs="Times New Roman"/>
          <w:lang w:val="es-MX"/>
        </w:rPr>
        <w:t xml:space="preserve"> la deuda pública se ubicó en Q10</w:t>
      </w:r>
      <w:r w:rsidRPr="00EC7D03">
        <w:rPr>
          <w:rFonts w:ascii="Times New Roman" w:hAnsi="Times New Roman" w:cs="Times New Roman"/>
          <w:lang w:val="es-MX"/>
        </w:rPr>
        <w:t>,</w:t>
      </w:r>
      <w:r>
        <w:rPr>
          <w:rFonts w:ascii="Times New Roman" w:hAnsi="Times New Roman" w:cs="Times New Roman"/>
          <w:lang w:val="es-MX"/>
        </w:rPr>
        <w:t>575.0</w:t>
      </w:r>
      <w:r w:rsidRPr="00EC7D03">
        <w:rPr>
          <w:rFonts w:ascii="Times New Roman" w:hAnsi="Times New Roman" w:cs="Times New Roman"/>
          <w:lang w:val="es-MX"/>
        </w:rPr>
        <w:t xml:space="preserve"> </w:t>
      </w:r>
      <w:r>
        <w:rPr>
          <w:rFonts w:ascii="Times New Roman" w:hAnsi="Times New Roman" w:cs="Times New Roman"/>
          <w:lang w:val="es-MX"/>
        </w:rPr>
        <w:t xml:space="preserve">con un crecimiento interanual de 0.1%, el año anterior el gasto público se encontraba creciendo a un nivel del 17.6% dado que durante los primeros meses del año pasado tuvo una incidencia importante en el crecimiento del gasto </w:t>
      </w:r>
      <w:r w:rsidRPr="00E40B1A">
        <w:rPr>
          <w:rFonts w:ascii="Times New Roman" w:hAnsi="Times New Roman" w:cs="Times New Roman"/>
          <w:lang w:val="es-MX"/>
        </w:rPr>
        <w:t xml:space="preserve">el aporte extraordinario que </w:t>
      </w:r>
      <w:r>
        <w:rPr>
          <w:rFonts w:ascii="Times New Roman" w:hAnsi="Times New Roman" w:cs="Times New Roman"/>
          <w:lang w:val="es-MX"/>
        </w:rPr>
        <w:t>se</w:t>
      </w:r>
      <w:r w:rsidRPr="00E40B1A">
        <w:rPr>
          <w:rFonts w:ascii="Times New Roman" w:hAnsi="Times New Roman" w:cs="Times New Roman"/>
          <w:lang w:val="es-MX"/>
        </w:rPr>
        <w:t xml:space="preserve"> realiz</w:t>
      </w:r>
      <w:r>
        <w:rPr>
          <w:rFonts w:ascii="Times New Roman" w:hAnsi="Times New Roman" w:cs="Times New Roman"/>
          <w:lang w:val="es-MX"/>
        </w:rPr>
        <w:t>ó</w:t>
      </w:r>
      <w:r w:rsidRPr="00E40B1A">
        <w:rPr>
          <w:rFonts w:ascii="Times New Roman" w:hAnsi="Times New Roman" w:cs="Times New Roman"/>
          <w:lang w:val="es-MX"/>
        </w:rPr>
        <w:t xml:space="preserve"> al Tribunal Supremo Electoral, derivado de las Elecciones Generales</w:t>
      </w:r>
      <w:r>
        <w:rPr>
          <w:rFonts w:ascii="Times New Roman" w:hAnsi="Times New Roman" w:cs="Times New Roman"/>
          <w:lang w:val="es-MX"/>
        </w:rPr>
        <w:t xml:space="preserve"> llevadas a cabo el año pasado</w:t>
      </w:r>
      <w:r w:rsidRPr="00E40B1A">
        <w:rPr>
          <w:rFonts w:ascii="Times New Roman" w:hAnsi="Times New Roman" w:cs="Times New Roman"/>
          <w:lang w:val="es-MX"/>
        </w:rPr>
        <w:t xml:space="preserve">, en ese sentido, en febrero se </w:t>
      </w:r>
      <w:r>
        <w:rPr>
          <w:rFonts w:ascii="Times New Roman" w:hAnsi="Times New Roman" w:cs="Times New Roman"/>
          <w:lang w:val="es-MX"/>
        </w:rPr>
        <w:t>dio</w:t>
      </w:r>
      <w:r w:rsidRPr="00E40B1A">
        <w:rPr>
          <w:rFonts w:ascii="Times New Roman" w:hAnsi="Times New Roman" w:cs="Times New Roman"/>
          <w:lang w:val="es-MX"/>
        </w:rPr>
        <w:t xml:space="preserve"> el último aporte extraordinario como se estableció en el Presupuesto</w:t>
      </w:r>
      <w:r>
        <w:rPr>
          <w:rFonts w:ascii="Times New Roman" w:hAnsi="Times New Roman" w:cs="Times New Roman"/>
          <w:lang w:val="es-MX"/>
        </w:rPr>
        <w:t xml:space="preserve"> para Ejercicio Fiscal 2019. Adicionalmente, también se observó una alta ejecución en otros rubros relacionados a la inversión pública y el gasto social.</w:t>
      </w:r>
      <w:r w:rsidR="00634664" w:rsidRPr="009453FD">
        <w:rPr>
          <w:rFonts w:ascii="Times New Roman" w:hAnsi="Times New Roman" w:cs="Times New Roman"/>
          <w:color w:val="FF0000"/>
        </w:rPr>
        <w:t xml:space="preserve"> </w:t>
      </w:r>
    </w:p>
    <w:p w:rsidR="00634664" w:rsidRPr="009453FD" w:rsidRDefault="00634664" w:rsidP="00634664">
      <w:pPr>
        <w:pStyle w:val="Sinespaciado"/>
        <w:jc w:val="both"/>
        <w:rPr>
          <w:rFonts w:ascii="Times New Roman" w:hAnsi="Times New Roman" w:cs="Times New Roman"/>
          <w:color w:val="FF0000"/>
          <w:lang w:val="es-MX"/>
        </w:rPr>
      </w:pPr>
    </w:p>
    <w:p w:rsidR="00634664" w:rsidRPr="007570C7" w:rsidRDefault="00634664" w:rsidP="00634664">
      <w:pPr>
        <w:pStyle w:val="Sinespaciado"/>
        <w:jc w:val="center"/>
        <w:rPr>
          <w:rFonts w:ascii="Times New Roman" w:hAnsi="Times New Roman" w:cs="Times New Roman"/>
          <w:b/>
          <w:lang w:val="es-MX"/>
        </w:rPr>
      </w:pPr>
      <w:r w:rsidRPr="007570C7">
        <w:rPr>
          <w:rFonts w:ascii="Times New Roman" w:hAnsi="Times New Roman" w:cs="Times New Roman"/>
          <w:b/>
          <w:lang w:val="es-MX"/>
        </w:rPr>
        <w:t>Ritmo de Ejecución del Gasto</w:t>
      </w:r>
    </w:p>
    <w:p w:rsidR="00634664" w:rsidRPr="007570C7" w:rsidRDefault="00634664" w:rsidP="00634664">
      <w:pPr>
        <w:pStyle w:val="Sinespaciado"/>
        <w:jc w:val="center"/>
        <w:rPr>
          <w:rFonts w:ascii="Times New Roman" w:hAnsi="Times New Roman" w:cs="Times New Roman"/>
          <w:sz w:val="18"/>
          <w:lang w:val="es-MX"/>
        </w:rPr>
      </w:pPr>
      <w:r w:rsidRPr="007570C7">
        <w:rPr>
          <w:rFonts w:ascii="Times New Roman" w:hAnsi="Times New Roman" w:cs="Times New Roman"/>
          <w:sz w:val="18"/>
          <w:lang w:val="es-MX"/>
        </w:rPr>
        <w:t>Variación Interanual*</w:t>
      </w:r>
    </w:p>
    <w:p w:rsidR="00634664" w:rsidRPr="007570C7" w:rsidRDefault="00634664" w:rsidP="00634664">
      <w:pPr>
        <w:pStyle w:val="Sinespaciado"/>
        <w:jc w:val="center"/>
        <w:rPr>
          <w:rFonts w:ascii="Times New Roman" w:hAnsi="Times New Roman" w:cs="Times New Roman"/>
          <w:sz w:val="18"/>
          <w:lang w:val="es-MX"/>
        </w:rPr>
      </w:pPr>
      <w:r w:rsidRPr="007570C7">
        <w:rPr>
          <w:noProof/>
          <w:lang w:eastAsia="es-GT"/>
        </w:rPr>
        <w:drawing>
          <wp:inline distT="0" distB="0" distL="0" distR="0" wp14:anchorId="7E87A4DE" wp14:editId="34CCCC31">
            <wp:extent cx="2786332" cy="218173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9138" cy="2254403"/>
                    </a:xfrm>
                    <a:prstGeom prst="rect">
                      <a:avLst/>
                    </a:prstGeom>
                  </pic:spPr>
                </pic:pic>
              </a:graphicData>
            </a:graphic>
          </wp:inline>
        </w:drawing>
      </w:r>
    </w:p>
    <w:p w:rsidR="00634664" w:rsidRPr="007570C7" w:rsidRDefault="00634664" w:rsidP="00634664">
      <w:pPr>
        <w:pStyle w:val="Sinespaciado"/>
        <w:rPr>
          <w:rFonts w:ascii="Times New Roman" w:hAnsi="Times New Roman" w:cs="Times New Roman"/>
          <w:sz w:val="16"/>
          <w:lang w:val="es-MX"/>
        </w:rPr>
      </w:pPr>
      <w:r w:rsidRPr="007570C7">
        <w:rPr>
          <w:rFonts w:ascii="Times New Roman" w:hAnsi="Times New Roman" w:cs="Times New Roman"/>
          <w:sz w:val="16"/>
          <w:lang w:val="es-MX"/>
        </w:rPr>
        <w:t>*No incluye amortizaciones de la deuda pública</w:t>
      </w:r>
    </w:p>
    <w:p w:rsidR="00634664" w:rsidRPr="007570C7" w:rsidRDefault="00634664" w:rsidP="00634664">
      <w:pPr>
        <w:spacing w:after="0" w:line="240" w:lineRule="auto"/>
        <w:jc w:val="both"/>
        <w:rPr>
          <w:rFonts w:ascii="Times New Roman" w:hAnsi="Times New Roman" w:cs="Times New Roman"/>
          <w:sz w:val="14"/>
        </w:rPr>
      </w:pPr>
      <w:r w:rsidRPr="007570C7">
        <w:rPr>
          <w:rFonts w:ascii="Times New Roman" w:hAnsi="Times New Roman" w:cs="Times New Roman"/>
          <w:sz w:val="14"/>
        </w:rPr>
        <w:t>Fuente: Dirección de Análisis y Política Fiscal</w:t>
      </w:r>
    </w:p>
    <w:p w:rsidR="00634664" w:rsidRPr="009453FD" w:rsidRDefault="00634664" w:rsidP="00634664">
      <w:pPr>
        <w:pStyle w:val="Sinespaciado"/>
        <w:jc w:val="both"/>
        <w:rPr>
          <w:rFonts w:ascii="Times New Roman" w:hAnsi="Times New Roman" w:cs="Times New Roman"/>
          <w:color w:val="FF0000"/>
          <w:lang w:val="es-MX"/>
        </w:rPr>
      </w:pPr>
    </w:p>
    <w:p w:rsidR="007570C7" w:rsidRDefault="007570C7" w:rsidP="007570C7">
      <w:pPr>
        <w:pStyle w:val="Sinespaciado"/>
        <w:jc w:val="both"/>
        <w:rPr>
          <w:rFonts w:ascii="Times New Roman" w:hAnsi="Times New Roman" w:cs="Times New Roman"/>
          <w:lang w:val="es-MX"/>
        </w:rPr>
      </w:pPr>
      <w:r>
        <w:rPr>
          <w:rFonts w:ascii="Times New Roman" w:hAnsi="Times New Roman" w:cs="Times New Roman"/>
          <w:lang w:val="es-MX"/>
        </w:rPr>
        <w:t xml:space="preserve">El bajo dinamismo en la ejecución se espera sea de carácter temporal, derivado de la ampliación presupuestaria que se ha estado trabajando como </w:t>
      </w:r>
      <w:r>
        <w:rPr>
          <w:rFonts w:ascii="Times New Roman" w:hAnsi="Times New Roman" w:cs="Times New Roman"/>
          <w:lang w:val="es-MX"/>
        </w:rPr>
        <w:lastRenderedPageBreak/>
        <w:t xml:space="preserve">consecuencia de la no aprobación del presupuesto para el ejercicio fiscal 2020. Una ejecución moderada es congruente con lo observado en años anteriores durante el primer año de una nueva administración pública, </w:t>
      </w:r>
      <w:r w:rsidRPr="000E154F">
        <w:rPr>
          <w:rFonts w:ascii="Times New Roman" w:hAnsi="Times New Roman" w:cs="Times New Roman"/>
          <w:lang w:val="es-MX"/>
        </w:rPr>
        <w:t>en los próximos meses se podría observar un mayor dinamismo</w:t>
      </w:r>
      <w:r>
        <w:rPr>
          <w:rFonts w:ascii="Times New Roman" w:hAnsi="Times New Roman" w:cs="Times New Roman"/>
          <w:lang w:val="es-MX"/>
        </w:rPr>
        <w:t xml:space="preserve"> en la ejecución, </w:t>
      </w:r>
      <w:r w:rsidRPr="000E154F">
        <w:rPr>
          <w:rFonts w:ascii="Times New Roman" w:hAnsi="Times New Roman" w:cs="Times New Roman"/>
          <w:lang w:val="es-MX"/>
        </w:rPr>
        <w:t>aunque siempre por debajo de lo observado en el 2019.</w:t>
      </w:r>
    </w:p>
    <w:p w:rsidR="007570C7" w:rsidRPr="000E154F" w:rsidRDefault="007570C7" w:rsidP="007570C7">
      <w:pPr>
        <w:pStyle w:val="Sinespaciado"/>
        <w:jc w:val="both"/>
        <w:rPr>
          <w:rFonts w:ascii="Times New Roman" w:hAnsi="Times New Roman" w:cs="Times New Roman"/>
          <w:lang w:val="es-MX"/>
        </w:rPr>
      </w:pPr>
    </w:p>
    <w:p w:rsidR="007570C7" w:rsidRDefault="007570C7" w:rsidP="007570C7">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se puede ver que el mayor gasto se destinó al pago de las remuneraciones, el cual reporta una ejecución mayor en Q580.7 millones respecto al año previo, representando el 42.7% del gasto total, en buena medida explicado por los incrementos salariales de algunos ministerios; el rubro de bienes y servicios reporta un crecimiento interanual cercano al 40%, siendo equivalente a Q211.0 millones. </w:t>
      </w:r>
    </w:p>
    <w:p w:rsidR="007570C7" w:rsidRDefault="007570C7" w:rsidP="007570C7">
      <w:pPr>
        <w:pStyle w:val="Sinespaciado"/>
        <w:jc w:val="both"/>
        <w:rPr>
          <w:rFonts w:ascii="Times New Roman" w:hAnsi="Times New Roman" w:cs="Times New Roman"/>
          <w:lang w:val="es-MX"/>
        </w:rPr>
      </w:pPr>
    </w:p>
    <w:p w:rsidR="007570C7" w:rsidRDefault="007570C7" w:rsidP="007570C7">
      <w:pPr>
        <w:pStyle w:val="Sinespaciado"/>
        <w:jc w:val="both"/>
        <w:rPr>
          <w:rFonts w:ascii="Times New Roman" w:hAnsi="Times New Roman" w:cs="Times New Roman"/>
          <w:lang w:val="es-MX"/>
        </w:rPr>
      </w:pPr>
      <w:r>
        <w:rPr>
          <w:rFonts w:ascii="Times New Roman" w:hAnsi="Times New Roman" w:cs="Times New Roman"/>
          <w:lang w:val="es-MX"/>
        </w:rPr>
        <w:t>Por su parte, las transferencias corrientes y la inversión real directa reportan caídas respecto al año previo, siendo de Q519.7 millones y Q282.8 millones, respectivamente.</w:t>
      </w:r>
    </w:p>
    <w:p w:rsidR="007570C7" w:rsidRDefault="007570C7" w:rsidP="007570C7">
      <w:pPr>
        <w:pStyle w:val="Sinespaciado"/>
        <w:jc w:val="both"/>
        <w:rPr>
          <w:rFonts w:ascii="Times New Roman" w:hAnsi="Times New Roman" w:cs="Times New Roman"/>
          <w:lang w:val="es-MX"/>
        </w:rPr>
      </w:pPr>
    </w:p>
    <w:p w:rsidR="00634664" w:rsidRPr="009453FD" w:rsidRDefault="007570C7" w:rsidP="007570C7">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Respecto a la caída observada en las transferencias corrientes, se debe recordar que este año no se tuvo el compromiso del año anterior de trasladar recursos al </w:t>
      </w:r>
      <w:r w:rsidRPr="00453B90">
        <w:rPr>
          <w:rFonts w:ascii="Times New Roman" w:hAnsi="Times New Roman" w:cs="Times New Roman"/>
          <w:lang w:val="es-MX"/>
        </w:rPr>
        <w:t>Tribunal Supremo E</w:t>
      </w:r>
      <w:r>
        <w:rPr>
          <w:rFonts w:ascii="Times New Roman" w:hAnsi="Times New Roman" w:cs="Times New Roman"/>
          <w:lang w:val="es-MX"/>
        </w:rPr>
        <w:t>l</w:t>
      </w:r>
      <w:r w:rsidRPr="00453B90">
        <w:rPr>
          <w:rFonts w:ascii="Times New Roman" w:hAnsi="Times New Roman" w:cs="Times New Roman"/>
          <w:lang w:val="es-MX"/>
        </w:rPr>
        <w:t>ectoral</w:t>
      </w:r>
      <w:r>
        <w:rPr>
          <w:rFonts w:ascii="Times New Roman" w:hAnsi="Times New Roman" w:cs="Times New Roman"/>
          <w:lang w:val="es-MX"/>
        </w:rPr>
        <w:t xml:space="preserve"> por concepto del </w:t>
      </w:r>
      <w:r w:rsidRPr="00343E58">
        <w:rPr>
          <w:rFonts w:ascii="Times New Roman" w:hAnsi="Times New Roman" w:cs="Times New Roman"/>
          <w:lang w:val="es-MX"/>
        </w:rPr>
        <w:t>aporte para las elecciones generales</w:t>
      </w:r>
      <w:r>
        <w:rPr>
          <w:rFonts w:ascii="Times New Roman" w:hAnsi="Times New Roman" w:cs="Times New Roman"/>
          <w:lang w:val="es-MX"/>
        </w:rPr>
        <w:t>. Este aporte era del orden de Q500.0 millones, monto que coincide con la caída observada en este rubro.</w:t>
      </w:r>
    </w:p>
    <w:p w:rsidR="00634664" w:rsidRDefault="00634664" w:rsidP="00634664">
      <w:pPr>
        <w:spacing w:after="0" w:line="240" w:lineRule="auto"/>
        <w:jc w:val="both"/>
        <w:rPr>
          <w:rFonts w:ascii="Times New Roman" w:hAnsi="Times New Roman" w:cs="Times New Roman"/>
          <w:lang w:val="es-MX"/>
        </w:rPr>
      </w:pPr>
    </w:p>
    <w:p w:rsidR="00537B9E" w:rsidRDefault="00537B9E" w:rsidP="00634664">
      <w:pPr>
        <w:spacing w:after="0" w:line="240" w:lineRule="auto"/>
        <w:jc w:val="both"/>
        <w:rPr>
          <w:rFonts w:ascii="Times New Roman" w:hAnsi="Times New Roman" w:cs="Times New Roman"/>
          <w:lang w:val="es-MX"/>
        </w:rPr>
      </w:pPr>
    </w:p>
    <w:p w:rsidR="00537B9E" w:rsidRDefault="00537B9E" w:rsidP="00634664">
      <w:pPr>
        <w:spacing w:after="0" w:line="240" w:lineRule="auto"/>
        <w:jc w:val="both"/>
        <w:rPr>
          <w:rFonts w:ascii="Times New Roman" w:hAnsi="Times New Roman" w:cs="Times New Roman"/>
          <w:lang w:val="es-MX"/>
        </w:rPr>
      </w:pPr>
    </w:p>
    <w:p w:rsidR="00537B9E" w:rsidRDefault="00537B9E" w:rsidP="00634664">
      <w:pPr>
        <w:spacing w:after="0" w:line="240" w:lineRule="auto"/>
        <w:jc w:val="both"/>
        <w:rPr>
          <w:rFonts w:ascii="Times New Roman" w:hAnsi="Times New Roman" w:cs="Times New Roman"/>
          <w:lang w:val="es-MX"/>
        </w:rPr>
      </w:pPr>
    </w:p>
    <w:p w:rsidR="00537B9E" w:rsidRDefault="00537B9E" w:rsidP="00634664">
      <w:pPr>
        <w:spacing w:after="0" w:line="240" w:lineRule="auto"/>
        <w:jc w:val="both"/>
        <w:rPr>
          <w:rFonts w:ascii="Times New Roman" w:hAnsi="Times New Roman" w:cs="Times New Roman"/>
          <w:lang w:val="es-MX"/>
        </w:rPr>
      </w:pPr>
    </w:p>
    <w:p w:rsidR="00537B9E" w:rsidRPr="007570C7" w:rsidRDefault="00537B9E" w:rsidP="00634664">
      <w:pPr>
        <w:spacing w:after="0" w:line="240" w:lineRule="auto"/>
        <w:jc w:val="both"/>
        <w:rPr>
          <w:rFonts w:ascii="Times New Roman" w:hAnsi="Times New Roman" w:cs="Times New Roman"/>
          <w:lang w:val="es-MX"/>
        </w:rPr>
      </w:pPr>
    </w:p>
    <w:p w:rsidR="00634664" w:rsidRPr="007570C7" w:rsidRDefault="00634664" w:rsidP="00634664">
      <w:pPr>
        <w:pStyle w:val="Sinespaciado"/>
        <w:jc w:val="center"/>
        <w:rPr>
          <w:rFonts w:ascii="Times New Roman" w:hAnsi="Times New Roman" w:cs="Times New Roman"/>
          <w:sz w:val="18"/>
          <w:lang w:val="es-MX"/>
        </w:rPr>
      </w:pPr>
      <w:r w:rsidRPr="007570C7">
        <w:rPr>
          <w:rFonts w:ascii="Times New Roman" w:hAnsi="Times New Roman" w:cs="Times New Roman"/>
          <w:b/>
          <w:lang w:val="es-MX"/>
        </w:rPr>
        <w:lastRenderedPageBreak/>
        <w:t>Ejecución por rubro de Cuenta Económica</w:t>
      </w:r>
      <w:r w:rsidRPr="007570C7">
        <w:t xml:space="preserve"> </w:t>
      </w:r>
      <w:r w:rsidRPr="007570C7">
        <w:rPr>
          <w:rFonts w:ascii="Times New Roman" w:hAnsi="Times New Roman" w:cs="Times New Roman"/>
          <w:sz w:val="18"/>
          <w:lang w:val="es-MX"/>
        </w:rPr>
        <w:t>2020 – 2019</w:t>
      </w:r>
    </w:p>
    <w:p w:rsidR="00634664" w:rsidRPr="007570C7" w:rsidRDefault="007570C7" w:rsidP="00634664">
      <w:pPr>
        <w:pStyle w:val="Sinespaciado"/>
        <w:jc w:val="center"/>
        <w:rPr>
          <w:rFonts w:ascii="Times New Roman" w:hAnsi="Times New Roman" w:cs="Times New Roman"/>
          <w:lang w:val="es-MX"/>
        </w:rPr>
      </w:pPr>
      <w:r w:rsidRPr="007570C7">
        <w:rPr>
          <w:rFonts w:ascii="Times New Roman" w:hAnsi="Times New Roman" w:cs="Times New Roman"/>
          <w:noProof/>
          <w:lang w:eastAsia="es-GT"/>
        </w:rPr>
        <w:drawing>
          <wp:anchor distT="0" distB="0" distL="114300" distR="114300" simplePos="0" relativeHeight="251757568" behindDoc="0" locked="0" layoutInCell="1" allowOverlap="1" wp14:anchorId="1DC3A63D" wp14:editId="75CD3B5D">
            <wp:simplePos x="0" y="0"/>
            <wp:positionH relativeFrom="column">
              <wp:posOffset>-47625</wp:posOffset>
            </wp:positionH>
            <wp:positionV relativeFrom="paragraph">
              <wp:posOffset>135890</wp:posOffset>
            </wp:positionV>
            <wp:extent cx="3067050" cy="1974850"/>
            <wp:effectExtent l="0" t="0" r="0" b="6350"/>
            <wp:wrapSquare wrapText="bothSides"/>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91" t="3303" b="10221"/>
                    <a:stretch/>
                  </pic:blipFill>
                  <pic:spPr bwMode="auto">
                    <a:xfrm>
                      <a:off x="0" y="0"/>
                      <a:ext cx="3067050" cy="197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664" w:rsidRPr="007570C7">
        <w:rPr>
          <w:rFonts w:ascii="Times New Roman" w:hAnsi="Times New Roman" w:cs="Times New Roman"/>
          <w:sz w:val="18"/>
          <w:lang w:val="es-MX"/>
        </w:rPr>
        <w:t>Variación absoluta interanual</w:t>
      </w:r>
    </w:p>
    <w:p w:rsidR="00634664" w:rsidRPr="007570C7" w:rsidRDefault="00634664" w:rsidP="00634664">
      <w:pPr>
        <w:spacing w:after="0" w:line="240" w:lineRule="auto"/>
        <w:jc w:val="both"/>
        <w:rPr>
          <w:rFonts w:ascii="Times New Roman" w:hAnsi="Times New Roman" w:cs="Times New Roman"/>
          <w:sz w:val="14"/>
        </w:rPr>
      </w:pPr>
      <w:r w:rsidRPr="007570C7">
        <w:rPr>
          <w:rFonts w:ascii="Times New Roman" w:hAnsi="Times New Roman" w:cs="Times New Roman"/>
          <w:sz w:val="14"/>
        </w:rPr>
        <w:t>Fuente: Dirección de Análisis y Política Fiscal</w:t>
      </w:r>
    </w:p>
    <w:p w:rsidR="001E20AE" w:rsidRDefault="001E20AE" w:rsidP="007570C7">
      <w:pPr>
        <w:pStyle w:val="Sinespaciado"/>
        <w:jc w:val="both"/>
        <w:rPr>
          <w:rFonts w:ascii="Times New Roman" w:hAnsi="Times New Roman" w:cs="Times New Roman"/>
          <w:lang w:val="es-MX"/>
        </w:rPr>
      </w:pPr>
    </w:p>
    <w:p w:rsidR="007570C7" w:rsidRDefault="007570C7" w:rsidP="007570C7">
      <w:pPr>
        <w:pStyle w:val="Sinespaciado"/>
        <w:jc w:val="both"/>
        <w:rPr>
          <w:rFonts w:ascii="Times New Roman" w:hAnsi="Times New Roman" w:cs="Times New Roman"/>
          <w:lang w:val="es-MX"/>
        </w:rPr>
      </w:pPr>
      <w:r w:rsidRPr="00B23878">
        <w:rPr>
          <w:rFonts w:ascii="Times New Roman" w:hAnsi="Times New Roman" w:cs="Times New Roman"/>
          <w:lang w:val="es-MX"/>
        </w:rPr>
        <w:t>La caída observada en la</w:t>
      </w:r>
      <w:r>
        <w:rPr>
          <w:rFonts w:ascii="Times New Roman" w:hAnsi="Times New Roman" w:cs="Times New Roman"/>
          <w:lang w:val="es-MX"/>
        </w:rPr>
        <w:t xml:space="preserve"> </w:t>
      </w:r>
      <w:r w:rsidRPr="000E0CE7">
        <w:rPr>
          <w:rFonts w:ascii="Times New Roman" w:hAnsi="Times New Roman" w:cs="Times New Roman"/>
          <w:lang w:val="es-MX"/>
        </w:rPr>
        <w:t>inversión real directa</w:t>
      </w:r>
      <w:r>
        <w:rPr>
          <w:rFonts w:ascii="Times New Roman" w:hAnsi="Times New Roman" w:cs="Times New Roman"/>
          <w:lang w:val="es-MX"/>
        </w:rPr>
        <w:t xml:space="preserve"> se asocia a la baja ejecución del </w:t>
      </w:r>
      <w:r w:rsidRPr="000E0CE7">
        <w:rPr>
          <w:rFonts w:ascii="Times New Roman" w:hAnsi="Times New Roman" w:cs="Times New Roman"/>
          <w:lang w:val="es-MX"/>
        </w:rPr>
        <w:t>Ministerio de Comunicacio</w:t>
      </w:r>
      <w:r>
        <w:rPr>
          <w:rFonts w:ascii="Times New Roman" w:hAnsi="Times New Roman" w:cs="Times New Roman"/>
          <w:lang w:val="es-MX"/>
        </w:rPr>
        <w:t xml:space="preserve">nes, Infraestructura y Vivienda, siendo la entidad que reporta la menor ejecución a la fecha, únicamente del 2.7%, lo cual afecta </w:t>
      </w:r>
      <w:r w:rsidRPr="000E0CE7">
        <w:rPr>
          <w:rFonts w:ascii="Times New Roman" w:hAnsi="Times New Roman" w:cs="Times New Roman"/>
          <w:lang w:val="es-MX"/>
        </w:rPr>
        <w:t>el desarrollo de la infraestructura vial.</w:t>
      </w:r>
    </w:p>
    <w:p w:rsidR="007570C7" w:rsidRDefault="007570C7" w:rsidP="007570C7">
      <w:pPr>
        <w:pStyle w:val="Sinespaciado"/>
        <w:jc w:val="both"/>
        <w:rPr>
          <w:rFonts w:ascii="Times New Roman" w:hAnsi="Times New Roman" w:cs="Times New Roman"/>
          <w:lang w:val="es-MX"/>
        </w:rPr>
      </w:pPr>
    </w:p>
    <w:p w:rsidR="007570C7" w:rsidRDefault="007570C7" w:rsidP="007570C7">
      <w:pPr>
        <w:pStyle w:val="Sinespaciado"/>
        <w:jc w:val="both"/>
        <w:rPr>
          <w:rFonts w:ascii="Times New Roman" w:hAnsi="Times New Roman" w:cs="Times New Roman"/>
          <w:lang w:val="es-MX"/>
        </w:rPr>
      </w:pPr>
      <w:r w:rsidRPr="006220B2">
        <w:rPr>
          <w:rFonts w:ascii="Times New Roman" w:hAnsi="Times New Roman" w:cs="Times New Roman"/>
          <w:lang w:val="es-MX"/>
        </w:rPr>
        <w:t xml:space="preserve">Respecto a la ejecución total del gasto, la cual incluye amortizaciones de la </w:t>
      </w:r>
      <w:r>
        <w:rPr>
          <w:rFonts w:ascii="Times New Roman" w:hAnsi="Times New Roman" w:cs="Times New Roman"/>
          <w:lang w:val="es-MX"/>
        </w:rPr>
        <w:t xml:space="preserve">deuda pública, esta </w:t>
      </w:r>
      <w:r w:rsidRPr="006220B2">
        <w:rPr>
          <w:rFonts w:ascii="Times New Roman" w:hAnsi="Times New Roman" w:cs="Times New Roman"/>
          <w:lang w:val="es-MX"/>
        </w:rPr>
        <w:t>se situó en Q</w:t>
      </w:r>
      <w:r>
        <w:rPr>
          <w:rFonts w:ascii="Times New Roman" w:hAnsi="Times New Roman" w:cs="Times New Roman"/>
          <w:lang w:val="es-MX"/>
        </w:rPr>
        <w:t>11</w:t>
      </w:r>
      <w:r w:rsidRPr="006220B2">
        <w:rPr>
          <w:rFonts w:ascii="Times New Roman" w:hAnsi="Times New Roman" w:cs="Times New Roman"/>
          <w:lang w:val="es-MX"/>
        </w:rPr>
        <w:t>,</w:t>
      </w:r>
      <w:r>
        <w:rPr>
          <w:rFonts w:ascii="Times New Roman" w:hAnsi="Times New Roman" w:cs="Times New Roman"/>
          <w:lang w:val="es-MX"/>
        </w:rPr>
        <w:t>204.1</w:t>
      </w:r>
      <w:r w:rsidRPr="006220B2">
        <w:rPr>
          <w:rFonts w:ascii="Times New Roman" w:hAnsi="Times New Roman" w:cs="Times New Roman"/>
          <w:lang w:val="es-MX"/>
        </w:rPr>
        <w:t xml:space="preserve"> millones</w:t>
      </w:r>
      <w:r>
        <w:rPr>
          <w:rFonts w:ascii="Times New Roman" w:hAnsi="Times New Roman" w:cs="Times New Roman"/>
          <w:lang w:val="es-MX"/>
        </w:rPr>
        <w:t>, con un grado de ejecución de 12.8% y una variación interanual del 0.2%. E</w:t>
      </w:r>
      <w:r w:rsidRPr="006220B2">
        <w:rPr>
          <w:rFonts w:ascii="Times New Roman" w:hAnsi="Times New Roman" w:cs="Times New Roman"/>
          <w:lang w:val="es-MX"/>
        </w:rPr>
        <w:t xml:space="preserve">ste nivel se encuentra </w:t>
      </w:r>
      <w:r>
        <w:rPr>
          <w:rFonts w:ascii="Times New Roman" w:hAnsi="Times New Roman" w:cs="Times New Roman"/>
          <w:lang w:val="es-MX"/>
        </w:rPr>
        <w:t xml:space="preserve">levemente </w:t>
      </w:r>
      <w:r w:rsidRPr="006220B2">
        <w:rPr>
          <w:rFonts w:ascii="Times New Roman" w:hAnsi="Times New Roman" w:cs="Times New Roman"/>
          <w:lang w:val="es-MX"/>
        </w:rPr>
        <w:t>por arriba de la ejecución promedio de los últimos 5 años (</w:t>
      </w:r>
      <w:r>
        <w:rPr>
          <w:rFonts w:ascii="Times New Roman" w:hAnsi="Times New Roman" w:cs="Times New Roman"/>
          <w:lang w:val="es-MX"/>
        </w:rPr>
        <w:t>12.6</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y es superior a la reportada en</w:t>
      </w:r>
      <w:r>
        <w:rPr>
          <w:rFonts w:ascii="Times New Roman" w:hAnsi="Times New Roman" w:cs="Times New Roman"/>
          <w:lang w:val="es-MX"/>
        </w:rPr>
        <w:t>tre 2016-2019.</w:t>
      </w:r>
      <w:r w:rsidRPr="006220B2">
        <w:rPr>
          <w:rFonts w:ascii="Times New Roman" w:hAnsi="Times New Roman" w:cs="Times New Roman"/>
          <w:lang w:val="es-MX"/>
        </w:rPr>
        <w:t xml:space="preserve"> </w:t>
      </w:r>
    </w:p>
    <w:p w:rsidR="007570C7" w:rsidRDefault="007570C7" w:rsidP="007570C7">
      <w:pPr>
        <w:pStyle w:val="Sinespaciado"/>
        <w:jc w:val="both"/>
        <w:rPr>
          <w:rFonts w:ascii="Times New Roman" w:hAnsi="Times New Roman" w:cs="Times New Roman"/>
          <w:lang w:val="es-MX"/>
        </w:rPr>
      </w:pPr>
    </w:p>
    <w:p w:rsidR="007570C7" w:rsidRDefault="007570C7" w:rsidP="007570C7">
      <w:pPr>
        <w:pStyle w:val="Sinespaciado"/>
        <w:jc w:val="both"/>
        <w:rPr>
          <w:rFonts w:ascii="Times New Roman" w:hAnsi="Times New Roman" w:cs="Times New Roman"/>
        </w:rPr>
      </w:pPr>
      <w:r>
        <w:rPr>
          <w:rFonts w:ascii="Times New Roman" w:hAnsi="Times New Roman" w:cs="Times New Roman"/>
        </w:rPr>
        <w:t>A nivel del gasto público por entidades, muestran el mayor nivel de ejecución la PGN</w:t>
      </w:r>
      <w:r w:rsidRPr="003F609E">
        <w:rPr>
          <w:rFonts w:ascii="Times New Roman" w:hAnsi="Times New Roman" w:cs="Times New Roman"/>
        </w:rPr>
        <w:t xml:space="preserve"> (</w:t>
      </w:r>
      <w:r>
        <w:rPr>
          <w:rFonts w:ascii="Times New Roman" w:hAnsi="Times New Roman" w:cs="Times New Roman"/>
        </w:rPr>
        <w:t>16.6</w:t>
      </w:r>
      <w:r w:rsidRPr="003F609E">
        <w:rPr>
          <w:rFonts w:ascii="Times New Roman" w:hAnsi="Times New Roman" w:cs="Times New Roman"/>
        </w:rPr>
        <w:t>%)</w:t>
      </w:r>
      <w:r>
        <w:rPr>
          <w:rFonts w:ascii="Times New Roman" w:hAnsi="Times New Roman" w:cs="Times New Roman"/>
        </w:rPr>
        <w:t xml:space="preserve">, Educación (16.4%), Presidencia (16.2%), Gobernación (14.8%), las Obligaciones a Cargo del Tesoro (14.2%), y Defensa (13.0%) siendo su ejecución superior a la ejecución institucional total (12.8%).     </w:t>
      </w:r>
    </w:p>
    <w:p w:rsidR="007570C7" w:rsidRDefault="007570C7" w:rsidP="007570C7">
      <w:pPr>
        <w:pStyle w:val="Sinespaciado"/>
        <w:jc w:val="both"/>
        <w:rPr>
          <w:rFonts w:ascii="Times New Roman" w:hAnsi="Times New Roman" w:cs="Times New Roman"/>
        </w:rPr>
      </w:pPr>
    </w:p>
    <w:p w:rsidR="007570C7" w:rsidRDefault="007570C7" w:rsidP="007570C7">
      <w:pPr>
        <w:pStyle w:val="Sinespaciado"/>
        <w:jc w:val="both"/>
        <w:rPr>
          <w:rFonts w:ascii="Times New Roman" w:hAnsi="Times New Roman" w:cs="Times New Roman"/>
        </w:rPr>
      </w:pPr>
      <w:r>
        <w:rPr>
          <w:rFonts w:ascii="Times New Roman" w:hAnsi="Times New Roman" w:cs="Times New Roman"/>
        </w:rPr>
        <w:t xml:space="preserve">Por su parte, el resto de entidades se encuentra por debajo de la ejecución institucional total, resalta en especial el caso del Ministerio de Desarrollo Social (3.0%) y Comunicaciones, Infraestructura y Vivienda (2.7%), por </w:t>
      </w:r>
      <w:r>
        <w:rPr>
          <w:rFonts w:ascii="Times New Roman" w:hAnsi="Times New Roman" w:cs="Times New Roman"/>
        </w:rPr>
        <w:lastRenderedPageBreak/>
        <w:t>encontrarse muy por debajo de la ejecución total</w:t>
      </w:r>
      <w:r w:rsidRPr="007D1984">
        <w:rPr>
          <w:rFonts w:ascii="Times New Roman" w:hAnsi="Times New Roman" w:cs="Times New Roman"/>
        </w:rPr>
        <w:t>.</w:t>
      </w:r>
    </w:p>
    <w:p w:rsidR="007570C7" w:rsidRDefault="007570C7" w:rsidP="007570C7">
      <w:pPr>
        <w:pStyle w:val="Sinespaciado"/>
        <w:jc w:val="both"/>
        <w:rPr>
          <w:rFonts w:ascii="Times New Roman" w:hAnsi="Times New Roman" w:cs="Times New Roman"/>
        </w:rPr>
      </w:pPr>
    </w:p>
    <w:p w:rsidR="007570C7" w:rsidRDefault="007570C7" w:rsidP="007570C7">
      <w:pPr>
        <w:pStyle w:val="Sinespaciado"/>
        <w:jc w:val="both"/>
        <w:rPr>
          <w:rFonts w:ascii="Times New Roman" w:hAnsi="Times New Roman" w:cs="Times New Roman"/>
        </w:rPr>
      </w:pPr>
      <w:r>
        <w:rPr>
          <w:rFonts w:ascii="Times New Roman" w:hAnsi="Times New Roman" w:cs="Times New Roman"/>
        </w:rPr>
        <w:t xml:space="preserve">En cuanto a crecimiento interanual once entidades </w:t>
      </w:r>
      <w:r w:rsidRPr="00502A24">
        <w:rPr>
          <w:rFonts w:ascii="Times New Roman" w:hAnsi="Times New Roman" w:cs="Times New Roman"/>
        </w:rPr>
        <w:t>reportan avances en su ejecución respecto al año previo,</w:t>
      </w:r>
      <w:r>
        <w:rPr>
          <w:rFonts w:ascii="Times New Roman" w:hAnsi="Times New Roman" w:cs="Times New Roman"/>
        </w:rPr>
        <w:t xml:space="preserve"> es significativo el avance reportado por el Ministerio de Salud Pública (65.4%), el Ministerio de Gobernación (29.6%) y el Ministerio de Agricultura, Ganadería y Alimentación (27.6%).</w:t>
      </w:r>
    </w:p>
    <w:p w:rsidR="007570C7" w:rsidRDefault="007570C7" w:rsidP="007570C7">
      <w:pPr>
        <w:pStyle w:val="Sinespaciado"/>
        <w:jc w:val="both"/>
        <w:rPr>
          <w:rFonts w:ascii="Times New Roman" w:hAnsi="Times New Roman" w:cs="Times New Roman"/>
        </w:rPr>
      </w:pPr>
    </w:p>
    <w:p w:rsidR="00634664" w:rsidRDefault="007570C7" w:rsidP="007570C7">
      <w:pPr>
        <w:pStyle w:val="Sinespaciado"/>
        <w:jc w:val="both"/>
        <w:rPr>
          <w:rFonts w:ascii="Times New Roman" w:hAnsi="Times New Roman" w:cs="Times New Roman"/>
          <w:color w:val="FF0000"/>
        </w:rPr>
      </w:pPr>
      <w:r>
        <w:rPr>
          <w:rFonts w:ascii="Times New Roman" w:hAnsi="Times New Roman" w:cs="Times New Roman"/>
        </w:rPr>
        <w:t>Entre las entidades que reportan los mayores retrocesos en su ejecución se encuentran el Ministerio de Comunicaciones (-59.3%), Ministerio de Economía (-50.2%) y el Ministerio de Trabajo (-37.3%).</w:t>
      </w:r>
      <w:r w:rsidR="00634664" w:rsidRPr="009453FD">
        <w:rPr>
          <w:rFonts w:ascii="Times New Roman" w:hAnsi="Times New Roman" w:cs="Times New Roman"/>
          <w:color w:val="FF0000"/>
        </w:rPr>
        <w:t xml:space="preserve"> </w:t>
      </w:r>
    </w:p>
    <w:p w:rsidR="001E20AE" w:rsidRPr="009453FD" w:rsidRDefault="001E20AE" w:rsidP="007570C7">
      <w:pPr>
        <w:pStyle w:val="Sinespaciado"/>
        <w:jc w:val="both"/>
        <w:rPr>
          <w:rFonts w:ascii="Times New Roman" w:hAnsi="Times New Roman" w:cs="Times New Roman"/>
          <w:color w:val="FF0000"/>
        </w:rPr>
      </w:pPr>
    </w:p>
    <w:p w:rsidR="00634664" w:rsidRPr="007570C7" w:rsidRDefault="00634664" w:rsidP="00634664">
      <w:pPr>
        <w:spacing w:after="0" w:line="240" w:lineRule="auto"/>
        <w:jc w:val="center"/>
        <w:rPr>
          <w:rFonts w:ascii="Times New Roman" w:hAnsi="Times New Roman" w:cs="Times New Roman"/>
          <w:b/>
          <w:lang w:val="es-MX"/>
        </w:rPr>
      </w:pPr>
      <w:r w:rsidRPr="007570C7">
        <w:rPr>
          <w:rFonts w:ascii="Times New Roman" w:hAnsi="Times New Roman" w:cs="Times New Roman"/>
          <w:b/>
          <w:lang w:val="es-MX"/>
        </w:rPr>
        <w:t>Grado de Ejecución por Entidad</w:t>
      </w:r>
    </w:p>
    <w:p w:rsidR="00634664" w:rsidRPr="007570C7" w:rsidRDefault="00634664" w:rsidP="00634664">
      <w:pPr>
        <w:spacing w:after="0" w:line="240" w:lineRule="auto"/>
        <w:jc w:val="center"/>
        <w:rPr>
          <w:rFonts w:ascii="Times New Roman" w:hAnsi="Times New Roman" w:cs="Times New Roman"/>
          <w:sz w:val="18"/>
          <w:szCs w:val="18"/>
          <w:lang w:val="es-MX"/>
        </w:rPr>
      </w:pPr>
      <w:r w:rsidRPr="007570C7">
        <w:rPr>
          <w:rFonts w:ascii="Times New Roman" w:hAnsi="Times New Roman" w:cs="Times New Roman"/>
          <w:sz w:val="18"/>
          <w:szCs w:val="18"/>
          <w:lang w:val="es-MX"/>
        </w:rPr>
        <w:t>Al 29 de febrero del 2020</w:t>
      </w:r>
    </w:p>
    <w:p w:rsidR="007570C7" w:rsidRPr="007570C7" w:rsidRDefault="007570C7" w:rsidP="00634664">
      <w:pPr>
        <w:spacing w:after="0" w:line="240" w:lineRule="auto"/>
        <w:jc w:val="center"/>
        <w:rPr>
          <w:rFonts w:ascii="Times New Roman" w:hAnsi="Times New Roman" w:cs="Times New Roman"/>
          <w:sz w:val="18"/>
          <w:szCs w:val="18"/>
          <w:lang w:val="es-MX"/>
        </w:rPr>
      </w:pPr>
      <w:r w:rsidRPr="007570C7">
        <w:rPr>
          <w:rFonts w:ascii="Times New Roman" w:hAnsi="Times New Roman" w:cs="Times New Roman"/>
          <w:sz w:val="18"/>
          <w:szCs w:val="18"/>
          <w:lang w:val="es-MX"/>
        </w:rPr>
        <w:t>Millones de quetzales</w:t>
      </w:r>
    </w:p>
    <w:p w:rsidR="00634664" w:rsidRPr="007570C7" w:rsidRDefault="007570C7" w:rsidP="00634664">
      <w:pPr>
        <w:spacing w:after="0" w:line="240" w:lineRule="auto"/>
        <w:jc w:val="center"/>
        <w:rPr>
          <w:rFonts w:ascii="Times New Roman" w:hAnsi="Times New Roman" w:cs="Times New Roman"/>
          <w:sz w:val="18"/>
          <w:szCs w:val="18"/>
          <w:lang w:val="es-MX"/>
        </w:rPr>
      </w:pPr>
      <w:r w:rsidRPr="007570C7">
        <w:rPr>
          <w:noProof/>
          <w:lang w:eastAsia="es-GT"/>
        </w:rPr>
        <w:drawing>
          <wp:inline distT="0" distB="0" distL="0" distR="0" wp14:anchorId="06A6490C" wp14:editId="344D04C3">
            <wp:extent cx="2670810" cy="2568243"/>
            <wp:effectExtent l="0" t="0" r="0" b="381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0810" cy="2568243"/>
                    </a:xfrm>
                    <a:prstGeom prst="rect">
                      <a:avLst/>
                    </a:prstGeom>
                  </pic:spPr>
                </pic:pic>
              </a:graphicData>
            </a:graphic>
          </wp:inline>
        </w:drawing>
      </w:r>
    </w:p>
    <w:p w:rsidR="00634664" w:rsidRPr="007570C7" w:rsidRDefault="00634664" w:rsidP="00634664">
      <w:pPr>
        <w:spacing w:after="0" w:line="240" w:lineRule="auto"/>
        <w:jc w:val="both"/>
        <w:rPr>
          <w:rFonts w:ascii="Times New Roman" w:hAnsi="Times New Roman" w:cs="Times New Roman"/>
          <w:sz w:val="14"/>
        </w:rPr>
      </w:pPr>
      <w:r w:rsidRPr="007570C7">
        <w:rPr>
          <w:rFonts w:ascii="Times New Roman" w:hAnsi="Times New Roman" w:cs="Times New Roman"/>
          <w:sz w:val="14"/>
        </w:rPr>
        <w:t>Fuente: Dirección de Análisis y Política Fiscal</w:t>
      </w:r>
    </w:p>
    <w:p w:rsidR="00634664" w:rsidRPr="009453FD" w:rsidRDefault="00634664" w:rsidP="00634664">
      <w:pPr>
        <w:pStyle w:val="Sinespaciado"/>
        <w:jc w:val="both"/>
        <w:rPr>
          <w:rFonts w:ascii="Times New Roman" w:hAnsi="Times New Roman" w:cs="Times New Roman"/>
          <w:color w:val="FF0000"/>
          <w:lang w:val="es-MX"/>
        </w:rPr>
      </w:pPr>
    </w:p>
    <w:p w:rsidR="007570C7" w:rsidRDefault="007570C7" w:rsidP="007570C7">
      <w:pPr>
        <w:pStyle w:val="Sinespaciado"/>
        <w:jc w:val="both"/>
        <w:rPr>
          <w:rFonts w:ascii="Times New Roman" w:hAnsi="Times New Roman" w:cs="Times New Roman"/>
          <w:lang w:val="es-MX"/>
        </w:rPr>
      </w:pPr>
      <w:r>
        <w:rPr>
          <w:rFonts w:ascii="Times New Roman" w:hAnsi="Times New Roman" w:cs="Times New Roman"/>
          <w:lang w:val="es-MX"/>
        </w:rPr>
        <w:t>En r</w:t>
      </w:r>
      <w:r w:rsidRPr="00C74885">
        <w:rPr>
          <w:rFonts w:ascii="Times New Roman" w:hAnsi="Times New Roman" w:cs="Times New Roman"/>
          <w:lang w:val="es-MX"/>
        </w:rPr>
        <w:t>elación a</w:t>
      </w:r>
      <w:r>
        <w:rPr>
          <w:rFonts w:ascii="Times New Roman" w:hAnsi="Times New Roman" w:cs="Times New Roman"/>
          <w:lang w:val="es-MX"/>
        </w:rPr>
        <w:t xml:space="preserv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que considera únicamente los sectores de salud, educación y vivienda, se reporta una ejecución de 12.9%, el sector educación lidera el gasto social con una ejecución de 15.1%, seguido por el sector salud pública y asistencia social con 9.5% y vivienda con 4.6%. </w:t>
      </w:r>
    </w:p>
    <w:p w:rsidR="007570C7" w:rsidRDefault="007570C7" w:rsidP="007570C7">
      <w:pPr>
        <w:pStyle w:val="Sinespaciado"/>
        <w:jc w:val="both"/>
        <w:rPr>
          <w:rFonts w:ascii="Times New Roman" w:hAnsi="Times New Roman" w:cs="Times New Roman"/>
          <w:lang w:val="es-MX"/>
        </w:rPr>
      </w:pPr>
    </w:p>
    <w:p w:rsidR="007570C7" w:rsidRDefault="007570C7" w:rsidP="007570C7">
      <w:pPr>
        <w:pStyle w:val="Sinespaciado"/>
        <w:jc w:val="both"/>
        <w:rPr>
          <w:rFonts w:ascii="Times New Roman" w:hAnsi="Times New Roman" w:cs="Times New Roman"/>
          <w:lang w:val="es-MX"/>
        </w:rPr>
      </w:pPr>
      <w:r w:rsidRPr="004E01B5">
        <w:rPr>
          <w:rFonts w:ascii="Times New Roman" w:hAnsi="Times New Roman" w:cs="Times New Roman"/>
          <w:lang w:val="es-MX"/>
        </w:rPr>
        <w:lastRenderedPageBreak/>
        <w:t>Al analizar la ejecución del gasto social respecto a lo</w:t>
      </w:r>
      <w:r>
        <w:rPr>
          <w:rFonts w:ascii="Times New Roman" w:hAnsi="Times New Roman" w:cs="Times New Roman"/>
          <w:lang w:val="es-MX"/>
        </w:rPr>
        <w:t xml:space="preserve"> observado en el año previo, se observa que los tres rubros que lo conforman reportan avances en 2020, siendo el crecimiento interanual de 11.6%, siendo equivalente a Q468.9 millones.  </w:t>
      </w:r>
    </w:p>
    <w:p w:rsidR="007570C7" w:rsidRDefault="007570C7" w:rsidP="007570C7">
      <w:pPr>
        <w:pStyle w:val="Sinespaciado"/>
        <w:jc w:val="both"/>
        <w:rPr>
          <w:rFonts w:ascii="Times New Roman" w:hAnsi="Times New Roman" w:cs="Times New Roman"/>
          <w:lang w:val="es-MX"/>
        </w:rPr>
      </w:pPr>
    </w:p>
    <w:p w:rsidR="007570C7" w:rsidRDefault="007570C7" w:rsidP="007570C7">
      <w:pPr>
        <w:pStyle w:val="Sinespaciado"/>
        <w:jc w:val="both"/>
        <w:rPr>
          <w:rFonts w:ascii="Times New Roman" w:hAnsi="Times New Roman" w:cs="Times New Roman"/>
          <w:lang w:val="es-MX"/>
        </w:rPr>
      </w:pPr>
      <w:r>
        <w:rPr>
          <w:rFonts w:ascii="Times New Roman" w:hAnsi="Times New Roman" w:cs="Times New Roman"/>
          <w:lang w:val="es-MX"/>
        </w:rPr>
        <w:t xml:space="preserve">Al incluir en el gasto social a los sectores que son parte de los compromisos asumidos por los Acuerdos de Paz, la ejecución aumenta hasta ubicarse en 13.5%. </w:t>
      </w:r>
    </w:p>
    <w:p w:rsidR="007570C7" w:rsidRDefault="007570C7" w:rsidP="007570C7">
      <w:pPr>
        <w:pStyle w:val="Sinespaciado"/>
        <w:jc w:val="both"/>
        <w:rPr>
          <w:rFonts w:ascii="Times New Roman" w:hAnsi="Times New Roman" w:cs="Times New Roman"/>
          <w:lang w:val="es-MX"/>
        </w:rPr>
      </w:pPr>
    </w:p>
    <w:p w:rsidR="007570C7" w:rsidRDefault="007570C7" w:rsidP="007570C7">
      <w:pPr>
        <w:pStyle w:val="Sinespaciado"/>
        <w:jc w:val="both"/>
        <w:rPr>
          <w:rFonts w:ascii="Times New Roman" w:hAnsi="Times New Roman" w:cs="Times New Roman"/>
          <w:lang w:val="es-MX"/>
        </w:rPr>
      </w:pPr>
      <w:r>
        <w:rPr>
          <w:rFonts w:ascii="Times New Roman" w:hAnsi="Times New Roman" w:cs="Times New Roman"/>
          <w:lang w:val="es-MX"/>
        </w:rPr>
        <w:t xml:space="preserve">Los aportes dados al Organismo Judicial y a Corte de Constitucionalidad muestran el mayor dinamismo del gasto social con 21.1% de ejecución. Por su parte, el sector de seguridad interna cuenta con una ejecución de 14.3% y </w:t>
      </w:r>
      <w:r w:rsidRPr="00EF2374">
        <w:rPr>
          <w:rFonts w:ascii="Times New Roman" w:hAnsi="Times New Roman" w:cs="Times New Roman"/>
          <w:lang w:val="es-MX"/>
        </w:rPr>
        <w:t xml:space="preserve">el aporte del Ministerio Público muestra un grado de ejecución de 13.4%. </w:t>
      </w:r>
    </w:p>
    <w:p w:rsidR="007570C7" w:rsidRDefault="007570C7" w:rsidP="007570C7">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El gasto social total que incluye los aportes del OJ, CC, MP y la seguridad interna reporta un crecimiento de 14.0% respecto al 2019.</w:t>
      </w:r>
    </w:p>
    <w:p w:rsidR="00C739AF" w:rsidRPr="009453FD" w:rsidRDefault="00634664" w:rsidP="00634664">
      <w:pPr>
        <w:pStyle w:val="Sinespaciado"/>
        <w:jc w:val="both"/>
        <w:rPr>
          <w:rFonts w:ascii="Times New Roman" w:hAnsi="Times New Roman" w:cs="Times New Roman"/>
          <w:color w:val="FF0000"/>
          <w:lang w:val="es-MX"/>
        </w:rPr>
      </w:pPr>
      <w:r w:rsidRPr="009453FD">
        <w:rPr>
          <w:rFonts w:ascii="Times New Roman" w:hAnsi="Times New Roman" w:cs="Times New Roman"/>
          <w:color w:val="FF0000"/>
          <w:lang w:val="es-MX"/>
        </w:rPr>
        <w:t xml:space="preserve"> </w:t>
      </w:r>
    </w:p>
    <w:p w:rsidR="00C739AF" w:rsidRPr="009453FD" w:rsidRDefault="00C739AF" w:rsidP="00634664">
      <w:pPr>
        <w:pStyle w:val="Sinespaciado"/>
        <w:jc w:val="both"/>
        <w:rPr>
          <w:rFonts w:ascii="Times New Roman" w:hAnsi="Times New Roman" w:cs="Times New Roman"/>
          <w:color w:val="FF0000"/>
          <w:sz w:val="2"/>
          <w:lang w:val="es-MX"/>
        </w:rPr>
      </w:pPr>
    </w:p>
    <w:p w:rsidR="00634664" w:rsidRPr="007570C7" w:rsidRDefault="00634664" w:rsidP="00634664">
      <w:pPr>
        <w:pStyle w:val="Sinespaciado"/>
        <w:jc w:val="center"/>
        <w:rPr>
          <w:rFonts w:ascii="Times New Roman" w:hAnsi="Times New Roman" w:cs="Times New Roman"/>
          <w:b/>
          <w:lang w:val="es-MX"/>
        </w:rPr>
      </w:pPr>
      <w:r w:rsidRPr="007570C7">
        <w:rPr>
          <w:rFonts w:ascii="Times New Roman" w:hAnsi="Times New Roman" w:cs="Times New Roman"/>
          <w:b/>
          <w:lang w:val="es-MX"/>
        </w:rPr>
        <w:t xml:space="preserve">Ejecución del Gasto Social </w:t>
      </w:r>
    </w:p>
    <w:p w:rsidR="00634664" w:rsidRPr="007570C7" w:rsidRDefault="007570C7" w:rsidP="00634664">
      <w:pPr>
        <w:pStyle w:val="Sinespaciado"/>
        <w:jc w:val="center"/>
        <w:rPr>
          <w:rFonts w:ascii="Times New Roman" w:hAnsi="Times New Roman" w:cs="Times New Roman"/>
          <w:sz w:val="18"/>
          <w:szCs w:val="18"/>
          <w:lang w:val="es-MX"/>
        </w:rPr>
      </w:pPr>
      <w:r w:rsidRPr="007570C7">
        <w:rPr>
          <w:noProof/>
          <w:lang w:eastAsia="es-GT"/>
        </w:rPr>
        <w:drawing>
          <wp:anchor distT="0" distB="0" distL="114300" distR="114300" simplePos="0" relativeHeight="251759616" behindDoc="0" locked="0" layoutInCell="1" allowOverlap="1" wp14:anchorId="46CA1F6C" wp14:editId="53244807">
            <wp:simplePos x="0" y="0"/>
            <wp:positionH relativeFrom="column">
              <wp:posOffset>-142875</wp:posOffset>
            </wp:positionH>
            <wp:positionV relativeFrom="paragraph">
              <wp:posOffset>274955</wp:posOffset>
            </wp:positionV>
            <wp:extent cx="2971800" cy="1426845"/>
            <wp:effectExtent l="0" t="0" r="0" b="1905"/>
            <wp:wrapSquare wrapText="bothSides"/>
            <wp:docPr id="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64" w:rsidRPr="007570C7">
        <w:rPr>
          <w:rFonts w:ascii="Times New Roman" w:hAnsi="Times New Roman" w:cs="Times New Roman"/>
          <w:sz w:val="18"/>
          <w:szCs w:val="18"/>
          <w:lang w:val="es-MX"/>
        </w:rPr>
        <w:t>Al cierre de febrero de cada año</w:t>
      </w:r>
    </w:p>
    <w:p w:rsidR="00634664" w:rsidRPr="007570C7" w:rsidRDefault="00634664" w:rsidP="00634664">
      <w:pPr>
        <w:pStyle w:val="Sinespaciado"/>
        <w:jc w:val="center"/>
        <w:rPr>
          <w:rFonts w:ascii="Times New Roman" w:hAnsi="Times New Roman" w:cs="Times New Roman"/>
          <w:sz w:val="18"/>
          <w:szCs w:val="18"/>
          <w:lang w:val="es-MX"/>
        </w:rPr>
      </w:pPr>
      <w:r w:rsidRPr="007570C7">
        <w:rPr>
          <w:rFonts w:ascii="Times New Roman" w:hAnsi="Times New Roman" w:cs="Times New Roman"/>
          <w:sz w:val="18"/>
          <w:szCs w:val="18"/>
          <w:lang w:val="es-MX"/>
        </w:rPr>
        <w:t>Cifras en porcentajes y en millones de quetzales</w:t>
      </w:r>
    </w:p>
    <w:p w:rsidR="00634664" w:rsidRPr="007570C7" w:rsidRDefault="00634664" w:rsidP="00634664">
      <w:pPr>
        <w:pStyle w:val="Sinespaciado"/>
        <w:rPr>
          <w:rFonts w:ascii="Times New Roman" w:hAnsi="Times New Roman" w:cs="Times New Roman"/>
          <w:sz w:val="16"/>
          <w:szCs w:val="18"/>
          <w:lang w:val="es-MX"/>
        </w:rPr>
      </w:pPr>
      <w:r w:rsidRPr="007570C7">
        <w:rPr>
          <w:rFonts w:ascii="Times New Roman" w:hAnsi="Times New Roman" w:cs="Times New Roman"/>
          <w:sz w:val="14"/>
        </w:rPr>
        <w:t>Fuente: Dirección de Análisis y Política Fiscal</w:t>
      </w:r>
    </w:p>
    <w:p w:rsidR="00C5514E" w:rsidRPr="009453FD" w:rsidRDefault="00C5514E" w:rsidP="00E37543">
      <w:pPr>
        <w:pStyle w:val="Sinespaciado"/>
        <w:jc w:val="both"/>
        <w:rPr>
          <w:rFonts w:ascii="Times New Roman" w:hAnsi="Times New Roman" w:cs="Times New Roman"/>
          <w:b/>
          <w:color w:val="FF0000"/>
          <w:sz w:val="18"/>
          <w:lang w:val="es-MX"/>
        </w:rPr>
      </w:pPr>
    </w:p>
    <w:p w:rsidR="00BA782D" w:rsidRDefault="00BA782D" w:rsidP="00BA782D">
      <w:pPr>
        <w:pStyle w:val="Sinespaciado"/>
        <w:jc w:val="both"/>
        <w:rPr>
          <w:rFonts w:ascii="Times New Roman" w:hAnsi="Times New Roman" w:cs="Times New Roman"/>
          <w:color w:val="FF0000"/>
          <w:sz w:val="14"/>
        </w:rPr>
      </w:pPr>
    </w:p>
    <w:p w:rsidR="001E20AE" w:rsidRDefault="001E20AE" w:rsidP="00BA782D">
      <w:pPr>
        <w:pStyle w:val="Sinespaciado"/>
        <w:jc w:val="both"/>
        <w:rPr>
          <w:rFonts w:ascii="Times New Roman" w:hAnsi="Times New Roman" w:cs="Times New Roman"/>
          <w:color w:val="FF0000"/>
          <w:sz w:val="14"/>
        </w:rPr>
      </w:pPr>
    </w:p>
    <w:p w:rsidR="001E20AE" w:rsidRDefault="001E20AE" w:rsidP="00BA782D">
      <w:pPr>
        <w:pStyle w:val="Sinespaciado"/>
        <w:jc w:val="both"/>
        <w:rPr>
          <w:rFonts w:ascii="Times New Roman" w:hAnsi="Times New Roman" w:cs="Times New Roman"/>
          <w:color w:val="FF0000"/>
          <w:sz w:val="14"/>
        </w:rPr>
      </w:pPr>
    </w:p>
    <w:p w:rsidR="001E20AE" w:rsidRDefault="001E20AE" w:rsidP="00BA782D">
      <w:pPr>
        <w:pStyle w:val="Sinespaciado"/>
        <w:jc w:val="both"/>
        <w:rPr>
          <w:rFonts w:ascii="Times New Roman" w:hAnsi="Times New Roman" w:cs="Times New Roman"/>
          <w:color w:val="FF0000"/>
          <w:sz w:val="14"/>
        </w:rPr>
      </w:pPr>
    </w:p>
    <w:p w:rsidR="001E20AE" w:rsidRPr="009453FD" w:rsidRDefault="001E20AE" w:rsidP="00BA782D">
      <w:pPr>
        <w:pStyle w:val="Sinespaciado"/>
        <w:jc w:val="both"/>
        <w:rPr>
          <w:rFonts w:ascii="Times New Roman" w:hAnsi="Times New Roman" w:cs="Times New Roman"/>
          <w:color w:val="FF0000"/>
          <w:sz w:val="14"/>
        </w:rPr>
        <w:sectPr w:rsidR="001E20AE" w:rsidRPr="009453FD" w:rsidSect="00040C99">
          <w:headerReference w:type="default" r:id="rId23"/>
          <w:footerReference w:type="default" r:id="rId24"/>
          <w:type w:val="continuous"/>
          <w:pgSz w:w="12240" w:h="15840" w:code="1"/>
          <w:pgMar w:top="1418" w:right="1418" w:bottom="1418" w:left="1701" w:header="709" w:footer="709" w:gutter="0"/>
          <w:cols w:num="2" w:space="708"/>
          <w:docGrid w:linePitch="360"/>
        </w:sectPr>
      </w:pPr>
    </w:p>
    <w:p w:rsidR="00BA782D" w:rsidRPr="009453FD" w:rsidRDefault="00BA782D" w:rsidP="00216605">
      <w:pPr>
        <w:pStyle w:val="Sinespaciado"/>
        <w:jc w:val="both"/>
        <w:rPr>
          <w:rFonts w:ascii="Times New Roman" w:hAnsi="Times New Roman" w:cs="Times New Roman"/>
          <w:color w:val="FF0000"/>
          <w:sz w:val="2"/>
          <w:lang w:val="es-MX"/>
        </w:rPr>
      </w:pPr>
    </w:p>
    <w:p w:rsidR="00216605" w:rsidRPr="007570C7" w:rsidRDefault="00F94C84"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7570C7" w:rsidSect="00FA3B81">
          <w:type w:val="continuous"/>
          <w:pgSz w:w="12240" w:h="15840" w:code="1"/>
          <w:pgMar w:top="1418" w:right="1418" w:bottom="1418" w:left="1418" w:header="709" w:footer="709" w:gutter="0"/>
          <w:cols w:space="708"/>
          <w:docGrid w:linePitch="360"/>
        </w:sectPr>
      </w:pPr>
      <w:r w:rsidRPr="007570C7">
        <w:rPr>
          <w:rFonts w:ascii="Times New Roman" w:hAnsi="Times New Roman" w:cs="Times New Roman"/>
          <w:b/>
          <w:lang w:val="es-MX"/>
        </w:rPr>
        <w:t>Inicia la colocación de Bonos del Tesoro</w:t>
      </w:r>
    </w:p>
    <w:p w:rsidR="00216605" w:rsidRPr="009453FD" w:rsidRDefault="00216605" w:rsidP="00216605">
      <w:pPr>
        <w:pStyle w:val="Sinespaciado"/>
        <w:rPr>
          <w:rFonts w:ascii="Times New Roman" w:hAnsi="Times New Roman" w:cs="Times New Roman"/>
          <w:b/>
          <w:color w:val="FF0000"/>
          <w:sz w:val="24"/>
          <w:lang w:val="es-MX"/>
        </w:rPr>
      </w:pPr>
    </w:p>
    <w:p w:rsidR="00216605" w:rsidRPr="009453FD" w:rsidRDefault="00216605" w:rsidP="00216605">
      <w:pPr>
        <w:pStyle w:val="Sinespaciado"/>
        <w:rPr>
          <w:rFonts w:ascii="Times New Roman" w:hAnsi="Times New Roman" w:cs="Times New Roman"/>
          <w:b/>
          <w:color w:val="FF0000"/>
          <w:lang w:val="es-MX"/>
        </w:rPr>
        <w:sectPr w:rsidR="00216605" w:rsidRPr="009453FD" w:rsidSect="004E358C">
          <w:type w:val="continuous"/>
          <w:pgSz w:w="12240" w:h="15840"/>
          <w:pgMar w:top="1417" w:right="1701" w:bottom="1417" w:left="1701" w:header="708" w:footer="708" w:gutter="0"/>
          <w:cols w:space="708"/>
          <w:docGrid w:linePitch="360"/>
        </w:sectPr>
      </w:pPr>
    </w:p>
    <w:p w:rsidR="007570C7" w:rsidRPr="00851F17" w:rsidRDefault="007570C7" w:rsidP="007570C7">
      <w:pPr>
        <w:pStyle w:val="Sinespaciado"/>
        <w:jc w:val="both"/>
        <w:rPr>
          <w:rFonts w:ascii="Times New Roman" w:hAnsi="Times New Roman" w:cs="Times New Roman"/>
        </w:rPr>
      </w:pPr>
      <w:r w:rsidRPr="00851F17">
        <w:rPr>
          <w:rFonts w:ascii="Times New Roman" w:hAnsi="Times New Roman" w:cs="Times New Roman"/>
        </w:rPr>
        <w:lastRenderedPageBreak/>
        <w:t>En cuanto al financiamiento</w:t>
      </w:r>
      <w:r>
        <w:rPr>
          <w:rFonts w:ascii="Times New Roman" w:hAnsi="Times New Roman" w:cs="Times New Roman"/>
        </w:rPr>
        <w:t xml:space="preserve"> del gasto público, al cierre de febrero 2020 se obtuvo un flujo negativo</w:t>
      </w:r>
      <w:r w:rsidRPr="00851F17">
        <w:rPr>
          <w:rFonts w:ascii="Times New Roman" w:hAnsi="Times New Roman" w:cs="Times New Roman"/>
        </w:rPr>
        <w:t xml:space="preserve"> en el endeudamiento exter</w:t>
      </w:r>
      <w:r>
        <w:rPr>
          <w:rFonts w:ascii="Times New Roman" w:hAnsi="Times New Roman" w:cs="Times New Roman"/>
        </w:rPr>
        <w:t xml:space="preserve">no neto por el equivalente a Q628.1 millones, </w:t>
      </w:r>
      <w:r w:rsidRPr="00851F17">
        <w:rPr>
          <w:rFonts w:ascii="Times New Roman" w:hAnsi="Times New Roman" w:cs="Times New Roman"/>
        </w:rPr>
        <w:t>derivado que las amortizaciones</w:t>
      </w:r>
      <w:r>
        <w:rPr>
          <w:rFonts w:ascii="Times New Roman" w:hAnsi="Times New Roman" w:cs="Times New Roman"/>
        </w:rPr>
        <w:t xml:space="preserve"> de préstamos</w:t>
      </w:r>
      <w:r w:rsidRPr="00851F17">
        <w:rPr>
          <w:rFonts w:ascii="Times New Roman" w:hAnsi="Times New Roman" w:cs="Times New Roman"/>
        </w:rPr>
        <w:t xml:space="preserve"> superan los desemb</w:t>
      </w:r>
      <w:r>
        <w:rPr>
          <w:rFonts w:ascii="Times New Roman" w:hAnsi="Times New Roman" w:cs="Times New Roman"/>
        </w:rPr>
        <w:t>olsos, estos únicamente son</w:t>
      </w:r>
      <w:r w:rsidRPr="00851F17">
        <w:rPr>
          <w:rFonts w:ascii="Times New Roman" w:hAnsi="Times New Roman" w:cs="Times New Roman"/>
        </w:rPr>
        <w:t xml:space="preserve"> de Q</w:t>
      </w:r>
      <w:r>
        <w:rPr>
          <w:rFonts w:ascii="Times New Roman" w:hAnsi="Times New Roman" w:cs="Times New Roman"/>
        </w:rPr>
        <w:t>0</w:t>
      </w:r>
      <w:r w:rsidRPr="00851F17">
        <w:rPr>
          <w:rFonts w:ascii="Times New Roman" w:hAnsi="Times New Roman" w:cs="Times New Roman"/>
        </w:rPr>
        <w:t>.</w:t>
      </w:r>
      <w:r>
        <w:rPr>
          <w:rFonts w:ascii="Times New Roman" w:hAnsi="Times New Roman" w:cs="Times New Roman"/>
        </w:rPr>
        <w:t>9</w:t>
      </w:r>
      <w:r w:rsidRPr="00851F17">
        <w:rPr>
          <w:rFonts w:ascii="Times New Roman" w:hAnsi="Times New Roman" w:cs="Times New Roman"/>
        </w:rPr>
        <w:t xml:space="preserve"> millones.</w:t>
      </w:r>
    </w:p>
    <w:p w:rsidR="007570C7" w:rsidRPr="00851F17" w:rsidRDefault="007570C7" w:rsidP="007570C7">
      <w:pPr>
        <w:pStyle w:val="Sinespaciado"/>
        <w:jc w:val="both"/>
        <w:rPr>
          <w:rFonts w:ascii="Times New Roman" w:hAnsi="Times New Roman" w:cs="Times New Roman"/>
        </w:rPr>
      </w:pPr>
    </w:p>
    <w:p w:rsidR="007570C7" w:rsidRPr="00851F17" w:rsidRDefault="007570C7" w:rsidP="007570C7">
      <w:pPr>
        <w:pStyle w:val="Sinespaciado"/>
        <w:jc w:val="both"/>
        <w:rPr>
          <w:rFonts w:ascii="Times New Roman" w:hAnsi="Times New Roman" w:cs="Times New Roman"/>
        </w:rPr>
      </w:pPr>
      <w:r w:rsidRPr="00851F17">
        <w:rPr>
          <w:rFonts w:ascii="Times New Roman" w:hAnsi="Times New Roman" w:cs="Times New Roman"/>
        </w:rPr>
        <w:t>Asimismo, las colocaciones de Bonos del Tesoro en el mercado interno han tenido una alta demanda, a la fecha se han adjudicado Q1,</w:t>
      </w:r>
      <w:r>
        <w:rPr>
          <w:rFonts w:ascii="Times New Roman" w:hAnsi="Times New Roman" w:cs="Times New Roman"/>
        </w:rPr>
        <w:t>673</w:t>
      </w:r>
      <w:r w:rsidRPr="00851F17">
        <w:rPr>
          <w:rFonts w:ascii="Times New Roman" w:hAnsi="Times New Roman" w:cs="Times New Roman"/>
        </w:rPr>
        <w:t xml:space="preserve">.8 millones. </w:t>
      </w:r>
    </w:p>
    <w:p w:rsidR="007570C7" w:rsidRPr="00851F17" w:rsidRDefault="007570C7" w:rsidP="007570C7">
      <w:pPr>
        <w:pStyle w:val="Sinespaciado"/>
        <w:jc w:val="both"/>
        <w:rPr>
          <w:rFonts w:ascii="Times New Roman" w:hAnsi="Times New Roman" w:cs="Times New Roman"/>
        </w:rPr>
      </w:pPr>
    </w:p>
    <w:p w:rsidR="00F94C84" w:rsidRPr="009453FD" w:rsidRDefault="007570C7" w:rsidP="007570C7">
      <w:pPr>
        <w:pStyle w:val="Sinespaciado"/>
        <w:jc w:val="both"/>
        <w:rPr>
          <w:rFonts w:ascii="Times New Roman" w:hAnsi="Times New Roman" w:cs="Times New Roman"/>
          <w:color w:val="FF0000"/>
        </w:rPr>
      </w:pPr>
      <w:r w:rsidRPr="00851F17">
        <w:rPr>
          <w:rFonts w:ascii="Times New Roman" w:hAnsi="Times New Roman" w:cs="Times New Roman"/>
        </w:rPr>
        <w:t>Derivado de lo anterior, aún está pendiente de colocarse, conforme lo autorizado por el Decreto 25-2018, la cantidad de Q1</w:t>
      </w:r>
      <w:r>
        <w:rPr>
          <w:rFonts w:ascii="Times New Roman" w:hAnsi="Times New Roman" w:cs="Times New Roman"/>
        </w:rPr>
        <w:t>8,</w:t>
      </w:r>
      <w:r w:rsidRPr="00851F17">
        <w:rPr>
          <w:rFonts w:ascii="Times New Roman" w:hAnsi="Times New Roman" w:cs="Times New Roman"/>
        </w:rPr>
        <w:t>1</w:t>
      </w:r>
      <w:r>
        <w:rPr>
          <w:rFonts w:ascii="Times New Roman" w:hAnsi="Times New Roman" w:cs="Times New Roman"/>
        </w:rPr>
        <w:t>90.8</w:t>
      </w:r>
      <w:r w:rsidRPr="00851F17">
        <w:rPr>
          <w:rFonts w:ascii="Times New Roman" w:hAnsi="Times New Roman" w:cs="Times New Roman"/>
        </w:rPr>
        <w:t xml:space="preserve"> millones, es decir, el </w:t>
      </w:r>
      <w:r>
        <w:rPr>
          <w:rFonts w:ascii="Times New Roman" w:hAnsi="Times New Roman" w:cs="Times New Roman"/>
        </w:rPr>
        <w:t>9</w:t>
      </w:r>
      <w:r w:rsidRPr="00851F17">
        <w:rPr>
          <w:rFonts w:ascii="Times New Roman" w:hAnsi="Times New Roman" w:cs="Times New Roman"/>
        </w:rPr>
        <w:t xml:space="preserve">1.0% del total de la emisión aprobada para este año, de los cuales Q100.0 millones corresponden a pequeños </w:t>
      </w:r>
      <w:r w:rsidRPr="00851F17">
        <w:rPr>
          <w:rFonts w:ascii="Times New Roman" w:hAnsi="Times New Roman" w:cs="Times New Roman"/>
        </w:rPr>
        <w:lastRenderedPageBreak/>
        <w:t>inversionistas,</w:t>
      </w:r>
      <w:r>
        <w:rPr>
          <w:rFonts w:ascii="Times New Roman" w:hAnsi="Times New Roman" w:cs="Times New Roman"/>
        </w:rPr>
        <w:t xml:space="preserve"> de los cuales se han adjudicado Q5</w:t>
      </w:r>
      <w:r w:rsidRPr="00851F17">
        <w:rPr>
          <w:rFonts w:ascii="Times New Roman" w:hAnsi="Times New Roman" w:cs="Times New Roman"/>
        </w:rPr>
        <w:t>.</w:t>
      </w:r>
      <w:r>
        <w:rPr>
          <w:rFonts w:ascii="Times New Roman" w:hAnsi="Times New Roman" w:cs="Times New Roman"/>
        </w:rPr>
        <w:t>5</w:t>
      </w:r>
      <w:r w:rsidRPr="00851F17">
        <w:rPr>
          <w:rFonts w:ascii="Times New Roman" w:hAnsi="Times New Roman" w:cs="Times New Roman"/>
        </w:rPr>
        <w:t xml:space="preserve"> millones.</w:t>
      </w:r>
      <w:r w:rsidR="00F94C84" w:rsidRPr="009453FD">
        <w:rPr>
          <w:rFonts w:ascii="Times New Roman" w:hAnsi="Times New Roman" w:cs="Times New Roman"/>
          <w:color w:val="FF0000"/>
        </w:rPr>
        <w:t xml:space="preserve"> </w:t>
      </w:r>
    </w:p>
    <w:p w:rsidR="00C739AF" w:rsidRPr="009453FD" w:rsidRDefault="00C739AF" w:rsidP="00F94C84">
      <w:pPr>
        <w:pStyle w:val="Sinespaciado"/>
        <w:jc w:val="both"/>
        <w:rPr>
          <w:rFonts w:ascii="Times New Roman" w:hAnsi="Times New Roman" w:cs="Times New Roman"/>
          <w:color w:val="FF0000"/>
        </w:rPr>
      </w:pPr>
    </w:p>
    <w:p w:rsidR="00F94C84" w:rsidRPr="009453FD" w:rsidRDefault="00F94C84" w:rsidP="00F94C84">
      <w:pPr>
        <w:pStyle w:val="Sinespaciado"/>
        <w:jc w:val="both"/>
        <w:rPr>
          <w:rFonts w:ascii="Times New Roman" w:hAnsi="Times New Roman" w:cs="Times New Roman"/>
          <w:color w:val="FF0000"/>
          <w:sz w:val="6"/>
        </w:rPr>
      </w:pPr>
    </w:p>
    <w:p w:rsidR="00F94C84" w:rsidRPr="007570C7" w:rsidRDefault="00F94C84" w:rsidP="00F94C84">
      <w:pPr>
        <w:spacing w:after="0" w:line="240" w:lineRule="auto"/>
        <w:jc w:val="center"/>
        <w:rPr>
          <w:rFonts w:ascii="Times New Roman" w:hAnsi="Times New Roman" w:cs="Times New Roman"/>
          <w:b/>
        </w:rPr>
      </w:pPr>
      <w:r w:rsidRPr="007570C7">
        <w:rPr>
          <w:rFonts w:ascii="Times New Roman" w:hAnsi="Times New Roman" w:cs="Times New Roman"/>
          <w:b/>
        </w:rPr>
        <w:t>Colocación de Bonos del Tesoro</w:t>
      </w:r>
    </w:p>
    <w:p w:rsidR="00F94C84" w:rsidRPr="007570C7" w:rsidRDefault="00F94C84" w:rsidP="00F94C84">
      <w:pPr>
        <w:pStyle w:val="Sinespaciado"/>
        <w:jc w:val="center"/>
        <w:rPr>
          <w:rFonts w:ascii="Times New Roman" w:hAnsi="Times New Roman" w:cs="Times New Roman"/>
          <w:sz w:val="18"/>
        </w:rPr>
      </w:pPr>
      <w:r w:rsidRPr="007570C7">
        <w:rPr>
          <w:rFonts w:ascii="Times New Roman" w:hAnsi="Times New Roman" w:cs="Times New Roman"/>
          <w:sz w:val="18"/>
        </w:rPr>
        <w:t>A febrero 2020</w:t>
      </w:r>
    </w:p>
    <w:p w:rsidR="00F94C84" w:rsidRPr="007570C7" w:rsidRDefault="00F94C84" w:rsidP="00F94C84">
      <w:pPr>
        <w:pStyle w:val="Sinespaciado"/>
        <w:jc w:val="center"/>
        <w:rPr>
          <w:rFonts w:ascii="Times New Roman" w:hAnsi="Times New Roman" w:cs="Times New Roman"/>
          <w:sz w:val="18"/>
        </w:rPr>
      </w:pPr>
      <w:r w:rsidRPr="007570C7">
        <w:rPr>
          <w:rFonts w:ascii="Times New Roman" w:hAnsi="Times New Roman" w:cs="Times New Roman"/>
          <w:noProof/>
          <w:lang w:eastAsia="es-GT"/>
        </w:rPr>
        <w:drawing>
          <wp:anchor distT="0" distB="0" distL="114300" distR="114300" simplePos="0" relativeHeight="251751424" behindDoc="0" locked="0" layoutInCell="1" allowOverlap="1" wp14:anchorId="560E1485" wp14:editId="7536069C">
            <wp:simplePos x="0" y="0"/>
            <wp:positionH relativeFrom="column">
              <wp:posOffset>-1905</wp:posOffset>
            </wp:positionH>
            <wp:positionV relativeFrom="paragraph">
              <wp:posOffset>161290</wp:posOffset>
            </wp:positionV>
            <wp:extent cx="2538095" cy="1457960"/>
            <wp:effectExtent l="0" t="0" r="0" b="8890"/>
            <wp:wrapSquare wrapText="bothSides"/>
            <wp:docPr id="2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910" b="7313"/>
                    <a:stretch/>
                  </pic:blipFill>
                  <pic:spPr bwMode="auto">
                    <a:xfrm>
                      <a:off x="0" y="0"/>
                      <a:ext cx="2538095" cy="145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0C7">
        <w:rPr>
          <w:rFonts w:ascii="Times New Roman" w:hAnsi="Times New Roman" w:cs="Times New Roman"/>
          <w:sz w:val="18"/>
        </w:rPr>
        <w:t>Millones de quetzales y porcentajes</w:t>
      </w:r>
    </w:p>
    <w:p w:rsidR="00F94C84" w:rsidRPr="007570C7" w:rsidRDefault="00F94C84" w:rsidP="00F94C84">
      <w:pPr>
        <w:pStyle w:val="Sinespaciado"/>
        <w:rPr>
          <w:rFonts w:ascii="Times New Roman" w:hAnsi="Times New Roman" w:cs="Times New Roman"/>
          <w:sz w:val="16"/>
          <w:szCs w:val="18"/>
          <w:lang w:val="es-MX"/>
        </w:rPr>
      </w:pPr>
      <w:r w:rsidRPr="007570C7">
        <w:rPr>
          <w:rFonts w:ascii="Times New Roman" w:hAnsi="Times New Roman" w:cs="Times New Roman"/>
          <w:sz w:val="14"/>
        </w:rPr>
        <w:t>Fuente: Dirección de Análisis y Política Fiscal</w:t>
      </w:r>
    </w:p>
    <w:p w:rsidR="00F94C84" w:rsidRPr="009453FD" w:rsidRDefault="00F94C84" w:rsidP="00F94C84">
      <w:pPr>
        <w:pStyle w:val="Sinespaciado"/>
        <w:jc w:val="both"/>
        <w:rPr>
          <w:rFonts w:ascii="Times New Roman" w:hAnsi="Times New Roman" w:cs="Times New Roman"/>
          <w:color w:val="FF0000"/>
          <w:lang w:val="es-MX"/>
        </w:rPr>
      </w:pPr>
    </w:p>
    <w:p w:rsidR="008316E1" w:rsidRPr="009453FD" w:rsidRDefault="008316E1" w:rsidP="008316E1">
      <w:pPr>
        <w:pStyle w:val="Sinespaciado"/>
        <w:jc w:val="both"/>
        <w:rPr>
          <w:rFonts w:ascii="Times New Roman" w:hAnsi="Times New Roman" w:cs="Times New Roman"/>
          <w:color w:val="FF0000"/>
        </w:rPr>
      </w:pPr>
    </w:p>
    <w:p w:rsidR="00216B0E" w:rsidRDefault="00216B0E" w:rsidP="000C65AB">
      <w:pPr>
        <w:pStyle w:val="Sinespaciado"/>
        <w:jc w:val="both"/>
        <w:rPr>
          <w:rFonts w:ascii="Times New Roman" w:hAnsi="Times New Roman" w:cs="Times New Roman"/>
          <w:color w:val="FF0000"/>
          <w:sz w:val="14"/>
        </w:rPr>
      </w:pPr>
    </w:p>
    <w:p w:rsidR="00537B9E" w:rsidRDefault="00537B9E" w:rsidP="000C65AB">
      <w:pPr>
        <w:pStyle w:val="Sinespaciado"/>
        <w:jc w:val="both"/>
        <w:rPr>
          <w:rFonts w:ascii="Times New Roman" w:hAnsi="Times New Roman" w:cs="Times New Roman"/>
          <w:color w:val="FF0000"/>
          <w:sz w:val="14"/>
        </w:rPr>
      </w:pPr>
    </w:p>
    <w:p w:rsidR="00537B9E" w:rsidRDefault="00537B9E" w:rsidP="000C65AB">
      <w:pPr>
        <w:pStyle w:val="Sinespaciado"/>
        <w:jc w:val="both"/>
        <w:rPr>
          <w:rFonts w:ascii="Times New Roman" w:hAnsi="Times New Roman" w:cs="Times New Roman"/>
          <w:color w:val="FF0000"/>
          <w:sz w:val="14"/>
        </w:rPr>
      </w:pPr>
    </w:p>
    <w:p w:rsidR="00537B9E" w:rsidRDefault="00537B9E" w:rsidP="000C65AB">
      <w:pPr>
        <w:pStyle w:val="Sinespaciado"/>
        <w:jc w:val="both"/>
        <w:rPr>
          <w:rFonts w:ascii="Times New Roman" w:hAnsi="Times New Roman" w:cs="Times New Roman"/>
          <w:color w:val="FF0000"/>
          <w:sz w:val="14"/>
        </w:rPr>
      </w:pPr>
    </w:p>
    <w:p w:rsidR="00537B9E" w:rsidRPr="009453FD" w:rsidRDefault="00537B9E" w:rsidP="000C65AB">
      <w:pPr>
        <w:pStyle w:val="Sinespaciado"/>
        <w:jc w:val="both"/>
        <w:rPr>
          <w:rFonts w:ascii="Times New Roman" w:hAnsi="Times New Roman" w:cs="Times New Roman"/>
          <w:color w:val="FF0000"/>
          <w:sz w:val="14"/>
        </w:rPr>
        <w:sectPr w:rsidR="00537B9E" w:rsidRPr="009453FD" w:rsidSect="00040C99">
          <w:headerReference w:type="default" r:id="rId26"/>
          <w:footerReference w:type="default" r:id="rId27"/>
          <w:type w:val="continuous"/>
          <w:pgSz w:w="12240" w:h="15840" w:code="1"/>
          <w:pgMar w:top="1418" w:right="1418" w:bottom="1418" w:left="1701" w:header="709" w:footer="709" w:gutter="0"/>
          <w:cols w:num="2" w:space="708"/>
          <w:docGrid w:linePitch="360"/>
        </w:sectPr>
      </w:pPr>
    </w:p>
    <w:p w:rsidR="001E4CD2" w:rsidRPr="009453FD" w:rsidRDefault="001E4CD2" w:rsidP="00BC7539">
      <w:pPr>
        <w:pStyle w:val="Sinespaciado"/>
        <w:jc w:val="both"/>
        <w:rPr>
          <w:rFonts w:ascii="Times New Roman" w:hAnsi="Times New Roman" w:cs="Times New Roman"/>
          <w:color w:val="FF0000"/>
          <w:sz w:val="6"/>
        </w:rPr>
      </w:pPr>
    </w:p>
    <w:p w:rsidR="009B76D6" w:rsidRPr="009453FD" w:rsidRDefault="009B76D6" w:rsidP="00CE75B5">
      <w:pPr>
        <w:pStyle w:val="Sinespaciado"/>
        <w:jc w:val="both"/>
        <w:rPr>
          <w:rFonts w:ascii="Times New Roman" w:hAnsi="Times New Roman" w:cs="Times New Roman"/>
          <w:color w:val="FF0000"/>
          <w:sz w:val="8"/>
        </w:rPr>
        <w:sectPr w:rsidR="009B76D6" w:rsidRPr="009453FD" w:rsidSect="00D554B2">
          <w:type w:val="continuous"/>
          <w:pgSz w:w="12240" w:h="15840"/>
          <w:pgMar w:top="1417" w:right="1701" w:bottom="1417" w:left="1701" w:header="708" w:footer="708" w:gutter="0"/>
          <w:cols w:num="2" w:space="708"/>
          <w:docGrid w:linePitch="360"/>
        </w:sectPr>
      </w:pPr>
    </w:p>
    <w:p w:rsidR="00B96036" w:rsidRPr="009453FD" w:rsidRDefault="00B96036" w:rsidP="00D4202F">
      <w:pPr>
        <w:spacing w:after="0"/>
        <w:rPr>
          <w:rFonts w:ascii="Times New Roman" w:hAnsi="Times New Roman" w:cs="Times New Roman"/>
          <w:color w:val="FF0000"/>
          <w:sz w:val="18"/>
          <w:lang w:val="es-MX"/>
        </w:rPr>
      </w:pPr>
    </w:p>
    <w:p w:rsidR="009B76D6" w:rsidRDefault="009B76D6" w:rsidP="00D4202F">
      <w:pPr>
        <w:spacing w:after="0"/>
        <w:rPr>
          <w:rFonts w:ascii="Times New Roman" w:hAnsi="Times New Roman" w:cs="Times New Roman"/>
          <w:color w:val="FF0000"/>
          <w:sz w:val="6"/>
          <w:lang w:val="es-MX"/>
        </w:rPr>
      </w:pPr>
    </w:p>
    <w:p w:rsidR="001E20AE" w:rsidRDefault="001E20AE" w:rsidP="00D4202F">
      <w:pPr>
        <w:spacing w:after="0"/>
        <w:rPr>
          <w:rFonts w:ascii="Times New Roman" w:hAnsi="Times New Roman" w:cs="Times New Roman"/>
          <w:color w:val="FF0000"/>
          <w:sz w:val="6"/>
          <w:lang w:val="es-MX"/>
        </w:rPr>
      </w:pPr>
    </w:p>
    <w:p w:rsidR="001E20AE" w:rsidRDefault="001E20AE" w:rsidP="00D4202F">
      <w:pPr>
        <w:spacing w:after="0"/>
        <w:rPr>
          <w:rFonts w:ascii="Times New Roman" w:hAnsi="Times New Roman" w:cs="Times New Roman"/>
          <w:color w:val="FF0000"/>
          <w:sz w:val="6"/>
          <w:lang w:val="es-MX"/>
        </w:rPr>
      </w:pPr>
    </w:p>
    <w:p w:rsidR="001E20AE" w:rsidRDefault="001E20AE" w:rsidP="00D4202F">
      <w:pPr>
        <w:spacing w:after="0"/>
        <w:rPr>
          <w:rFonts w:ascii="Times New Roman" w:hAnsi="Times New Roman" w:cs="Times New Roman"/>
          <w:color w:val="FF0000"/>
          <w:sz w:val="6"/>
          <w:lang w:val="es-MX"/>
        </w:rPr>
      </w:pPr>
    </w:p>
    <w:p w:rsidR="001E20AE" w:rsidRDefault="001E20AE" w:rsidP="00D4202F">
      <w:pPr>
        <w:spacing w:after="0"/>
        <w:rPr>
          <w:rFonts w:ascii="Times New Roman" w:hAnsi="Times New Roman" w:cs="Times New Roman"/>
          <w:color w:val="FF0000"/>
          <w:sz w:val="6"/>
          <w:lang w:val="es-MX"/>
        </w:rPr>
      </w:pPr>
    </w:p>
    <w:p w:rsidR="001E20AE" w:rsidRDefault="001E20AE" w:rsidP="00D4202F">
      <w:pPr>
        <w:spacing w:after="0"/>
        <w:rPr>
          <w:rFonts w:ascii="Times New Roman" w:hAnsi="Times New Roman" w:cs="Times New Roman"/>
          <w:color w:val="FF0000"/>
          <w:sz w:val="6"/>
          <w:lang w:val="es-MX"/>
        </w:rPr>
      </w:pPr>
    </w:p>
    <w:p w:rsidR="001E20AE" w:rsidRDefault="001E20AE" w:rsidP="00D4202F">
      <w:pPr>
        <w:spacing w:after="0"/>
        <w:rPr>
          <w:rFonts w:ascii="Times New Roman" w:hAnsi="Times New Roman" w:cs="Times New Roman"/>
          <w:color w:val="FF0000"/>
          <w:sz w:val="6"/>
          <w:lang w:val="es-MX"/>
        </w:rPr>
      </w:pPr>
    </w:p>
    <w:p w:rsidR="001E20AE" w:rsidRDefault="001E20AE" w:rsidP="00D4202F">
      <w:pPr>
        <w:spacing w:after="0"/>
        <w:rPr>
          <w:rFonts w:ascii="Times New Roman" w:hAnsi="Times New Roman" w:cs="Times New Roman"/>
          <w:color w:val="FF0000"/>
          <w:sz w:val="6"/>
          <w:lang w:val="es-MX"/>
        </w:rPr>
      </w:pPr>
    </w:p>
    <w:p w:rsidR="001E20AE" w:rsidRPr="009453FD" w:rsidRDefault="001E20AE" w:rsidP="00D4202F">
      <w:pPr>
        <w:spacing w:after="0"/>
        <w:rPr>
          <w:rFonts w:ascii="Times New Roman" w:hAnsi="Times New Roman" w:cs="Times New Roman"/>
          <w:color w:val="FF0000"/>
          <w:sz w:val="6"/>
          <w:lang w:val="es-MX"/>
        </w:rPr>
        <w:sectPr w:rsidR="001E20AE" w:rsidRPr="009453FD" w:rsidSect="004E358C">
          <w:type w:val="continuous"/>
          <w:pgSz w:w="12240" w:h="15840"/>
          <w:pgMar w:top="1417" w:right="1701" w:bottom="1417" w:left="1701" w:header="708" w:footer="708" w:gutter="0"/>
          <w:cols w:num="2" w:space="708"/>
          <w:docGrid w:linePitch="360"/>
        </w:sectPr>
      </w:pPr>
    </w:p>
    <w:p w:rsidR="00494D1D" w:rsidRPr="007570C7"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7570C7" w:rsidSect="00FA3B81">
          <w:headerReference w:type="default" r:id="rId28"/>
          <w:footerReference w:type="default" r:id="rId29"/>
          <w:type w:val="continuous"/>
          <w:pgSz w:w="12240" w:h="15840" w:code="1"/>
          <w:pgMar w:top="1418" w:right="1418" w:bottom="1418" w:left="1418" w:header="709" w:footer="709" w:gutter="0"/>
          <w:cols w:space="708"/>
          <w:docGrid w:linePitch="360"/>
        </w:sectPr>
      </w:pPr>
      <w:r w:rsidRPr="007570C7">
        <w:rPr>
          <w:rFonts w:ascii="Times New Roman" w:hAnsi="Times New Roman" w:cs="Times New Roman"/>
          <w:b/>
          <w:lang w:val="es-MX"/>
        </w:rPr>
        <w:lastRenderedPageBreak/>
        <w:t>Ambientes macroeconómicos (externo e interno)</w:t>
      </w:r>
    </w:p>
    <w:p w:rsidR="00494D1D" w:rsidRPr="007570C7" w:rsidRDefault="00494D1D" w:rsidP="00494D1D">
      <w:pPr>
        <w:pStyle w:val="Sinespaciado"/>
        <w:rPr>
          <w:rFonts w:ascii="Times New Roman" w:hAnsi="Times New Roman" w:cs="Times New Roman"/>
          <w:b/>
          <w:sz w:val="18"/>
          <w:lang w:val="es-MX"/>
        </w:rPr>
      </w:pPr>
    </w:p>
    <w:p w:rsidR="00494D1D" w:rsidRPr="007570C7" w:rsidRDefault="00494D1D" w:rsidP="00494D1D">
      <w:pPr>
        <w:pStyle w:val="Sinespaciado"/>
        <w:rPr>
          <w:rFonts w:ascii="Times New Roman" w:hAnsi="Times New Roman" w:cs="Times New Roman"/>
          <w:b/>
          <w:sz w:val="28"/>
          <w:lang w:val="es-MX"/>
        </w:rPr>
        <w:sectPr w:rsidR="00494D1D" w:rsidRPr="007570C7" w:rsidSect="004E358C">
          <w:type w:val="continuous"/>
          <w:pgSz w:w="12240" w:h="15840"/>
          <w:pgMar w:top="1417" w:right="1701" w:bottom="1417" w:left="1701" w:header="708" w:footer="708" w:gutter="0"/>
          <w:cols w:space="708"/>
          <w:docGrid w:linePitch="360"/>
        </w:sectPr>
      </w:pPr>
    </w:p>
    <w:p w:rsidR="00C739AF" w:rsidRPr="007570C7" w:rsidRDefault="00E16303" w:rsidP="0040580B">
      <w:pPr>
        <w:pStyle w:val="Textodeglobo"/>
        <w:jc w:val="both"/>
        <w:rPr>
          <w:rFonts w:ascii="Times New Roman" w:hAnsi="Times New Roman" w:cs="Times New Roman"/>
          <w:sz w:val="22"/>
          <w:szCs w:val="22"/>
        </w:rPr>
      </w:pPr>
      <w:r w:rsidRPr="007570C7">
        <w:rPr>
          <w:rFonts w:ascii="Times New Roman" w:hAnsi="Times New Roman" w:cs="Times New Roman"/>
          <w:sz w:val="22"/>
          <w:szCs w:val="22"/>
        </w:rPr>
        <w:lastRenderedPageBreak/>
        <w:t xml:space="preserve">Entre lo más relevante acontecido </w:t>
      </w:r>
      <w:r w:rsidR="0040580B" w:rsidRPr="007570C7">
        <w:rPr>
          <w:rFonts w:ascii="Times New Roman" w:hAnsi="Times New Roman" w:cs="Times New Roman"/>
          <w:sz w:val="22"/>
          <w:szCs w:val="22"/>
        </w:rPr>
        <w:t xml:space="preserve">en </w:t>
      </w:r>
      <w:r w:rsidR="00FE1018" w:rsidRPr="007570C7">
        <w:rPr>
          <w:rFonts w:ascii="Times New Roman" w:hAnsi="Times New Roman" w:cs="Times New Roman"/>
          <w:sz w:val="22"/>
          <w:szCs w:val="22"/>
        </w:rPr>
        <w:t>febrero se destaca la</w:t>
      </w:r>
      <w:r w:rsidR="00E9468D" w:rsidRPr="007570C7">
        <w:rPr>
          <w:rFonts w:ascii="Times New Roman" w:hAnsi="Times New Roman" w:cs="Times New Roman"/>
          <w:sz w:val="22"/>
          <w:szCs w:val="22"/>
        </w:rPr>
        <w:t xml:space="preserve"> decisión de la</w:t>
      </w:r>
      <w:r w:rsidR="00FE1018" w:rsidRPr="007570C7">
        <w:rPr>
          <w:rFonts w:ascii="Times New Roman" w:hAnsi="Times New Roman" w:cs="Times New Roman"/>
          <w:sz w:val="22"/>
          <w:szCs w:val="22"/>
        </w:rPr>
        <w:t xml:space="preserve"> </w:t>
      </w:r>
      <w:r w:rsidR="00147E43" w:rsidRPr="007570C7">
        <w:rPr>
          <w:rFonts w:ascii="Times New Roman" w:hAnsi="Times New Roman" w:cs="Times New Roman"/>
          <w:sz w:val="22"/>
          <w:szCs w:val="22"/>
        </w:rPr>
        <w:t>OCDE</w:t>
      </w:r>
      <w:r w:rsidR="00FE1018" w:rsidRPr="007570C7">
        <w:rPr>
          <w:rFonts w:ascii="Times New Roman" w:hAnsi="Times New Roman" w:cs="Times New Roman"/>
          <w:sz w:val="22"/>
          <w:szCs w:val="22"/>
        </w:rPr>
        <w:t xml:space="preserve"> </w:t>
      </w:r>
      <w:r w:rsidR="00E9468D" w:rsidRPr="007570C7">
        <w:rPr>
          <w:rFonts w:ascii="Times New Roman" w:hAnsi="Times New Roman" w:cs="Times New Roman"/>
          <w:sz w:val="22"/>
          <w:szCs w:val="22"/>
        </w:rPr>
        <w:t>de disminuir</w:t>
      </w:r>
      <w:r w:rsidR="00FE1018" w:rsidRPr="007570C7">
        <w:rPr>
          <w:rFonts w:ascii="Times New Roman" w:hAnsi="Times New Roman" w:cs="Times New Roman"/>
          <w:sz w:val="22"/>
          <w:szCs w:val="22"/>
        </w:rPr>
        <w:t xml:space="preserve"> medio punto porcentual el crecimiento de la economía mundial para 2020, indicando que su expansión será de 2.4% frente al crecimiento del PIB del 2.9% previsto en noviembre 2019; también indicó que confía en que la actividad rebotará en 2021 hasta el 3.3%, tres décimas arriba de lo estimado previamente, si la epidemia del coronavirus covid-19 logra contenerse y se adoptan las medidas necesarias.  </w:t>
      </w:r>
    </w:p>
    <w:p w:rsidR="00C739AF" w:rsidRPr="007570C7" w:rsidRDefault="00C739AF" w:rsidP="0040580B">
      <w:pPr>
        <w:pStyle w:val="Textodeglobo"/>
        <w:jc w:val="both"/>
        <w:rPr>
          <w:rFonts w:ascii="Times New Roman" w:hAnsi="Times New Roman" w:cs="Times New Roman"/>
          <w:sz w:val="22"/>
          <w:szCs w:val="22"/>
        </w:rPr>
      </w:pPr>
    </w:p>
    <w:p w:rsidR="004D0A0F" w:rsidRPr="007570C7" w:rsidRDefault="00E9468D" w:rsidP="0040580B">
      <w:pPr>
        <w:pStyle w:val="Textodeglobo"/>
        <w:jc w:val="both"/>
        <w:rPr>
          <w:rFonts w:ascii="Times New Roman" w:hAnsi="Times New Roman" w:cs="Times New Roman"/>
          <w:lang w:val="es-MX"/>
        </w:rPr>
      </w:pPr>
      <w:r w:rsidRPr="007570C7">
        <w:rPr>
          <w:rFonts w:ascii="Times New Roman" w:hAnsi="Times New Roman" w:cs="Times New Roman"/>
          <w:sz w:val="22"/>
          <w:szCs w:val="22"/>
        </w:rPr>
        <w:t>En este sentido, la OCDE subrayó</w:t>
      </w:r>
      <w:r w:rsidR="00FE1018" w:rsidRPr="007570C7">
        <w:rPr>
          <w:rFonts w:ascii="Times New Roman" w:hAnsi="Times New Roman" w:cs="Times New Roman"/>
          <w:sz w:val="22"/>
          <w:szCs w:val="22"/>
        </w:rPr>
        <w:t xml:space="preserve"> que sus nuevas proyecciones asumen que la epidemia de coronavirus alcanza su apogeo en China en el primer trimestre, tras lo que seguirá una recuperación gradual, mientras que los casos en otros países tendrán un carácter esporádico y lograrán contenerse, ya que en caso contrario las previsiones de crecimiento serían sustancialmente más débiles.</w:t>
      </w:r>
    </w:p>
    <w:p w:rsidR="009F1C07" w:rsidRPr="007570C7" w:rsidRDefault="009F1C07" w:rsidP="004D0A0F">
      <w:pPr>
        <w:pStyle w:val="Sinespaciado"/>
        <w:jc w:val="both"/>
        <w:rPr>
          <w:rFonts w:ascii="Times New Roman" w:hAnsi="Times New Roman" w:cs="Times New Roman"/>
          <w:lang w:val="es-MX"/>
        </w:rPr>
      </w:pPr>
    </w:p>
    <w:p w:rsidR="00823719" w:rsidRPr="007570C7" w:rsidRDefault="00E9468D" w:rsidP="00823719">
      <w:pPr>
        <w:pStyle w:val="Sinespaciado"/>
        <w:jc w:val="both"/>
        <w:rPr>
          <w:rFonts w:ascii="Times New Roman" w:hAnsi="Times New Roman" w:cs="Times New Roman"/>
        </w:rPr>
      </w:pPr>
      <w:r w:rsidRPr="007570C7">
        <w:rPr>
          <w:rFonts w:ascii="Times New Roman" w:hAnsi="Times New Roman" w:cs="Times New Roman"/>
        </w:rPr>
        <w:t xml:space="preserve">La Fed de Estados Unidos rebajó en 50 puntos básicos los tipos de interés, hasta un rango objetivo de entre 1% y 1.25%, en respuesta a los riesgos que la epidemia del coronavirus representa para la economía. El comité informó que los fundamentos de la economía de Estados Unidos se mantienen fuertes, sin embargo, el coronavirus plantea riesgos en evolución para la actividad económica. </w:t>
      </w:r>
      <w:r w:rsidR="006E1C62" w:rsidRPr="007570C7">
        <w:rPr>
          <w:rFonts w:ascii="Times New Roman" w:hAnsi="Times New Roman" w:cs="Times New Roman"/>
        </w:rPr>
        <w:t>Así mismo,</w:t>
      </w:r>
      <w:r w:rsidR="00147E43" w:rsidRPr="007570C7">
        <w:rPr>
          <w:rFonts w:ascii="Times New Roman" w:hAnsi="Times New Roman" w:cs="Times New Roman"/>
        </w:rPr>
        <w:t xml:space="preserve"> aumentará los montos que inyecta diariamente a los mercados financieros en US$ 50.000 millones hasta alcanzar US$ 150.000 millones, como una medida de protección ante la epidemia del nuevo coronavirus, anunció el banco central estadounidense.</w:t>
      </w:r>
      <w:r w:rsidRPr="007570C7">
        <w:rPr>
          <w:rFonts w:ascii="Times New Roman" w:hAnsi="Times New Roman" w:cs="Times New Roman"/>
        </w:rPr>
        <w:t xml:space="preserve"> </w:t>
      </w:r>
    </w:p>
    <w:p w:rsidR="00147E43" w:rsidRPr="007570C7" w:rsidRDefault="00147E43" w:rsidP="00147E43">
      <w:pPr>
        <w:spacing w:after="0" w:line="240" w:lineRule="auto"/>
        <w:jc w:val="both"/>
        <w:rPr>
          <w:rFonts w:ascii="Times New Roman" w:hAnsi="Times New Roman" w:cs="Times New Roman"/>
        </w:rPr>
      </w:pPr>
    </w:p>
    <w:p w:rsidR="00C645BC" w:rsidRPr="007570C7" w:rsidRDefault="00147E43" w:rsidP="00147E43">
      <w:pPr>
        <w:spacing w:after="0" w:line="240" w:lineRule="auto"/>
        <w:jc w:val="both"/>
        <w:rPr>
          <w:rFonts w:ascii="Times New Roman" w:hAnsi="Times New Roman" w:cs="Times New Roman"/>
        </w:rPr>
      </w:pPr>
      <w:r w:rsidRPr="007570C7">
        <w:rPr>
          <w:rFonts w:ascii="Times New Roman" w:hAnsi="Times New Roman" w:cs="Times New Roman"/>
        </w:rPr>
        <w:t xml:space="preserve">El Banco Central Europeo (BCE) aprobó nuevos estímulos monetarios para ayudar a la economía de la zona euro a lidiar con los crecientes costos de la epidemia de coronavirus, pero sorpresivamente dejó las tasas de interés </w:t>
      </w:r>
      <w:r w:rsidRPr="007570C7">
        <w:rPr>
          <w:rFonts w:ascii="Times New Roman" w:hAnsi="Times New Roman" w:cs="Times New Roman"/>
        </w:rPr>
        <w:lastRenderedPageBreak/>
        <w:t>sin cambios, en una decisión que podría decepcionar a los mercados financieros.  En momentos en que millones de personas están en cuarentena, los mercados bajo turbulencias y las empresas sufren por cadenas de suministros paralizadas, el BCE ofrecerá nuevos préstamos a los bancos, concederá instrumentos de liquidez ya pactados a tasas aún más favorables e incrementará temporalmente sus compras de activos para sostener a la actividad económica.</w:t>
      </w:r>
    </w:p>
    <w:p w:rsidR="00147E43" w:rsidRPr="007570C7" w:rsidRDefault="00147E43" w:rsidP="00147E43">
      <w:pPr>
        <w:spacing w:after="0" w:line="240" w:lineRule="auto"/>
        <w:jc w:val="both"/>
        <w:rPr>
          <w:rFonts w:ascii="Times New Roman" w:hAnsi="Times New Roman" w:cs="Times New Roman"/>
        </w:rPr>
      </w:pPr>
    </w:p>
    <w:p w:rsidR="00C645BC" w:rsidRPr="007570C7" w:rsidRDefault="006E1C62" w:rsidP="006E1C62">
      <w:pPr>
        <w:spacing w:after="0" w:line="240" w:lineRule="auto"/>
        <w:jc w:val="both"/>
        <w:rPr>
          <w:rFonts w:ascii="Times New Roman" w:hAnsi="Times New Roman" w:cs="Times New Roman"/>
          <w:lang w:val="es-MX"/>
        </w:rPr>
      </w:pPr>
      <w:r w:rsidRPr="007570C7">
        <w:rPr>
          <w:rFonts w:ascii="Times New Roman" w:hAnsi="Times New Roman" w:cs="Times New Roman"/>
          <w:lang w:val="es-MX"/>
        </w:rPr>
        <w:t xml:space="preserve">El Banco Central de China recortó el efectivo que los bancos deben mantener como reservas por segunda vez este año, liberando 550 mil millones de yuanes </w:t>
      </w:r>
      <w:r w:rsidR="000C73C8" w:rsidRPr="007570C7">
        <w:rPr>
          <w:rFonts w:ascii="Times New Roman" w:hAnsi="Times New Roman" w:cs="Times New Roman"/>
          <w:lang w:val="es-MX"/>
        </w:rPr>
        <w:t>(</w:t>
      </w:r>
      <w:r w:rsidRPr="007570C7">
        <w:rPr>
          <w:rFonts w:ascii="Times New Roman" w:hAnsi="Times New Roman" w:cs="Times New Roman"/>
          <w:lang w:val="es-MX"/>
        </w:rPr>
        <w:t>US$79.000 millones) para ayudar a su econom</w:t>
      </w:r>
      <w:r w:rsidR="000C73C8" w:rsidRPr="007570C7">
        <w:rPr>
          <w:rFonts w:ascii="Times New Roman" w:hAnsi="Times New Roman" w:cs="Times New Roman"/>
          <w:lang w:val="es-MX"/>
        </w:rPr>
        <w:t xml:space="preserve">ía afectada por el coronavirus.  </w:t>
      </w:r>
      <w:r w:rsidRPr="007570C7">
        <w:rPr>
          <w:rFonts w:ascii="Times New Roman" w:hAnsi="Times New Roman" w:cs="Times New Roman"/>
          <w:lang w:val="es-MX"/>
        </w:rPr>
        <w:t>El recorte de los requisitos de reserva es el último paso de Beijing para amortiguar el golpe económico del brote de coronavirus en medio de las preocupaciones sobre la pérdida de empleos, y se espera más estímulo.</w:t>
      </w:r>
    </w:p>
    <w:p w:rsidR="00C739AF" w:rsidRPr="007570C7" w:rsidRDefault="00C739AF" w:rsidP="00147E43">
      <w:pPr>
        <w:spacing w:after="0" w:line="240" w:lineRule="auto"/>
        <w:jc w:val="both"/>
        <w:rPr>
          <w:rFonts w:ascii="Times New Roman" w:hAnsi="Times New Roman" w:cs="Times New Roman"/>
          <w:lang w:val="es-MX"/>
        </w:rPr>
      </w:pPr>
    </w:p>
    <w:p w:rsidR="009C5F4E" w:rsidRPr="007570C7" w:rsidRDefault="00147E43" w:rsidP="00147E43">
      <w:pPr>
        <w:spacing w:after="0" w:line="240" w:lineRule="auto"/>
        <w:jc w:val="both"/>
        <w:rPr>
          <w:rFonts w:ascii="Times New Roman" w:hAnsi="Times New Roman" w:cs="Times New Roman"/>
          <w:lang w:val="es-MX"/>
        </w:rPr>
      </w:pPr>
      <w:r w:rsidRPr="007570C7">
        <w:rPr>
          <w:rFonts w:ascii="Times New Roman" w:hAnsi="Times New Roman" w:cs="Times New Roman"/>
          <w:lang w:val="es-MX"/>
        </w:rPr>
        <w:t>Oxford Economics, citado por la consultora Ernst &amp; Young (EY), señala incluso que, si la propagación del virus no se controla, las repercusiones económicas podrían manifestarse hasta en una contracción del 1.3% del PIB mundial y le costaría a la economía $1.1 trillones, con un golpe a siete rubros, como el textil, la tecnología, el turismo y el transporte aéreo.</w:t>
      </w:r>
    </w:p>
    <w:p w:rsidR="000C73C8" w:rsidRPr="007570C7" w:rsidRDefault="000C73C8" w:rsidP="00D61F8E">
      <w:pPr>
        <w:pStyle w:val="Sinespaciado"/>
        <w:jc w:val="both"/>
        <w:rPr>
          <w:rFonts w:ascii="Times New Roman" w:eastAsia="Times New Roman" w:hAnsi="Times New Roman" w:cs="Times New Roman"/>
          <w:lang w:val="es-MX"/>
        </w:rPr>
      </w:pPr>
    </w:p>
    <w:p w:rsidR="000C73C8" w:rsidRPr="007570C7" w:rsidRDefault="000C73C8" w:rsidP="000C73C8">
      <w:pPr>
        <w:pStyle w:val="Sinespaciado"/>
        <w:jc w:val="both"/>
        <w:rPr>
          <w:rFonts w:ascii="Times New Roman" w:eastAsia="Times New Roman" w:hAnsi="Times New Roman" w:cs="Times New Roman"/>
          <w:lang w:val="es-MX"/>
        </w:rPr>
      </w:pPr>
      <w:r w:rsidRPr="007570C7">
        <w:rPr>
          <w:rFonts w:ascii="Times New Roman" w:eastAsia="Times New Roman" w:hAnsi="Times New Roman" w:cs="Times New Roman"/>
          <w:lang w:val="es-MX"/>
        </w:rPr>
        <w:t xml:space="preserve">En el ámbito interno, la percepción sobre la situación económica actual y el ambiente para los negocios aumentó, el nivel del Índice de Confianza de la Actividad Económica se situó en 71.07 puntos, superior en 6.87% con respecto al registrado el mes anterior y también superior en 64.17% respecto al registrado en febrero 2019.   Así mismo, se espera un ritmo inflacionario de 3.25% para febrero, 3.36% para marzo y 3.38% para abril 2020; en un horizonte </w:t>
      </w:r>
      <w:r w:rsidRPr="007570C7">
        <w:rPr>
          <w:rFonts w:ascii="Times New Roman" w:eastAsia="Times New Roman" w:hAnsi="Times New Roman" w:cs="Times New Roman"/>
          <w:lang w:val="es-MX"/>
        </w:rPr>
        <w:lastRenderedPageBreak/>
        <w:t xml:space="preserve">de 12 y 24 meses se esperaría un ritmo de 3.92% y 3.85% respectivamente. </w:t>
      </w:r>
    </w:p>
    <w:p w:rsidR="000C73C8" w:rsidRPr="007570C7" w:rsidRDefault="000C73C8" w:rsidP="000C73C8">
      <w:pPr>
        <w:pStyle w:val="Sinespaciado"/>
        <w:jc w:val="both"/>
        <w:rPr>
          <w:rFonts w:ascii="Times New Roman" w:eastAsia="Times New Roman" w:hAnsi="Times New Roman" w:cs="Times New Roman"/>
          <w:lang w:val="es-MX"/>
        </w:rPr>
      </w:pPr>
    </w:p>
    <w:p w:rsidR="00F062BF" w:rsidRPr="007570C7" w:rsidRDefault="000C73C8" w:rsidP="007570C7">
      <w:pPr>
        <w:pStyle w:val="Sinespaciado"/>
        <w:jc w:val="both"/>
        <w:rPr>
          <w:rFonts w:ascii="Times New Roman" w:eastAsia="Times New Roman" w:hAnsi="Times New Roman" w:cs="Times New Roman"/>
          <w:lang w:val="es-MX"/>
        </w:rPr>
        <w:sectPr w:rsidR="00F062BF" w:rsidRPr="007570C7" w:rsidSect="00040C99">
          <w:headerReference w:type="default" r:id="rId30"/>
          <w:footerReference w:type="default" r:id="rId31"/>
          <w:type w:val="continuous"/>
          <w:pgSz w:w="12240" w:h="15840" w:code="1"/>
          <w:pgMar w:top="1418" w:right="1467" w:bottom="1418" w:left="1560" w:header="709" w:footer="709" w:gutter="0"/>
          <w:cols w:num="2" w:space="802"/>
          <w:docGrid w:linePitch="360"/>
        </w:sectPr>
      </w:pPr>
      <w:r w:rsidRPr="007570C7">
        <w:rPr>
          <w:rFonts w:ascii="Times New Roman" w:eastAsia="Times New Roman" w:hAnsi="Times New Roman" w:cs="Times New Roman"/>
          <w:lang w:val="es-MX"/>
        </w:rPr>
        <w:t xml:space="preserve">La actividad económica medida por la estimación del IMAE a enero de 2020, registró una tasa de crecimiento de 3.6% (3.2% en enero </w:t>
      </w:r>
      <w:r w:rsidRPr="007570C7">
        <w:rPr>
          <w:rFonts w:ascii="Times New Roman" w:eastAsia="Times New Roman" w:hAnsi="Times New Roman" w:cs="Times New Roman"/>
          <w:lang w:val="es-MX"/>
        </w:rPr>
        <w:lastRenderedPageBreak/>
        <w:t>de 2019). El comportamiento descrito, estuvo influenciado por las actividades económicas de Comercio y reparación de vehículos; Industrias manufactureras; Agricultura y Actividades financieras y de seguros. Actividades que tuvieron mayor incidencia en el IMAE.</w:t>
      </w:r>
    </w:p>
    <w:p w:rsidR="00F062BF" w:rsidRPr="009453FD" w:rsidRDefault="00F062BF" w:rsidP="00F062BF">
      <w:pPr>
        <w:spacing w:after="0" w:line="240" w:lineRule="auto"/>
        <w:rPr>
          <w:rFonts w:ascii="Times New Roman" w:hAnsi="Times New Roman" w:cs="Times New Roman"/>
          <w:noProof/>
          <w:color w:val="FF0000"/>
          <w:sz w:val="16"/>
          <w:lang w:val="es-MX" w:eastAsia="es-GT"/>
        </w:rPr>
        <w:sectPr w:rsidR="00F062BF" w:rsidRPr="009453FD" w:rsidSect="00986297">
          <w:headerReference w:type="default" r:id="rId32"/>
          <w:footerReference w:type="default" r:id="rId33"/>
          <w:type w:val="continuous"/>
          <w:pgSz w:w="12240" w:h="15840" w:code="1"/>
          <w:pgMar w:top="1418" w:right="1418" w:bottom="1418" w:left="1418" w:header="709" w:footer="709" w:gutter="0"/>
          <w:cols w:num="2" w:space="708"/>
          <w:docGrid w:linePitch="360"/>
        </w:sectPr>
      </w:pPr>
    </w:p>
    <w:p w:rsidR="00C739AF" w:rsidRPr="009453FD" w:rsidRDefault="00C739AF" w:rsidP="00AD5816">
      <w:pPr>
        <w:spacing w:after="0" w:line="240" w:lineRule="auto"/>
        <w:rPr>
          <w:rFonts w:ascii="Times New Roman" w:hAnsi="Times New Roman" w:cs="Times New Roman"/>
          <w:noProof/>
          <w:color w:val="FF0000"/>
          <w:sz w:val="16"/>
          <w:lang w:eastAsia="es-GT"/>
        </w:rPr>
      </w:pPr>
    </w:p>
    <w:p w:rsidR="00C739AF" w:rsidRPr="009453FD" w:rsidRDefault="00C739AF" w:rsidP="00AD5816">
      <w:pPr>
        <w:spacing w:after="0" w:line="240" w:lineRule="auto"/>
        <w:rPr>
          <w:rFonts w:ascii="Times New Roman" w:hAnsi="Times New Roman" w:cs="Times New Roman"/>
          <w:noProof/>
          <w:color w:val="FF0000"/>
          <w:sz w:val="16"/>
          <w:lang w:eastAsia="es-GT"/>
        </w:rPr>
      </w:pPr>
    </w:p>
    <w:p w:rsidR="00C739AF" w:rsidRDefault="00C739AF"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Default="001E20AE" w:rsidP="00AD5816">
      <w:pPr>
        <w:spacing w:after="0" w:line="240" w:lineRule="auto"/>
        <w:rPr>
          <w:rFonts w:ascii="Times New Roman" w:hAnsi="Times New Roman" w:cs="Times New Roman"/>
          <w:noProof/>
          <w:color w:val="FF0000"/>
          <w:sz w:val="16"/>
          <w:lang w:eastAsia="es-GT"/>
        </w:rPr>
      </w:pPr>
    </w:p>
    <w:p w:rsidR="001E20AE" w:rsidRPr="009453FD" w:rsidRDefault="001E20AE" w:rsidP="00AD5816">
      <w:pPr>
        <w:spacing w:after="0" w:line="240" w:lineRule="auto"/>
        <w:rPr>
          <w:rFonts w:ascii="Times New Roman" w:hAnsi="Times New Roman" w:cs="Times New Roman"/>
          <w:noProof/>
          <w:color w:val="FF0000"/>
          <w:sz w:val="16"/>
          <w:lang w:eastAsia="es-GT"/>
        </w:rPr>
      </w:pPr>
    </w:p>
    <w:p w:rsidR="00C739AF" w:rsidRPr="009453FD" w:rsidRDefault="00C739AF" w:rsidP="00AD5816">
      <w:pPr>
        <w:spacing w:after="0" w:line="240" w:lineRule="auto"/>
        <w:rPr>
          <w:rFonts w:ascii="Times New Roman" w:hAnsi="Times New Roman" w:cs="Times New Roman"/>
          <w:noProof/>
          <w:color w:val="FF0000"/>
          <w:sz w:val="16"/>
          <w:lang w:eastAsia="es-GT"/>
        </w:rPr>
      </w:pPr>
    </w:p>
    <w:p w:rsidR="001F5581" w:rsidRPr="007570C7"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7570C7" w:rsidSect="00FA3B81">
          <w:headerReference w:type="default" r:id="rId34"/>
          <w:footerReference w:type="default" r:id="rId35"/>
          <w:type w:val="continuous"/>
          <w:pgSz w:w="12240" w:h="15840" w:code="1"/>
          <w:pgMar w:top="1418" w:right="1418" w:bottom="1418" w:left="1418" w:header="709" w:footer="709" w:gutter="0"/>
          <w:cols w:space="708"/>
          <w:docGrid w:linePitch="360"/>
        </w:sectPr>
      </w:pPr>
      <w:r w:rsidRPr="007570C7">
        <w:rPr>
          <w:rFonts w:ascii="Times New Roman" w:hAnsi="Times New Roman" w:cs="Times New Roman"/>
          <w:b/>
          <w:lang w:val="es-MX"/>
        </w:rPr>
        <w:lastRenderedPageBreak/>
        <w:t>Anexo</w:t>
      </w:r>
    </w:p>
    <w:p w:rsidR="001F5581" w:rsidRPr="009453FD" w:rsidRDefault="001F5581" w:rsidP="00AD5816">
      <w:pPr>
        <w:spacing w:after="0" w:line="240" w:lineRule="auto"/>
        <w:rPr>
          <w:rFonts w:ascii="Times New Roman" w:hAnsi="Times New Roman" w:cs="Times New Roman"/>
          <w:noProof/>
          <w:color w:val="FF0000"/>
          <w:sz w:val="16"/>
          <w:lang w:val="es-MX" w:eastAsia="es-GT"/>
        </w:rPr>
        <w:sectPr w:rsidR="001F5581" w:rsidRPr="009453FD" w:rsidSect="00986297">
          <w:headerReference w:type="default" r:id="rId36"/>
          <w:footerReference w:type="default" r:id="rId37"/>
          <w:type w:val="continuous"/>
          <w:pgSz w:w="12240" w:h="15840" w:code="1"/>
          <w:pgMar w:top="1418" w:right="1418" w:bottom="1418" w:left="1418" w:header="709" w:footer="709" w:gutter="0"/>
          <w:cols w:num="2" w:space="708"/>
          <w:docGrid w:linePitch="360"/>
        </w:sectPr>
      </w:pPr>
    </w:p>
    <w:p w:rsidR="0008320B" w:rsidRPr="009453FD" w:rsidRDefault="0008320B" w:rsidP="007E6BCF">
      <w:pPr>
        <w:spacing w:after="0" w:line="240" w:lineRule="auto"/>
        <w:rPr>
          <w:noProof/>
          <w:color w:val="FF0000"/>
          <w:lang w:eastAsia="es-GT"/>
        </w:rPr>
      </w:pPr>
      <w:bookmarkStart w:id="0" w:name="_GoBack"/>
      <w:bookmarkEnd w:id="0"/>
    </w:p>
    <w:p w:rsidR="005834A0" w:rsidRPr="009453FD" w:rsidRDefault="007570C7" w:rsidP="007E6BCF">
      <w:pPr>
        <w:spacing w:after="0" w:line="240" w:lineRule="auto"/>
        <w:rPr>
          <w:noProof/>
          <w:color w:val="FF0000"/>
          <w:lang w:eastAsia="es-GT"/>
        </w:rPr>
      </w:pPr>
      <w:r w:rsidRPr="004408E4">
        <w:rPr>
          <w:noProof/>
          <w:lang w:eastAsia="es-GT"/>
        </w:rPr>
        <w:drawing>
          <wp:anchor distT="0" distB="0" distL="114300" distR="114300" simplePos="0" relativeHeight="251761664" behindDoc="0" locked="0" layoutInCell="1" allowOverlap="1" wp14:anchorId="5ADE1139" wp14:editId="14479E70">
            <wp:simplePos x="0" y="0"/>
            <wp:positionH relativeFrom="column">
              <wp:posOffset>3175</wp:posOffset>
            </wp:positionH>
            <wp:positionV relativeFrom="paragraph">
              <wp:posOffset>340995</wp:posOffset>
            </wp:positionV>
            <wp:extent cx="5943600" cy="4725670"/>
            <wp:effectExtent l="0" t="0" r="0" b="0"/>
            <wp:wrapSquare wrapText="bothSides"/>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725670"/>
                    </a:xfrm>
                    <a:prstGeom prst="rect">
                      <a:avLst/>
                    </a:prstGeom>
                  </pic:spPr>
                </pic:pic>
              </a:graphicData>
            </a:graphic>
            <wp14:sizeRelH relativeFrom="page">
              <wp14:pctWidth>0</wp14:pctWidth>
            </wp14:sizeRelH>
            <wp14:sizeRelV relativeFrom="page">
              <wp14:pctHeight>0</wp14:pctHeight>
            </wp14:sizeRelV>
          </wp:anchor>
        </w:drawing>
      </w:r>
    </w:p>
    <w:p w:rsidR="005834A0" w:rsidRPr="009453FD" w:rsidRDefault="005834A0" w:rsidP="007E6BCF">
      <w:pPr>
        <w:spacing w:after="0" w:line="240" w:lineRule="auto"/>
        <w:rPr>
          <w:noProof/>
          <w:color w:val="FF0000"/>
          <w:lang w:eastAsia="es-GT"/>
        </w:rPr>
      </w:pPr>
    </w:p>
    <w:p w:rsidR="005834A0" w:rsidRPr="009453FD" w:rsidRDefault="005834A0" w:rsidP="007E6BCF">
      <w:pPr>
        <w:spacing w:after="0" w:line="240" w:lineRule="auto"/>
        <w:rPr>
          <w:noProof/>
          <w:color w:val="FF0000"/>
          <w:lang w:eastAsia="es-GT"/>
        </w:rPr>
      </w:pPr>
    </w:p>
    <w:p w:rsidR="005834A0" w:rsidRPr="009453FD" w:rsidRDefault="005834A0" w:rsidP="007E6BCF">
      <w:pPr>
        <w:spacing w:after="0" w:line="240" w:lineRule="auto"/>
        <w:rPr>
          <w:noProof/>
          <w:color w:val="FF0000"/>
          <w:lang w:eastAsia="es-GT"/>
        </w:rPr>
      </w:pPr>
    </w:p>
    <w:p w:rsidR="001F5581" w:rsidRPr="009453FD" w:rsidRDefault="001F5581" w:rsidP="007E6BCF">
      <w:pPr>
        <w:spacing w:after="0" w:line="240" w:lineRule="auto"/>
        <w:rPr>
          <w:rFonts w:ascii="Times New Roman" w:hAnsi="Times New Roman" w:cs="Times New Roman"/>
          <w:noProof/>
          <w:color w:val="FF0000"/>
          <w:sz w:val="16"/>
          <w:lang w:val="es-MX" w:eastAsia="es-GT"/>
        </w:rPr>
        <w:sectPr w:rsidR="001F5581" w:rsidRPr="009453FD" w:rsidSect="001F5581">
          <w:type w:val="continuous"/>
          <w:pgSz w:w="12240" w:h="15840" w:code="1"/>
          <w:pgMar w:top="1418" w:right="1418" w:bottom="1418" w:left="1418" w:header="709" w:footer="709" w:gutter="0"/>
          <w:cols w:space="708"/>
          <w:docGrid w:linePitch="360"/>
        </w:sectPr>
      </w:pPr>
    </w:p>
    <w:p w:rsidR="00AD5816" w:rsidRPr="009453FD" w:rsidRDefault="00AD5816" w:rsidP="00AD5816">
      <w:pPr>
        <w:spacing w:after="0" w:line="240" w:lineRule="auto"/>
        <w:rPr>
          <w:rFonts w:ascii="Times New Roman" w:hAnsi="Times New Roman" w:cs="Times New Roman"/>
          <w:noProof/>
          <w:color w:val="FF0000"/>
          <w:sz w:val="16"/>
          <w:lang w:eastAsia="es-GT"/>
        </w:rPr>
      </w:pPr>
    </w:p>
    <w:p w:rsidR="00AD5816" w:rsidRPr="009453FD" w:rsidRDefault="00AD5816" w:rsidP="00AD5816">
      <w:pPr>
        <w:spacing w:after="0" w:line="240" w:lineRule="auto"/>
        <w:rPr>
          <w:rFonts w:ascii="Times New Roman" w:hAnsi="Times New Roman" w:cs="Times New Roman"/>
          <w:noProof/>
          <w:color w:val="FF0000"/>
          <w:sz w:val="16"/>
          <w:lang w:eastAsia="es-GT"/>
        </w:rPr>
      </w:pPr>
    </w:p>
    <w:p w:rsidR="007703A2" w:rsidRPr="009453FD" w:rsidRDefault="007703A2" w:rsidP="00940C2E">
      <w:pPr>
        <w:pStyle w:val="Sinespaciado"/>
        <w:jc w:val="center"/>
        <w:rPr>
          <w:rFonts w:ascii="Times New Roman" w:hAnsi="Times New Roman" w:cs="Times New Roman"/>
          <w:color w:val="FF0000"/>
        </w:rPr>
      </w:pPr>
    </w:p>
    <w:sectPr w:rsidR="007703A2" w:rsidRPr="009453FD"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A7C" w:rsidRDefault="00EF2A7C" w:rsidP="007D4651">
      <w:pPr>
        <w:spacing w:after="0" w:line="240" w:lineRule="auto"/>
      </w:pPr>
      <w:r>
        <w:separator/>
      </w:r>
    </w:p>
  </w:endnote>
  <w:endnote w:type="continuationSeparator" w:id="0">
    <w:p w:rsidR="00EF2A7C" w:rsidRDefault="00EF2A7C"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7656ADD5" wp14:editId="7657B033">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F7531" w:rsidRPr="003F7531">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3235116"/>
      <w:docPartObj>
        <w:docPartGallery w:val="Page Numbers (Bottom of Page)"/>
        <w:docPartUnique/>
      </w:docPartObj>
    </w:sdtPr>
    <w:sdtEndPr/>
    <w:sdtContent>
      <w:p w:rsidR="001F5581" w:rsidRDefault="001F5581">
        <w:pPr>
          <w:pStyle w:val="Piedepgina"/>
          <w:jc w:val="right"/>
          <w:rPr>
            <w:lang w:val="es-ES"/>
          </w:rPr>
        </w:pPr>
      </w:p>
      <w:p w:rsidR="001F5581" w:rsidRDefault="001F558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471807D2" wp14:editId="7FF0DE06">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F5581" w:rsidRDefault="001F558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F7531" w:rsidRPr="003F7531">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1F5581" w:rsidRDefault="001F5581" w:rsidP="007D4651">
    <w:pPr>
      <w:pStyle w:val="Piedepgina"/>
      <w:tabs>
        <w:tab w:val="clear" w:pos="4419"/>
        <w:tab w:val="clear" w:pos="8838"/>
        <w:tab w:val="left" w:pos="5777"/>
      </w:tabs>
    </w:pPr>
  </w:p>
  <w:p w:rsidR="001F5581" w:rsidRDefault="001F5581"/>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0385153"/>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4A8EABEA" wp14:editId="5E660101">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1E20AE" w:rsidRPr="001E20AE">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59977768"/>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708C2FB4" wp14:editId="4D0F0ED7">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F7531" w:rsidRPr="003F7531">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EB1910" w:rsidRDefault="00EB1910">
        <w:pPr>
          <w:pStyle w:val="Piedepgina"/>
          <w:jc w:val="right"/>
          <w:rPr>
            <w:lang w:val="es-ES"/>
          </w:rPr>
        </w:pPr>
      </w:p>
      <w:p w:rsidR="00EB1910" w:rsidRDefault="00EB1910"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6B76EC6F" wp14:editId="4C594A5F">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F7531" w:rsidRPr="003F7531">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Piedepgina"/>
      <w:tabs>
        <w:tab w:val="clear" w:pos="4419"/>
        <w:tab w:val="clear" w:pos="8838"/>
        <w:tab w:val="left" w:pos="5777"/>
      </w:tabs>
    </w:pPr>
  </w:p>
  <w:p w:rsidR="00EB1910" w:rsidRDefault="00EB1910"/>
  <w:p w:rsidR="0030020D" w:rsidRDefault="0030020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1D92DCFB" wp14:editId="26344979">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32CD1" w:rsidRPr="00532CD1">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00707382"/>
      <w:docPartObj>
        <w:docPartGallery w:val="Page Numbers (Bottom of Page)"/>
        <w:docPartUnique/>
      </w:docPartObj>
    </w:sdtPr>
    <w:sdtEndPr/>
    <w:sdtContent>
      <w:p w:rsidR="00216605" w:rsidRDefault="00216605">
        <w:pPr>
          <w:pStyle w:val="Piedepgina"/>
          <w:jc w:val="right"/>
          <w:rPr>
            <w:lang w:val="es-ES"/>
          </w:rPr>
        </w:pPr>
      </w:p>
      <w:p w:rsidR="00216605" w:rsidRDefault="0021660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1870EA77" wp14:editId="3EDF9F29">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16605" w:rsidRDefault="0021660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F7531" w:rsidRPr="003F7531">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216605" w:rsidRDefault="00216605" w:rsidP="007D4651">
    <w:pPr>
      <w:pStyle w:val="Piedepgina"/>
      <w:tabs>
        <w:tab w:val="clear" w:pos="4419"/>
        <w:tab w:val="clear" w:pos="8838"/>
        <w:tab w:val="left" w:pos="5777"/>
      </w:tabs>
    </w:pPr>
  </w:p>
  <w:p w:rsidR="00216605" w:rsidRDefault="0021660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98588034"/>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2D3FA408" wp14:editId="7D848E16">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37B9E" w:rsidRPr="00537B9E">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4FD84654" wp14:editId="370EDBCF">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F7531" w:rsidRPr="003F7531">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7607362"/>
      <w:docPartObj>
        <w:docPartGallery w:val="Page Numbers (Bottom of Page)"/>
        <w:docPartUnique/>
      </w:docPartObj>
    </w:sdtPr>
    <w:sdtEndPr/>
    <w:sdtContent>
      <w:p w:rsidR="00AD5816" w:rsidRDefault="00AD5816">
        <w:pPr>
          <w:pStyle w:val="Piedepgina"/>
          <w:jc w:val="right"/>
          <w:rPr>
            <w:lang w:val="es-ES"/>
          </w:rPr>
        </w:pPr>
      </w:p>
      <w:p w:rsidR="00AD5816" w:rsidRDefault="00AD5816"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60AFC06E" wp14:editId="517629E1">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FA443"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D5816" w:rsidRDefault="00AD5816">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F7531" w:rsidRPr="003F7531">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D5816" w:rsidRDefault="00AD5816" w:rsidP="007D4651">
    <w:pPr>
      <w:pStyle w:val="Piedepgina"/>
      <w:tabs>
        <w:tab w:val="clear" w:pos="4419"/>
        <w:tab w:val="clear" w:pos="8838"/>
        <w:tab w:val="left" w:pos="5777"/>
      </w:tabs>
    </w:pPr>
  </w:p>
  <w:p w:rsidR="00AD5816" w:rsidRDefault="00AD5816"/>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76265944"/>
      <w:docPartObj>
        <w:docPartGallery w:val="Page Numbers (Bottom of Page)"/>
        <w:docPartUnique/>
      </w:docPartObj>
    </w:sdtPr>
    <w:sdtEndPr/>
    <w:sdtContent>
      <w:p w:rsidR="00F062BF" w:rsidRDefault="00F062BF">
        <w:pPr>
          <w:pStyle w:val="Piedepgina"/>
          <w:jc w:val="right"/>
          <w:rPr>
            <w:lang w:val="es-ES"/>
          </w:rPr>
        </w:pPr>
      </w:p>
      <w:p w:rsidR="00F062BF" w:rsidRDefault="00F062B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2914BAB8" wp14:editId="1B4BE2D0">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8225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062BF" w:rsidRDefault="00F062B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9F1C07">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F062BF" w:rsidRDefault="00F062BF" w:rsidP="007D4651">
    <w:pPr>
      <w:pStyle w:val="Piedepgina"/>
      <w:tabs>
        <w:tab w:val="clear" w:pos="4419"/>
        <w:tab w:val="clear" w:pos="8838"/>
        <w:tab w:val="left" w:pos="5777"/>
      </w:tabs>
    </w:pPr>
  </w:p>
  <w:p w:rsidR="00F062BF" w:rsidRDefault="00F062B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A7C" w:rsidRDefault="00EF2A7C" w:rsidP="007D4651">
      <w:pPr>
        <w:spacing w:after="0" w:line="240" w:lineRule="auto"/>
      </w:pPr>
      <w:r>
        <w:separator/>
      </w:r>
    </w:p>
  </w:footnote>
  <w:footnote w:type="continuationSeparator" w:id="0">
    <w:p w:rsidR="00EF2A7C" w:rsidRDefault="00EF2A7C"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01624A"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39136" behindDoc="0" locked="0" layoutInCell="1" allowOverlap="1" wp14:anchorId="174B3868" wp14:editId="3BBF9FC2">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AF68D3" w:rsidRDefault="00612573"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01624A">
      <w:rPr>
        <w:rFonts w:ascii="Times New Roman" w:hAnsi="Times New Roman" w:cs="Times New Roman"/>
        <w:color w:val="1F497D" w:themeColor="text2"/>
        <w:lang w:val="es-MX"/>
      </w:rPr>
      <w:t xml:space="preserve"> 2020</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4160B53C" wp14:editId="36159DE2">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73581B" w:rsidRDefault="00AF68D3"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81" w:rsidRPr="007D4651" w:rsidRDefault="003F7531"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7568" behindDoc="0" locked="0" layoutInCell="1" allowOverlap="1" wp14:anchorId="78FE9953" wp14:editId="5A4CF219">
          <wp:simplePos x="0" y="0"/>
          <wp:positionH relativeFrom="column">
            <wp:posOffset>0</wp:posOffset>
          </wp:positionH>
          <wp:positionV relativeFrom="paragraph">
            <wp:posOffset>-635</wp:posOffset>
          </wp:positionV>
          <wp:extent cx="1598212" cy="723976"/>
          <wp:effectExtent l="0" t="0" r="2540" b="0"/>
          <wp:wrapNone/>
          <wp:docPr id="17" name="Imagen 17"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1F5581" w:rsidRPr="007D4651">
      <w:rPr>
        <w:rFonts w:ascii="Times New Roman" w:hAnsi="Times New Roman" w:cs="Times New Roman"/>
        <w:b/>
        <w:color w:val="1F497D" w:themeColor="text2"/>
        <w:sz w:val="24"/>
        <w:lang w:val="es-MX"/>
      </w:rPr>
      <w:t>Informe de las Finanzas Públicas</w:t>
    </w:r>
  </w:p>
  <w:p w:rsidR="00E53B45" w:rsidRDefault="00612573"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E9315E">
      <w:rPr>
        <w:rFonts w:ascii="Times New Roman" w:hAnsi="Times New Roman" w:cs="Times New Roman"/>
        <w:color w:val="1F497D" w:themeColor="text2"/>
        <w:lang w:val="es-MX"/>
      </w:rPr>
      <w:t xml:space="preserve"> </w:t>
    </w:r>
    <w:r w:rsidR="00C5514E">
      <w:rPr>
        <w:rFonts w:ascii="Times New Roman" w:hAnsi="Times New Roman" w:cs="Times New Roman"/>
        <w:color w:val="1F497D" w:themeColor="text2"/>
        <w:lang w:val="es-MX"/>
      </w:rPr>
      <w:t>2020</w:t>
    </w:r>
  </w:p>
  <w:p w:rsidR="001F5581" w:rsidRPr="004A73AA" w:rsidRDefault="001F5581"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5905A183" wp14:editId="48120B76">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F5581" w:rsidRPr="004A73AA" w:rsidRDefault="001F5581"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1F5581" w:rsidRPr="007452E2" w:rsidRDefault="001F5581" w:rsidP="00E16925">
    <w:pPr>
      <w:pStyle w:val="Encabezado"/>
      <w:rPr>
        <w:rFonts w:ascii="Times New Roman" w:hAnsi="Times New Roman" w:cs="Times New Roman"/>
        <w:lang w:val="es-MX"/>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9376" behindDoc="0" locked="0" layoutInCell="1" allowOverlap="1" wp14:anchorId="56828B1B" wp14:editId="691F7F9F">
          <wp:simplePos x="0" y="0"/>
          <wp:positionH relativeFrom="column">
            <wp:posOffset>0</wp:posOffset>
          </wp:positionH>
          <wp:positionV relativeFrom="paragraph">
            <wp:posOffset>-635</wp:posOffset>
          </wp:positionV>
          <wp:extent cx="1598212" cy="723976"/>
          <wp:effectExtent l="0" t="0" r="2540" b="0"/>
          <wp:wrapNone/>
          <wp:docPr id="225" name="Imagen 22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775DE3" w:rsidRDefault="00612573"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01624A">
      <w:rPr>
        <w:rFonts w:ascii="Times New Roman" w:hAnsi="Times New Roman" w:cs="Times New Roman"/>
        <w:color w:val="1F497D" w:themeColor="text2"/>
        <w:lang w:val="es-MX"/>
      </w:rPr>
      <w:t xml:space="preserve"> 2020</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786FD76B" wp14:editId="75A809D8">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3F7531"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1424" behindDoc="0" locked="0" layoutInCell="1" allowOverlap="1" wp14:anchorId="2E266474" wp14:editId="11E88831">
          <wp:simplePos x="0" y="0"/>
          <wp:positionH relativeFrom="column">
            <wp:posOffset>-238484</wp:posOffset>
          </wp:positionH>
          <wp:positionV relativeFrom="paragraph">
            <wp:posOffset>174</wp:posOffset>
          </wp:positionV>
          <wp:extent cx="1598212" cy="723976"/>
          <wp:effectExtent l="0" t="0" r="2540" b="0"/>
          <wp:wrapNone/>
          <wp:docPr id="9" name="Imagen 9"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AF68D3" w:rsidRDefault="00612573"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1A6038">
      <w:rPr>
        <w:rFonts w:ascii="Times New Roman" w:hAnsi="Times New Roman" w:cs="Times New Roman"/>
        <w:color w:val="1F497D" w:themeColor="text2"/>
        <w:lang w:val="es-MX"/>
      </w:rPr>
      <w:t xml:space="preserve"> 2020</w:t>
    </w:r>
  </w:p>
  <w:p w:rsidR="00AF68D3" w:rsidRDefault="003F7531"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3472" behindDoc="0" locked="0" layoutInCell="1" allowOverlap="1" wp14:anchorId="6974662E" wp14:editId="3180D791">
              <wp:simplePos x="0" y="0"/>
              <wp:positionH relativeFrom="column">
                <wp:posOffset>1518699</wp:posOffset>
              </wp:positionH>
              <wp:positionV relativeFrom="paragraph">
                <wp:posOffset>37465</wp:posOffset>
              </wp:positionV>
              <wp:extent cx="5155894" cy="45719"/>
              <wp:effectExtent l="38100" t="38100" r="64135" b="88265"/>
              <wp:wrapNone/>
              <wp:docPr id="13"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C4AE47" id="11 Rectángulo" o:spid="_x0000_s1026" style="position:absolute;margin-left:119.6pt;margin-top:2.95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10"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55B93116" wp14:editId="3C9CF0CF">
          <wp:simplePos x="0" y="0"/>
          <wp:positionH relativeFrom="column">
            <wp:posOffset>0</wp:posOffset>
          </wp:positionH>
          <wp:positionV relativeFrom="paragraph">
            <wp:posOffset>-635</wp:posOffset>
          </wp:positionV>
          <wp:extent cx="1598212" cy="723976"/>
          <wp:effectExtent l="0" t="0" r="2540" b="0"/>
          <wp:wrapNone/>
          <wp:docPr id="10" name="Imagen 1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EB1910" w:rsidRPr="007D4651">
      <w:rPr>
        <w:rFonts w:ascii="Times New Roman" w:hAnsi="Times New Roman" w:cs="Times New Roman"/>
        <w:b/>
        <w:color w:val="1F497D" w:themeColor="text2"/>
        <w:sz w:val="24"/>
        <w:lang w:val="es-MX"/>
      </w:rPr>
      <w:t>Informe de las Finanzas Públicas</w:t>
    </w:r>
  </w:p>
  <w:p w:rsidR="00E53B45" w:rsidRDefault="00532CD1"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EB1910" w:rsidRDefault="00EB191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6BCF0A8A" wp14:editId="00D44C12">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30020D" w:rsidRDefault="00EB1910"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01624A" w:rsidRPr="0001624A" w:rsidRDefault="0001624A"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8656" behindDoc="1" locked="0" layoutInCell="1" allowOverlap="1" wp14:anchorId="1887010C" wp14:editId="0E3FD75E">
          <wp:simplePos x="0" y="0"/>
          <wp:positionH relativeFrom="column">
            <wp:posOffset>-58403</wp:posOffset>
          </wp:positionH>
          <wp:positionV relativeFrom="paragraph">
            <wp:posOffset>-162560</wp:posOffset>
          </wp:positionV>
          <wp:extent cx="1697990" cy="914400"/>
          <wp:effectExtent l="0" t="0" r="0" b="0"/>
          <wp:wrapNone/>
          <wp:docPr id="25" name="Imagen 1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5E4D76" w:rsidRDefault="00612573"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C5514E">
      <w:rPr>
        <w:rFonts w:ascii="Times New Roman" w:hAnsi="Times New Roman" w:cs="Times New Roman"/>
        <w:color w:val="1F497D" w:themeColor="text2"/>
        <w:lang w:val="es-MX"/>
      </w:rPr>
      <w:t xml:space="preserve"> 2020</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4235F8DB" wp14:editId="2B98BCE1">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00AF4290">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605"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3232" behindDoc="0" locked="0" layoutInCell="1" allowOverlap="1" wp14:anchorId="3EF37AF4" wp14:editId="1DC0ADDF">
          <wp:simplePos x="0" y="0"/>
          <wp:positionH relativeFrom="column">
            <wp:posOffset>0</wp:posOffset>
          </wp:positionH>
          <wp:positionV relativeFrom="paragraph">
            <wp:posOffset>-635</wp:posOffset>
          </wp:positionV>
          <wp:extent cx="1598212" cy="723976"/>
          <wp:effectExtent l="0" t="0" r="2540" b="0"/>
          <wp:wrapNone/>
          <wp:docPr id="12" name="Imagen 1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216605" w:rsidRPr="007D4651">
      <w:rPr>
        <w:rFonts w:ascii="Times New Roman" w:hAnsi="Times New Roman" w:cs="Times New Roman"/>
        <w:b/>
        <w:color w:val="1F497D" w:themeColor="text2"/>
        <w:sz w:val="24"/>
        <w:lang w:val="es-MX"/>
      </w:rPr>
      <w:t>Informe de las Finanzas Públicas</w:t>
    </w:r>
  </w:p>
  <w:p w:rsidR="00E53B45" w:rsidRDefault="00612573"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216605" w:rsidRDefault="0021660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03DB0594" wp14:editId="0471AFC6">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16605" w:rsidRDefault="00216605"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16605" w:rsidRPr="00E16925" w:rsidRDefault="00216605"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5280" behindDoc="0" locked="0" layoutInCell="1" allowOverlap="1" wp14:anchorId="23E9D01F" wp14:editId="5BE20223">
          <wp:simplePos x="0" y="0"/>
          <wp:positionH relativeFrom="column">
            <wp:posOffset>0</wp:posOffset>
          </wp:positionH>
          <wp:positionV relativeFrom="paragraph">
            <wp:posOffset>-635</wp:posOffset>
          </wp:positionV>
          <wp:extent cx="1598212" cy="723976"/>
          <wp:effectExtent l="0" t="0" r="2540" b="0"/>
          <wp:wrapNone/>
          <wp:docPr id="30" name="Imagen 3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E53B45" w:rsidRDefault="00C739AF"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0878E07F" wp14:editId="20490B35">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3F7531"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5520" behindDoc="0" locked="0" layoutInCell="1" allowOverlap="1" wp14:anchorId="394C9005" wp14:editId="493DEEFA">
          <wp:simplePos x="0" y="0"/>
          <wp:positionH relativeFrom="column">
            <wp:posOffset>0</wp:posOffset>
          </wp:positionH>
          <wp:positionV relativeFrom="paragraph">
            <wp:posOffset>7648</wp:posOffset>
          </wp:positionV>
          <wp:extent cx="1598212" cy="723976"/>
          <wp:effectExtent l="0" t="0" r="2540" b="0"/>
          <wp:wrapNone/>
          <wp:docPr id="14" name="Imagen 1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775DE3" w:rsidRDefault="001E20AE"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 2020</w:t>
    </w:r>
  </w:p>
  <w:p w:rsidR="00AF68D3" w:rsidRPr="004A73AA" w:rsidRDefault="00AF4290"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6AA71B4A" wp14:editId="27CECABD">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4A73AA" w:rsidRDefault="00AF68D3"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AF4290">
      <w:rPr>
        <w:rFonts w:ascii="Times New Roman" w:hAnsi="Times New Roman" w:cs="Times New Roman"/>
        <w:color w:val="1F497D" w:themeColor="text2"/>
        <w:lang w:val="es-MX"/>
      </w:rPr>
      <w:t xml:space="preserve">      </w:t>
    </w:r>
    <w:r w:rsidR="00AF4290"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16"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7328" behindDoc="0" locked="0" layoutInCell="1" allowOverlap="1" wp14:anchorId="50135F20" wp14:editId="1235410B">
          <wp:simplePos x="0" y="0"/>
          <wp:positionH relativeFrom="column">
            <wp:posOffset>0</wp:posOffset>
          </wp:positionH>
          <wp:positionV relativeFrom="paragraph">
            <wp:posOffset>-635</wp:posOffset>
          </wp:positionV>
          <wp:extent cx="1598212" cy="723976"/>
          <wp:effectExtent l="0" t="0" r="2540" b="0"/>
          <wp:wrapNone/>
          <wp:docPr id="224" name="Imagen 2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D5816" w:rsidRPr="007D4651">
      <w:rPr>
        <w:rFonts w:ascii="Times New Roman" w:hAnsi="Times New Roman" w:cs="Times New Roman"/>
        <w:b/>
        <w:color w:val="1F497D" w:themeColor="text2"/>
        <w:sz w:val="24"/>
        <w:lang w:val="es-MX"/>
      </w:rPr>
      <w:t>Informe de las Finanzas Públicas</w:t>
    </w:r>
  </w:p>
  <w:p w:rsidR="00E53B45" w:rsidRDefault="00612573"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AD5816" w:rsidRDefault="00AD5816"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200D047C" wp14:editId="2E71D972">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CE5C2"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D5816" w:rsidRDefault="00AD5816"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AD5816" w:rsidRPr="00E16925" w:rsidRDefault="00AD5816"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2BF" w:rsidRPr="007D4651" w:rsidRDefault="00F062BF"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6064" behindDoc="1" locked="0" layoutInCell="1" allowOverlap="1" wp14:anchorId="3D31887C" wp14:editId="304DDE88">
          <wp:simplePos x="0" y="0"/>
          <wp:positionH relativeFrom="column">
            <wp:posOffset>-89849</wp:posOffset>
          </wp:positionH>
          <wp:positionV relativeFrom="paragraph">
            <wp:posOffset>-163027</wp:posOffset>
          </wp:positionV>
          <wp:extent cx="1697990" cy="914400"/>
          <wp:effectExtent l="0" t="0" r="0" b="0"/>
          <wp:wrapNone/>
          <wp:docPr id="234" name="Imagen 23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F062BF" w:rsidRDefault="00F062BF"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Noviembre 2018</w:t>
    </w:r>
  </w:p>
  <w:p w:rsidR="00F062BF" w:rsidRDefault="00F062BF"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365EC6F2" wp14:editId="6D030CF3">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1BA33"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062BF" w:rsidRDefault="00F062BF"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062BF" w:rsidRPr="00E16925" w:rsidRDefault="00F062BF"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8"/>
  </w:num>
  <w:num w:numId="4">
    <w:abstractNumId w:val="1"/>
  </w:num>
  <w:num w:numId="5">
    <w:abstractNumId w:val="12"/>
  </w:num>
  <w:num w:numId="6">
    <w:abstractNumId w:val="15"/>
  </w:num>
  <w:num w:numId="7">
    <w:abstractNumId w:val="14"/>
  </w:num>
  <w:num w:numId="8">
    <w:abstractNumId w:val="3"/>
  </w:num>
  <w:num w:numId="9">
    <w:abstractNumId w:val="10"/>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1624A"/>
    <w:rsid w:val="00020E23"/>
    <w:rsid w:val="00022E98"/>
    <w:rsid w:val="00025121"/>
    <w:rsid w:val="00025788"/>
    <w:rsid w:val="00025D1E"/>
    <w:rsid w:val="00035835"/>
    <w:rsid w:val="000378CF"/>
    <w:rsid w:val="00040C99"/>
    <w:rsid w:val="00042B27"/>
    <w:rsid w:val="00045D14"/>
    <w:rsid w:val="00051776"/>
    <w:rsid w:val="00051A92"/>
    <w:rsid w:val="000530BD"/>
    <w:rsid w:val="00053517"/>
    <w:rsid w:val="0006261A"/>
    <w:rsid w:val="00063120"/>
    <w:rsid w:val="0006646A"/>
    <w:rsid w:val="000723B2"/>
    <w:rsid w:val="00072EEB"/>
    <w:rsid w:val="00074BC6"/>
    <w:rsid w:val="00076AB4"/>
    <w:rsid w:val="00076AD2"/>
    <w:rsid w:val="00076BF9"/>
    <w:rsid w:val="00080BD8"/>
    <w:rsid w:val="0008320B"/>
    <w:rsid w:val="0008348D"/>
    <w:rsid w:val="00087ADE"/>
    <w:rsid w:val="000A0A4F"/>
    <w:rsid w:val="000A6E8E"/>
    <w:rsid w:val="000B0279"/>
    <w:rsid w:val="000B56CE"/>
    <w:rsid w:val="000C1547"/>
    <w:rsid w:val="000C1FF2"/>
    <w:rsid w:val="000C21E1"/>
    <w:rsid w:val="000C2C25"/>
    <w:rsid w:val="000C4EC0"/>
    <w:rsid w:val="000C65AB"/>
    <w:rsid w:val="000C73C8"/>
    <w:rsid w:val="000D016D"/>
    <w:rsid w:val="000D2FA4"/>
    <w:rsid w:val="000D489E"/>
    <w:rsid w:val="000E43A8"/>
    <w:rsid w:val="000E5E43"/>
    <w:rsid w:val="000F1314"/>
    <w:rsid w:val="000F3B7F"/>
    <w:rsid w:val="000F4520"/>
    <w:rsid w:val="000F509C"/>
    <w:rsid w:val="000F5F87"/>
    <w:rsid w:val="00102939"/>
    <w:rsid w:val="00103DA9"/>
    <w:rsid w:val="001045CE"/>
    <w:rsid w:val="00106793"/>
    <w:rsid w:val="00107309"/>
    <w:rsid w:val="00111B77"/>
    <w:rsid w:val="001178B6"/>
    <w:rsid w:val="00117CF1"/>
    <w:rsid w:val="00120C4D"/>
    <w:rsid w:val="001259BA"/>
    <w:rsid w:val="0013022C"/>
    <w:rsid w:val="001339A4"/>
    <w:rsid w:val="00133DBA"/>
    <w:rsid w:val="0013436D"/>
    <w:rsid w:val="00136D08"/>
    <w:rsid w:val="0014167F"/>
    <w:rsid w:val="00142BF3"/>
    <w:rsid w:val="00142F1A"/>
    <w:rsid w:val="00143620"/>
    <w:rsid w:val="00145313"/>
    <w:rsid w:val="00147E43"/>
    <w:rsid w:val="00150585"/>
    <w:rsid w:val="00152798"/>
    <w:rsid w:val="001549AB"/>
    <w:rsid w:val="00155A02"/>
    <w:rsid w:val="00157402"/>
    <w:rsid w:val="00157C3A"/>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F4"/>
    <w:rsid w:val="001B1DBB"/>
    <w:rsid w:val="001B3984"/>
    <w:rsid w:val="001B3EEE"/>
    <w:rsid w:val="001B5046"/>
    <w:rsid w:val="001C2FF5"/>
    <w:rsid w:val="001C3649"/>
    <w:rsid w:val="001D0065"/>
    <w:rsid w:val="001D3345"/>
    <w:rsid w:val="001D46C3"/>
    <w:rsid w:val="001D4C8E"/>
    <w:rsid w:val="001D5A5B"/>
    <w:rsid w:val="001E0E10"/>
    <w:rsid w:val="001E0F86"/>
    <w:rsid w:val="001E20AE"/>
    <w:rsid w:val="001E3B99"/>
    <w:rsid w:val="001E4CD2"/>
    <w:rsid w:val="001E61BB"/>
    <w:rsid w:val="001F2EA3"/>
    <w:rsid w:val="001F34AD"/>
    <w:rsid w:val="001F4EE1"/>
    <w:rsid w:val="001F4F78"/>
    <w:rsid w:val="001F5240"/>
    <w:rsid w:val="001F5581"/>
    <w:rsid w:val="001F7141"/>
    <w:rsid w:val="00200FB1"/>
    <w:rsid w:val="00202594"/>
    <w:rsid w:val="0020377F"/>
    <w:rsid w:val="00207693"/>
    <w:rsid w:val="002101C9"/>
    <w:rsid w:val="00212A2C"/>
    <w:rsid w:val="00213C92"/>
    <w:rsid w:val="00216605"/>
    <w:rsid w:val="0021693D"/>
    <w:rsid w:val="00216B0E"/>
    <w:rsid w:val="00216DA8"/>
    <w:rsid w:val="002215C9"/>
    <w:rsid w:val="00222598"/>
    <w:rsid w:val="002302ED"/>
    <w:rsid w:val="002335EE"/>
    <w:rsid w:val="0023642A"/>
    <w:rsid w:val="00240D86"/>
    <w:rsid w:val="00242202"/>
    <w:rsid w:val="00244AAA"/>
    <w:rsid w:val="002512EC"/>
    <w:rsid w:val="00252B28"/>
    <w:rsid w:val="00256F02"/>
    <w:rsid w:val="002610FC"/>
    <w:rsid w:val="00261B7A"/>
    <w:rsid w:val="00262E76"/>
    <w:rsid w:val="00263007"/>
    <w:rsid w:val="00263CC4"/>
    <w:rsid w:val="00264C3A"/>
    <w:rsid w:val="00264FC5"/>
    <w:rsid w:val="002672D5"/>
    <w:rsid w:val="00270CAB"/>
    <w:rsid w:val="002719C8"/>
    <w:rsid w:val="00273E2C"/>
    <w:rsid w:val="002752BD"/>
    <w:rsid w:val="00276250"/>
    <w:rsid w:val="00276A28"/>
    <w:rsid w:val="00281439"/>
    <w:rsid w:val="00281FB7"/>
    <w:rsid w:val="0028212F"/>
    <w:rsid w:val="00292AD2"/>
    <w:rsid w:val="00292AD8"/>
    <w:rsid w:val="0029321A"/>
    <w:rsid w:val="00295365"/>
    <w:rsid w:val="00296D57"/>
    <w:rsid w:val="002977ED"/>
    <w:rsid w:val="002A076B"/>
    <w:rsid w:val="002A5B1B"/>
    <w:rsid w:val="002B5E9D"/>
    <w:rsid w:val="002B7644"/>
    <w:rsid w:val="002C0021"/>
    <w:rsid w:val="002C2547"/>
    <w:rsid w:val="002C482A"/>
    <w:rsid w:val="002C6478"/>
    <w:rsid w:val="002C68B8"/>
    <w:rsid w:val="002C7F2B"/>
    <w:rsid w:val="002D11E8"/>
    <w:rsid w:val="002D1C01"/>
    <w:rsid w:val="002D3469"/>
    <w:rsid w:val="002D54E6"/>
    <w:rsid w:val="002E3F4C"/>
    <w:rsid w:val="002F14AA"/>
    <w:rsid w:val="002F29DE"/>
    <w:rsid w:val="002F2A42"/>
    <w:rsid w:val="002F5408"/>
    <w:rsid w:val="002F7E08"/>
    <w:rsid w:val="0030020D"/>
    <w:rsid w:val="00302D40"/>
    <w:rsid w:val="0030695C"/>
    <w:rsid w:val="00312262"/>
    <w:rsid w:val="00312D8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49D9"/>
    <w:rsid w:val="00364DD6"/>
    <w:rsid w:val="00366770"/>
    <w:rsid w:val="00367E12"/>
    <w:rsid w:val="00374D44"/>
    <w:rsid w:val="00376802"/>
    <w:rsid w:val="00376FE9"/>
    <w:rsid w:val="0038008D"/>
    <w:rsid w:val="003804E5"/>
    <w:rsid w:val="00381A4F"/>
    <w:rsid w:val="0038488D"/>
    <w:rsid w:val="00385BA8"/>
    <w:rsid w:val="00393E59"/>
    <w:rsid w:val="0039499F"/>
    <w:rsid w:val="003968DB"/>
    <w:rsid w:val="003A1300"/>
    <w:rsid w:val="003A3726"/>
    <w:rsid w:val="003A72C9"/>
    <w:rsid w:val="003B00D2"/>
    <w:rsid w:val="003B13B4"/>
    <w:rsid w:val="003B1A93"/>
    <w:rsid w:val="003B24E3"/>
    <w:rsid w:val="003C3922"/>
    <w:rsid w:val="003C7085"/>
    <w:rsid w:val="003D05CE"/>
    <w:rsid w:val="003D15F7"/>
    <w:rsid w:val="003D2C99"/>
    <w:rsid w:val="003D38A7"/>
    <w:rsid w:val="003D557F"/>
    <w:rsid w:val="003D60E4"/>
    <w:rsid w:val="003D72D3"/>
    <w:rsid w:val="003D7EBA"/>
    <w:rsid w:val="003E25F8"/>
    <w:rsid w:val="003E2823"/>
    <w:rsid w:val="003E28F4"/>
    <w:rsid w:val="003E591D"/>
    <w:rsid w:val="003F0660"/>
    <w:rsid w:val="003F1E83"/>
    <w:rsid w:val="003F4609"/>
    <w:rsid w:val="003F7076"/>
    <w:rsid w:val="003F7531"/>
    <w:rsid w:val="0040361C"/>
    <w:rsid w:val="0040580B"/>
    <w:rsid w:val="00410690"/>
    <w:rsid w:val="00413FBE"/>
    <w:rsid w:val="00416D41"/>
    <w:rsid w:val="00421BA0"/>
    <w:rsid w:val="0042387A"/>
    <w:rsid w:val="0042628E"/>
    <w:rsid w:val="00426F4F"/>
    <w:rsid w:val="00434FC6"/>
    <w:rsid w:val="00443336"/>
    <w:rsid w:val="00443385"/>
    <w:rsid w:val="00443621"/>
    <w:rsid w:val="00447F4F"/>
    <w:rsid w:val="00450531"/>
    <w:rsid w:val="00451504"/>
    <w:rsid w:val="00452A5A"/>
    <w:rsid w:val="004575BA"/>
    <w:rsid w:val="004606FD"/>
    <w:rsid w:val="00464DB9"/>
    <w:rsid w:val="004650C5"/>
    <w:rsid w:val="00465F37"/>
    <w:rsid w:val="00471B35"/>
    <w:rsid w:val="00474EC2"/>
    <w:rsid w:val="00480824"/>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3B4E"/>
    <w:rsid w:val="004D0A0F"/>
    <w:rsid w:val="004D1F76"/>
    <w:rsid w:val="004D7482"/>
    <w:rsid w:val="004E23E4"/>
    <w:rsid w:val="004E358C"/>
    <w:rsid w:val="004E4FDE"/>
    <w:rsid w:val="004E54B7"/>
    <w:rsid w:val="004E5D0E"/>
    <w:rsid w:val="004E61EC"/>
    <w:rsid w:val="004F02B2"/>
    <w:rsid w:val="004F4F4D"/>
    <w:rsid w:val="004F72F9"/>
    <w:rsid w:val="005004C9"/>
    <w:rsid w:val="005016F6"/>
    <w:rsid w:val="005016F7"/>
    <w:rsid w:val="00502FD6"/>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2025"/>
    <w:rsid w:val="00532CD1"/>
    <w:rsid w:val="0053566F"/>
    <w:rsid w:val="005364DE"/>
    <w:rsid w:val="00537B9E"/>
    <w:rsid w:val="005428C6"/>
    <w:rsid w:val="00544E9A"/>
    <w:rsid w:val="00546650"/>
    <w:rsid w:val="0055248B"/>
    <w:rsid w:val="005537D0"/>
    <w:rsid w:val="005550D8"/>
    <w:rsid w:val="00573AB0"/>
    <w:rsid w:val="005755E9"/>
    <w:rsid w:val="00575DFA"/>
    <w:rsid w:val="00580D47"/>
    <w:rsid w:val="00582F9F"/>
    <w:rsid w:val="005834A0"/>
    <w:rsid w:val="00586745"/>
    <w:rsid w:val="005879A5"/>
    <w:rsid w:val="00591D14"/>
    <w:rsid w:val="005925BD"/>
    <w:rsid w:val="00592D6E"/>
    <w:rsid w:val="0059421A"/>
    <w:rsid w:val="005948F0"/>
    <w:rsid w:val="0059655C"/>
    <w:rsid w:val="00596662"/>
    <w:rsid w:val="0059700F"/>
    <w:rsid w:val="005979EB"/>
    <w:rsid w:val="005A03A9"/>
    <w:rsid w:val="005A1EFC"/>
    <w:rsid w:val="005A6ACE"/>
    <w:rsid w:val="005A6F91"/>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6BD0"/>
    <w:rsid w:val="005E7E89"/>
    <w:rsid w:val="005F04EC"/>
    <w:rsid w:val="005F18DE"/>
    <w:rsid w:val="005F470C"/>
    <w:rsid w:val="005F591A"/>
    <w:rsid w:val="0060094A"/>
    <w:rsid w:val="006014EC"/>
    <w:rsid w:val="00601C99"/>
    <w:rsid w:val="00603743"/>
    <w:rsid w:val="00604F51"/>
    <w:rsid w:val="006060AD"/>
    <w:rsid w:val="00606D70"/>
    <w:rsid w:val="00610F84"/>
    <w:rsid w:val="00612573"/>
    <w:rsid w:val="0062255C"/>
    <w:rsid w:val="00623DEA"/>
    <w:rsid w:val="00623EC9"/>
    <w:rsid w:val="00624417"/>
    <w:rsid w:val="00625AA5"/>
    <w:rsid w:val="00632EE6"/>
    <w:rsid w:val="00633616"/>
    <w:rsid w:val="00634664"/>
    <w:rsid w:val="00637772"/>
    <w:rsid w:val="00637AC9"/>
    <w:rsid w:val="00640B12"/>
    <w:rsid w:val="0064258A"/>
    <w:rsid w:val="00643685"/>
    <w:rsid w:val="00643FB6"/>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68BB"/>
    <w:rsid w:val="006A1473"/>
    <w:rsid w:val="006A41F1"/>
    <w:rsid w:val="006A64D5"/>
    <w:rsid w:val="006B0D82"/>
    <w:rsid w:val="006B40EC"/>
    <w:rsid w:val="006C0680"/>
    <w:rsid w:val="006C2F15"/>
    <w:rsid w:val="006C7015"/>
    <w:rsid w:val="006D1857"/>
    <w:rsid w:val="006D7B6E"/>
    <w:rsid w:val="006D7BB6"/>
    <w:rsid w:val="006E082A"/>
    <w:rsid w:val="006E1C62"/>
    <w:rsid w:val="006E1D11"/>
    <w:rsid w:val="006E27A5"/>
    <w:rsid w:val="006E4937"/>
    <w:rsid w:val="006E63F3"/>
    <w:rsid w:val="006E6A13"/>
    <w:rsid w:val="006F157C"/>
    <w:rsid w:val="006F202E"/>
    <w:rsid w:val="006F20A4"/>
    <w:rsid w:val="006F3C0D"/>
    <w:rsid w:val="006F3FF3"/>
    <w:rsid w:val="006F410A"/>
    <w:rsid w:val="006F4891"/>
    <w:rsid w:val="006F5EA0"/>
    <w:rsid w:val="006F7575"/>
    <w:rsid w:val="00706A33"/>
    <w:rsid w:val="00712339"/>
    <w:rsid w:val="00714E40"/>
    <w:rsid w:val="00715C88"/>
    <w:rsid w:val="00715D8F"/>
    <w:rsid w:val="0071791E"/>
    <w:rsid w:val="007206C9"/>
    <w:rsid w:val="00720E64"/>
    <w:rsid w:val="00723F6E"/>
    <w:rsid w:val="00725F93"/>
    <w:rsid w:val="0073367E"/>
    <w:rsid w:val="0073437F"/>
    <w:rsid w:val="0073581B"/>
    <w:rsid w:val="007362C1"/>
    <w:rsid w:val="0074137E"/>
    <w:rsid w:val="007413CE"/>
    <w:rsid w:val="00741591"/>
    <w:rsid w:val="00741F6B"/>
    <w:rsid w:val="0074369F"/>
    <w:rsid w:val="0074528B"/>
    <w:rsid w:val="007452E2"/>
    <w:rsid w:val="00747C79"/>
    <w:rsid w:val="00751CCA"/>
    <w:rsid w:val="00754057"/>
    <w:rsid w:val="007570C7"/>
    <w:rsid w:val="007572E9"/>
    <w:rsid w:val="0075770C"/>
    <w:rsid w:val="0076028F"/>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A6523"/>
    <w:rsid w:val="007A7272"/>
    <w:rsid w:val="007A7814"/>
    <w:rsid w:val="007A7FB8"/>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126E"/>
    <w:rsid w:val="007F443F"/>
    <w:rsid w:val="007F4528"/>
    <w:rsid w:val="007F6F57"/>
    <w:rsid w:val="008010A6"/>
    <w:rsid w:val="00804E1C"/>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42D8F"/>
    <w:rsid w:val="00842FFE"/>
    <w:rsid w:val="008501C7"/>
    <w:rsid w:val="00851B4B"/>
    <w:rsid w:val="00855D0B"/>
    <w:rsid w:val="00857302"/>
    <w:rsid w:val="0085741B"/>
    <w:rsid w:val="00861640"/>
    <w:rsid w:val="00870831"/>
    <w:rsid w:val="008718E5"/>
    <w:rsid w:val="00871B31"/>
    <w:rsid w:val="008827D6"/>
    <w:rsid w:val="008844B1"/>
    <w:rsid w:val="00891B11"/>
    <w:rsid w:val="00891F2D"/>
    <w:rsid w:val="00892181"/>
    <w:rsid w:val="00892DE1"/>
    <w:rsid w:val="00895722"/>
    <w:rsid w:val="00897192"/>
    <w:rsid w:val="008A1777"/>
    <w:rsid w:val="008A2427"/>
    <w:rsid w:val="008A5760"/>
    <w:rsid w:val="008B110A"/>
    <w:rsid w:val="008B3C43"/>
    <w:rsid w:val="008B5573"/>
    <w:rsid w:val="008C079A"/>
    <w:rsid w:val="008C147E"/>
    <w:rsid w:val="008D5E9E"/>
    <w:rsid w:val="008E0F73"/>
    <w:rsid w:val="008E5C4F"/>
    <w:rsid w:val="008E6162"/>
    <w:rsid w:val="008E7869"/>
    <w:rsid w:val="008E7927"/>
    <w:rsid w:val="008F312E"/>
    <w:rsid w:val="008F46B7"/>
    <w:rsid w:val="008F4BCE"/>
    <w:rsid w:val="008F5915"/>
    <w:rsid w:val="008F5DBB"/>
    <w:rsid w:val="0090034D"/>
    <w:rsid w:val="009062A4"/>
    <w:rsid w:val="00910163"/>
    <w:rsid w:val="009121F7"/>
    <w:rsid w:val="00912A58"/>
    <w:rsid w:val="00916532"/>
    <w:rsid w:val="00917786"/>
    <w:rsid w:val="00924E88"/>
    <w:rsid w:val="00934746"/>
    <w:rsid w:val="0093522C"/>
    <w:rsid w:val="00935D14"/>
    <w:rsid w:val="00936E17"/>
    <w:rsid w:val="00940C2E"/>
    <w:rsid w:val="00942163"/>
    <w:rsid w:val="0094219B"/>
    <w:rsid w:val="009453FD"/>
    <w:rsid w:val="00946523"/>
    <w:rsid w:val="00950874"/>
    <w:rsid w:val="00951347"/>
    <w:rsid w:val="00954FB2"/>
    <w:rsid w:val="00956270"/>
    <w:rsid w:val="00963756"/>
    <w:rsid w:val="00964466"/>
    <w:rsid w:val="00964ECA"/>
    <w:rsid w:val="00965F44"/>
    <w:rsid w:val="00972FCF"/>
    <w:rsid w:val="00975E49"/>
    <w:rsid w:val="00981FB0"/>
    <w:rsid w:val="00982379"/>
    <w:rsid w:val="00986297"/>
    <w:rsid w:val="0099341E"/>
    <w:rsid w:val="00993857"/>
    <w:rsid w:val="00995540"/>
    <w:rsid w:val="00997A06"/>
    <w:rsid w:val="009A12F9"/>
    <w:rsid w:val="009A1EA3"/>
    <w:rsid w:val="009A1FA7"/>
    <w:rsid w:val="009A3187"/>
    <w:rsid w:val="009A47FE"/>
    <w:rsid w:val="009A5380"/>
    <w:rsid w:val="009A7441"/>
    <w:rsid w:val="009B10B6"/>
    <w:rsid w:val="009B2AD3"/>
    <w:rsid w:val="009B7148"/>
    <w:rsid w:val="009B7429"/>
    <w:rsid w:val="009B76D6"/>
    <w:rsid w:val="009C0583"/>
    <w:rsid w:val="009C0B93"/>
    <w:rsid w:val="009C361A"/>
    <w:rsid w:val="009C3938"/>
    <w:rsid w:val="009C4027"/>
    <w:rsid w:val="009C5F4E"/>
    <w:rsid w:val="009D0D94"/>
    <w:rsid w:val="009D1232"/>
    <w:rsid w:val="009D2132"/>
    <w:rsid w:val="009D25F9"/>
    <w:rsid w:val="009D2C22"/>
    <w:rsid w:val="009D38BF"/>
    <w:rsid w:val="009D4E7A"/>
    <w:rsid w:val="009D72CF"/>
    <w:rsid w:val="009E61BB"/>
    <w:rsid w:val="009F15B9"/>
    <w:rsid w:val="009F164F"/>
    <w:rsid w:val="009F1C07"/>
    <w:rsid w:val="009F1C62"/>
    <w:rsid w:val="009F530C"/>
    <w:rsid w:val="009F628A"/>
    <w:rsid w:val="00A00D30"/>
    <w:rsid w:val="00A0113A"/>
    <w:rsid w:val="00A07BE4"/>
    <w:rsid w:val="00A11B04"/>
    <w:rsid w:val="00A15244"/>
    <w:rsid w:val="00A159B6"/>
    <w:rsid w:val="00A2151F"/>
    <w:rsid w:val="00A21A6A"/>
    <w:rsid w:val="00A24C4D"/>
    <w:rsid w:val="00A25906"/>
    <w:rsid w:val="00A26C76"/>
    <w:rsid w:val="00A305E5"/>
    <w:rsid w:val="00A32AA1"/>
    <w:rsid w:val="00A34EAE"/>
    <w:rsid w:val="00A40EAF"/>
    <w:rsid w:val="00A4399A"/>
    <w:rsid w:val="00A446DB"/>
    <w:rsid w:val="00A45BC8"/>
    <w:rsid w:val="00A46630"/>
    <w:rsid w:val="00A53877"/>
    <w:rsid w:val="00A54CC2"/>
    <w:rsid w:val="00A60591"/>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B20BD"/>
    <w:rsid w:val="00AB2522"/>
    <w:rsid w:val="00AB52BE"/>
    <w:rsid w:val="00AC5CAC"/>
    <w:rsid w:val="00AC7961"/>
    <w:rsid w:val="00AD3FF3"/>
    <w:rsid w:val="00AD4251"/>
    <w:rsid w:val="00AD4EF6"/>
    <w:rsid w:val="00AD55FD"/>
    <w:rsid w:val="00AD5816"/>
    <w:rsid w:val="00AE1096"/>
    <w:rsid w:val="00AE2039"/>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11FD1"/>
    <w:rsid w:val="00B136D6"/>
    <w:rsid w:val="00B1448A"/>
    <w:rsid w:val="00B21010"/>
    <w:rsid w:val="00B26014"/>
    <w:rsid w:val="00B2709E"/>
    <w:rsid w:val="00B35FDC"/>
    <w:rsid w:val="00B368DA"/>
    <w:rsid w:val="00B43892"/>
    <w:rsid w:val="00B468EF"/>
    <w:rsid w:val="00B5017E"/>
    <w:rsid w:val="00B5079C"/>
    <w:rsid w:val="00B508E2"/>
    <w:rsid w:val="00B579BB"/>
    <w:rsid w:val="00B57AAB"/>
    <w:rsid w:val="00B57CED"/>
    <w:rsid w:val="00B606D0"/>
    <w:rsid w:val="00B632B3"/>
    <w:rsid w:val="00B667BC"/>
    <w:rsid w:val="00B667E7"/>
    <w:rsid w:val="00B7015D"/>
    <w:rsid w:val="00B7136E"/>
    <w:rsid w:val="00B7616E"/>
    <w:rsid w:val="00B827E1"/>
    <w:rsid w:val="00B83CAC"/>
    <w:rsid w:val="00B84995"/>
    <w:rsid w:val="00B85950"/>
    <w:rsid w:val="00B86812"/>
    <w:rsid w:val="00B91010"/>
    <w:rsid w:val="00B917E5"/>
    <w:rsid w:val="00B9286A"/>
    <w:rsid w:val="00B93470"/>
    <w:rsid w:val="00B95BBF"/>
    <w:rsid w:val="00B96036"/>
    <w:rsid w:val="00B96AC8"/>
    <w:rsid w:val="00BA12CD"/>
    <w:rsid w:val="00BA25B6"/>
    <w:rsid w:val="00BA3920"/>
    <w:rsid w:val="00BA782D"/>
    <w:rsid w:val="00BB1AAC"/>
    <w:rsid w:val="00BB492D"/>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54D6"/>
    <w:rsid w:val="00BF1481"/>
    <w:rsid w:val="00BF2610"/>
    <w:rsid w:val="00C001D0"/>
    <w:rsid w:val="00C02A39"/>
    <w:rsid w:val="00C02FE1"/>
    <w:rsid w:val="00C04E3C"/>
    <w:rsid w:val="00C05425"/>
    <w:rsid w:val="00C069B8"/>
    <w:rsid w:val="00C074EF"/>
    <w:rsid w:val="00C10B42"/>
    <w:rsid w:val="00C12720"/>
    <w:rsid w:val="00C15432"/>
    <w:rsid w:val="00C15AC4"/>
    <w:rsid w:val="00C21149"/>
    <w:rsid w:val="00C2773E"/>
    <w:rsid w:val="00C3128B"/>
    <w:rsid w:val="00C33674"/>
    <w:rsid w:val="00C3385B"/>
    <w:rsid w:val="00C41470"/>
    <w:rsid w:val="00C41FF2"/>
    <w:rsid w:val="00C54747"/>
    <w:rsid w:val="00C5514E"/>
    <w:rsid w:val="00C56C98"/>
    <w:rsid w:val="00C61690"/>
    <w:rsid w:val="00C6254D"/>
    <w:rsid w:val="00C629B9"/>
    <w:rsid w:val="00C645BC"/>
    <w:rsid w:val="00C646C4"/>
    <w:rsid w:val="00C739AF"/>
    <w:rsid w:val="00C75935"/>
    <w:rsid w:val="00C76463"/>
    <w:rsid w:val="00C85696"/>
    <w:rsid w:val="00C9002C"/>
    <w:rsid w:val="00C91204"/>
    <w:rsid w:val="00C922D7"/>
    <w:rsid w:val="00C935C2"/>
    <w:rsid w:val="00C93727"/>
    <w:rsid w:val="00C95BFB"/>
    <w:rsid w:val="00CA19F5"/>
    <w:rsid w:val="00CA57D4"/>
    <w:rsid w:val="00CA6173"/>
    <w:rsid w:val="00CA65FF"/>
    <w:rsid w:val="00CB0938"/>
    <w:rsid w:val="00CB220A"/>
    <w:rsid w:val="00CC2800"/>
    <w:rsid w:val="00CC3420"/>
    <w:rsid w:val="00CC3BC7"/>
    <w:rsid w:val="00CC547C"/>
    <w:rsid w:val="00CC60FF"/>
    <w:rsid w:val="00CD58C8"/>
    <w:rsid w:val="00CD7760"/>
    <w:rsid w:val="00CE0468"/>
    <w:rsid w:val="00CE123C"/>
    <w:rsid w:val="00CE13DA"/>
    <w:rsid w:val="00CE3C39"/>
    <w:rsid w:val="00CE75B5"/>
    <w:rsid w:val="00CF0F94"/>
    <w:rsid w:val="00CF2D98"/>
    <w:rsid w:val="00CF436B"/>
    <w:rsid w:val="00CF5AB1"/>
    <w:rsid w:val="00CF73B4"/>
    <w:rsid w:val="00D00E78"/>
    <w:rsid w:val="00D01738"/>
    <w:rsid w:val="00D04F96"/>
    <w:rsid w:val="00D1383A"/>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716E4"/>
    <w:rsid w:val="00D73D1A"/>
    <w:rsid w:val="00D7427C"/>
    <w:rsid w:val="00D75C74"/>
    <w:rsid w:val="00D75E95"/>
    <w:rsid w:val="00D858E5"/>
    <w:rsid w:val="00D92557"/>
    <w:rsid w:val="00DA13C8"/>
    <w:rsid w:val="00DA53C7"/>
    <w:rsid w:val="00DA5809"/>
    <w:rsid w:val="00DA58BF"/>
    <w:rsid w:val="00DA7B48"/>
    <w:rsid w:val="00DA7C18"/>
    <w:rsid w:val="00DB03B7"/>
    <w:rsid w:val="00DB2350"/>
    <w:rsid w:val="00DB4551"/>
    <w:rsid w:val="00DC1048"/>
    <w:rsid w:val="00DC44CF"/>
    <w:rsid w:val="00DC6DE1"/>
    <w:rsid w:val="00DD01C5"/>
    <w:rsid w:val="00DD23C0"/>
    <w:rsid w:val="00DD4AB3"/>
    <w:rsid w:val="00DD4D5D"/>
    <w:rsid w:val="00DD517E"/>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6303"/>
    <w:rsid w:val="00E16925"/>
    <w:rsid w:val="00E27247"/>
    <w:rsid w:val="00E31CA5"/>
    <w:rsid w:val="00E31D49"/>
    <w:rsid w:val="00E3382E"/>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3798"/>
    <w:rsid w:val="00E6619D"/>
    <w:rsid w:val="00E7442E"/>
    <w:rsid w:val="00E756CD"/>
    <w:rsid w:val="00E82188"/>
    <w:rsid w:val="00E825A1"/>
    <w:rsid w:val="00E85293"/>
    <w:rsid w:val="00E871CE"/>
    <w:rsid w:val="00E87AC7"/>
    <w:rsid w:val="00E9315E"/>
    <w:rsid w:val="00E9468D"/>
    <w:rsid w:val="00E94F03"/>
    <w:rsid w:val="00E97903"/>
    <w:rsid w:val="00EA37FC"/>
    <w:rsid w:val="00EA68DF"/>
    <w:rsid w:val="00EB0687"/>
    <w:rsid w:val="00EB0FC5"/>
    <w:rsid w:val="00EB1910"/>
    <w:rsid w:val="00EB317F"/>
    <w:rsid w:val="00EB335D"/>
    <w:rsid w:val="00EB62F2"/>
    <w:rsid w:val="00ED2C29"/>
    <w:rsid w:val="00ED3624"/>
    <w:rsid w:val="00ED7253"/>
    <w:rsid w:val="00EE02F0"/>
    <w:rsid w:val="00EE2F16"/>
    <w:rsid w:val="00EE68A4"/>
    <w:rsid w:val="00EE6FBD"/>
    <w:rsid w:val="00EE72DB"/>
    <w:rsid w:val="00EF1CB1"/>
    <w:rsid w:val="00EF2A7C"/>
    <w:rsid w:val="00EF56F9"/>
    <w:rsid w:val="00F00537"/>
    <w:rsid w:val="00F03418"/>
    <w:rsid w:val="00F04678"/>
    <w:rsid w:val="00F062BF"/>
    <w:rsid w:val="00F06437"/>
    <w:rsid w:val="00F0775B"/>
    <w:rsid w:val="00F10A29"/>
    <w:rsid w:val="00F10ACE"/>
    <w:rsid w:val="00F16658"/>
    <w:rsid w:val="00F16692"/>
    <w:rsid w:val="00F20D0D"/>
    <w:rsid w:val="00F229CE"/>
    <w:rsid w:val="00F23065"/>
    <w:rsid w:val="00F25E21"/>
    <w:rsid w:val="00F26087"/>
    <w:rsid w:val="00F27024"/>
    <w:rsid w:val="00F3088D"/>
    <w:rsid w:val="00F341FB"/>
    <w:rsid w:val="00F37AD2"/>
    <w:rsid w:val="00F43CF0"/>
    <w:rsid w:val="00F4680E"/>
    <w:rsid w:val="00F46EBB"/>
    <w:rsid w:val="00F47088"/>
    <w:rsid w:val="00F51B37"/>
    <w:rsid w:val="00F541D1"/>
    <w:rsid w:val="00F54C17"/>
    <w:rsid w:val="00F641E1"/>
    <w:rsid w:val="00F644EA"/>
    <w:rsid w:val="00F6521F"/>
    <w:rsid w:val="00F652E7"/>
    <w:rsid w:val="00F654C6"/>
    <w:rsid w:val="00F674C8"/>
    <w:rsid w:val="00F70176"/>
    <w:rsid w:val="00F70871"/>
    <w:rsid w:val="00F73186"/>
    <w:rsid w:val="00F75C84"/>
    <w:rsid w:val="00F75EDB"/>
    <w:rsid w:val="00F762E5"/>
    <w:rsid w:val="00F76491"/>
    <w:rsid w:val="00F8230E"/>
    <w:rsid w:val="00F930A8"/>
    <w:rsid w:val="00F94C84"/>
    <w:rsid w:val="00FA3B81"/>
    <w:rsid w:val="00FA5DE4"/>
    <w:rsid w:val="00FA5E7B"/>
    <w:rsid w:val="00FA7384"/>
    <w:rsid w:val="00FB2C2F"/>
    <w:rsid w:val="00FB5F5C"/>
    <w:rsid w:val="00FB6AF8"/>
    <w:rsid w:val="00FB6E59"/>
    <w:rsid w:val="00FC0D3E"/>
    <w:rsid w:val="00FC319F"/>
    <w:rsid w:val="00FC3884"/>
    <w:rsid w:val="00FC4DC9"/>
    <w:rsid w:val="00FC4F6B"/>
    <w:rsid w:val="00FD36A3"/>
    <w:rsid w:val="00FD4333"/>
    <w:rsid w:val="00FD46E0"/>
    <w:rsid w:val="00FD61B9"/>
    <w:rsid w:val="00FD7FF0"/>
    <w:rsid w:val="00FE1018"/>
    <w:rsid w:val="00FE16D2"/>
    <w:rsid w:val="00FE1950"/>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oter" Target="footer9.xm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6.emf"/><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E:\Informes%202020\Sitfin\Febrero\Sitfin%20al%20290220%20(160320).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36C2-41B0-A6E1-1E0A7E1C0055}"/>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36C2-41B0-A6E1-1E0A7E1C0055}"/>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36C2-41B0-A6E1-1E0A7E1C0055}"/>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36C2-41B0-A6E1-1E0A7E1C0055}"/>
              </c:ext>
            </c:extLst>
          </c:dPt>
          <c:dLbls>
            <c:dLbl>
              <c:idx val="3"/>
              <c:spPr>
                <a:noFill/>
                <a:ln>
                  <a:noFill/>
                </a:ln>
                <a:effectLst/>
              </c:spPr>
              <c:txPr>
                <a:bodyPr wrap="square" lIns="38100" tIns="19050" rIns="38100" bIns="19050" anchor="ctr">
                  <a:spAutoFit/>
                </a:bodyPr>
                <a:lstStyle/>
                <a:p>
                  <a:pPr>
                    <a:defRPr sz="1100" b="1"/>
                  </a:pPr>
                  <a:endParaRPr lang="es-GT"/>
                </a:p>
              </c:txPr>
              <c:showLegendKey val="0"/>
              <c:showVal val="1"/>
              <c:showCatName val="0"/>
              <c:showSerName val="0"/>
              <c:showPercent val="0"/>
              <c:showBubbleSize val="0"/>
              <c:extLst>
                <c:ext xmlns:c16="http://schemas.microsoft.com/office/drawing/2014/chart" uri="{C3380CC4-5D6E-409C-BE32-E72D297353CC}">
                  <c16:uniqueId val="{00000007-36C2-41B0-A6E1-1E0A7E1C0055}"/>
                </c:ext>
              </c:extLst>
            </c:dLbl>
            <c:spPr>
              <a:noFill/>
              <a:ln>
                <a:noFill/>
              </a:ln>
              <a:effectLst/>
            </c:spPr>
            <c:txPr>
              <a:bodyPr wrap="square" lIns="38100" tIns="19050" rIns="38100" bIns="19050" anchor="ctr">
                <a:spAutoFit/>
              </a:bodyPr>
              <a:lstStyle/>
              <a:p>
                <a:pPr>
                  <a:defRPr sz="11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699.24091743000099</c:v>
                </c:pt>
                <c:pt idx="1">
                  <c:v>1079.2667860500005</c:v>
                </c:pt>
                <c:pt idx="2">
                  <c:v>-89.811964249998709</c:v>
                </c:pt>
                <c:pt idx="3">
                  <c:v>882.65807059999679</c:v>
                </c:pt>
              </c:numCache>
            </c:numRef>
          </c:val>
          <c:extLst>
            <c:ext xmlns:c16="http://schemas.microsoft.com/office/drawing/2014/chart" uri="{C3380CC4-5D6E-409C-BE32-E72D297353CC}">
              <c16:uniqueId val="{00000008-36C2-41B0-A6E1-1E0A7E1C0055}"/>
            </c:ext>
          </c:extLst>
        </c:ser>
        <c:dLbls>
          <c:showLegendKey val="0"/>
          <c:showVal val="0"/>
          <c:showCatName val="0"/>
          <c:showSerName val="0"/>
          <c:showPercent val="0"/>
          <c:showBubbleSize val="0"/>
        </c:dLbls>
        <c:gapWidth val="71"/>
        <c:axId val="122387840"/>
        <c:axId val="122397824"/>
      </c:barChart>
      <c:catAx>
        <c:axId val="122387840"/>
        <c:scaling>
          <c:orientation val="minMax"/>
        </c:scaling>
        <c:delete val="0"/>
        <c:axPos val="b"/>
        <c:numFmt formatCode="General" sourceLinked="0"/>
        <c:majorTickMark val="out"/>
        <c:minorTickMark val="none"/>
        <c:tickLblPos val="low"/>
        <c:txPr>
          <a:bodyPr/>
          <a:lstStyle/>
          <a:p>
            <a:pPr>
              <a:defRPr lang="es-GT" sz="1200"/>
            </a:pPr>
            <a:endParaRPr lang="es-GT"/>
          </a:p>
        </c:txPr>
        <c:crossAx val="122397824"/>
        <c:crosses val="autoZero"/>
        <c:auto val="1"/>
        <c:lblAlgn val="ctr"/>
        <c:lblOffset val="100"/>
        <c:noMultiLvlLbl val="0"/>
      </c:catAx>
      <c:valAx>
        <c:axId val="122397824"/>
        <c:scaling>
          <c:orientation val="minMax"/>
        </c:scaling>
        <c:delete val="0"/>
        <c:axPos val="l"/>
        <c:numFmt formatCode="_-* #,##0.0_-;\-* #,##0.0_-;_-* &quot;-&quot;??_-;_-@_-" sourceLinked="1"/>
        <c:majorTickMark val="out"/>
        <c:minorTickMark val="none"/>
        <c:tickLblPos val="nextTo"/>
        <c:txPr>
          <a:bodyPr/>
          <a:lstStyle/>
          <a:p>
            <a:pPr>
              <a:defRPr lang="es-GT" sz="1200"/>
            </a:pPr>
            <a:endParaRPr lang="es-GT"/>
          </a:p>
        </c:txPr>
        <c:crossAx val="12238784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02332524398975"/>
          <c:y val="3.1475757507388943E-2"/>
          <c:w val="0.75319470875453221"/>
          <c:h val="0.78931796132933252"/>
        </c:manualLayout>
      </c:layout>
      <c:barChart>
        <c:barDir val="col"/>
        <c:grouping val="stacked"/>
        <c:varyColors val="0"/>
        <c:ser>
          <c:idx val="0"/>
          <c:order val="0"/>
          <c:tx>
            <c:strRef>
              <c:f>Hoja1!$B$1</c:f>
              <c:strCache>
                <c:ptCount val="1"/>
                <c:pt idx="0">
                  <c:v>SAT</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D1-4936-A58D-4490BEDA571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D1-4936-A58D-4490BEDA5712}"/>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Meta </c:v>
                </c:pt>
                <c:pt idx="1">
                  <c:v>Observado</c:v>
                </c:pt>
              </c:strCache>
            </c:strRef>
          </c:cat>
          <c:val>
            <c:numRef>
              <c:f>Hoja1!$B$2:$B$3</c:f>
              <c:numCache>
                <c:formatCode>#,##0.0</c:formatCode>
                <c:ptCount val="2"/>
                <c:pt idx="0">
                  <c:v>10210.47122824</c:v>
                </c:pt>
                <c:pt idx="1">
                  <c:v>10716.303011360002</c:v>
                </c:pt>
              </c:numCache>
            </c:numRef>
          </c:val>
          <c:extLst>
            <c:ext xmlns:c16="http://schemas.microsoft.com/office/drawing/2014/chart" uri="{C3380CC4-5D6E-409C-BE32-E72D297353CC}">
              <c16:uniqueId val="{00000002-F2D1-4936-A58D-4490BEDA5712}"/>
            </c:ext>
          </c:extLst>
        </c:ser>
        <c:ser>
          <c:idx val="1"/>
          <c:order val="1"/>
          <c:tx>
            <c:strRef>
              <c:f>Hoja1!$C$1</c:f>
              <c:strCache>
                <c:ptCount val="1"/>
                <c:pt idx="0">
                  <c:v>No administrado por SAT</c:v>
                </c:pt>
              </c:strCache>
            </c:strRef>
          </c:tx>
          <c:spPr>
            <a:solidFill>
              <a:schemeClr val="accent2"/>
            </a:solidFill>
            <a:ln>
              <a:noFill/>
            </a:ln>
            <a:effectLst/>
          </c:spPr>
          <c:invertIfNegative val="0"/>
          <c:dLbls>
            <c:dLbl>
              <c:idx val="0"/>
              <c:layout>
                <c:manualLayout>
                  <c:x val="-4.516659656947226E-17"/>
                  <c:y val="1.1461318051575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D1-4936-A58D-4490BEDA5712}"/>
                </c:ext>
              </c:extLst>
            </c:dLbl>
            <c:dLbl>
              <c:idx val="1"/>
              <c:layout>
                <c:manualLayout>
                  <c:x val="0"/>
                  <c:y val="1.1461318051575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D1-4936-A58D-4490BEDA5712}"/>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Meta </c:v>
                </c:pt>
                <c:pt idx="1">
                  <c:v>Observado</c:v>
                </c:pt>
              </c:strCache>
            </c:strRef>
          </c:cat>
          <c:val>
            <c:numRef>
              <c:f>Hoja1!$C$2:$C$3</c:f>
              <c:numCache>
                <c:formatCode>#,##0.0</c:formatCode>
                <c:ptCount val="2"/>
                <c:pt idx="0">
                  <c:v>98.231545058752573</c:v>
                </c:pt>
                <c:pt idx="1">
                  <c:v>124.00085373</c:v>
                </c:pt>
              </c:numCache>
            </c:numRef>
          </c:val>
          <c:extLst>
            <c:ext xmlns:c16="http://schemas.microsoft.com/office/drawing/2014/chart" uri="{C3380CC4-5D6E-409C-BE32-E72D297353CC}">
              <c16:uniqueId val="{00000005-F2D1-4936-A58D-4490BEDA5712}"/>
            </c:ext>
          </c:extLst>
        </c:ser>
        <c:dLbls>
          <c:showLegendKey val="0"/>
          <c:showVal val="0"/>
          <c:showCatName val="0"/>
          <c:showSerName val="0"/>
          <c:showPercent val="0"/>
          <c:showBubbleSize val="0"/>
        </c:dLbls>
        <c:gapWidth val="25"/>
        <c:overlap val="100"/>
        <c:axId val="401013392"/>
        <c:axId val="401013720"/>
      </c:barChart>
      <c:catAx>
        <c:axId val="401013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Times New Roman" panose="02020603050405020304" pitchFamily="18" charset="0"/>
              </a:defRPr>
            </a:pPr>
            <a:endParaRPr lang="es-GT"/>
          </a:p>
        </c:txPr>
        <c:crossAx val="401013720"/>
        <c:crosses val="autoZero"/>
        <c:auto val="1"/>
        <c:lblAlgn val="ctr"/>
        <c:lblOffset val="100"/>
        <c:noMultiLvlLbl val="0"/>
      </c:catAx>
      <c:valAx>
        <c:axId val="401013720"/>
        <c:scaling>
          <c:orientation val="minMax"/>
          <c:min val="80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Millones de quetzales</a:t>
                </a:r>
              </a:p>
            </c:rich>
          </c:tx>
          <c:layout>
            <c:manualLayout>
              <c:xMode val="edge"/>
              <c:yMode val="edge"/>
              <c:x val="2.1556063806880015E-3"/>
              <c:y val="0.2039397152719806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0101339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6169336926010636"/>
          <c:y val="0.93309510880105506"/>
          <c:w val="0.67661287350167698"/>
          <c:h val="6.690489119894496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latin typeface="+mn-lt"/>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2855324902571"/>
          <c:y val="3.1995541841673462E-2"/>
          <c:w val="0.85833483674851063"/>
          <c:h val="0.81784501707928714"/>
        </c:manualLayout>
      </c:layout>
      <c:lineChart>
        <c:grouping val="standard"/>
        <c:varyColors val="0"/>
        <c:ser>
          <c:idx val="0"/>
          <c:order val="0"/>
          <c:tx>
            <c:strRef>
              <c:f>Hoja1!$B$1</c:f>
              <c:strCache>
                <c:ptCount val="1"/>
                <c:pt idx="0">
                  <c:v>Var </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dLbl>
              <c:idx val="0"/>
              <c:layout>
                <c:manualLayout>
                  <c:x val="-0.10119477859059192"/>
                  <c:y val="-7.4488930808278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B7-4BB0-93D7-18CD9DA24CD5}"/>
                </c:ext>
              </c:extLst>
            </c:dLbl>
            <c:dLbl>
              <c:idx val="1"/>
              <c:layout>
                <c:manualLayout>
                  <c:x val="-6.1776202586650064E-2"/>
                  <c:y val="-7.7867101474700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B7-4BB0-93D7-18CD9DA24CD5}"/>
                </c:ext>
              </c:extLst>
            </c:dLbl>
            <c:dLbl>
              <c:idx val="2"/>
              <c:layout>
                <c:manualLayout>
                  <c:x val="-1.2502982581722739E-2"/>
                  <c:y val="5.3194497476806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B7-4BB0-93D7-18CD9DA24CD5}"/>
                </c:ext>
              </c:extLst>
            </c:dLbl>
            <c:dLbl>
              <c:idx val="3"/>
              <c:layout>
                <c:manualLayout>
                  <c:x val="-0.14554067659502659"/>
                  <c:y val="-6.47609415795502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B7-4BB0-93D7-18CD9DA24CD5}"/>
                </c:ext>
              </c:extLst>
            </c:dLbl>
            <c:dLbl>
              <c:idx val="4"/>
              <c:layout>
                <c:manualLayout>
                  <c:x val="-8.1485490588621076E-2"/>
                  <c:y val="-7.1314021527125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B7-4BB0-93D7-18CD9DA24CD5}"/>
                </c:ext>
              </c:extLst>
            </c:dLbl>
            <c:dLbl>
              <c:idx val="5"/>
              <c:layout>
                <c:manualLayout>
                  <c:x val="-7.6558168588128264E-2"/>
                  <c:y val="7.285373731953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B7-4BB0-93D7-18CD9DA24CD5}"/>
                </c:ext>
              </c:extLst>
            </c:dLbl>
            <c:dLbl>
              <c:idx val="6"/>
              <c:layout>
                <c:manualLayout>
                  <c:x val="-9.0688719342454788E-2"/>
                  <c:y val="-3.6272400674007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B7-4BB0-93D7-18CD9DA24CD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Hoja1!$A$2:$A$8</c:f>
              <c:numCache>
                <c:formatCode>General</c:formatCode>
                <c:ptCount val="7"/>
                <c:pt idx="0">
                  <c:v>2014</c:v>
                </c:pt>
                <c:pt idx="1">
                  <c:v>2015</c:v>
                </c:pt>
                <c:pt idx="2">
                  <c:v>2016</c:v>
                </c:pt>
                <c:pt idx="3">
                  <c:v>2017</c:v>
                </c:pt>
                <c:pt idx="4">
                  <c:v>2018</c:v>
                </c:pt>
                <c:pt idx="5">
                  <c:v>2019</c:v>
                </c:pt>
                <c:pt idx="6">
                  <c:v>2020</c:v>
                </c:pt>
              </c:numCache>
            </c:numRef>
          </c:cat>
          <c:val>
            <c:numRef>
              <c:f>Hoja1!$B$2:$B$8</c:f>
              <c:numCache>
                <c:formatCode>General</c:formatCode>
                <c:ptCount val="7"/>
                <c:pt idx="0">
                  <c:v>3.980456414257838E-2</c:v>
                </c:pt>
                <c:pt idx="1">
                  <c:v>3.7955069418535103E-2</c:v>
                </c:pt>
                <c:pt idx="2">
                  <c:v>1.7037438450319575E-2</c:v>
                </c:pt>
                <c:pt idx="3">
                  <c:v>7.3827022517823471E-2</c:v>
                </c:pt>
                <c:pt idx="4">
                  <c:v>7.3698015702486686E-2</c:v>
                </c:pt>
                <c:pt idx="5">
                  <c:v>3.8814875506469004E-2</c:v>
                </c:pt>
                <c:pt idx="6">
                  <c:v>9.4134967985187501E-2</c:v>
                </c:pt>
              </c:numCache>
            </c:numRef>
          </c:val>
          <c:smooth val="0"/>
          <c:extLst>
            <c:ext xmlns:c16="http://schemas.microsoft.com/office/drawing/2014/chart" uri="{C3380CC4-5D6E-409C-BE32-E72D297353CC}">
              <c16:uniqueId val="{00000007-B1B7-4BB0-93D7-18CD9DA24CD5}"/>
            </c:ext>
          </c:extLst>
        </c:ser>
        <c:dLbls>
          <c:showLegendKey val="0"/>
          <c:showVal val="0"/>
          <c:showCatName val="0"/>
          <c:showSerName val="0"/>
          <c:showPercent val="0"/>
          <c:showBubbleSize val="0"/>
        </c:dLbls>
        <c:marker val="1"/>
        <c:smooth val="0"/>
        <c:axId val="472240352"/>
        <c:axId val="472234776"/>
      </c:lineChart>
      <c:catAx>
        <c:axId val="4722403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2234776"/>
        <c:crosses val="autoZero"/>
        <c:auto val="1"/>
        <c:lblAlgn val="ctr"/>
        <c:lblOffset val="100"/>
        <c:noMultiLvlLbl val="0"/>
      </c:catAx>
      <c:valAx>
        <c:axId val="4722347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22403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B15B0-16DE-4FC2-A6FA-247FDE4E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2040</Words>
  <Characters>11221</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6</cp:revision>
  <dcterms:created xsi:type="dcterms:W3CDTF">2020-04-03T18:15:00Z</dcterms:created>
  <dcterms:modified xsi:type="dcterms:W3CDTF">2020-04-29T18:05:00Z</dcterms:modified>
</cp:coreProperties>
</file>