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4AA9" w14:textId="54535146" w:rsidR="007D4651" w:rsidRPr="00E829E3" w:rsidRDefault="0088214C"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E829E3" w:rsidSect="00754057">
          <w:headerReference w:type="default" r:id="rId8"/>
          <w:footerReference w:type="default" r:id="rId9"/>
          <w:pgSz w:w="12240" w:h="15840" w:code="1"/>
          <w:pgMar w:top="1418" w:right="1418" w:bottom="1418" w:left="1418" w:header="709" w:footer="709" w:gutter="0"/>
          <w:cols w:space="708"/>
          <w:docGrid w:linePitch="360"/>
        </w:sectPr>
      </w:pPr>
      <w:r>
        <w:rPr>
          <w:rFonts w:ascii="Times New Roman" w:hAnsi="Times New Roman" w:cs="Times New Roman"/>
          <w:b/>
          <w:lang w:val="es-MX"/>
        </w:rPr>
        <w:t>E</w:t>
      </w:r>
      <w:r w:rsidR="00E37543" w:rsidRPr="00E829E3">
        <w:rPr>
          <w:rFonts w:ascii="Times New Roman" w:hAnsi="Times New Roman" w:cs="Times New Roman"/>
          <w:b/>
          <w:lang w:val="es-MX"/>
        </w:rPr>
        <w:t>nero</w:t>
      </w:r>
      <w:r w:rsidR="003D7EBA" w:rsidRPr="00E829E3">
        <w:rPr>
          <w:rFonts w:ascii="Times New Roman" w:hAnsi="Times New Roman" w:cs="Times New Roman"/>
          <w:b/>
          <w:lang w:val="es-MX"/>
        </w:rPr>
        <w:t xml:space="preserve"> </w:t>
      </w:r>
      <w:r w:rsidR="00E37543" w:rsidRPr="00E829E3">
        <w:rPr>
          <w:rFonts w:ascii="Times New Roman" w:hAnsi="Times New Roman" w:cs="Times New Roman"/>
          <w:b/>
          <w:lang w:val="es-MX"/>
        </w:rPr>
        <w:t xml:space="preserve">reporta superávit </w:t>
      </w:r>
      <w:r w:rsidR="004B799B" w:rsidRPr="00E829E3">
        <w:rPr>
          <w:rFonts w:ascii="Times New Roman" w:hAnsi="Times New Roman" w:cs="Times New Roman"/>
          <w:b/>
          <w:lang w:val="es-MX"/>
        </w:rPr>
        <w:t>fiscal</w:t>
      </w:r>
    </w:p>
    <w:p w14:paraId="023709B1" w14:textId="77777777" w:rsidR="007D4651" w:rsidRPr="00CE2620" w:rsidRDefault="007D4651" w:rsidP="007D4651">
      <w:pPr>
        <w:pStyle w:val="Sinespaciado"/>
        <w:rPr>
          <w:rFonts w:ascii="Times New Roman" w:hAnsi="Times New Roman" w:cs="Times New Roman"/>
          <w:b/>
          <w:color w:val="FF0000"/>
          <w:sz w:val="6"/>
          <w:lang w:val="es-MX"/>
        </w:rPr>
      </w:pPr>
    </w:p>
    <w:p w14:paraId="147B8C0B" w14:textId="77777777" w:rsidR="007D4651" w:rsidRPr="00CE2620" w:rsidRDefault="007D4651" w:rsidP="007D4651">
      <w:pPr>
        <w:pStyle w:val="Sinespaciado"/>
        <w:jc w:val="center"/>
        <w:rPr>
          <w:rFonts w:ascii="Times New Roman" w:hAnsi="Times New Roman" w:cs="Times New Roman"/>
          <w:b/>
          <w:color w:val="FF0000"/>
          <w:sz w:val="16"/>
          <w:lang w:val="es-MX"/>
        </w:rPr>
      </w:pPr>
    </w:p>
    <w:p w14:paraId="62B83313" w14:textId="77777777" w:rsidR="009C4027" w:rsidRPr="00CE2620" w:rsidRDefault="009C4027" w:rsidP="007D4651">
      <w:pPr>
        <w:pStyle w:val="Sinespaciado"/>
        <w:jc w:val="center"/>
        <w:rPr>
          <w:rFonts w:ascii="Times New Roman" w:hAnsi="Times New Roman" w:cs="Times New Roman"/>
          <w:b/>
          <w:color w:val="FF0000"/>
          <w:lang w:val="es-MX"/>
        </w:rPr>
        <w:sectPr w:rsidR="009C4027" w:rsidRPr="00CE2620" w:rsidSect="004E358C">
          <w:type w:val="continuous"/>
          <w:pgSz w:w="12240" w:h="15840"/>
          <w:pgMar w:top="1417" w:right="1701" w:bottom="1417" w:left="1701" w:header="708" w:footer="708" w:gutter="0"/>
          <w:cols w:space="708"/>
          <w:docGrid w:linePitch="360"/>
        </w:sectPr>
      </w:pPr>
    </w:p>
    <w:p w14:paraId="4F8C4FC5" w14:textId="5C54EDA2" w:rsidR="00E829E3" w:rsidRPr="00E829E3" w:rsidRDefault="00E829E3" w:rsidP="0041262B">
      <w:pPr>
        <w:pStyle w:val="Sinespaciado"/>
        <w:ind w:left="284"/>
        <w:jc w:val="both"/>
        <w:rPr>
          <w:rFonts w:ascii="Times New Roman" w:hAnsi="Times New Roman" w:cs="Times New Roman"/>
          <w:lang w:val="es-MX"/>
        </w:rPr>
      </w:pPr>
      <w:r w:rsidRPr="00E829E3">
        <w:rPr>
          <w:rFonts w:ascii="Times New Roman" w:hAnsi="Times New Roman" w:cs="Times New Roman"/>
          <w:lang w:val="es-MX"/>
        </w:rPr>
        <w:t>El resultado presupuestario del gobierno central muestra un déficit fiscal que se sitúa al 31 de enero de 2021 en Q1,</w:t>
      </w:r>
      <w:r w:rsidR="00A044EF">
        <w:rPr>
          <w:rFonts w:ascii="Times New Roman" w:hAnsi="Times New Roman" w:cs="Times New Roman"/>
          <w:lang w:val="es-MX"/>
        </w:rPr>
        <w:t>501</w:t>
      </w:r>
      <w:r w:rsidR="0088214C">
        <w:rPr>
          <w:rFonts w:ascii="Times New Roman" w:hAnsi="Times New Roman" w:cs="Times New Roman"/>
          <w:lang w:val="es-MX"/>
        </w:rPr>
        <w:t>.</w:t>
      </w:r>
      <w:r w:rsidR="00A044EF">
        <w:rPr>
          <w:rFonts w:ascii="Times New Roman" w:hAnsi="Times New Roman" w:cs="Times New Roman"/>
          <w:lang w:val="es-MX"/>
        </w:rPr>
        <w:t>7</w:t>
      </w:r>
      <w:r w:rsidRPr="00E829E3">
        <w:rPr>
          <w:rFonts w:ascii="Times New Roman" w:hAnsi="Times New Roman" w:cs="Times New Roman"/>
          <w:lang w:val="es-MX"/>
        </w:rPr>
        <w:t xml:space="preserve"> millones. En los años anteriores (2018-2020) enero también reportó superávit fiscal.</w:t>
      </w:r>
    </w:p>
    <w:p w14:paraId="54DD19AC" w14:textId="77777777" w:rsidR="00E829E3" w:rsidRPr="00A673A4" w:rsidRDefault="00E829E3" w:rsidP="0041262B">
      <w:pPr>
        <w:pStyle w:val="Sinespaciado"/>
        <w:ind w:left="284"/>
        <w:jc w:val="both"/>
        <w:rPr>
          <w:rFonts w:ascii="Times New Roman" w:hAnsi="Times New Roman" w:cs="Times New Roman"/>
          <w:sz w:val="18"/>
          <w:lang w:val="es-MX"/>
        </w:rPr>
      </w:pPr>
    </w:p>
    <w:p w14:paraId="412EC4E9" w14:textId="5E97D17D" w:rsidR="00E829E3" w:rsidRPr="00E829E3" w:rsidRDefault="00E829E3" w:rsidP="0041262B">
      <w:pPr>
        <w:pStyle w:val="Sinespaciado"/>
        <w:ind w:left="284"/>
        <w:jc w:val="both"/>
        <w:rPr>
          <w:rFonts w:ascii="Times New Roman" w:hAnsi="Times New Roman" w:cs="Times New Roman"/>
          <w:lang w:val="es-MX"/>
        </w:rPr>
      </w:pPr>
      <w:r w:rsidRPr="00E829E3">
        <w:rPr>
          <w:rFonts w:ascii="Times New Roman" w:hAnsi="Times New Roman" w:cs="Times New Roman"/>
          <w:lang w:val="es-MX"/>
        </w:rPr>
        <w:t>Dada la dinámica entre los ingresos y los gastos, este superávit fiscal es similar al observado en 2020, por un</w:t>
      </w:r>
      <w:r w:rsidR="00BE3463">
        <w:rPr>
          <w:rFonts w:ascii="Times New Roman" w:hAnsi="Times New Roman" w:cs="Times New Roman"/>
          <w:lang w:val="es-MX"/>
        </w:rPr>
        <w:t>a</w:t>
      </w:r>
      <w:r w:rsidRPr="00E829E3">
        <w:rPr>
          <w:rFonts w:ascii="Times New Roman" w:hAnsi="Times New Roman" w:cs="Times New Roman"/>
          <w:lang w:val="es-MX"/>
        </w:rPr>
        <w:t xml:space="preserve"> parte</w:t>
      </w:r>
      <w:r w:rsidR="00E07E88">
        <w:rPr>
          <w:rFonts w:ascii="Times New Roman" w:hAnsi="Times New Roman" w:cs="Times New Roman"/>
          <w:lang w:val="es-MX"/>
        </w:rPr>
        <w:t>,</w:t>
      </w:r>
      <w:r w:rsidRPr="00E829E3">
        <w:rPr>
          <w:rFonts w:ascii="Times New Roman" w:hAnsi="Times New Roman" w:cs="Times New Roman"/>
          <w:lang w:val="es-MX"/>
        </w:rPr>
        <w:t xml:space="preserve"> los ingresos tributarios han mostrado un mejor dinamismo, incluso superando la meta prevista para el mes en Q2</w:t>
      </w:r>
      <w:r w:rsidR="0088214C">
        <w:rPr>
          <w:rFonts w:ascii="Times New Roman" w:hAnsi="Times New Roman" w:cs="Times New Roman"/>
          <w:lang w:val="es-MX"/>
        </w:rPr>
        <w:t>6.6</w:t>
      </w:r>
      <w:r w:rsidRPr="00E829E3">
        <w:rPr>
          <w:rFonts w:ascii="Times New Roman" w:hAnsi="Times New Roman" w:cs="Times New Roman"/>
          <w:lang w:val="es-MX"/>
        </w:rPr>
        <w:t xml:space="preserve"> millones, debido a una mejora en las acciones de fiscalización por parte de la Administración Tributaria.   </w:t>
      </w:r>
    </w:p>
    <w:p w14:paraId="3A44E7ED" w14:textId="77777777" w:rsidR="00E829E3" w:rsidRPr="00A673A4" w:rsidRDefault="00E829E3" w:rsidP="0041262B">
      <w:pPr>
        <w:pStyle w:val="Sinespaciado"/>
        <w:ind w:left="284"/>
        <w:jc w:val="both"/>
        <w:rPr>
          <w:rFonts w:ascii="Times New Roman" w:hAnsi="Times New Roman" w:cs="Times New Roman"/>
          <w:sz w:val="18"/>
          <w:lang w:val="es-MX"/>
        </w:rPr>
      </w:pPr>
    </w:p>
    <w:p w14:paraId="00823B4E" w14:textId="3CFA732D" w:rsidR="00E829E3" w:rsidRPr="00E829E3" w:rsidRDefault="00E829E3" w:rsidP="0041262B">
      <w:pPr>
        <w:pStyle w:val="Sinespaciado"/>
        <w:ind w:left="284"/>
        <w:jc w:val="both"/>
        <w:rPr>
          <w:rFonts w:ascii="Times New Roman" w:hAnsi="Times New Roman" w:cs="Times New Roman"/>
          <w:lang w:val="es-MX"/>
        </w:rPr>
      </w:pPr>
      <w:r w:rsidRPr="00E829E3">
        <w:rPr>
          <w:rFonts w:ascii="Times New Roman" w:hAnsi="Times New Roman" w:cs="Times New Roman"/>
          <w:lang w:val="es-MX"/>
        </w:rPr>
        <w:t xml:space="preserve">Mientras que el gasto público </w:t>
      </w:r>
      <w:r w:rsidR="00BE3463">
        <w:rPr>
          <w:rFonts w:ascii="Times New Roman" w:hAnsi="Times New Roman" w:cs="Times New Roman"/>
          <w:lang w:val="es-MX"/>
        </w:rPr>
        <w:t>crece de manera</w:t>
      </w:r>
      <w:r w:rsidRPr="00E829E3">
        <w:rPr>
          <w:rFonts w:ascii="Times New Roman" w:hAnsi="Times New Roman" w:cs="Times New Roman"/>
          <w:lang w:val="es-MX"/>
        </w:rPr>
        <w:t xml:space="preserve"> moderad</w:t>
      </w:r>
      <w:r w:rsidR="00BE3463">
        <w:rPr>
          <w:rFonts w:ascii="Times New Roman" w:hAnsi="Times New Roman" w:cs="Times New Roman"/>
          <w:lang w:val="es-MX"/>
        </w:rPr>
        <w:t>a</w:t>
      </w:r>
      <w:r w:rsidRPr="00E829E3">
        <w:rPr>
          <w:rFonts w:ascii="Times New Roman" w:hAnsi="Times New Roman" w:cs="Times New Roman"/>
          <w:lang w:val="es-MX"/>
        </w:rPr>
        <w:t>, dado que al no ser aprobado el proyecto de presupuesto para el ejercicio fiscal 2021, entr</w:t>
      </w:r>
      <w:r w:rsidR="00BE3463">
        <w:rPr>
          <w:rFonts w:ascii="Times New Roman" w:hAnsi="Times New Roman" w:cs="Times New Roman"/>
          <w:lang w:val="es-MX"/>
        </w:rPr>
        <w:t>ó</w:t>
      </w:r>
      <w:r w:rsidRPr="00E829E3">
        <w:rPr>
          <w:rFonts w:ascii="Times New Roman" w:hAnsi="Times New Roman" w:cs="Times New Roman"/>
          <w:lang w:val="es-MX"/>
        </w:rPr>
        <w:t xml:space="preserve"> en vigencia el último presupuesto </w:t>
      </w:r>
      <w:r w:rsidRPr="00E829E3">
        <w:rPr>
          <w:rFonts w:ascii="Times New Roman" w:hAnsi="Times New Roman" w:cs="Times New Roman"/>
          <w:lang w:val="es-MX"/>
        </w:rPr>
        <w:t xml:space="preserve">aprobado, dándose este escenario por segundo año consecutivo, esto afecta la ejecución dado que es necesario un proceso de readecuaciones presupuestarias para que las entidades tengan cierta congruencia con la planificación original y los objetivos planteados para el año. </w:t>
      </w:r>
    </w:p>
    <w:p w14:paraId="1F29C866" w14:textId="77777777" w:rsidR="00E829E3" w:rsidRPr="00A673A4" w:rsidRDefault="00E829E3" w:rsidP="0041262B">
      <w:pPr>
        <w:pStyle w:val="Sinespaciado"/>
        <w:ind w:left="284"/>
        <w:jc w:val="both"/>
        <w:rPr>
          <w:rFonts w:ascii="Times New Roman" w:hAnsi="Times New Roman" w:cs="Times New Roman"/>
          <w:sz w:val="18"/>
          <w:lang w:val="es-MX"/>
        </w:rPr>
      </w:pPr>
    </w:p>
    <w:p w14:paraId="20F9B937" w14:textId="77777777" w:rsidR="00F54627" w:rsidRPr="00E829E3" w:rsidRDefault="00E829E3" w:rsidP="0041262B">
      <w:pPr>
        <w:pStyle w:val="Sinespaciado"/>
        <w:ind w:left="284"/>
        <w:jc w:val="both"/>
        <w:rPr>
          <w:rFonts w:ascii="Times New Roman" w:hAnsi="Times New Roman" w:cs="Times New Roman"/>
          <w:b/>
          <w:sz w:val="4"/>
          <w:lang w:val="es-MX"/>
        </w:rPr>
      </w:pPr>
      <w:r w:rsidRPr="00E829E3">
        <w:rPr>
          <w:rFonts w:ascii="Times New Roman" w:hAnsi="Times New Roman" w:cs="Times New Roman"/>
          <w:lang w:val="es-MX"/>
        </w:rPr>
        <w:t xml:space="preserve">Se espera que durante el 2021 haya una aceleración del gasto público y de esa cuenta, el déficit fiscal crecerá en la medida que las entidades logren realizar las readecuaciones presupuestarias acorde a las necesidades económicas y sociales del país, resaltan particularmente tres áreas: 1. La vacuna para inmunizar a la población contra el COVID-19, 2. Gasto para reactivación económica y 3. Gasto en reconstrucción derivado de las tormentas tropicales.  </w:t>
      </w:r>
    </w:p>
    <w:p w14:paraId="27432EE3" w14:textId="77777777" w:rsidR="00E37543" w:rsidRPr="00CE2620" w:rsidRDefault="00E37543" w:rsidP="00E829E3">
      <w:pPr>
        <w:pStyle w:val="Sinespaciado"/>
        <w:rPr>
          <w:rFonts w:ascii="Times New Roman" w:hAnsi="Times New Roman" w:cs="Times New Roman"/>
          <w:b/>
          <w:color w:val="FF0000"/>
          <w:lang w:val="es-MX"/>
        </w:rPr>
        <w:sectPr w:rsidR="00E37543" w:rsidRPr="00CE2620" w:rsidSect="007D4651">
          <w:type w:val="continuous"/>
          <w:pgSz w:w="12240" w:h="15840" w:code="1"/>
          <w:pgMar w:top="1418" w:right="1418" w:bottom="1418" w:left="1418" w:header="709" w:footer="709" w:gutter="0"/>
          <w:cols w:num="2" w:space="708"/>
          <w:docGrid w:linePitch="360"/>
        </w:sectPr>
      </w:pPr>
    </w:p>
    <w:p w14:paraId="576A89A0" w14:textId="77777777" w:rsidR="00E829E3" w:rsidRPr="00A673A4" w:rsidRDefault="00E829E3" w:rsidP="006F5EA0">
      <w:pPr>
        <w:pStyle w:val="Sinespaciado"/>
        <w:jc w:val="center"/>
        <w:rPr>
          <w:rFonts w:ascii="Times New Roman" w:hAnsi="Times New Roman" w:cs="Times New Roman"/>
          <w:b/>
          <w:sz w:val="20"/>
          <w:lang w:val="es-MX"/>
        </w:rPr>
      </w:pPr>
    </w:p>
    <w:p w14:paraId="2D2EA870" w14:textId="77777777" w:rsidR="006F5EA0" w:rsidRPr="00E829E3" w:rsidRDefault="00950874" w:rsidP="006F5EA0">
      <w:pPr>
        <w:pStyle w:val="Sinespaciado"/>
        <w:jc w:val="center"/>
        <w:rPr>
          <w:rFonts w:ascii="Times New Roman" w:hAnsi="Times New Roman" w:cs="Times New Roman"/>
          <w:b/>
          <w:sz w:val="24"/>
          <w:lang w:val="es-MX"/>
        </w:rPr>
      </w:pPr>
      <w:r w:rsidRPr="00E829E3">
        <w:rPr>
          <w:rFonts w:ascii="Times New Roman" w:hAnsi="Times New Roman" w:cs="Times New Roman"/>
          <w:b/>
          <w:sz w:val="24"/>
          <w:lang w:val="es-MX"/>
        </w:rPr>
        <w:t>Resultado Presupuestario</w:t>
      </w:r>
    </w:p>
    <w:p w14:paraId="7200A2A8" w14:textId="77777777" w:rsidR="00E829E3" w:rsidRPr="00E829E3" w:rsidRDefault="00E829E3" w:rsidP="006F5EA0">
      <w:pPr>
        <w:pStyle w:val="Sinespaciado"/>
        <w:jc w:val="center"/>
        <w:rPr>
          <w:rFonts w:ascii="Times New Roman" w:hAnsi="Times New Roman" w:cs="Times New Roman"/>
          <w:sz w:val="20"/>
          <w:lang w:val="es-MX"/>
        </w:rPr>
      </w:pPr>
      <w:r w:rsidRPr="00E829E3">
        <w:rPr>
          <w:rFonts w:ascii="Times New Roman" w:hAnsi="Times New Roman" w:cs="Times New Roman"/>
          <w:sz w:val="20"/>
          <w:lang w:val="es-MX"/>
        </w:rPr>
        <w:t>Cifras en millones de quetzales</w:t>
      </w:r>
      <w:r w:rsidR="006F5EA0" w:rsidRPr="00E829E3">
        <w:rPr>
          <w:rFonts w:ascii="Times New Roman" w:hAnsi="Times New Roman" w:cs="Times New Roman"/>
          <w:sz w:val="20"/>
          <w:lang w:val="es-MX"/>
        </w:rPr>
        <w:t xml:space="preserve">      </w:t>
      </w:r>
    </w:p>
    <w:p w14:paraId="1D6CFC4C" w14:textId="77777777" w:rsidR="00950874" w:rsidRPr="00E829E3" w:rsidRDefault="00E829E3" w:rsidP="006F5EA0">
      <w:pPr>
        <w:pStyle w:val="Sinespaciado"/>
        <w:jc w:val="center"/>
        <w:rPr>
          <w:rFonts w:ascii="Times New Roman" w:hAnsi="Times New Roman" w:cs="Times New Roman"/>
          <w:sz w:val="18"/>
          <w:lang w:val="es-MX"/>
        </w:rPr>
      </w:pPr>
      <w:r w:rsidRPr="00E829E3">
        <w:rPr>
          <w:rFonts w:ascii="Times New Roman" w:hAnsi="Times New Roman" w:cs="Times New Roman"/>
          <w:sz w:val="20"/>
          <w:lang w:val="es-MX"/>
        </w:rPr>
        <w:t xml:space="preserve">     </w:t>
      </w:r>
      <w:r w:rsidR="006F5EA0" w:rsidRPr="00E829E3">
        <w:rPr>
          <w:rFonts w:ascii="Times New Roman" w:hAnsi="Times New Roman" w:cs="Times New Roman"/>
          <w:sz w:val="20"/>
          <w:lang w:val="es-MX"/>
        </w:rPr>
        <w:t xml:space="preserve"> </w:t>
      </w:r>
      <w:r w:rsidR="00E37543" w:rsidRPr="00E829E3">
        <w:rPr>
          <w:rFonts w:ascii="Times New Roman" w:hAnsi="Times New Roman" w:cs="Times New Roman"/>
          <w:sz w:val="20"/>
          <w:lang w:val="es-MX"/>
        </w:rPr>
        <w:t>Al 31</w:t>
      </w:r>
      <w:r w:rsidR="006F5EA0" w:rsidRPr="00E829E3">
        <w:rPr>
          <w:rFonts w:ascii="Times New Roman" w:hAnsi="Times New Roman" w:cs="Times New Roman"/>
          <w:sz w:val="20"/>
          <w:lang w:val="es-MX"/>
        </w:rPr>
        <w:t xml:space="preserve"> de </w:t>
      </w:r>
      <w:r w:rsidR="00E348DD" w:rsidRPr="00E829E3">
        <w:rPr>
          <w:rFonts w:ascii="Times New Roman" w:hAnsi="Times New Roman" w:cs="Times New Roman"/>
          <w:sz w:val="20"/>
          <w:lang w:val="es-MX"/>
        </w:rPr>
        <w:t>e</w:t>
      </w:r>
      <w:r w:rsidR="00E37543" w:rsidRPr="00E829E3">
        <w:rPr>
          <w:rFonts w:ascii="Times New Roman" w:hAnsi="Times New Roman" w:cs="Times New Roman"/>
          <w:sz w:val="20"/>
          <w:lang w:val="es-MX"/>
        </w:rPr>
        <w:t>nero</w:t>
      </w:r>
      <w:r w:rsidR="006F5EA0" w:rsidRPr="00E829E3">
        <w:rPr>
          <w:rFonts w:ascii="Times New Roman" w:hAnsi="Times New Roman" w:cs="Times New Roman"/>
          <w:sz w:val="20"/>
          <w:lang w:val="es-MX"/>
        </w:rPr>
        <w:t xml:space="preserve"> de cada año</w:t>
      </w:r>
      <w:r w:rsidR="00F27024" w:rsidRPr="00E829E3">
        <w:rPr>
          <w:rFonts w:ascii="Times New Roman" w:hAnsi="Times New Roman" w:cs="Times New Roman"/>
          <w:b/>
          <w:lang w:val="es-MX"/>
        </w:rPr>
        <w:tab/>
      </w:r>
    </w:p>
    <w:p w14:paraId="7917AD6C" w14:textId="32291188" w:rsidR="005C4C97" w:rsidRPr="00E829E3" w:rsidRDefault="00A044EF" w:rsidP="005F470C">
      <w:pPr>
        <w:pStyle w:val="Sinespaciado"/>
        <w:jc w:val="center"/>
        <w:rPr>
          <w:noProof/>
          <w:lang w:eastAsia="es-GT"/>
        </w:rPr>
      </w:pPr>
      <w:r>
        <w:rPr>
          <w:noProof/>
          <w:lang w:eastAsia="es-GT"/>
        </w:rPr>
        <w:drawing>
          <wp:inline distT="0" distB="0" distL="0" distR="0" wp14:anchorId="6C9268B1" wp14:editId="67E607E0">
            <wp:extent cx="4730750" cy="211587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6502D2" w14:textId="0BF1D5AE" w:rsidR="005C4C97" w:rsidRPr="00E829E3" w:rsidRDefault="007F443F" w:rsidP="005F470C">
      <w:pPr>
        <w:pStyle w:val="Sinespaciado"/>
        <w:jc w:val="both"/>
        <w:rPr>
          <w:rFonts w:ascii="Times New Roman" w:hAnsi="Times New Roman" w:cs="Times New Roman"/>
          <w:sz w:val="16"/>
        </w:rPr>
      </w:pPr>
      <w:r w:rsidRPr="00E829E3">
        <w:rPr>
          <w:rFonts w:ascii="Times New Roman" w:hAnsi="Times New Roman" w:cs="Times New Roman"/>
          <w:sz w:val="16"/>
        </w:rPr>
        <w:t xml:space="preserve">          </w:t>
      </w:r>
      <w:r w:rsidR="00A673A4">
        <w:rPr>
          <w:rFonts w:ascii="Times New Roman" w:hAnsi="Times New Roman" w:cs="Times New Roman"/>
          <w:sz w:val="16"/>
        </w:rPr>
        <w:tab/>
      </w:r>
      <w:r w:rsidR="00A673A4">
        <w:rPr>
          <w:rFonts w:ascii="Times New Roman" w:hAnsi="Times New Roman" w:cs="Times New Roman"/>
          <w:sz w:val="16"/>
        </w:rPr>
        <w:tab/>
      </w:r>
      <w:r w:rsidR="00157C3A" w:rsidRPr="00E829E3">
        <w:rPr>
          <w:rFonts w:ascii="Times New Roman" w:hAnsi="Times New Roman" w:cs="Times New Roman"/>
          <w:sz w:val="16"/>
        </w:rPr>
        <w:t>F</w:t>
      </w:r>
      <w:r w:rsidR="007D4651" w:rsidRPr="00E829E3">
        <w:rPr>
          <w:rFonts w:ascii="Times New Roman" w:hAnsi="Times New Roman" w:cs="Times New Roman"/>
          <w:sz w:val="16"/>
        </w:rPr>
        <w:t>uente: Dirección de Análisis y Política fiscal</w:t>
      </w:r>
    </w:p>
    <w:p w14:paraId="0FB26695" w14:textId="34EBEC09" w:rsidR="00F54627" w:rsidRDefault="00F54627" w:rsidP="007D4651">
      <w:pPr>
        <w:spacing w:after="0" w:line="240" w:lineRule="auto"/>
        <w:rPr>
          <w:rFonts w:ascii="Times New Roman" w:hAnsi="Times New Roman" w:cs="Times New Roman"/>
          <w:color w:val="FF0000"/>
          <w:lang w:val="es-MX"/>
        </w:rPr>
      </w:pPr>
    </w:p>
    <w:p w14:paraId="277D7800" w14:textId="3C03D91E" w:rsidR="00A673A4" w:rsidRPr="00CE2620" w:rsidRDefault="00A673A4" w:rsidP="007D4651">
      <w:pPr>
        <w:spacing w:after="0" w:line="240" w:lineRule="auto"/>
        <w:rPr>
          <w:rFonts w:ascii="Times New Roman" w:hAnsi="Times New Roman" w:cs="Times New Roman"/>
          <w:color w:val="FF0000"/>
          <w:lang w:val="es-MX"/>
        </w:rPr>
        <w:sectPr w:rsidR="00A673A4" w:rsidRPr="00CE2620" w:rsidSect="007D4651">
          <w:type w:val="continuous"/>
          <w:pgSz w:w="12240" w:h="15840" w:code="1"/>
          <w:pgMar w:top="1418" w:right="1418" w:bottom="1418" w:left="1418" w:header="709" w:footer="709" w:gutter="0"/>
          <w:cols w:space="708"/>
          <w:docGrid w:linePitch="360"/>
        </w:sectPr>
      </w:pPr>
    </w:p>
    <w:p w14:paraId="4A162976" w14:textId="6C567CBD" w:rsidR="00E16925" w:rsidRPr="00F54627" w:rsidRDefault="00F25E21"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F54627"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F54627">
        <w:rPr>
          <w:rFonts w:ascii="Times New Roman" w:hAnsi="Times New Roman" w:cs="Times New Roman"/>
          <w:b/>
          <w:lang w:val="es-MX"/>
        </w:rPr>
        <w:t xml:space="preserve">Cierre preliminar de recaudación de enero </w:t>
      </w:r>
      <w:r w:rsidR="00601CF4" w:rsidRPr="00F54627">
        <w:rPr>
          <w:rFonts w:ascii="Times New Roman" w:hAnsi="Times New Roman" w:cs="Times New Roman"/>
          <w:b/>
          <w:lang w:val="es-MX"/>
        </w:rPr>
        <w:t>gener</w:t>
      </w:r>
      <w:r w:rsidR="00601CF4">
        <w:rPr>
          <w:rFonts w:ascii="Times New Roman" w:hAnsi="Times New Roman" w:cs="Times New Roman"/>
          <w:b/>
          <w:lang w:val="es-MX"/>
        </w:rPr>
        <w:t>ó</w:t>
      </w:r>
      <w:r w:rsidR="00601CF4" w:rsidRPr="00F54627">
        <w:rPr>
          <w:rFonts w:ascii="Times New Roman" w:hAnsi="Times New Roman" w:cs="Times New Roman"/>
          <w:b/>
          <w:lang w:val="es-MX"/>
        </w:rPr>
        <w:t xml:space="preserve"> </w:t>
      </w:r>
      <w:r w:rsidRPr="00F54627">
        <w:rPr>
          <w:rFonts w:ascii="Times New Roman" w:hAnsi="Times New Roman" w:cs="Times New Roman"/>
          <w:b/>
          <w:lang w:val="es-MX"/>
        </w:rPr>
        <w:t>brecha positiva</w:t>
      </w:r>
    </w:p>
    <w:p w14:paraId="4F416AB5" w14:textId="77777777" w:rsidR="00E16925" w:rsidRPr="00CE2620" w:rsidRDefault="00E16925" w:rsidP="00E16925">
      <w:pPr>
        <w:pStyle w:val="Sinespaciado"/>
        <w:rPr>
          <w:rFonts w:ascii="Times New Roman" w:hAnsi="Times New Roman" w:cs="Times New Roman"/>
          <w:b/>
          <w:color w:val="FF0000"/>
          <w:sz w:val="8"/>
          <w:lang w:val="es-MX"/>
        </w:rPr>
      </w:pPr>
    </w:p>
    <w:p w14:paraId="1BA78F9A" w14:textId="77777777" w:rsidR="00E16925" w:rsidRPr="00275F3F" w:rsidRDefault="00E16925" w:rsidP="00E16925">
      <w:pPr>
        <w:pStyle w:val="Sinespaciado"/>
        <w:jc w:val="center"/>
        <w:rPr>
          <w:rFonts w:ascii="Times New Roman" w:hAnsi="Times New Roman" w:cs="Times New Roman"/>
          <w:b/>
          <w:sz w:val="18"/>
          <w:lang w:val="es-MX"/>
        </w:rPr>
      </w:pPr>
    </w:p>
    <w:p w14:paraId="063CC55D" w14:textId="77777777" w:rsidR="00343A5D" w:rsidRPr="00F54627" w:rsidRDefault="00343A5D" w:rsidP="00F25E21">
      <w:pPr>
        <w:pStyle w:val="Sinespaciado"/>
        <w:rPr>
          <w:rFonts w:ascii="Times New Roman" w:hAnsi="Times New Roman" w:cs="Times New Roman"/>
          <w:b/>
          <w:sz w:val="20"/>
          <w:lang w:val="es-MX"/>
        </w:rPr>
        <w:sectPr w:rsidR="00343A5D" w:rsidRPr="00F54627" w:rsidSect="004E358C">
          <w:type w:val="continuous"/>
          <w:pgSz w:w="12240" w:h="15840"/>
          <w:pgMar w:top="1417" w:right="1701" w:bottom="1417" w:left="1701" w:header="708" w:footer="708" w:gutter="0"/>
          <w:cols w:space="708"/>
          <w:docGrid w:linePitch="360"/>
        </w:sectPr>
      </w:pPr>
    </w:p>
    <w:p w14:paraId="646C4006" w14:textId="4CFC56C5" w:rsidR="001A6038" w:rsidRDefault="00F54627" w:rsidP="00F54627">
      <w:pPr>
        <w:spacing w:after="0" w:line="240" w:lineRule="auto"/>
        <w:jc w:val="both"/>
        <w:rPr>
          <w:rFonts w:ascii="Times New Roman" w:hAnsi="Times New Roman" w:cs="Times New Roman"/>
        </w:rPr>
      </w:pPr>
      <w:r w:rsidRPr="00F54627">
        <w:rPr>
          <w:rFonts w:ascii="Times New Roman" w:hAnsi="Times New Roman" w:cs="Times New Roman"/>
        </w:rPr>
        <w:t xml:space="preserve">Contrario a las expectativas de desempeño de la administración tributaria en enero la recaudación tributaria generó brecha positiva </w:t>
      </w:r>
      <w:r w:rsidRPr="00F54627">
        <w:rPr>
          <w:rFonts w:ascii="Times New Roman" w:hAnsi="Times New Roman" w:cs="Times New Roman"/>
        </w:rPr>
        <w:t xml:space="preserve">de </w:t>
      </w:r>
      <w:r w:rsidR="00216695" w:rsidRPr="00F54627">
        <w:rPr>
          <w:rFonts w:ascii="Times New Roman" w:hAnsi="Times New Roman" w:cs="Times New Roman"/>
        </w:rPr>
        <w:t>Q2</w:t>
      </w:r>
      <w:r w:rsidR="00216695">
        <w:rPr>
          <w:rFonts w:ascii="Times New Roman" w:hAnsi="Times New Roman" w:cs="Times New Roman"/>
        </w:rPr>
        <w:t>6.6</w:t>
      </w:r>
      <w:r w:rsidR="00216695" w:rsidRPr="00F54627">
        <w:rPr>
          <w:rFonts w:ascii="Times New Roman" w:hAnsi="Times New Roman" w:cs="Times New Roman"/>
        </w:rPr>
        <w:t xml:space="preserve"> </w:t>
      </w:r>
      <w:r w:rsidRPr="00F54627">
        <w:rPr>
          <w:rFonts w:ascii="Times New Roman" w:hAnsi="Times New Roman" w:cs="Times New Roman"/>
        </w:rPr>
        <w:t>millones respecto a la meta de presupuesto.</w:t>
      </w:r>
    </w:p>
    <w:p w14:paraId="078D70D1" w14:textId="3A0D0943" w:rsidR="00100B94" w:rsidRPr="00F54627" w:rsidRDefault="00100B94" w:rsidP="00F54627">
      <w:pPr>
        <w:spacing w:after="0" w:line="240" w:lineRule="auto"/>
        <w:jc w:val="both"/>
        <w:rPr>
          <w:rFonts w:ascii="Times New Roman" w:hAnsi="Times New Roman" w:cs="Times New Roman"/>
        </w:rPr>
      </w:pPr>
    </w:p>
    <w:p w14:paraId="1224C8BF" w14:textId="77777777" w:rsidR="00F25E21" w:rsidRPr="00F54627" w:rsidRDefault="00F25E21" w:rsidP="00F25E21">
      <w:pPr>
        <w:spacing w:after="0" w:line="240" w:lineRule="auto"/>
        <w:jc w:val="center"/>
        <w:rPr>
          <w:rFonts w:ascii="Times New Roman" w:hAnsi="Times New Roman" w:cs="Times New Roman"/>
          <w:b/>
        </w:rPr>
      </w:pPr>
      <w:r w:rsidRPr="00F54627">
        <w:rPr>
          <w:rFonts w:ascii="Times New Roman" w:hAnsi="Times New Roman" w:cs="Times New Roman"/>
          <w:b/>
        </w:rPr>
        <w:lastRenderedPageBreak/>
        <w:t>Recaudación Tributaria</w:t>
      </w:r>
    </w:p>
    <w:p w14:paraId="28360368" w14:textId="77777777" w:rsidR="00F25E21" w:rsidRPr="00F54627" w:rsidRDefault="00F25E21" w:rsidP="00F25E21">
      <w:pPr>
        <w:spacing w:after="0" w:line="240" w:lineRule="auto"/>
        <w:jc w:val="center"/>
        <w:rPr>
          <w:rFonts w:ascii="Times New Roman" w:hAnsi="Times New Roman" w:cs="Times New Roman"/>
          <w:sz w:val="20"/>
        </w:rPr>
      </w:pPr>
      <w:r w:rsidRPr="00F54627">
        <w:rPr>
          <w:rFonts w:ascii="Times New Roman" w:hAnsi="Times New Roman" w:cs="Times New Roman"/>
          <w:sz w:val="20"/>
        </w:rPr>
        <w:t>Millones de quetzales</w:t>
      </w:r>
    </w:p>
    <w:p w14:paraId="635A8108" w14:textId="043FFD7E" w:rsidR="001A6038" w:rsidRPr="00A673A4" w:rsidRDefault="00F54627" w:rsidP="00A673A4">
      <w:pPr>
        <w:spacing w:after="0" w:line="240" w:lineRule="auto"/>
        <w:jc w:val="both"/>
        <w:rPr>
          <w:rFonts w:ascii="Times New Roman" w:hAnsi="Times New Roman" w:cs="Times New Roman"/>
        </w:rPr>
      </w:pPr>
      <w:r w:rsidRPr="00F54627">
        <w:rPr>
          <w:b/>
          <w:noProof/>
          <w:sz w:val="20"/>
          <w:lang w:eastAsia="es-GT"/>
        </w:rPr>
        <w:drawing>
          <wp:inline distT="0" distB="0" distL="0" distR="0" wp14:anchorId="77EA56DB" wp14:editId="214D4633">
            <wp:extent cx="2711302" cy="1998921"/>
            <wp:effectExtent l="0" t="0" r="0" b="25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25E21" w:rsidRPr="00F54627">
        <w:rPr>
          <w:rFonts w:ascii="Times New Roman" w:hAnsi="Times New Roman" w:cs="Times New Roman"/>
          <w:sz w:val="16"/>
        </w:rPr>
        <w:t>Fuente: Ministerio de Finanzas Públicas</w:t>
      </w:r>
    </w:p>
    <w:p w14:paraId="34FF48A3" w14:textId="77777777" w:rsidR="00A673A4" w:rsidRDefault="00A673A4" w:rsidP="00A673A4">
      <w:pPr>
        <w:spacing w:after="0" w:line="240" w:lineRule="auto"/>
        <w:jc w:val="both"/>
        <w:rPr>
          <w:rFonts w:ascii="Times New Roman" w:hAnsi="Times New Roman" w:cs="Times New Roman"/>
        </w:rPr>
      </w:pPr>
    </w:p>
    <w:p w14:paraId="6F092F28" w14:textId="1A4A71DF" w:rsidR="00216695" w:rsidRDefault="00216695" w:rsidP="00F25E21">
      <w:pPr>
        <w:spacing w:line="240" w:lineRule="auto"/>
        <w:jc w:val="both"/>
        <w:rPr>
          <w:rFonts w:ascii="Times New Roman" w:hAnsi="Times New Roman" w:cs="Times New Roman"/>
        </w:rPr>
      </w:pPr>
      <w:r>
        <w:rPr>
          <w:rFonts w:ascii="Times New Roman" w:hAnsi="Times New Roman" w:cs="Times New Roman"/>
        </w:rPr>
        <w:t>I</w:t>
      </w:r>
      <w:r w:rsidR="00F54627" w:rsidRPr="00F54627">
        <w:rPr>
          <w:rFonts w:ascii="Times New Roman" w:hAnsi="Times New Roman" w:cs="Times New Roman"/>
        </w:rPr>
        <w:t xml:space="preserve">mpuestos que permitieron el cumplimiento de la meta de presupuesto son: sobre la renta -ISR- que creció </w:t>
      </w:r>
      <w:r>
        <w:rPr>
          <w:rFonts w:ascii="Times New Roman" w:hAnsi="Times New Roman" w:cs="Times New Roman"/>
        </w:rPr>
        <w:t>8.8</w:t>
      </w:r>
      <w:r w:rsidR="00F54627" w:rsidRPr="00F54627">
        <w:rPr>
          <w:rFonts w:ascii="Times New Roman" w:hAnsi="Times New Roman" w:cs="Times New Roman"/>
        </w:rPr>
        <w:t xml:space="preserve">% (Q 138.1 millones) y el impuesto al valor agregado total -IVA- que de igual manera creció </w:t>
      </w:r>
      <w:r>
        <w:rPr>
          <w:rFonts w:ascii="Times New Roman" w:hAnsi="Times New Roman" w:cs="Times New Roman"/>
        </w:rPr>
        <w:t>0.05</w:t>
      </w:r>
      <w:r w:rsidR="00F54627" w:rsidRPr="00F54627">
        <w:rPr>
          <w:rFonts w:ascii="Times New Roman" w:hAnsi="Times New Roman" w:cs="Times New Roman"/>
        </w:rPr>
        <w:t xml:space="preserve">% (Q </w:t>
      </w:r>
      <w:r>
        <w:rPr>
          <w:rFonts w:ascii="Times New Roman" w:hAnsi="Times New Roman" w:cs="Times New Roman"/>
        </w:rPr>
        <w:t>1.4</w:t>
      </w:r>
      <w:r w:rsidR="00F54627" w:rsidRPr="00F54627">
        <w:rPr>
          <w:rFonts w:ascii="Times New Roman" w:hAnsi="Times New Roman" w:cs="Times New Roman"/>
        </w:rPr>
        <w:t xml:space="preserve"> millones)</w:t>
      </w:r>
      <w:r>
        <w:rPr>
          <w:rFonts w:ascii="Times New Roman" w:hAnsi="Times New Roman" w:cs="Times New Roman"/>
        </w:rPr>
        <w:t>.</w:t>
      </w:r>
    </w:p>
    <w:p w14:paraId="2214F031" w14:textId="039060EA" w:rsidR="00F25E21" w:rsidRPr="00F54627" w:rsidRDefault="00216695" w:rsidP="00F25E21">
      <w:pPr>
        <w:spacing w:line="240" w:lineRule="auto"/>
        <w:jc w:val="both"/>
        <w:rPr>
          <w:rFonts w:ascii="Times New Roman" w:hAnsi="Times New Roman" w:cs="Times New Roman"/>
        </w:rPr>
      </w:pPr>
      <w:r w:rsidRPr="00F54627">
        <w:rPr>
          <w:rFonts w:ascii="Times New Roman" w:hAnsi="Times New Roman" w:cs="Times New Roman"/>
        </w:rPr>
        <w:t xml:space="preserve">De manera interanual </w:t>
      </w:r>
      <w:r>
        <w:rPr>
          <w:rFonts w:ascii="Times New Roman" w:hAnsi="Times New Roman" w:cs="Times New Roman"/>
        </w:rPr>
        <w:t xml:space="preserve">la recaudación tributaria neta </w:t>
      </w:r>
      <w:r w:rsidRPr="00F54627">
        <w:rPr>
          <w:rFonts w:ascii="Times New Roman" w:hAnsi="Times New Roman" w:cs="Times New Roman"/>
        </w:rPr>
        <w:t>observó un crecimiento de 4.6% (Q 30</w:t>
      </w:r>
      <w:r>
        <w:rPr>
          <w:rFonts w:ascii="Times New Roman" w:hAnsi="Times New Roman" w:cs="Times New Roman"/>
        </w:rPr>
        <w:t>5.6</w:t>
      </w:r>
      <w:r w:rsidRPr="00F54627">
        <w:rPr>
          <w:rFonts w:ascii="Times New Roman" w:hAnsi="Times New Roman" w:cs="Times New Roman"/>
        </w:rPr>
        <w:t xml:space="preserve"> millones)</w:t>
      </w:r>
      <w:r>
        <w:rPr>
          <w:rFonts w:ascii="Times New Roman" w:hAnsi="Times New Roman" w:cs="Times New Roman"/>
        </w:rPr>
        <w:t xml:space="preserve">, los principales impuestos que reflejan crecimiento positivo </w:t>
      </w:r>
      <w:r w:rsidR="00601CF4">
        <w:rPr>
          <w:rFonts w:ascii="Times New Roman" w:hAnsi="Times New Roman" w:cs="Times New Roman"/>
        </w:rPr>
        <w:t>son el ISR 7.4%, el ISO 4.2% y el IVA 7.5%.</w:t>
      </w:r>
    </w:p>
    <w:p w14:paraId="184F4AF0" w14:textId="77777777" w:rsidR="00F25E21" w:rsidRPr="00F54627" w:rsidRDefault="00F25E21" w:rsidP="00F25E21">
      <w:pPr>
        <w:spacing w:after="0" w:line="240" w:lineRule="auto"/>
        <w:jc w:val="center"/>
        <w:rPr>
          <w:rFonts w:ascii="Times New Roman" w:hAnsi="Times New Roman" w:cs="Times New Roman"/>
          <w:b/>
        </w:rPr>
      </w:pPr>
      <w:r w:rsidRPr="00F54627">
        <w:rPr>
          <w:rFonts w:ascii="Times New Roman" w:hAnsi="Times New Roman" w:cs="Times New Roman"/>
          <w:b/>
        </w:rPr>
        <w:t>Variación interanual de la recaudación</w:t>
      </w:r>
    </w:p>
    <w:p w14:paraId="34FAA970" w14:textId="77777777" w:rsidR="00F25E21" w:rsidRPr="00F54627" w:rsidRDefault="00F54627" w:rsidP="00F25E21">
      <w:pPr>
        <w:spacing w:after="0" w:line="240" w:lineRule="auto"/>
        <w:jc w:val="center"/>
        <w:rPr>
          <w:rFonts w:ascii="Times New Roman" w:hAnsi="Times New Roman" w:cs="Times New Roman"/>
          <w:b/>
        </w:rPr>
      </w:pPr>
      <w:r w:rsidRPr="00F54627">
        <w:rPr>
          <w:rFonts w:ascii="Times New Roman" w:hAnsi="Times New Roman" w:cs="Times New Roman"/>
          <w:b/>
        </w:rPr>
        <w:t>2012-2021</w:t>
      </w:r>
    </w:p>
    <w:p w14:paraId="0F42F5C6" w14:textId="77777777" w:rsidR="00F25E21" w:rsidRPr="00F54627" w:rsidRDefault="00F25E21" w:rsidP="00F25E21">
      <w:pPr>
        <w:spacing w:after="0" w:line="240" w:lineRule="auto"/>
        <w:jc w:val="center"/>
        <w:rPr>
          <w:rFonts w:ascii="Times New Roman" w:hAnsi="Times New Roman" w:cs="Times New Roman"/>
          <w:sz w:val="20"/>
        </w:rPr>
      </w:pPr>
      <w:r w:rsidRPr="00F54627">
        <w:rPr>
          <w:rFonts w:ascii="Times New Roman" w:hAnsi="Times New Roman" w:cs="Times New Roman"/>
          <w:sz w:val="20"/>
        </w:rPr>
        <w:t>Porcentajes</w:t>
      </w:r>
    </w:p>
    <w:p w14:paraId="16DB565E" w14:textId="77777777" w:rsidR="00F25E21" w:rsidRPr="00F54627" w:rsidRDefault="00F54627" w:rsidP="00F25E21">
      <w:pPr>
        <w:spacing w:after="0" w:line="240" w:lineRule="auto"/>
        <w:jc w:val="both"/>
        <w:rPr>
          <w:rFonts w:ascii="Times New Roman" w:hAnsi="Times New Roman" w:cs="Times New Roman"/>
        </w:rPr>
      </w:pPr>
      <w:r w:rsidRPr="00F54627">
        <w:rPr>
          <w:noProof/>
          <w:lang w:eastAsia="es-GT"/>
        </w:rPr>
        <w:drawing>
          <wp:inline distT="0" distB="0" distL="0" distR="0" wp14:anchorId="1BCECC50" wp14:editId="63208DB3">
            <wp:extent cx="2577465" cy="1887220"/>
            <wp:effectExtent l="0" t="0" r="0" b="1905"/>
            <wp:docPr id="245" name="Gráfico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8D18C8" w14:textId="77777777" w:rsidR="00F25E21" w:rsidRPr="00F54627" w:rsidRDefault="00F25E21" w:rsidP="00F54627">
      <w:pPr>
        <w:spacing w:after="0" w:line="240" w:lineRule="auto"/>
        <w:jc w:val="both"/>
        <w:rPr>
          <w:rFonts w:ascii="Times New Roman" w:hAnsi="Times New Roman" w:cs="Times New Roman"/>
          <w:sz w:val="16"/>
        </w:rPr>
      </w:pPr>
      <w:r w:rsidRPr="00F54627">
        <w:rPr>
          <w:rFonts w:ascii="Times New Roman" w:hAnsi="Times New Roman" w:cs="Times New Roman"/>
          <w:sz w:val="16"/>
        </w:rPr>
        <w:t>Fuente: Ministerio de Finanzas Públicas</w:t>
      </w:r>
    </w:p>
    <w:p w14:paraId="7AFC992E" w14:textId="77777777" w:rsidR="00F54627" w:rsidRPr="00F54627" w:rsidRDefault="00F54627" w:rsidP="00F54627">
      <w:pPr>
        <w:spacing w:after="0" w:line="240" w:lineRule="auto"/>
        <w:jc w:val="both"/>
        <w:rPr>
          <w:rFonts w:ascii="Times New Roman" w:hAnsi="Times New Roman" w:cs="Times New Roman"/>
          <w:sz w:val="16"/>
        </w:rPr>
      </w:pPr>
    </w:p>
    <w:p w14:paraId="478D6289" w14:textId="15C17B3D" w:rsidR="00F25E21" w:rsidRPr="00F54627" w:rsidRDefault="00F25E21" w:rsidP="00F25E21">
      <w:pPr>
        <w:spacing w:line="240" w:lineRule="auto"/>
        <w:jc w:val="both"/>
        <w:rPr>
          <w:rFonts w:ascii="Times New Roman" w:hAnsi="Times New Roman" w:cs="Times New Roman"/>
          <w:b/>
        </w:rPr>
      </w:pPr>
      <w:r w:rsidRPr="00F54627">
        <w:rPr>
          <w:rFonts w:ascii="Times New Roman" w:hAnsi="Times New Roman" w:cs="Times New Roman"/>
          <w:b/>
        </w:rPr>
        <w:t xml:space="preserve">El Impuesto </w:t>
      </w:r>
      <w:r w:rsidR="00601CF4">
        <w:rPr>
          <w:rFonts w:ascii="Times New Roman" w:hAnsi="Times New Roman" w:cs="Times New Roman"/>
          <w:b/>
        </w:rPr>
        <w:t>sobre la</w:t>
      </w:r>
      <w:r w:rsidRPr="00F54627">
        <w:rPr>
          <w:rFonts w:ascii="Times New Roman" w:hAnsi="Times New Roman" w:cs="Times New Roman"/>
          <w:b/>
        </w:rPr>
        <w:t xml:space="preserve"> renta y el ISO</w:t>
      </w:r>
    </w:p>
    <w:p w14:paraId="160A001B" w14:textId="0AA8402E" w:rsidR="00F25E21" w:rsidRPr="00F54627" w:rsidRDefault="00F54627" w:rsidP="00F54627">
      <w:pPr>
        <w:spacing w:after="0" w:line="240" w:lineRule="auto"/>
        <w:jc w:val="both"/>
        <w:rPr>
          <w:rFonts w:ascii="Times New Roman" w:hAnsi="Times New Roman" w:cs="Times New Roman"/>
        </w:rPr>
      </w:pPr>
      <w:r w:rsidRPr="00F54627">
        <w:rPr>
          <w:rFonts w:ascii="Times New Roman" w:hAnsi="Times New Roman" w:cs="Times New Roman"/>
        </w:rPr>
        <w:t xml:space="preserve">El ISR superó lo recaudado en 2020 por Q 138.1 millones, el ISO </w:t>
      </w:r>
      <w:r w:rsidR="00601CF4">
        <w:rPr>
          <w:rFonts w:ascii="Times New Roman" w:hAnsi="Times New Roman" w:cs="Times New Roman"/>
        </w:rPr>
        <w:t>que</w:t>
      </w:r>
      <w:r w:rsidRPr="00F54627">
        <w:rPr>
          <w:rFonts w:ascii="Times New Roman" w:hAnsi="Times New Roman" w:cs="Times New Roman"/>
        </w:rPr>
        <w:t xml:space="preserve"> en enero registra el primer pago trimestral a pesar de que reflejó un crecimiento interanual de 4.2% (Q 48.</w:t>
      </w:r>
      <w:r w:rsidR="00601CF4">
        <w:rPr>
          <w:rFonts w:ascii="Times New Roman" w:hAnsi="Times New Roman" w:cs="Times New Roman"/>
        </w:rPr>
        <w:t>0</w:t>
      </w:r>
      <w:r w:rsidR="00601CF4" w:rsidRPr="00F54627">
        <w:rPr>
          <w:rFonts w:ascii="Times New Roman" w:hAnsi="Times New Roman" w:cs="Times New Roman"/>
        </w:rPr>
        <w:t xml:space="preserve"> </w:t>
      </w:r>
      <w:r w:rsidRPr="00F54627">
        <w:rPr>
          <w:rFonts w:ascii="Times New Roman" w:hAnsi="Times New Roman" w:cs="Times New Roman"/>
        </w:rPr>
        <w:t xml:space="preserve">millones) no superó la meta </w:t>
      </w:r>
      <w:r w:rsidR="00601CF4">
        <w:rPr>
          <w:rFonts w:ascii="Times New Roman" w:hAnsi="Times New Roman" w:cs="Times New Roman"/>
        </w:rPr>
        <w:t>de presupuesto</w:t>
      </w:r>
      <w:r w:rsidR="00F22BA2">
        <w:rPr>
          <w:rFonts w:ascii="Times New Roman" w:hAnsi="Times New Roman" w:cs="Times New Roman"/>
        </w:rPr>
        <w:t>,</w:t>
      </w:r>
      <w:r w:rsidR="00601CF4">
        <w:rPr>
          <w:rFonts w:ascii="Times New Roman" w:hAnsi="Times New Roman" w:cs="Times New Roman"/>
        </w:rPr>
        <w:t xml:space="preserve"> dej</w:t>
      </w:r>
      <w:r w:rsidR="00F22BA2">
        <w:rPr>
          <w:rFonts w:ascii="Times New Roman" w:hAnsi="Times New Roman" w:cs="Times New Roman"/>
        </w:rPr>
        <w:t>ó</w:t>
      </w:r>
      <w:r w:rsidR="00601CF4">
        <w:rPr>
          <w:rFonts w:ascii="Times New Roman" w:hAnsi="Times New Roman" w:cs="Times New Roman"/>
        </w:rPr>
        <w:t xml:space="preserve"> de percibir Q38.7 millones</w:t>
      </w:r>
      <w:r w:rsidRPr="00F54627">
        <w:rPr>
          <w:rFonts w:ascii="Times New Roman" w:hAnsi="Times New Roman" w:cs="Times New Roman"/>
        </w:rPr>
        <w:t>.</w:t>
      </w:r>
    </w:p>
    <w:p w14:paraId="18B2D996" w14:textId="77777777" w:rsidR="00F54627" w:rsidRPr="00F54627" w:rsidRDefault="00F54627" w:rsidP="00F54627">
      <w:pPr>
        <w:spacing w:after="0" w:line="240" w:lineRule="auto"/>
        <w:jc w:val="both"/>
        <w:rPr>
          <w:rFonts w:ascii="Times New Roman" w:hAnsi="Times New Roman" w:cs="Times New Roman"/>
        </w:rPr>
      </w:pPr>
    </w:p>
    <w:p w14:paraId="205217CD" w14:textId="77777777" w:rsidR="00F25E21" w:rsidRPr="00F54627" w:rsidRDefault="00F25E21" w:rsidP="00F25E21">
      <w:pPr>
        <w:spacing w:line="240" w:lineRule="auto"/>
        <w:jc w:val="both"/>
        <w:rPr>
          <w:rFonts w:ascii="Times New Roman" w:hAnsi="Times New Roman" w:cs="Times New Roman"/>
          <w:b/>
        </w:rPr>
      </w:pPr>
      <w:r w:rsidRPr="00F54627">
        <w:rPr>
          <w:rFonts w:ascii="Times New Roman" w:hAnsi="Times New Roman" w:cs="Times New Roman"/>
          <w:b/>
        </w:rPr>
        <w:t>El impuesto al valor agregado</w:t>
      </w:r>
    </w:p>
    <w:p w14:paraId="0867D1D1" w14:textId="5D053F37" w:rsidR="00F25E21" w:rsidRPr="00F54627" w:rsidRDefault="00F54627" w:rsidP="00F54627">
      <w:pPr>
        <w:spacing w:after="0" w:line="240" w:lineRule="auto"/>
        <w:jc w:val="both"/>
        <w:rPr>
          <w:rFonts w:ascii="Times New Roman" w:hAnsi="Times New Roman" w:cs="Times New Roman"/>
        </w:rPr>
      </w:pPr>
      <w:r w:rsidRPr="00F54627">
        <w:rPr>
          <w:rFonts w:ascii="Times New Roman" w:hAnsi="Times New Roman" w:cs="Times New Roman"/>
        </w:rPr>
        <w:t>Este impuesto creció 7.5% (Q 214.</w:t>
      </w:r>
      <w:r w:rsidR="00601CF4">
        <w:rPr>
          <w:rFonts w:ascii="Times New Roman" w:hAnsi="Times New Roman" w:cs="Times New Roman"/>
        </w:rPr>
        <w:t xml:space="preserve">4 </w:t>
      </w:r>
      <w:r w:rsidRPr="00F54627">
        <w:rPr>
          <w:rFonts w:ascii="Times New Roman" w:hAnsi="Times New Roman" w:cs="Times New Roman"/>
        </w:rPr>
        <w:t>millones) de manera interanual, el IVA asociado al consumo interno creció en 13.1% (Q 206.</w:t>
      </w:r>
      <w:r w:rsidR="00601CF4">
        <w:rPr>
          <w:rFonts w:ascii="Times New Roman" w:hAnsi="Times New Roman" w:cs="Times New Roman"/>
        </w:rPr>
        <w:t>3</w:t>
      </w:r>
      <w:r w:rsidR="00601CF4" w:rsidRPr="00F54627">
        <w:rPr>
          <w:rFonts w:ascii="Times New Roman" w:hAnsi="Times New Roman" w:cs="Times New Roman"/>
        </w:rPr>
        <w:t xml:space="preserve"> </w:t>
      </w:r>
      <w:r w:rsidRPr="00F54627">
        <w:rPr>
          <w:rFonts w:ascii="Times New Roman" w:hAnsi="Times New Roman" w:cs="Times New Roman"/>
        </w:rPr>
        <w:t>millones) y el IVA asociado al comercio exterior 0.6% (Q 8</w:t>
      </w:r>
      <w:r w:rsidR="00601CF4">
        <w:rPr>
          <w:rFonts w:ascii="Times New Roman" w:hAnsi="Times New Roman" w:cs="Times New Roman"/>
        </w:rPr>
        <w:t>.1</w:t>
      </w:r>
      <w:r w:rsidRPr="00F54627">
        <w:rPr>
          <w:rFonts w:ascii="Times New Roman" w:hAnsi="Times New Roman" w:cs="Times New Roman"/>
        </w:rPr>
        <w:t xml:space="preserve"> millones) este</w:t>
      </w:r>
      <w:r w:rsidR="00F22BA2">
        <w:rPr>
          <w:rFonts w:ascii="Times New Roman" w:hAnsi="Times New Roman" w:cs="Times New Roman"/>
        </w:rPr>
        <w:t xml:space="preserve"> último</w:t>
      </w:r>
      <w:r w:rsidRPr="00F54627">
        <w:rPr>
          <w:rFonts w:ascii="Times New Roman" w:hAnsi="Times New Roman" w:cs="Times New Roman"/>
        </w:rPr>
        <w:t xml:space="preserve"> no alcanzó la meta</w:t>
      </w:r>
      <w:r w:rsidR="00601CF4">
        <w:rPr>
          <w:rFonts w:ascii="Times New Roman" w:hAnsi="Times New Roman" w:cs="Times New Roman"/>
        </w:rPr>
        <w:t xml:space="preserve"> de presupuesto</w:t>
      </w:r>
      <w:r w:rsidRPr="00F54627">
        <w:rPr>
          <w:rFonts w:ascii="Times New Roman" w:hAnsi="Times New Roman" w:cs="Times New Roman"/>
        </w:rPr>
        <w:t xml:space="preserve"> tuvo una ejecución de 95%.</w:t>
      </w:r>
    </w:p>
    <w:p w14:paraId="11E8F733" w14:textId="77777777" w:rsidR="00F54627" w:rsidRPr="00F54627" w:rsidRDefault="00F54627" w:rsidP="00F54627">
      <w:pPr>
        <w:spacing w:after="0" w:line="240" w:lineRule="auto"/>
        <w:jc w:val="both"/>
        <w:rPr>
          <w:rFonts w:ascii="Times New Roman" w:hAnsi="Times New Roman" w:cs="Times New Roman"/>
        </w:rPr>
      </w:pPr>
    </w:p>
    <w:p w14:paraId="316022D0" w14:textId="77777777" w:rsidR="00F25E21" w:rsidRPr="00F54627" w:rsidRDefault="00F25E21" w:rsidP="00F25E21">
      <w:pPr>
        <w:spacing w:line="240" w:lineRule="auto"/>
        <w:jc w:val="both"/>
        <w:rPr>
          <w:rFonts w:ascii="Times New Roman" w:hAnsi="Times New Roman" w:cs="Times New Roman"/>
          <w:b/>
          <w:bCs/>
        </w:rPr>
      </w:pPr>
      <w:r w:rsidRPr="00F54627">
        <w:rPr>
          <w:rFonts w:ascii="Times New Roman" w:hAnsi="Times New Roman" w:cs="Times New Roman"/>
          <w:b/>
          <w:bCs/>
        </w:rPr>
        <w:t>Los demás impuestos</w:t>
      </w:r>
    </w:p>
    <w:p w14:paraId="502463BF" w14:textId="0027A41E" w:rsidR="00F54627" w:rsidRPr="00F54627" w:rsidRDefault="00F22BA2" w:rsidP="00F54627">
      <w:pPr>
        <w:spacing w:line="240" w:lineRule="auto"/>
        <w:jc w:val="both"/>
        <w:rPr>
          <w:rFonts w:ascii="Times New Roman" w:hAnsi="Times New Roman" w:cs="Times New Roman"/>
        </w:rPr>
      </w:pPr>
      <w:r>
        <w:rPr>
          <w:rFonts w:ascii="Times New Roman" w:hAnsi="Times New Roman" w:cs="Times New Roman"/>
        </w:rPr>
        <w:t>En estos</w:t>
      </w:r>
      <w:r w:rsidR="00F54627" w:rsidRPr="00F54627">
        <w:rPr>
          <w:rFonts w:ascii="Times New Roman" w:hAnsi="Times New Roman" w:cs="Times New Roman"/>
        </w:rPr>
        <w:t xml:space="preserve"> destaca que el impuesto a los derivados del petróleo no alcanzó la meta establecida ni lo recaudado en 2020</w:t>
      </w:r>
      <w:r w:rsidR="009D00E9">
        <w:rPr>
          <w:rFonts w:ascii="Times New Roman" w:hAnsi="Times New Roman" w:cs="Times New Roman"/>
        </w:rPr>
        <w:t xml:space="preserve">. </w:t>
      </w:r>
      <w:r w:rsidR="00F54627" w:rsidRPr="00F54627">
        <w:rPr>
          <w:rFonts w:ascii="Times New Roman" w:hAnsi="Times New Roman" w:cs="Times New Roman"/>
        </w:rPr>
        <w:t xml:space="preserve"> </w:t>
      </w:r>
      <w:r w:rsidR="009D00E9">
        <w:rPr>
          <w:rFonts w:ascii="Times New Roman" w:hAnsi="Times New Roman" w:cs="Times New Roman"/>
        </w:rPr>
        <w:t>I</w:t>
      </w:r>
      <w:r w:rsidR="00F54627" w:rsidRPr="00F54627">
        <w:rPr>
          <w:rFonts w:ascii="Times New Roman" w:hAnsi="Times New Roman" w:cs="Times New Roman"/>
        </w:rPr>
        <w:t xml:space="preserve">mpuestos como el de bebidas, cemento, circulación de vehículos e </w:t>
      </w:r>
      <w:r>
        <w:rPr>
          <w:rFonts w:ascii="Times New Roman" w:hAnsi="Times New Roman" w:cs="Times New Roman"/>
        </w:rPr>
        <w:t>IPRIMA</w:t>
      </w:r>
      <w:r w:rsidR="00F54627" w:rsidRPr="00F54627">
        <w:rPr>
          <w:rFonts w:ascii="Times New Roman" w:hAnsi="Times New Roman" w:cs="Times New Roman"/>
        </w:rPr>
        <w:t xml:space="preserve"> superaron </w:t>
      </w:r>
      <w:r w:rsidR="00601CF4">
        <w:rPr>
          <w:rFonts w:ascii="Times New Roman" w:hAnsi="Times New Roman" w:cs="Times New Roman"/>
        </w:rPr>
        <w:t xml:space="preserve">la meta programada </w:t>
      </w:r>
      <w:r w:rsidR="00F54627" w:rsidRPr="00F54627">
        <w:rPr>
          <w:rFonts w:ascii="Times New Roman" w:hAnsi="Times New Roman" w:cs="Times New Roman"/>
        </w:rPr>
        <w:t>y lo recaudado en 2020.</w:t>
      </w:r>
    </w:p>
    <w:p w14:paraId="13A47FE5" w14:textId="7ED3F231" w:rsidR="00312262" w:rsidRDefault="00F54627" w:rsidP="00674EAE">
      <w:pPr>
        <w:pStyle w:val="Sinespaciado"/>
        <w:jc w:val="both"/>
        <w:rPr>
          <w:rFonts w:ascii="Times New Roman" w:hAnsi="Times New Roman" w:cs="Times New Roman"/>
        </w:rPr>
      </w:pPr>
      <w:r w:rsidRPr="00F54627">
        <w:rPr>
          <w:rFonts w:ascii="Times New Roman" w:hAnsi="Times New Roman" w:cs="Times New Roman"/>
        </w:rPr>
        <w:t>De los impuestos no administra</w:t>
      </w:r>
      <w:r w:rsidR="00F22BA2">
        <w:rPr>
          <w:rFonts w:ascii="Times New Roman" w:hAnsi="Times New Roman" w:cs="Times New Roman"/>
        </w:rPr>
        <w:t>dos</w:t>
      </w:r>
      <w:r w:rsidRPr="00F54627">
        <w:rPr>
          <w:rFonts w:ascii="Times New Roman" w:hAnsi="Times New Roman" w:cs="Times New Roman"/>
        </w:rPr>
        <w:t xml:space="preserve"> </w:t>
      </w:r>
      <w:r w:rsidR="00F22BA2">
        <w:rPr>
          <w:rFonts w:ascii="Times New Roman" w:hAnsi="Times New Roman" w:cs="Times New Roman"/>
        </w:rPr>
        <w:t xml:space="preserve">por </w:t>
      </w:r>
      <w:r w:rsidRPr="00F54627">
        <w:rPr>
          <w:rFonts w:ascii="Times New Roman" w:hAnsi="Times New Roman" w:cs="Times New Roman"/>
        </w:rPr>
        <w:t xml:space="preserve">la SAT vale indicar que </w:t>
      </w:r>
      <w:r w:rsidR="009A2CB8">
        <w:rPr>
          <w:rFonts w:ascii="Times New Roman" w:hAnsi="Times New Roman" w:cs="Times New Roman"/>
        </w:rPr>
        <w:t>regalías y salidas del país siguen mostrando una contracción</w:t>
      </w:r>
      <w:r w:rsidR="007D22F4">
        <w:rPr>
          <w:rFonts w:ascii="Times New Roman" w:hAnsi="Times New Roman" w:cs="Times New Roman"/>
        </w:rPr>
        <w:t xml:space="preserve">, aunque se espera una recuperación en los próximos meses en los sectores de minas y turismo </w:t>
      </w:r>
      <w:r w:rsidR="0037619D">
        <w:rPr>
          <w:rFonts w:ascii="Times New Roman" w:hAnsi="Times New Roman" w:cs="Times New Roman"/>
        </w:rPr>
        <w:t>que impuls</w:t>
      </w:r>
      <w:r w:rsidR="00FC256A">
        <w:rPr>
          <w:rFonts w:ascii="Times New Roman" w:hAnsi="Times New Roman" w:cs="Times New Roman"/>
        </w:rPr>
        <w:t>ará</w:t>
      </w:r>
      <w:r w:rsidR="0037619D">
        <w:rPr>
          <w:rFonts w:ascii="Times New Roman" w:hAnsi="Times New Roman" w:cs="Times New Roman"/>
        </w:rPr>
        <w:t xml:space="preserve"> </w:t>
      </w:r>
      <w:r w:rsidR="001F1118">
        <w:rPr>
          <w:rFonts w:ascii="Times New Roman" w:hAnsi="Times New Roman" w:cs="Times New Roman"/>
        </w:rPr>
        <w:t>el aumento</w:t>
      </w:r>
      <w:r w:rsidR="0037619D">
        <w:rPr>
          <w:rFonts w:ascii="Times New Roman" w:hAnsi="Times New Roman" w:cs="Times New Roman"/>
        </w:rPr>
        <w:t xml:space="preserve"> </w:t>
      </w:r>
      <w:r w:rsidR="00FC256A">
        <w:rPr>
          <w:rFonts w:ascii="Times New Roman" w:hAnsi="Times New Roman" w:cs="Times New Roman"/>
        </w:rPr>
        <w:t>en la recaudación de estos impuestos.</w:t>
      </w:r>
    </w:p>
    <w:p w14:paraId="23FF2BAD" w14:textId="046CEB79" w:rsidR="002C0919" w:rsidRDefault="002C0919" w:rsidP="00674EAE">
      <w:pPr>
        <w:pStyle w:val="Sinespaciado"/>
        <w:jc w:val="both"/>
        <w:rPr>
          <w:rFonts w:ascii="Times New Roman" w:hAnsi="Times New Roman" w:cs="Times New Roman"/>
        </w:rPr>
      </w:pPr>
    </w:p>
    <w:p w14:paraId="619222E6" w14:textId="2FA5D306" w:rsidR="002C0919" w:rsidRDefault="002C0919" w:rsidP="00674EAE">
      <w:pPr>
        <w:pStyle w:val="Sinespaciado"/>
        <w:jc w:val="both"/>
        <w:rPr>
          <w:rFonts w:ascii="Times New Roman" w:hAnsi="Times New Roman" w:cs="Times New Roman"/>
        </w:rPr>
      </w:pPr>
    </w:p>
    <w:p w14:paraId="079D56B0" w14:textId="1FF53A4C" w:rsidR="002C0919" w:rsidRDefault="002C0919" w:rsidP="00674EAE">
      <w:pPr>
        <w:pStyle w:val="Sinespaciado"/>
        <w:jc w:val="both"/>
        <w:rPr>
          <w:rFonts w:ascii="Times New Roman" w:hAnsi="Times New Roman" w:cs="Times New Roman"/>
        </w:rPr>
      </w:pPr>
    </w:p>
    <w:p w14:paraId="1DCA3334" w14:textId="32D5F756" w:rsidR="002C0919" w:rsidRDefault="002C0919" w:rsidP="00674EAE">
      <w:pPr>
        <w:pStyle w:val="Sinespaciado"/>
        <w:jc w:val="both"/>
        <w:rPr>
          <w:rFonts w:ascii="Times New Roman" w:hAnsi="Times New Roman" w:cs="Times New Roman"/>
        </w:rPr>
      </w:pPr>
    </w:p>
    <w:p w14:paraId="557E7C80" w14:textId="2D7A8EFB" w:rsidR="002C0919" w:rsidRDefault="002C0919" w:rsidP="00674EAE">
      <w:pPr>
        <w:pStyle w:val="Sinespaciado"/>
        <w:jc w:val="both"/>
        <w:rPr>
          <w:rFonts w:ascii="Times New Roman" w:hAnsi="Times New Roman" w:cs="Times New Roman"/>
        </w:rPr>
      </w:pPr>
    </w:p>
    <w:p w14:paraId="51CBFDD0" w14:textId="77777777" w:rsidR="002C0919" w:rsidRPr="00F54627" w:rsidRDefault="002C0919" w:rsidP="00674EAE">
      <w:pPr>
        <w:pStyle w:val="Sinespaciado"/>
        <w:jc w:val="both"/>
        <w:rPr>
          <w:rFonts w:ascii="Times New Roman" w:hAnsi="Times New Roman" w:cs="Times New Roman"/>
          <w:color w:val="FF0000"/>
          <w:szCs w:val="18"/>
        </w:rPr>
      </w:pPr>
    </w:p>
    <w:p w14:paraId="28CB20B3" w14:textId="77777777" w:rsidR="00312262" w:rsidRPr="00CE2620" w:rsidRDefault="00312262" w:rsidP="00674EAE">
      <w:pPr>
        <w:pStyle w:val="Sinespaciado"/>
        <w:jc w:val="both"/>
        <w:rPr>
          <w:rFonts w:ascii="Times New Roman" w:hAnsi="Times New Roman" w:cs="Times New Roman"/>
          <w:color w:val="FF0000"/>
          <w:szCs w:val="18"/>
          <w:lang w:val="es-MX"/>
        </w:rPr>
      </w:pPr>
    </w:p>
    <w:p w14:paraId="13B248D3" w14:textId="77777777" w:rsidR="001A6038" w:rsidRPr="00CE2620" w:rsidRDefault="001A6038" w:rsidP="00674EAE">
      <w:pPr>
        <w:pStyle w:val="Sinespaciado"/>
        <w:jc w:val="both"/>
        <w:rPr>
          <w:rFonts w:ascii="Times New Roman" w:hAnsi="Times New Roman" w:cs="Times New Roman"/>
          <w:color w:val="FF0000"/>
          <w:szCs w:val="18"/>
          <w:lang w:val="es-MX"/>
        </w:rPr>
        <w:sectPr w:rsidR="001A6038" w:rsidRPr="00CE2620" w:rsidSect="005A03A9">
          <w:headerReference w:type="default" r:id="rId15"/>
          <w:footerReference w:type="default" r:id="rId16"/>
          <w:type w:val="continuous"/>
          <w:pgSz w:w="12240" w:h="15840"/>
          <w:pgMar w:top="1417" w:right="1701" w:bottom="1417" w:left="1701" w:header="708" w:footer="708" w:gutter="0"/>
          <w:cols w:num="2" w:space="708"/>
          <w:docGrid w:linePitch="360"/>
        </w:sectPr>
      </w:pPr>
    </w:p>
    <w:p w14:paraId="39A0794E" w14:textId="69A03CA5" w:rsidR="00FA3B81" w:rsidRPr="0041262B" w:rsidRDefault="00F22BA2"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41262B" w:rsidSect="00FA3B81">
          <w:headerReference w:type="default" r:id="rId17"/>
          <w:footerReference w:type="default" r:id="rId18"/>
          <w:type w:val="continuous"/>
          <w:pgSz w:w="12240" w:h="15840" w:code="1"/>
          <w:pgMar w:top="1418" w:right="1418" w:bottom="1418" w:left="1418" w:header="709" w:footer="709" w:gutter="0"/>
          <w:cols w:space="708"/>
          <w:docGrid w:linePitch="360"/>
        </w:sectPr>
      </w:pPr>
      <w:r>
        <w:rPr>
          <w:rFonts w:ascii="Times New Roman" w:hAnsi="Times New Roman" w:cs="Times New Roman"/>
          <w:b/>
          <w:lang w:val="es-MX"/>
        </w:rPr>
        <w:lastRenderedPageBreak/>
        <w:t xml:space="preserve">La ejecución del </w:t>
      </w:r>
      <w:r w:rsidR="00E37543" w:rsidRPr="0041262B">
        <w:rPr>
          <w:rFonts w:ascii="Times New Roman" w:hAnsi="Times New Roman" w:cs="Times New Roman"/>
          <w:b/>
          <w:lang w:val="es-MX"/>
        </w:rPr>
        <w:t xml:space="preserve">gasto </w:t>
      </w:r>
      <w:r w:rsidR="0041262B" w:rsidRPr="0041262B">
        <w:rPr>
          <w:rFonts w:ascii="Times New Roman" w:hAnsi="Times New Roman" w:cs="Times New Roman"/>
          <w:b/>
          <w:lang w:val="es-MX"/>
        </w:rPr>
        <w:t xml:space="preserve">público es </w:t>
      </w:r>
      <w:r w:rsidR="00E37543" w:rsidRPr="0041262B">
        <w:rPr>
          <w:rFonts w:ascii="Times New Roman" w:hAnsi="Times New Roman" w:cs="Times New Roman"/>
          <w:b/>
          <w:lang w:val="es-MX"/>
        </w:rPr>
        <w:t>moderad</w:t>
      </w:r>
      <w:r>
        <w:rPr>
          <w:rFonts w:ascii="Times New Roman" w:hAnsi="Times New Roman" w:cs="Times New Roman"/>
          <w:b/>
          <w:lang w:val="es-MX"/>
        </w:rPr>
        <w:t>a</w:t>
      </w:r>
      <w:r w:rsidR="0041262B" w:rsidRPr="0041262B">
        <w:rPr>
          <w:rFonts w:ascii="Times New Roman" w:hAnsi="Times New Roman" w:cs="Times New Roman"/>
          <w:b/>
          <w:lang w:val="es-MX"/>
        </w:rPr>
        <w:t xml:space="preserve"> en enero</w:t>
      </w:r>
    </w:p>
    <w:p w14:paraId="5C5A7715" w14:textId="77777777" w:rsidR="00FA3B81" w:rsidRPr="00CE2620" w:rsidRDefault="00FA3B81" w:rsidP="00FA3B81">
      <w:pPr>
        <w:pStyle w:val="Sinespaciado"/>
        <w:rPr>
          <w:rFonts w:ascii="Times New Roman" w:hAnsi="Times New Roman" w:cs="Times New Roman"/>
          <w:b/>
          <w:color w:val="FF0000"/>
          <w:sz w:val="18"/>
          <w:lang w:val="es-MX"/>
        </w:rPr>
      </w:pPr>
    </w:p>
    <w:p w14:paraId="159740FD" w14:textId="77777777" w:rsidR="00FA3B81" w:rsidRPr="00CE2620" w:rsidRDefault="00FA3B81" w:rsidP="0041262B">
      <w:pPr>
        <w:pStyle w:val="Sinespaciado"/>
        <w:rPr>
          <w:rFonts w:ascii="Times New Roman" w:hAnsi="Times New Roman" w:cs="Times New Roman"/>
          <w:b/>
          <w:color w:val="FF0000"/>
          <w:lang w:val="es-MX"/>
        </w:rPr>
        <w:sectPr w:rsidR="00FA3B81" w:rsidRPr="00CE2620" w:rsidSect="004E358C">
          <w:type w:val="continuous"/>
          <w:pgSz w:w="12240" w:h="15840"/>
          <w:pgMar w:top="1417" w:right="1701" w:bottom="1417" w:left="1701" w:header="708" w:footer="708" w:gutter="0"/>
          <w:cols w:space="708"/>
          <w:docGrid w:linePitch="360"/>
        </w:sectPr>
      </w:pPr>
    </w:p>
    <w:p w14:paraId="66A4F403" w14:textId="481D68CD" w:rsidR="0041262B" w:rsidRDefault="0041262B" w:rsidP="0041262B">
      <w:pPr>
        <w:pStyle w:val="Sinespaciado"/>
        <w:jc w:val="both"/>
        <w:rPr>
          <w:rFonts w:ascii="Times New Roman" w:hAnsi="Times New Roman" w:cs="Times New Roman"/>
          <w:lang w:val="es-MX"/>
        </w:rPr>
      </w:pPr>
      <w:r w:rsidRPr="001E2D24">
        <w:rPr>
          <w:rFonts w:ascii="Times New Roman" w:hAnsi="Times New Roman" w:cs="Times New Roman"/>
          <w:lang w:val="es-MX"/>
        </w:rPr>
        <w:t>La ejecución del gasto público</w:t>
      </w:r>
      <w:r w:rsidR="00BE3463">
        <w:rPr>
          <w:rFonts w:ascii="Times New Roman" w:hAnsi="Times New Roman" w:cs="Times New Roman"/>
          <w:lang w:val="es-MX"/>
        </w:rPr>
        <w:t>,</w:t>
      </w:r>
      <w:r w:rsidRPr="001E2D24">
        <w:rPr>
          <w:rFonts w:ascii="Times New Roman" w:hAnsi="Times New Roman" w:cs="Times New Roman"/>
          <w:lang w:val="es-MX"/>
        </w:rPr>
        <w:t xml:space="preserve"> sin incluir las amortizaciones de la deuda pública</w:t>
      </w:r>
      <w:r w:rsidR="00BE3463">
        <w:rPr>
          <w:rFonts w:ascii="Times New Roman" w:hAnsi="Times New Roman" w:cs="Times New Roman"/>
          <w:lang w:val="es-MX"/>
        </w:rPr>
        <w:t>,</w:t>
      </w:r>
      <w:r w:rsidRPr="001E2D24">
        <w:rPr>
          <w:rFonts w:ascii="Times New Roman" w:hAnsi="Times New Roman" w:cs="Times New Roman"/>
          <w:lang w:val="es-MX"/>
        </w:rPr>
        <w:t xml:space="preserve"> se ubicó en Q5,</w:t>
      </w:r>
      <w:r>
        <w:rPr>
          <w:rFonts w:ascii="Times New Roman" w:hAnsi="Times New Roman" w:cs="Times New Roman"/>
          <w:lang w:val="es-MX"/>
        </w:rPr>
        <w:t>677</w:t>
      </w:r>
      <w:r w:rsidRPr="001E2D24">
        <w:rPr>
          <w:rFonts w:ascii="Times New Roman" w:hAnsi="Times New Roman" w:cs="Times New Roman"/>
          <w:lang w:val="es-MX"/>
        </w:rPr>
        <w:t>.</w:t>
      </w:r>
      <w:r>
        <w:rPr>
          <w:rFonts w:ascii="Times New Roman" w:hAnsi="Times New Roman" w:cs="Times New Roman"/>
          <w:lang w:val="es-MX"/>
        </w:rPr>
        <w:t>2</w:t>
      </w:r>
      <w:r w:rsidRPr="001E2D24">
        <w:rPr>
          <w:rFonts w:ascii="Times New Roman" w:hAnsi="Times New Roman" w:cs="Times New Roman"/>
          <w:lang w:val="es-MX"/>
        </w:rPr>
        <w:t xml:space="preserve"> con un crecimiento interanual</w:t>
      </w:r>
      <w:r>
        <w:rPr>
          <w:rFonts w:ascii="Times New Roman" w:hAnsi="Times New Roman" w:cs="Times New Roman"/>
          <w:lang w:val="es-MX"/>
        </w:rPr>
        <w:t xml:space="preserve"> positivo de 3.7% (equivalente a Q203.6 millones), siendo inferior al registrado en 2020, cuando se ubicó en 4.8%. </w:t>
      </w:r>
    </w:p>
    <w:p w14:paraId="61320994" w14:textId="77777777" w:rsidR="0041262B" w:rsidRDefault="0041262B" w:rsidP="0041262B">
      <w:pPr>
        <w:pStyle w:val="Sinespaciado"/>
        <w:jc w:val="both"/>
        <w:rPr>
          <w:rFonts w:ascii="Times New Roman" w:hAnsi="Times New Roman" w:cs="Times New Roman"/>
          <w:lang w:val="es-MX"/>
        </w:rPr>
      </w:pPr>
    </w:p>
    <w:p w14:paraId="57A66195" w14:textId="77777777" w:rsidR="0041262B" w:rsidRPr="009D459C" w:rsidRDefault="0041262B" w:rsidP="0041262B">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14:paraId="24FA83C5" w14:textId="77777777" w:rsidR="0041262B" w:rsidRDefault="0041262B" w:rsidP="0041262B">
      <w:pPr>
        <w:pStyle w:val="Sinespaciado"/>
        <w:jc w:val="center"/>
        <w:rPr>
          <w:rFonts w:ascii="Times New Roman" w:hAnsi="Times New Roman" w:cs="Times New Roman"/>
          <w:sz w:val="18"/>
          <w:lang w:val="es-MX"/>
        </w:rPr>
      </w:pPr>
      <w:r>
        <w:rPr>
          <w:rFonts w:ascii="Times New Roman" w:hAnsi="Times New Roman" w:cs="Times New Roman"/>
          <w:noProof/>
          <w:sz w:val="18"/>
          <w:lang w:eastAsia="es-GT"/>
        </w:rPr>
        <w:drawing>
          <wp:anchor distT="0" distB="0" distL="114300" distR="114300" simplePos="0" relativeHeight="251749376" behindDoc="0" locked="0" layoutInCell="1" allowOverlap="1" wp14:anchorId="573E6D3F" wp14:editId="6484F076">
            <wp:simplePos x="0" y="0"/>
            <wp:positionH relativeFrom="column">
              <wp:posOffset>-70789</wp:posOffset>
            </wp:positionH>
            <wp:positionV relativeFrom="paragraph">
              <wp:posOffset>145332</wp:posOffset>
            </wp:positionV>
            <wp:extent cx="2766695" cy="2003425"/>
            <wp:effectExtent l="0" t="0" r="0" b="0"/>
            <wp:wrapSquare wrapText="bothSides"/>
            <wp:docPr id="24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9D459C">
        <w:rPr>
          <w:rFonts w:ascii="Times New Roman" w:hAnsi="Times New Roman" w:cs="Times New Roman"/>
          <w:sz w:val="18"/>
          <w:lang w:val="es-MX"/>
        </w:rPr>
        <w:t>Variación Interanual</w:t>
      </w:r>
      <w:r>
        <w:rPr>
          <w:rFonts w:ascii="Times New Roman" w:hAnsi="Times New Roman" w:cs="Times New Roman"/>
          <w:sz w:val="18"/>
          <w:lang w:val="es-MX"/>
        </w:rPr>
        <w:t>*</w:t>
      </w:r>
    </w:p>
    <w:p w14:paraId="399DF2F6" w14:textId="77777777" w:rsidR="0041262B" w:rsidRPr="00D56309" w:rsidRDefault="0041262B" w:rsidP="0041262B">
      <w:pPr>
        <w:pStyle w:val="Sinespaciado"/>
        <w:rPr>
          <w:rFonts w:ascii="Times New Roman" w:hAnsi="Times New Roman" w:cs="Times New Roman"/>
          <w:sz w:val="16"/>
          <w:lang w:val="es-MX"/>
        </w:rPr>
      </w:pPr>
      <w:r w:rsidRPr="00D56309">
        <w:rPr>
          <w:rFonts w:ascii="Times New Roman" w:hAnsi="Times New Roman" w:cs="Times New Roman"/>
          <w:sz w:val="16"/>
          <w:lang w:val="es-MX"/>
        </w:rPr>
        <w:t>*No incluye amortizaciones de la deuda pública</w:t>
      </w:r>
    </w:p>
    <w:p w14:paraId="7B7E8B66" w14:textId="77777777" w:rsidR="0041262B" w:rsidRPr="00FF28D2" w:rsidRDefault="0041262B" w:rsidP="0041262B">
      <w:pPr>
        <w:spacing w:after="0" w:line="240" w:lineRule="auto"/>
        <w:jc w:val="both"/>
        <w:rPr>
          <w:rFonts w:ascii="Times New Roman" w:hAnsi="Times New Roman" w:cs="Times New Roman"/>
          <w:sz w:val="16"/>
        </w:rPr>
      </w:pPr>
      <w:r w:rsidRPr="00FF28D2">
        <w:rPr>
          <w:rFonts w:ascii="Times New Roman" w:hAnsi="Times New Roman" w:cs="Times New Roman"/>
          <w:sz w:val="16"/>
        </w:rPr>
        <w:t>Fuente: Dirección de Análisis y Política Fiscal</w:t>
      </w:r>
    </w:p>
    <w:p w14:paraId="40B6C58F" w14:textId="77777777" w:rsidR="0041262B" w:rsidRDefault="0041262B" w:rsidP="0041262B">
      <w:pPr>
        <w:pStyle w:val="Sinespaciado"/>
        <w:jc w:val="both"/>
        <w:rPr>
          <w:rFonts w:ascii="Times New Roman" w:hAnsi="Times New Roman" w:cs="Times New Roman"/>
          <w:lang w:val="es-MX"/>
        </w:rPr>
      </w:pPr>
    </w:p>
    <w:p w14:paraId="3EC5E261"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E</w:t>
      </w:r>
      <w:r w:rsidRPr="001E2D24">
        <w:rPr>
          <w:rFonts w:ascii="Times New Roman" w:hAnsi="Times New Roman" w:cs="Times New Roman"/>
          <w:lang w:val="es-MX"/>
        </w:rPr>
        <w:t>l gasto fue moderado</w:t>
      </w:r>
      <w:r>
        <w:rPr>
          <w:rFonts w:ascii="Times New Roman" w:hAnsi="Times New Roman" w:cs="Times New Roman"/>
          <w:lang w:val="es-MX"/>
        </w:rPr>
        <w:t xml:space="preserve"> dado que las entidades se encuentran en proceso de hacer las readecuaciones presupuestarias acordes a lo anunciado por el Ejecutivo, se comunicó que el gasto máximo en el que se puede incurrir durante el presente ejercicio fiscal asciende a Q94,354.0 millones, donde el 66.0% corresponde a gasto de funcionamiento, 19.0% a gasto de inversión y 15.0% al servicio de la deuda pública. </w:t>
      </w:r>
    </w:p>
    <w:p w14:paraId="488A7E80" w14:textId="77777777" w:rsidR="0041262B" w:rsidRDefault="0041262B" w:rsidP="0041262B">
      <w:pPr>
        <w:pStyle w:val="Sinespaciado"/>
        <w:jc w:val="both"/>
        <w:rPr>
          <w:rFonts w:ascii="Times New Roman" w:hAnsi="Times New Roman" w:cs="Times New Roman"/>
          <w:lang w:val="es-MX"/>
        </w:rPr>
      </w:pPr>
    </w:p>
    <w:p w14:paraId="0423D77C"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Con esta readecuación presupuestaria, el Ejecutivo estaría garantizando recursos para las </w:t>
      </w:r>
      <w:r w:rsidRPr="0097624B">
        <w:rPr>
          <w:rFonts w:ascii="Times New Roman" w:hAnsi="Times New Roman" w:cs="Times New Roman"/>
          <w:lang w:val="es-MX"/>
        </w:rPr>
        <w:t>vacunas</w:t>
      </w:r>
      <w:r>
        <w:rPr>
          <w:rFonts w:ascii="Times New Roman" w:hAnsi="Times New Roman" w:cs="Times New Roman"/>
          <w:lang w:val="es-MX"/>
        </w:rPr>
        <w:t xml:space="preserve"> contra el COVID-19, reactivación económica ante los efectos negativos del COVID-19 y reconstrucción por las tormentas tropicales de finales de 2020, </w:t>
      </w:r>
      <w:r w:rsidRPr="0097624B">
        <w:rPr>
          <w:rFonts w:ascii="Times New Roman" w:hAnsi="Times New Roman" w:cs="Times New Roman"/>
          <w:lang w:val="es-MX"/>
        </w:rPr>
        <w:t>las cuales causaron significativos daños y pérdidas en el territorio nacional.</w:t>
      </w:r>
      <w:r>
        <w:rPr>
          <w:rFonts w:ascii="Times New Roman" w:hAnsi="Times New Roman" w:cs="Times New Roman"/>
          <w:lang w:val="es-MX"/>
        </w:rPr>
        <w:t xml:space="preserve"> De esta cuenta, el déficit al </w:t>
      </w:r>
      <w:r>
        <w:rPr>
          <w:rFonts w:ascii="Times New Roman" w:hAnsi="Times New Roman" w:cs="Times New Roman"/>
          <w:lang w:val="es-MX"/>
        </w:rPr>
        <w:t xml:space="preserve">final del ejercicio fiscal podría ser cercano al 3.4%. </w:t>
      </w:r>
    </w:p>
    <w:p w14:paraId="6E0E617F" w14:textId="77777777" w:rsidR="0041262B" w:rsidRDefault="0041262B" w:rsidP="0041262B">
      <w:pPr>
        <w:pStyle w:val="Sinespaciado"/>
        <w:jc w:val="both"/>
        <w:rPr>
          <w:rFonts w:ascii="Times New Roman" w:hAnsi="Times New Roman" w:cs="Times New Roman"/>
          <w:lang w:val="es-MX"/>
        </w:rPr>
      </w:pPr>
    </w:p>
    <w:p w14:paraId="38BF40D8" w14:textId="0C4DDB5B"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E</w:t>
      </w:r>
      <w:r w:rsidRPr="00C8552A">
        <w:rPr>
          <w:rFonts w:ascii="Times New Roman" w:hAnsi="Times New Roman" w:cs="Times New Roman"/>
          <w:lang w:val="es-MX"/>
        </w:rPr>
        <w:t xml:space="preserve">l Ejecutivo está considerando </w:t>
      </w:r>
      <w:r>
        <w:rPr>
          <w:rFonts w:ascii="Times New Roman" w:hAnsi="Times New Roman" w:cs="Times New Roman"/>
          <w:lang w:val="es-MX"/>
        </w:rPr>
        <w:t xml:space="preserve">dentro del gasto previsto para 2021, </w:t>
      </w:r>
      <w:r w:rsidRPr="00C8552A">
        <w:rPr>
          <w:rFonts w:ascii="Times New Roman" w:hAnsi="Times New Roman" w:cs="Times New Roman"/>
          <w:lang w:val="es-MX"/>
        </w:rPr>
        <w:t xml:space="preserve">Q2,000 millones para atención a la desnutrición, fortalecimiento de la seguridad y justicia, 11 mil plazas para maestros, inversión en puertos, remozamiento de escuelas, nuevas carreteras y </w:t>
      </w:r>
      <w:r w:rsidR="00BE3463">
        <w:rPr>
          <w:rFonts w:ascii="Times New Roman" w:hAnsi="Times New Roman" w:cs="Times New Roman"/>
          <w:lang w:val="es-MX"/>
        </w:rPr>
        <w:t>otros</w:t>
      </w:r>
      <w:r w:rsidR="00BE3463" w:rsidRPr="00C8552A">
        <w:rPr>
          <w:rFonts w:ascii="Times New Roman" w:hAnsi="Times New Roman" w:cs="Times New Roman"/>
          <w:lang w:val="es-MX"/>
        </w:rPr>
        <w:t xml:space="preserve"> </w:t>
      </w:r>
      <w:r w:rsidRPr="00C8552A">
        <w:rPr>
          <w:rFonts w:ascii="Times New Roman" w:hAnsi="Times New Roman" w:cs="Times New Roman"/>
          <w:lang w:val="es-MX"/>
        </w:rPr>
        <w:t>proyectos de infraestructura.</w:t>
      </w:r>
    </w:p>
    <w:p w14:paraId="1C27741D" w14:textId="77777777" w:rsidR="0041262B" w:rsidRDefault="0041262B" w:rsidP="0041262B">
      <w:pPr>
        <w:pStyle w:val="Sinespaciado"/>
        <w:jc w:val="both"/>
        <w:rPr>
          <w:rFonts w:ascii="Times New Roman" w:hAnsi="Times New Roman" w:cs="Times New Roman"/>
          <w:lang w:val="es-MX"/>
        </w:rPr>
      </w:pPr>
    </w:p>
    <w:p w14:paraId="309E479D" w14:textId="77777777" w:rsidR="0041262B" w:rsidRPr="00EB3DA0"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Es importante tener en cuenta que la readecuación presupuestaria es necesaria considerando que el proyecto de </w:t>
      </w:r>
      <w:r w:rsidRPr="00EB3DA0">
        <w:rPr>
          <w:rFonts w:ascii="Times New Roman" w:hAnsi="Times New Roman" w:cs="Times New Roman"/>
          <w:lang w:val="es-MX"/>
        </w:rPr>
        <w:t>Presupuesto General de Ingresos y Egresos del Esta</w:t>
      </w:r>
      <w:r>
        <w:rPr>
          <w:rFonts w:ascii="Times New Roman" w:hAnsi="Times New Roman" w:cs="Times New Roman"/>
          <w:lang w:val="es-MX"/>
        </w:rPr>
        <w:t xml:space="preserve">do para el ejercicio fiscal 2021 no fue aprobado y  entro en vigencia el presupuesto de 2020 con las ampliaciones presupuestarias aprobadas, el cual se encuentra desfinanciado, especialmente por la brecha que provocan los Q11,000 millones que fueron aprobados en 2020 para ser colocados en Bonos del Tesoro y adquiridos por el Banco de Guatemala para la atención del COVID-19, este mecanismo de financiamiento ya no sería viable en 2021 dado que la Constitución Política lo considera únicamente </w:t>
      </w:r>
      <w:r w:rsidRPr="00EB3DA0">
        <w:rPr>
          <w:rFonts w:ascii="Times New Roman" w:hAnsi="Times New Roman" w:cs="Times New Roman"/>
          <w:lang w:val="es-MX"/>
        </w:rPr>
        <w:t>en caso de catástrofe o desastre público</w:t>
      </w:r>
      <w:r>
        <w:rPr>
          <w:rFonts w:ascii="Times New Roman" w:hAnsi="Times New Roman" w:cs="Times New Roman"/>
          <w:lang w:val="es-MX"/>
        </w:rPr>
        <w:t xml:space="preserve">. Asimismo, los desembolsos de préstamos serían menores. </w:t>
      </w:r>
    </w:p>
    <w:p w14:paraId="432E2C06" w14:textId="77777777" w:rsidR="0041262B" w:rsidRDefault="0041262B" w:rsidP="0041262B">
      <w:pPr>
        <w:pStyle w:val="Sinespaciado"/>
        <w:jc w:val="both"/>
        <w:rPr>
          <w:rFonts w:ascii="Times New Roman" w:hAnsi="Times New Roman" w:cs="Times New Roman"/>
          <w:lang w:val="es-MX"/>
        </w:rPr>
      </w:pPr>
    </w:p>
    <w:p w14:paraId="5D5BC1C9"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A nivel de rubro de cuenta económica, el mayor crecimiento interanual se reporta en los intereses con 56.8%, siendo equivalente a un pago mayor de Q143.9 millones respecto a 2020, el cual se concentra en la deuda interna. Hay que considerar que en 2020 se incurrió en un alto nivel de endeudamiento para hacer frente a las necesidades de gasto por la coyuntura de dicho año y por ende el saldo de la deuda pública creció, de esa cuenta el pago de los intereses aumenta a pesar de las condiciones favorables de colocación y la reducción de la tasa de interés promedio de la deuda bonificada. </w:t>
      </w:r>
    </w:p>
    <w:p w14:paraId="24263388" w14:textId="77777777" w:rsidR="0041262B" w:rsidRDefault="0041262B" w:rsidP="0041262B">
      <w:pPr>
        <w:pStyle w:val="Sinespaciado"/>
        <w:jc w:val="both"/>
        <w:rPr>
          <w:rFonts w:ascii="Times New Roman" w:hAnsi="Times New Roman" w:cs="Times New Roman"/>
          <w:lang w:val="es-MX"/>
        </w:rPr>
      </w:pPr>
    </w:p>
    <w:p w14:paraId="6893B761" w14:textId="2FCBF790"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El segundo rubro de gasto con mayor crecimiento son los bienes y servicios, estos crecen en 36.6%, siendo equivalente a Q77.9 millones, explicado por un aumento de Q60.4 millones en el Ministerio de Salud Pública y Asistencia Social principalmente por un mayor </w:t>
      </w:r>
      <w:r w:rsidR="00BE3463">
        <w:rPr>
          <w:rFonts w:ascii="Times New Roman" w:hAnsi="Times New Roman" w:cs="Times New Roman"/>
          <w:lang w:val="es-MX"/>
        </w:rPr>
        <w:t>gasto en</w:t>
      </w:r>
      <w:r>
        <w:rPr>
          <w:rFonts w:ascii="Times New Roman" w:hAnsi="Times New Roman" w:cs="Times New Roman"/>
          <w:lang w:val="es-MX"/>
        </w:rPr>
        <w:t xml:space="preserve"> los productos medicinales y farmacéuticos, servicios médico sanitario y suministros e instrumental médico-quirúrgicos, de laboratorio y cuidado de la salud</w:t>
      </w:r>
      <w:r w:rsidR="00BE3463">
        <w:rPr>
          <w:rFonts w:ascii="Times New Roman" w:hAnsi="Times New Roman" w:cs="Times New Roman"/>
          <w:lang w:val="es-MX"/>
        </w:rPr>
        <w:t xml:space="preserve">. Lo anterior se </w:t>
      </w:r>
      <w:r>
        <w:rPr>
          <w:rFonts w:ascii="Times New Roman" w:hAnsi="Times New Roman" w:cs="Times New Roman"/>
          <w:lang w:val="es-MX"/>
        </w:rPr>
        <w:t xml:space="preserve">debe a que en enero de 2020 aún no se estaban destinando recursos para la atención del COVID-19, mientras que en el presente año se mantienen varios gastos relacionados a su atención. </w:t>
      </w:r>
    </w:p>
    <w:p w14:paraId="05EEEF51" w14:textId="77777777" w:rsidR="0041262B" w:rsidRDefault="0041262B" w:rsidP="0041262B">
      <w:pPr>
        <w:pStyle w:val="Sinespaciado"/>
        <w:jc w:val="both"/>
        <w:rPr>
          <w:rFonts w:ascii="Times New Roman" w:hAnsi="Times New Roman" w:cs="Times New Roman"/>
          <w:lang w:val="es-MX"/>
        </w:rPr>
      </w:pPr>
    </w:p>
    <w:p w14:paraId="3A5F9931"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Por su parte, también se reporta un crecimiento importante en los bienes y servicios del Ministerio de Gobernación por Q21.8 millones, esto por un incremento en el gasto de la alimentación a personas.</w:t>
      </w:r>
    </w:p>
    <w:p w14:paraId="0084D16F" w14:textId="77777777" w:rsidR="0041262B" w:rsidRDefault="0041262B" w:rsidP="0041262B">
      <w:pPr>
        <w:pStyle w:val="Sinespaciado"/>
        <w:jc w:val="both"/>
        <w:rPr>
          <w:rFonts w:ascii="Times New Roman" w:hAnsi="Times New Roman" w:cs="Times New Roman"/>
          <w:lang w:val="es-MX"/>
        </w:rPr>
      </w:pPr>
    </w:p>
    <w:p w14:paraId="026340A2"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En lo que respecta a las remuneraciones, estas se encuentran creciendo en 4.4%, durante el mes se dio el desembolso de la segunda parte del aguinaldo, el cual ascendió a Q842.4 millones. Mientras las prestaciones a la seguridad social reportan un crecimiento de 3.1%, equivalente a Q11.9 millones.  </w:t>
      </w:r>
    </w:p>
    <w:p w14:paraId="34B327E6" w14:textId="77777777" w:rsidR="0041262B" w:rsidRDefault="0041262B" w:rsidP="0041262B">
      <w:pPr>
        <w:pStyle w:val="Sinespaciado"/>
        <w:jc w:val="both"/>
        <w:rPr>
          <w:rFonts w:ascii="Times New Roman" w:hAnsi="Times New Roman" w:cs="Times New Roman"/>
          <w:lang w:val="es-MX"/>
        </w:rPr>
      </w:pPr>
    </w:p>
    <w:p w14:paraId="580E6580" w14:textId="5EF1E1DA"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Dos rubros de gasto reportan una menor ejecución respecto al año previo, siendo el caso de las transferencias corrientes y las de capital. En el caso de las transferencias corrientes reportan una caída de 8.9%, dado que las transferencias al sector público cayeron en Q242.1 millones</w:t>
      </w:r>
      <w:r w:rsidR="00BE3463">
        <w:rPr>
          <w:rFonts w:ascii="Times New Roman" w:hAnsi="Times New Roman" w:cs="Times New Roman"/>
          <w:lang w:val="es-MX"/>
        </w:rPr>
        <w:t>,</w:t>
      </w:r>
      <w:r>
        <w:rPr>
          <w:rFonts w:ascii="Times New Roman" w:hAnsi="Times New Roman" w:cs="Times New Roman"/>
          <w:lang w:val="es-MX"/>
        </w:rPr>
        <w:t xml:space="preserve"> por un menor desembolso de recursos para el Organismo Judicial y el Ministerio Público, principalmente. No obstante, en la medida que la recaudación tributaria continúe mostrando un buen desempeño, los aportes hacia las entidades descentralizadas y autónomas se ajustarían</w:t>
      </w:r>
      <w:r w:rsidR="00BE3463">
        <w:rPr>
          <w:rFonts w:ascii="Times New Roman" w:hAnsi="Times New Roman" w:cs="Times New Roman"/>
          <w:lang w:val="es-MX"/>
        </w:rPr>
        <w:t xml:space="preserve"> en los próximos meses</w:t>
      </w:r>
      <w:r>
        <w:rPr>
          <w:rFonts w:ascii="Times New Roman" w:hAnsi="Times New Roman" w:cs="Times New Roman"/>
          <w:lang w:val="es-MX"/>
        </w:rPr>
        <w:t xml:space="preserve">. </w:t>
      </w:r>
    </w:p>
    <w:p w14:paraId="3B58C0DF" w14:textId="77777777" w:rsidR="0041262B" w:rsidRDefault="0041262B" w:rsidP="0041262B">
      <w:pPr>
        <w:pStyle w:val="Sinespaciado"/>
        <w:jc w:val="both"/>
        <w:rPr>
          <w:rFonts w:ascii="Times New Roman" w:hAnsi="Times New Roman" w:cs="Times New Roman"/>
          <w:lang w:val="es-MX"/>
        </w:rPr>
      </w:pPr>
    </w:p>
    <w:p w14:paraId="56EBF33E"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En el caso de las transferencias corrientes al sector privado, estas reportan un incremento de 19.9%, equivalente a Q116.3 millones explicadas casi en su totalidad por el Ministerio de Educación, lo cual corresponde a la alimentación escolar. </w:t>
      </w:r>
    </w:p>
    <w:p w14:paraId="34DF6F42" w14:textId="77777777" w:rsidR="0041262B" w:rsidRDefault="0041262B" w:rsidP="0041262B">
      <w:pPr>
        <w:pStyle w:val="Sinespaciado"/>
        <w:jc w:val="both"/>
        <w:rPr>
          <w:rFonts w:ascii="Times New Roman" w:hAnsi="Times New Roman" w:cs="Times New Roman"/>
          <w:lang w:val="es-MX"/>
        </w:rPr>
      </w:pPr>
    </w:p>
    <w:p w14:paraId="7ABC19BB"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Por último, las transferencias de capital reportan una menor ejecución, aunque es leve siendo equivalente a Q22.6 millones, debido a una disminución en la transferencia hacia las municipalidades. </w:t>
      </w:r>
    </w:p>
    <w:p w14:paraId="1D340436" w14:textId="77777777" w:rsidR="0041262B" w:rsidRDefault="0041262B" w:rsidP="0041262B">
      <w:pPr>
        <w:pStyle w:val="Sinespaciado"/>
        <w:jc w:val="both"/>
        <w:rPr>
          <w:rFonts w:ascii="Times New Roman" w:hAnsi="Times New Roman" w:cs="Times New Roman"/>
          <w:lang w:val="es-MX"/>
        </w:rPr>
      </w:pPr>
    </w:p>
    <w:p w14:paraId="6F924708" w14:textId="77777777" w:rsidR="0041262B" w:rsidRDefault="0041262B" w:rsidP="0041262B">
      <w:pPr>
        <w:pStyle w:val="Sinespaciado"/>
        <w:jc w:val="center"/>
        <w:rPr>
          <w:rFonts w:ascii="Times New Roman" w:hAnsi="Times New Roman" w:cs="Times New Roman"/>
          <w:sz w:val="18"/>
          <w:lang w:val="es-MX"/>
        </w:rPr>
      </w:pPr>
      <w:r w:rsidRPr="007E4979">
        <w:rPr>
          <w:rFonts w:ascii="Times New Roman" w:hAnsi="Times New Roman" w:cs="Times New Roman"/>
          <w:b/>
          <w:lang w:val="es-MX"/>
        </w:rPr>
        <w:t>Ejecución por rubro de Cuenta Económica</w:t>
      </w:r>
      <w:r>
        <w:t xml:space="preserve"> </w:t>
      </w:r>
      <w:r w:rsidRPr="007E4979">
        <w:rPr>
          <w:rFonts w:ascii="Times New Roman" w:hAnsi="Times New Roman" w:cs="Times New Roman"/>
          <w:sz w:val="18"/>
          <w:lang w:val="es-MX"/>
        </w:rPr>
        <w:t>20</w:t>
      </w:r>
      <w:r>
        <w:rPr>
          <w:rFonts w:ascii="Times New Roman" w:hAnsi="Times New Roman" w:cs="Times New Roman"/>
          <w:sz w:val="18"/>
          <w:lang w:val="es-MX"/>
        </w:rPr>
        <w:t>21 – 2020</w:t>
      </w:r>
    </w:p>
    <w:p w14:paraId="59BBFFAE" w14:textId="77777777" w:rsidR="0041262B" w:rsidRDefault="0041262B" w:rsidP="0041262B">
      <w:pPr>
        <w:pStyle w:val="Sinespaciado"/>
        <w:jc w:val="center"/>
        <w:rPr>
          <w:rFonts w:ascii="Times New Roman" w:hAnsi="Times New Roman" w:cs="Times New Roman"/>
          <w:sz w:val="18"/>
          <w:lang w:val="es-MX"/>
        </w:rPr>
      </w:pPr>
      <w:r w:rsidRPr="007E4979">
        <w:rPr>
          <w:rFonts w:ascii="Times New Roman" w:hAnsi="Times New Roman" w:cs="Times New Roman"/>
          <w:sz w:val="18"/>
          <w:lang w:val="es-MX"/>
        </w:rPr>
        <w:t>Variación absoluta interanual</w:t>
      </w:r>
    </w:p>
    <w:p w14:paraId="1C4CA721" w14:textId="77777777" w:rsidR="0041262B" w:rsidRDefault="0041262B" w:rsidP="0041262B">
      <w:pPr>
        <w:pStyle w:val="Sinespaciado"/>
        <w:jc w:val="center"/>
        <w:rPr>
          <w:rFonts w:ascii="Times New Roman" w:hAnsi="Times New Roman" w:cs="Times New Roman"/>
          <w:sz w:val="18"/>
          <w:lang w:val="es-MX"/>
        </w:rPr>
      </w:pPr>
      <w:r>
        <w:rPr>
          <w:rFonts w:ascii="Times New Roman" w:hAnsi="Times New Roman" w:cs="Times New Roman"/>
          <w:noProof/>
          <w:sz w:val="18"/>
          <w:lang w:eastAsia="es-GT"/>
        </w:rPr>
        <w:drawing>
          <wp:inline distT="0" distB="0" distL="0" distR="0" wp14:anchorId="2C8BD34B" wp14:editId="3171C77D">
            <wp:extent cx="2638425" cy="2393343"/>
            <wp:effectExtent l="0" t="0" r="0" b="6985"/>
            <wp:docPr id="24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B46C90" w14:textId="77777777" w:rsidR="0041262B" w:rsidRDefault="0041262B" w:rsidP="0041262B">
      <w:pPr>
        <w:spacing w:after="0" w:line="240" w:lineRule="auto"/>
        <w:jc w:val="both"/>
        <w:rPr>
          <w:rFonts w:ascii="Times New Roman" w:hAnsi="Times New Roman" w:cs="Times New Roman"/>
          <w:sz w:val="16"/>
        </w:rPr>
      </w:pPr>
      <w:r w:rsidRPr="00FF28D2">
        <w:rPr>
          <w:rFonts w:ascii="Times New Roman" w:hAnsi="Times New Roman" w:cs="Times New Roman"/>
          <w:sz w:val="16"/>
        </w:rPr>
        <w:t>Fuente: Dirección de Análisis y Política Fiscal</w:t>
      </w:r>
    </w:p>
    <w:p w14:paraId="7BB5A667" w14:textId="77777777" w:rsidR="0041262B" w:rsidRPr="000206F7" w:rsidRDefault="0041262B" w:rsidP="0041262B">
      <w:pPr>
        <w:pStyle w:val="Sinespaciado"/>
        <w:jc w:val="both"/>
        <w:rPr>
          <w:rFonts w:ascii="Times New Roman" w:hAnsi="Times New Roman" w:cs="Times New Roman"/>
        </w:rPr>
      </w:pPr>
    </w:p>
    <w:p w14:paraId="02BDB24F"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En cuanto al </w:t>
      </w:r>
      <w:r w:rsidRPr="006220B2">
        <w:rPr>
          <w:rFonts w:ascii="Times New Roman" w:hAnsi="Times New Roman" w:cs="Times New Roman"/>
          <w:lang w:val="es-MX"/>
        </w:rPr>
        <w:t>gasto</w:t>
      </w:r>
      <w:r>
        <w:rPr>
          <w:rFonts w:ascii="Times New Roman" w:hAnsi="Times New Roman" w:cs="Times New Roman"/>
          <w:lang w:val="es-MX"/>
        </w:rPr>
        <w:t xml:space="preserve"> total</w:t>
      </w:r>
      <w:r w:rsidRPr="006220B2">
        <w:rPr>
          <w:rFonts w:ascii="Times New Roman" w:hAnsi="Times New Roman" w:cs="Times New Roman"/>
          <w:lang w:val="es-MX"/>
        </w:rPr>
        <w:t xml:space="preserve">, </w:t>
      </w:r>
      <w:r>
        <w:rPr>
          <w:rFonts w:ascii="Times New Roman" w:hAnsi="Times New Roman" w:cs="Times New Roman"/>
          <w:lang w:val="es-MX"/>
        </w:rPr>
        <w:t>el</w:t>
      </w:r>
      <w:r w:rsidRPr="006220B2">
        <w:rPr>
          <w:rFonts w:ascii="Times New Roman" w:hAnsi="Times New Roman" w:cs="Times New Roman"/>
          <w:lang w:val="es-MX"/>
        </w:rPr>
        <w:t xml:space="preserve"> cual incluye amortizaciones de la </w:t>
      </w:r>
      <w:r>
        <w:rPr>
          <w:rFonts w:ascii="Times New Roman" w:hAnsi="Times New Roman" w:cs="Times New Roman"/>
          <w:lang w:val="es-MX"/>
        </w:rPr>
        <w:t xml:space="preserve">deuda pública, </w:t>
      </w:r>
      <w:r w:rsidRPr="006220B2">
        <w:rPr>
          <w:rFonts w:ascii="Times New Roman" w:hAnsi="Times New Roman" w:cs="Times New Roman"/>
          <w:lang w:val="es-MX"/>
        </w:rPr>
        <w:t>se situó en Q</w:t>
      </w:r>
      <w:r>
        <w:rPr>
          <w:rFonts w:ascii="Times New Roman" w:hAnsi="Times New Roman" w:cs="Times New Roman"/>
          <w:lang w:val="es-MX"/>
        </w:rPr>
        <w:t>5</w:t>
      </w:r>
      <w:r w:rsidRPr="006220B2">
        <w:rPr>
          <w:rFonts w:ascii="Times New Roman" w:hAnsi="Times New Roman" w:cs="Times New Roman"/>
          <w:lang w:val="es-MX"/>
        </w:rPr>
        <w:t>,</w:t>
      </w:r>
      <w:r>
        <w:rPr>
          <w:rFonts w:ascii="Times New Roman" w:hAnsi="Times New Roman" w:cs="Times New Roman"/>
          <w:lang w:val="es-MX"/>
        </w:rPr>
        <w:t xml:space="preserve">950.8 </w:t>
      </w:r>
      <w:r w:rsidRPr="006220B2">
        <w:rPr>
          <w:rFonts w:ascii="Times New Roman" w:hAnsi="Times New Roman" w:cs="Times New Roman"/>
          <w:lang w:val="es-MX"/>
        </w:rPr>
        <w:t>millones</w:t>
      </w:r>
      <w:r>
        <w:rPr>
          <w:rFonts w:ascii="Times New Roman" w:hAnsi="Times New Roman" w:cs="Times New Roman"/>
          <w:lang w:val="es-MX"/>
        </w:rPr>
        <w:t>, con un grado de ejecución de 5.5% y una variación interanual de 3.1%. E</w:t>
      </w:r>
      <w:r w:rsidRPr="006220B2">
        <w:rPr>
          <w:rFonts w:ascii="Times New Roman" w:hAnsi="Times New Roman" w:cs="Times New Roman"/>
          <w:lang w:val="es-MX"/>
        </w:rPr>
        <w:t xml:space="preserve">ste </w:t>
      </w:r>
      <w:r>
        <w:rPr>
          <w:rFonts w:ascii="Times New Roman" w:hAnsi="Times New Roman" w:cs="Times New Roman"/>
          <w:lang w:val="es-MX"/>
        </w:rPr>
        <w:t xml:space="preserve">grado de ejecución </w:t>
      </w:r>
      <w:r w:rsidRPr="006220B2">
        <w:rPr>
          <w:rFonts w:ascii="Times New Roman" w:hAnsi="Times New Roman" w:cs="Times New Roman"/>
          <w:lang w:val="es-MX"/>
        </w:rPr>
        <w:t xml:space="preserve">se encuentra por </w:t>
      </w:r>
      <w:r>
        <w:rPr>
          <w:rFonts w:ascii="Times New Roman" w:hAnsi="Times New Roman" w:cs="Times New Roman"/>
          <w:lang w:val="es-MX"/>
        </w:rPr>
        <w:t>abajo d</w:t>
      </w:r>
      <w:r w:rsidRPr="006220B2">
        <w:rPr>
          <w:rFonts w:ascii="Times New Roman" w:hAnsi="Times New Roman" w:cs="Times New Roman"/>
          <w:lang w:val="es-MX"/>
        </w:rPr>
        <w:t>e la ejecución promedio de los últimos 5 años (</w:t>
      </w:r>
      <w:r>
        <w:rPr>
          <w:rFonts w:ascii="Times New Roman" w:hAnsi="Times New Roman" w:cs="Times New Roman"/>
          <w:lang w:val="es-MX"/>
        </w:rPr>
        <w:t>6.1</w:t>
      </w:r>
      <w:r w:rsidRPr="006220B2">
        <w:rPr>
          <w:rFonts w:ascii="Times New Roman" w:hAnsi="Times New Roman" w:cs="Times New Roman"/>
          <w:lang w:val="es-MX"/>
        </w:rPr>
        <w:t>%)</w:t>
      </w:r>
      <w:r>
        <w:rPr>
          <w:rFonts w:ascii="Times New Roman" w:hAnsi="Times New Roman" w:cs="Times New Roman"/>
          <w:lang w:val="es-MX"/>
        </w:rPr>
        <w:t xml:space="preserve"> </w:t>
      </w:r>
      <w:r w:rsidRPr="006220B2">
        <w:rPr>
          <w:rFonts w:ascii="Times New Roman" w:hAnsi="Times New Roman" w:cs="Times New Roman"/>
          <w:lang w:val="es-MX"/>
        </w:rPr>
        <w:t xml:space="preserve">y es </w:t>
      </w:r>
      <w:r>
        <w:rPr>
          <w:rFonts w:ascii="Times New Roman" w:hAnsi="Times New Roman" w:cs="Times New Roman"/>
          <w:lang w:val="es-MX"/>
        </w:rPr>
        <w:t>infer</w:t>
      </w:r>
      <w:r w:rsidRPr="006220B2">
        <w:rPr>
          <w:rFonts w:ascii="Times New Roman" w:hAnsi="Times New Roman" w:cs="Times New Roman"/>
          <w:lang w:val="es-MX"/>
        </w:rPr>
        <w:t>ior a la reportada en</w:t>
      </w:r>
      <w:r>
        <w:rPr>
          <w:rFonts w:ascii="Times New Roman" w:hAnsi="Times New Roman" w:cs="Times New Roman"/>
          <w:lang w:val="es-MX"/>
        </w:rPr>
        <w:t xml:space="preserve"> cada uno de los años previos. </w:t>
      </w:r>
    </w:p>
    <w:p w14:paraId="426E41F6" w14:textId="77777777" w:rsidR="0041262B" w:rsidRDefault="0041262B" w:rsidP="0041262B">
      <w:pPr>
        <w:pStyle w:val="Sinespaciado"/>
        <w:jc w:val="both"/>
        <w:rPr>
          <w:rFonts w:ascii="Times New Roman" w:hAnsi="Times New Roman" w:cs="Times New Roman"/>
          <w:lang w:val="es-MX"/>
        </w:rPr>
      </w:pPr>
    </w:p>
    <w:p w14:paraId="1AE55C3A"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El grado de ejecución se percibe bajo por el efecto que se da al contar con un presupuesto abultado de Q107,521.5 millones, el cual </w:t>
      </w:r>
      <w:r>
        <w:rPr>
          <w:rFonts w:ascii="Times New Roman" w:hAnsi="Times New Roman" w:cs="Times New Roman"/>
          <w:lang w:val="es-MX"/>
        </w:rPr>
        <w:lastRenderedPageBreak/>
        <w:t xml:space="preserve">responde a las ampliaciones presupuestarias aprobadas en 2020 por medio de los decretos 12-2020, 13-2020 y 20-2020 que suman Q19,805.9 millones. </w:t>
      </w:r>
    </w:p>
    <w:p w14:paraId="6C0FF017" w14:textId="77777777" w:rsidR="0041262B" w:rsidRDefault="0041262B" w:rsidP="0041262B">
      <w:pPr>
        <w:pStyle w:val="Sinespaciado"/>
        <w:jc w:val="both"/>
        <w:rPr>
          <w:rFonts w:ascii="Times New Roman" w:hAnsi="Times New Roman" w:cs="Times New Roman"/>
          <w:lang w:val="es-MX"/>
        </w:rPr>
      </w:pPr>
    </w:p>
    <w:p w14:paraId="3A7A8616" w14:textId="77777777" w:rsidR="0041262B" w:rsidRPr="00FC1C67" w:rsidRDefault="0041262B" w:rsidP="0041262B">
      <w:pPr>
        <w:spacing w:after="0" w:line="240" w:lineRule="auto"/>
        <w:jc w:val="center"/>
        <w:rPr>
          <w:rFonts w:ascii="Times New Roman" w:hAnsi="Times New Roman" w:cs="Times New Roman"/>
          <w:b/>
          <w:lang w:val="es-MX"/>
        </w:rPr>
      </w:pPr>
      <w:r w:rsidRPr="00FC1C67">
        <w:rPr>
          <w:rFonts w:ascii="Times New Roman" w:hAnsi="Times New Roman" w:cs="Times New Roman"/>
          <w:b/>
          <w:lang w:val="es-MX"/>
        </w:rPr>
        <w:t xml:space="preserve">Grado de Ejecución </w:t>
      </w:r>
      <w:r>
        <w:rPr>
          <w:rFonts w:ascii="Times New Roman" w:hAnsi="Times New Roman" w:cs="Times New Roman"/>
          <w:b/>
          <w:lang w:val="es-MX"/>
        </w:rPr>
        <w:t>de los últimos 5 años</w:t>
      </w:r>
    </w:p>
    <w:p w14:paraId="0976CAD8" w14:textId="77777777" w:rsidR="0041262B" w:rsidRDefault="0041262B" w:rsidP="0041262B">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w:t>
      </w:r>
      <w:r w:rsidRPr="00FC1C67">
        <w:rPr>
          <w:rFonts w:ascii="Times New Roman" w:hAnsi="Times New Roman" w:cs="Times New Roman"/>
          <w:sz w:val="18"/>
          <w:szCs w:val="18"/>
          <w:lang w:val="es-MX"/>
        </w:rPr>
        <w:t xml:space="preserve"> de</w:t>
      </w:r>
      <w:r>
        <w:rPr>
          <w:rFonts w:ascii="Times New Roman" w:hAnsi="Times New Roman" w:cs="Times New Roman"/>
          <w:sz w:val="18"/>
          <w:szCs w:val="18"/>
          <w:lang w:val="es-MX"/>
        </w:rPr>
        <w:t xml:space="preserve"> enero </w:t>
      </w:r>
      <w:r w:rsidRPr="00FC1C67">
        <w:rPr>
          <w:rFonts w:ascii="Times New Roman" w:hAnsi="Times New Roman" w:cs="Times New Roman"/>
          <w:sz w:val="18"/>
          <w:szCs w:val="18"/>
          <w:lang w:val="es-MX"/>
        </w:rPr>
        <w:t>de</w:t>
      </w:r>
      <w:r>
        <w:rPr>
          <w:rFonts w:ascii="Times New Roman" w:hAnsi="Times New Roman" w:cs="Times New Roman"/>
          <w:sz w:val="18"/>
          <w:szCs w:val="18"/>
          <w:lang w:val="es-MX"/>
        </w:rPr>
        <w:t xml:space="preserve"> cada año</w:t>
      </w:r>
    </w:p>
    <w:p w14:paraId="2D507392" w14:textId="77777777" w:rsidR="0041262B" w:rsidRDefault="0041262B" w:rsidP="0041262B">
      <w:pPr>
        <w:pStyle w:val="Sinespaciado"/>
        <w:jc w:val="center"/>
        <w:rPr>
          <w:rFonts w:ascii="Times New Roman" w:hAnsi="Times New Roman" w:cs="Times New Roman"/>
          <w:sz w:val="18"/>
          <w:szCs w:val="18"/>
          <w:lang w:val="es-MX"/>
        </w:rPr>
      </w:pPr>
      <w:r>
        <w:rPr>
          <w:rFonts w:ascii="Times New Roman" w:hAnsi="Times New Roman" w:cs="Times New Roman"/>
          <w:noProof/>
          <w:sz w:val="18"/>
          <w:szCs w:val="18"/>
          <w:lang w:eastAsia="es-GT"/>
        </w:rPr>
        <w:drawing>
          <wp:anchor distT="0" distB="0" distL="114300" distR="114300" simplePos="0" relativeHeight="251748352" behindDoc="0" locked="0" layoutInCell="1" allowOverlap="1" wp14:anchorId="2568BF15" wp14:editId="6345252F">
            <wp:simplePos x="0" y="0"/>
            <wp:positionH relativeFrom="column">
              <wp:posOffset>-110490</wp:posOffset>
            </wp:positionH>
            <wp:positionV relativeFrom="paragraph">
              <wp:posOffset>156845</wp:posOffset>
            </wp:positionV>
            <wp:extent cx="2795905" cy="1995170"/>
            <wp:effectExtent l="0" t="0" r="4445" b="5080"/>
            <wp:wrapSquare wrapText="bothSides"/>
            <wp:docPr id="250" name="Gráfico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rFonts w:ascii="Times New Roman" w:hAnsi="Times New Roman" w:cs="Times New Roman"/>
          <w:sz w:val="18"/>
          <w:szCs w:val="18"/>
          <w:lang w:val="es-MX"/>
        </w:rPr>
        <w:t>Cifras en porcentajes</w:t>
      </w:r>
    </w:p>
    <w:p w14:paraId="026E7D3D" w14:textId="77777777" w:rsidR="0041262B" w:rsidRPr="00401DB9" w:rsidRDefault="0041262B" w:rsidP="0041262B">
      <w:pPr>
        <w:spacing w:after="0" w:line="240" w:lineRule="auto"/>
        <w:jc w:val="both"/>
        <w:rPr>
          <w:rFonts w:ascii="Times New Roman" w:hAnsi="Times New Roman" w:cs="Times New Roman"/>
          <w:sz w:val="16"/>
        </w:rPr>
      </w:pPr>
      <w:r w:rsidRPr="00401DB9">
        <w:rPr>
          <w:rFonts w:ascii="Times New Roman" w:hAnsi="Times New Roman" w:cs="Times New Roman"/>
          <w:sz w:val="16"/>
        </w:rPr>
        <w:t>Fuente: Dirección de Análisis y Política Fiscal</w:t>
      </w:r>
    </w:p>
    <w:p w14:paraId="63C72E6D" w14:textId="77777777" w:rsidR="0041262B" w:rsidRPr="00126A64" w:rsidRDefault="0041262B" w:rsidP="0041262B">
      <w:pPr>
        <w:pStyle w:val="Sinespaciado"/>
        <w:jc w:val="both"/>
        <w:rPr>
          <w:rFonts w:ascii="Times New Roman" w:hAnsi="Times New Roman" w:cs="Times New Roman"/>
        </w:rPr>
      </w:pPr>
    </w:p>
    <w:p w14:paraId="6B4CFE50" w14:textId="77777777" w:rsidR="0041262B" w:rsidRDefault="0041262B" w:rsidP="0041262B">
      <w:pPr>
        <w:pStyle w:val="Sinespaciado"/>
        <w:jc w:val="both"/>
        <w:rPr>
          <w:rFonts w:ascii="Times New Roman" w:hAnsi="Times New Roman" w:cs="Times New Roman"/>
        </w:rPr>
      </w:pPr>
      <w:r>
        <w:rPr>
          <w:rFonts w:ascii="Times New Roman" w:hAnsi="Times New Roman" w:cs="Times New Roman"/>
        </w:rPr>
        <w:t xml:space="preserve">A nivel del gasto público por entidades, muestran el mayor nivel de ejecución Educación (11.2%), la PGN (8.2%), Gobernación (7.3%), Defensa (6.9%), Finanzas Públicas (6.7%), Trabajo (6.6%), Presidencia (6.4%), Energía (6.2%) y Ambiente (6.0%), todas estas entidades se encuentran por arriba de la ejecución total. </w:t>
      </w:r>
    </w:p>
    <w:p w14:paraId="03C5376E" w14:textId="77777777" w:rsidR="0041262B" w:rsidRDefault="0041262B" w:rsidP="0041262B">
      <w:pPr>
        <w:pStyle w:val="Sinespaciado"/>
        <w:jc w:val="both"/>
        <w:rPr>
          <w:rFonts w:ascii="Times New Roman" w:hAnsi="Times New Roman" w:cs="Times New Roman"/>
        </w:rPr>
      </w:pPr>
    </w:p>
    <w:p w14:paraId="3FEC2DE2" w14:textId="77777777" w:rsidR="0041262B" w:rsidRDefault="0041262B" w:rsidP="0041262B">
      <w:pPr>
        <w:pStyle w:val="Sinespaciado"/>
        <w:jc w:val="both"/>
        <w:rPr>
          <w:rFonts w:ascii="Times New Roman" w:hAnsi="Times New Roman" w:cs="Times New Roman"/>
        </w:rPr>
      </w:pPr>
      <w:r>
        <w:rPr>
          <w:rFonts w:ascii="Times New Roman" w:hAnsi="Times New Roman" w:cs="Times New Roman"/>
        </w:rPr>
        <w:t>Por su parte, el resto de las entidades se encuentran por debajo de la ejecución institucional total, resalta el caso de tres entidades, siendo Comunicaciones (0.8%), Economía (0</w:t>
      </w:r>
      <w:r w:rsidRPr="00241093">
        <w:rPr>
          <w:rFonts w:ascii="Times New Roman" w:hAnsi="Times New Roman" w:cs="Times New Roman"/>
        </w:rPr>
        <w:t>.</w:t>
      </w:r>
      <w:r>
        <w:rPr>
          <w:rFonts w:ascii="Times New Roman" w:hAnsi="Times New Roman" w:cs="Times New Roman"/>
        </w:rPr>
        <w:t>5</w:t>
      </w:r>
      <w:r w:rsidRPr="00241093">
        <w:rPr>
          <w:rFonts w:ascii="Times New Roman" w:hAnsi="Times New Roman" w:cs="Times New Roman"/>
        </w:rPr>
        <w:t>%)</w:t>
      </w:r>
      <w:r>
        <w:rPr>
          <w:rFonts w:ascii="Times New Roman" w:hAnsi="Times New Roman" w:cs="Times New Roman"/>
        </w:rPr>
        <w:t xml:space="preserve"> y Desarrollo Social (0.1%).</w:t>
      </w:r>
    </w:p>
    <w:p w14:paraId="62A91669" w14:textId="77777777" w:rsidR="0041262B" w:rsidRDefault="0041262B" w:rsidP="0041262B">
      <w:pPr>
        <w:pStyle w:val="Sinespaciado"/>
        <w:jc w:val="both"/>
        <w:rPr>
          <w:rFonts w:ascii="Times New Roman" w:hAnsi="Times New Roman" w:cs="Times New Roman"/>
        </w:rPr>
      </w:pPr>
    </w:p>
    <w:p w14:paraId="0BCD95C9" w14:textId="77777777" w:rsidR="0041262B" w:rsidRPr="0041262B" w:rsidRDefault="0041262B" w:rsidP="0041262B">
      <w:pPr>
        <w:pStyle w:val="Sinespaciado"/>
        <w:jc w:val="both"/>
        <w:rPr>
          <w:rFonts w:ascii="Times New Roman" w:hAnsi="Times New Roman" w:cs="Times New Roman"/>
        </w:rPr>
      </w:pPr>
      <w:r>
        <w:rPr>
          <w:rFonts w:ascii="Times New Roman" w:hAnsi="Times New Roman" w:cs="Times New Roman"/>
        </w:rPr>
        <w:t xml:space="preserve">En el caso de la baja ejecución del </w:t>
      </w:r>
      <w:r w:rsidRPr="00A2006E">
        <w:rPr>
          <w:rFonts w:ascii="Times New Roman" w:hAnsi="Times New Roman" w:cs="Times New Roman"/>
        </w:rPr>
        <w:t>Ministerio de Comunicaciones, Infraestructura</w:t>
      </w:r>
      <w:r>
        <w:rPr>
          <w:rFonts w:ascii="Times New Roman" w:hAnsi="Times New Roman" w:cs="Times New Roman"/>
        </w:rPr>
        <w:t xml:space="preserve"> y Vivienda</w:t>
      </w:r>
      <w:r w:rsidRPr="00A2006E">
        <w:rPr>
          <w:rFonts w:ascii="Times New Roman" w:hAnsi="Times New Roman" w:cs="Times New Roman"/>
        </w:rPr>
        <w:t xml:space="preserve"> </w:t>
      </w:r>
      <w:r w:rsidRPr="008C7058">
        <w:rPr>
          <w:rFonts w:ascii="Times New Roman" w:hAnsi="Times New Roman" w:cs="Times New Roman"/>
        </w:rPr>
        <w:t>se encuentra en línea con el comportamiento observado en la inversión real directa</w:t>
      </w:r>
      <w:r>
        <w:rPr>
          <w:rFonts w:ascii="Times New Roman" w:hAnsi="Times New Roman" w:cs="Times New Roman"/>
        </w:rPr>
        <w:t xml:space="preserve"> que únicamente reporta Q0.7 millones de ejecución, en la medida que se hagan las readecuaciones presupuestarias para la reconstrucción y obras públicas contempladas como parte de la </w:t>
      </w:r>
      <w:r>
        <w:rPr>
          <w:rFonts w:ascii="Times New Roman" w:hAnsi="Times New Roman" w:cs="Times New Roman"/>
        </w:rPr>
        <w:t xml:space="preserve">reactivación económica, se verá un repunte en la ejecución de la entidad. </w:t>
      </w:r>
    </w:p>
    <w:p w14:paraId="68F7F91D" w14:textId="77777777" w:rsidR="0041262B" w:rsidRDefault="0041262B" w:rsidP="0041262B">
      <w:pPr>
        <w:pStyle w:val="Sinespaciado"/>
        <w:jc w:val="both"/>
        <w:rPr>
          <w:rFonts w:ascii="Times New Roman" w:hAnsi="Times New Roman" w:cs="Times New Roman"/>
          <w:lang w:val="es-MX"/>
        </w:rPr>
      </w:pPr>
    </w:p>
    <w:p w14:paraId="0C1CB71D" w14:textId="77777777" w:rsidR="0041262B" w:rsidRPr="00FC1C67" w:rsidRDefault="0041262B" w:rsidP="0041262B">
      <w:pPr>
        <w:spacing w:after="0" w:line="240" w:lineRule="auto"/>
        <w:jc w:val="center"/>
        <w:rPr>
          <w:rFonts w:ascii="Times New Roman" w:hAnsi="Times New Roman" w:cs="Times New Roman"/>
          <w:b/>
          <w:lang w:val="es-MX"/>
        </w:rPr>
      </w:pPr>
      <w:r w:rsidRPr="00FC1C67">
        <w:rPr>
          <w:rFonts w:ascii="Times New Roman" w:hAnsi="Times New Roman" w:cs="Times New Roman"/>
          <w:b/>
          <w:lang w:val="es-MX"/>
        </w:rPr>
        <w:t>Grado de Ejecución por Entidad</w:t>
      </w:r>
    </w:p>
    <w:p w14:paraId="44A98463" w14:textId="77777777" w:rsidR="0041262B" w:rsidRDefault="0041262B" w:rsidP="0041262B">
      <w:pPr>
        <w:spacing w:after="0" w:line="240" w:lineRule="auto"/>
        <w:jc w:val="center"/>
        <w:rPr>
          <w:rFonts w:ascii="Times New Roman" w:hAnsi="Times New Roman" w:cs="Times New Roman"/>
          <w:sz w:val="18"/>
          <w:szCs w:val="18"/>
          <w:lang w:val="es-MX"/>
        </w:rPr>
      </w:pPr>
      <w:r>
        <w:rPr>
          <w:rFonts w:ascii="Times New Roman" w:hAnsi="Times New Roman" w:cs="Times New Roman"/>
          <w:sz w:val="18"/>
          <w:szCs w:val="18"/>
          <w:lang w:val="es-MX"/>
        </w:rPr>
        <w:t>Al 31</w:t>
      </w:r>
      <w:r w:rsidRPr="00FC1C67">
        <w:rPr>
          <w:rFonts w:ascii="Times New Roman" w:hAnsi="Times New Roman" w:cs="Times New Roman"/>
          <w:sz w:val="18"/>
          <w:szCs w:val="18"/>
          <w:lang w:val="es-MX"/>
        </w:rPr>
        <w:t xml:space="preserve"> de</w:t>
      </w:r>
      <w:r>
        <w:rPr>
          <w:rFonts w:ascii="Times New Roman" w:hAnsi="Times New Roman" w:cs="Times New Roman"/>
          <w:sz w:val="18"/>
          <w:szCs w:val="18"/>
          <w:lang w:val="es-MX"/>
        </w:rPr>
        <w:t xml:space="preserve"> enero</w:t>
      </w:r>
      <w:r w:rsidRPr="00FC1C67">
        <w:rPr>
          <w:rFonts w:ascii="Times New Roman" w:hAnsi="Times New Roman" w:cs="Times New Roman"/>
          <w:sz w:val="18"/>
          <w:szCs w:val="18"/>
          <w:lang w:val="es-MX"/>
        </w:rPr>
        <w:t xml:space="preserve"> de</w:t>
      </w:r>
      <w:r>
        <w:rPr>
          <w:rFonts w:ascii="Times New Roman" w:hAnsi="Times New Roman" w:cs="Times New Roman"/>
          <w:sz w:val="18"/>
          <w:szCs w:val="18"/>
          <w:lang w:val="es-MX"/>
        </w:rPr>
        <w:t>l</w:t>
      </w:r>
      <w:r w:rsidRPr="00FC1C67">
        <w:rPr>
          <w:rFonts w:ascii="Times New Roman" w:hAnsi="Times New Roman" w:cs="Times New Roman"/>
          <w:sz w:val="18"/>
          <w:szCs w:val="18"/>
          <w:lang w:val="es-MX"/>
        </w:rPr>
        <w:t xml:space="preserve"> 20</w:t>
      </w:r>
      <w:r>
        <w:rPr>
          <w:rFonts w:ascii="Times New Roman" w:hAnsi="Times New Roman" w:cs="Times New Roman"/>
          <w:sz w:val="18"/>
          <w:szCs w:val="18"/>
          <w:lang w:val="es-MX"/>
        </w:rPr>
        <w:t>21</w:t>
      </w:r>
    </w:p>
    <w:p w14:paraId="3648B44A" w14:textId="77777777" w:rsidR="0041262B" w:rsidRDefault="0041262B" w:rsidP="0041262B">
      <w:pPr>
        <w:spacing w:after="0" w:line="240" w:lineRule="auto"/>
        <w:jc w:val="center"/>
        <w:rPr>
          <w:rFonts w:ascii="Times New Roman" w:hAnsi="Times New Roman" w:cs="Times New Roman"/>
          <w:sz w:val="18"/>
          <w:szCs w:val="18"/>
          <w:lang w:val="es-MX"/>
        </w:rPr>
      </w:pPr>
      <w:r>
        <w:rPr>
          <w:rFonts w:ascii="Times New Roman" w:hAnsi="Times New Roman" w:cs="Times New Roman"/>
          <w:noProof/>
          <w:sz w:val="18"/>
          <w:szCs w:val="18"/>
          <w:lang w:eastAsia="es-GT"/>
        </w:rPr>
        <w:drawing>
          <wp:anchor distT="0" distB="0" distL="114300" distR="114300" simplePos="0" relativeHeight="251747328" behindDoc="0" locked="0" layoutInCell="1" allowOverlap="1" wp14:anchorId="03AAB70C" wp14:editId="2B3977FC">
            <wp:simplePos x="0" y="0"/>
            <wp:positionH relativeFrom="column">
              <wp:posOffset>-34290</wp:posOffset>
            </wp:positionH>
            <wp:positionV relativeFrom="paragraph">
              <wp:posOffset>144145</wp:posOffset>
            </wp:positionV>
            <wp:extent cx="2559685" cy="2949575"/>
            <wp:effectExtent l="0" t="0" r="0" b="317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FC1C67">
        <w:rPr>
          <w:rFonts w:ascii="Times New Roman" w:hAnsi="Times New Roman" w:cs="Times New Roman"/>
          <w:sz w:val="18"/>
          <w:szCs w:val="18"/>
          <w:lang w:val="es-MX"/>
        </w:rPr>
        <w:t>Millones de quetzales</w:t>
      </w:r>
    </w:p>
    <w:p w14:paraId="17013F91" w14:textId="5892C0B7" w:rsidR="0041262B" w:rsidRPr="00401DB9" w:rsidRDefault="0041262B" w:rsidP="0041262B">
      <w:pPr>
        <w:spacing w:after="0" w:line="240" w:lineRule="auto"/>
        <w:jc w:val="both"/>
        <w:rPr>
          <w:rFonts w:ascii="Times New Roman" w:hAnsi="Times New Roman" w:cs="Times New Roman"/>
          <w:sz w:val="16"/>
        </w:rPr>
      </w:pPr>
      <w:r w:rsidRPr="00401DB9">
        <w:rPr>
          <w:rFonts w:ascii="Times New Roman" w:hAnsi="Times New Roman" w:cs="Times New Roman"/>
          <w:sz w:val="16"/>
        </w:rPr>
        <w:t>Fuente: Dirección de Análisis y Política Fiscal</w:t>
      </w:r>
    </w:p>
    <w:p w14:paraId="25F04B3C" w14:textId="77777777" w:rsidR="0041262B" w:rsidRPr="0001130B" w:rsidRDefault="0041262B" w:rsidP="0041262B">
      <w:pPr>
        <w:pStyle w:val="Sinespaciado"/>
        <w:jc w:val="both"/>
        <w:rPr>
          <w:rFonts w:ascii="Times New Roman" w:hAnsi="Times New Roman" w:cs="Times New Roman"/>
        </w:rPr>
      </w:pPr>
    </w:p>
    <w:p w14:paraId="05DD8959"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De </w:t>
      </w:r>
      <w:r w:rsidRPr="00C74885">
        <w:rPr>
          <w:rFonts w:ascii="Times New Roman" w:hAnsi="Times New Roman" w:cs="Times New Roman"/>
          <w:lang w:val="es-MX"/>
        </w:rPr>
        <w:t>l</w:t>
      </w:r>
      <w:r>
        <w:rPr>
          <w:rFonts w:ascii="Times New Roman" w:hAnsi="Times New Roman" w:cs="Times New Roman"/>
          <w:lang w:val="es-MX"/>
        </w:rPr>
        <w:t>a ejecución del</w:t>
      </w:r>
      <w:r w:rsidRPr="00C74885">
        <w:rPr>
          <w:rFonts w:ascii="Times New Roman" w:hAnsi="Times New Roman" w:cs="Times New Roman"/>
          <w:lang w:val="es-MX"/>
        </w:rPr>
        <w:t xml:space="preserve"> gasto social, </w:t>
      </w:r>
      <w:r>
        <w:rPr>
          <w:rFonts w:ascii="Times New Roman" w:hAnsi="Times New Roman" w:cs="Times New Roman"/>
          <w:lang w:val="es-MX"/>
        </w:rPr>
        <w:t xml:space="preserve">que considera </w:t>
      </w:r>
    </w:p>
    <w:p w14:paraId="1EEACA64" w14:textId="77777777"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únicamente los sectores de salud, educación y vivienda, se reporta una ejecución de 7.6%, al incluir en el gasto social a los sectores que son parte de los compromisos asumidos por los Acuerdos de Paz, que incluye la seguridad interna, los aportes al Organismo Judicial, Corte de Constitucionalidad y Ministerio Público, la ejecución desciende levemente hasta ubicarse en 7.3%. </w:t>
      </w:r>
    </w:p>
    <w:p w14:paraId="641658DA" w14:textId="4FCD2AB5" w:rsidR="0041262B" w:rsidRDefault="0041262B" w:rsidP="0041262B">
      <w:pPr>
        <w:pStyle w:val="Sinespaciado"/>
        <w:jc w:val="both"/>
        <w:rPr>
          <w:rFonts w:ascii="Times New Roman" w:hAnsi="Times New Roman" w:cs="Times New Roman"/>
          <w:lang w:val="es-MX"/>
        </w:rPr>
      </w:pPr>
    </w:p>
    <w:p w14:paraId="485B81AE" w14:textId="312FDE9E"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Las funciones de la Educación, Ciencia y Cultura reportan el mayor dinamismo del gasto social, con una ejecución de 9.8%, seguido de la Seguridad Interna con 7.0% de ejecución. </w:t>
      </w:r>
    </w:p>
    <w:p w14:paraId="798ACBEC" w14:textId="22DB39EA" w:rsidR="0041262B" w:rsidRDefault="0041262B" w:rsidP="0041262B">
      <w:pPr>
        <w:pStyle w:val="Sinespaciado"/>
        <w:jc w:val="both"/>
        <w:rPr>
          <w:rFonts w:ascii="Times New Roman" w:hAnsi="Times New Roman" w:cs="Times New Roman"/>
          <w:lang w:val="es-MX"/>
        </w:rPr>
      </w:pPr>
    </w:p>
    <w:p w14:paraId="5CBE0329" w14:textId="5B87EFB0" w:rsidR="0041262B" w:rsidRDefault="0041262B" w:rsidP="0041262B">
      <w:pPr>
        <w:pStyle w:val="Sinespaciado"/>
        <w:jc w:val="both"/>
        <w:rPr>
          <w:rFonts w:ascii="Times New Roman" w:hAnsi="Times New Roman" w:cs="Times New Roman"/>
          <w:lang w:val="es-MX"/>
        </w:rPr>
      </w:pPr>
      <w:r>
        <w:rPr>
          <w:rFonts w:ascii="Times New Roman" w:hAnsi="Times New Roman" w:cs="Times New Roman"/>
          <w:lang w:val="es-MX"/>
        </w:rPr>
        <w:t xml:space="preserve">El sector con la menor ejecución es el de la vivienda, reportando únicamente un 2.8%. </w:t>
      </w:r>
    </w:p>
    <w:p w14:paraId="01B61127" w14:textId="57A2F986" w:rsidR="009B7456" w:rsidRDefault="009B7456" w:rsidP="0041262B">
      <w:pPr>
        <w:pStyle w:val="Sinespaciado"/>
        <w:jc w:val="both"/>
        <w:rPr>
          <w:rFonts w:ascii="Times New Roman" w:hAnsi="Times New Roman" w:cs="Times New Roman"/>
          <w:lang w:val="es-MX"/>
        </w:rPr>
      </w:pPr>
    </w:p>
    <w:p w14:paraId="1AEB0ACC" w14:textId="11301230" w:rsidR="0041262B" w:rsidRDefault="0041262B" w:rsidP="0041262B">
      <w:pPr>
        <w:pStyle w:val="Sinespaciado"/>
        <w:jc w:val="center"/>
        <w:rPr>
          <w:rFonts w:ascii="Times New Roman" w:hAnsi="Times New Roman" w:cs="Times New Roman"/>
          <w:b/>
          <w:lang w:val="es-MX"/>
        </w:rPr>
      </w:pPr>
      <w:r w:rsidRPr="002A1B95">
        <w:rPr>
          <w:rFonts w:ascii="Times New Roman" w:hAnsi="Times New Roman" w:cs="Times New Roman"/>
          <w:b/>
          <w:lang w:val="es-MX"/>
        </w:rPr>
        <w:lastRenderedPageBreak/>
        <w:t>Ejecución</w:t>
      </w:r>
      <w:r>
        <w:rPr>
          <w:rFonts w:ascii="Times New Roman" w:hAnsi="Times New Roman" w:cs="Times New Roman"/>
          <w:b/>
          <w:lang w:val="es-MX"/>
        </w:rPr>
        <w:t xml:space="preserve"> y crecimiento del Gasto Social </w:t>
      </w:r>
    </w:p>
    <w:p w14:paraId="4609F06E" w14:textId="194BB6E5" w:rsidR="0041262B" w:rsidRPr="009D459C" w:rsidRDefault="0041262B" w:rsidP="0041262B">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enero 2021</w:t>
      </w:r>
    </w:p>
    <w:p w14:paraId="06597369" w14:textId="08B438ED" w:rsidR="0041262B" w:rsidRDefault="00100B94" w:rsidP="0041262B">
      <w:pPr>
        <w:pStyle w:val="Sinespaciado"/>
        <w:jc w:val="center"/>
        <w:rPr>
          <w:rFonts w:ascii="Times New Roman" w:hAnsi="Times New Roman" w:cs="Times New Roman"/>
          <w:sz w:val="18"/>
          <w:szCs w:val="18"/>
          <w:lang w:val="es-MX"/>
        </w:rPr>
      </w:pPr>
      <w:r w:rsidRPr="003F18AA">
        <w:rPr>
          <w:noProof/>
          <w:lang w:eastAsia="es-GT"/>
        </w:rPr>
        <w:drawing>
          <wp:anchor distT="0" distB="0" distL="114300" distR="114300" simplePos="0" relativeHeight="251750400" behindDoc="0" locked="0" layoutInCell="1" allowOverlap="1" wp14:anchorId="09F9AF36" wp14:editId="34887EDB">
            <wp:simplePos x="0" y="0"/>
            <wp:positionH relativeFrom="column">
              <wp:posOffset>-107950</wp:posOffset>
            </wp:positionH>
            <wp:positionV relativeFrom="paragraph">
              <wp:posOffset>170663</wp:posOffset>
            </wp:positionV>
            <wp:extent cx="2826385" cy="1384300"/>
            <wp:effectExtent l="0" t="0" r="0" b="6350"/>
            <wp:wrapSquare wrapText="bothSides"/>
            <wp:docPr id="2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638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62B" w:rsidRPr="00CA1F67">
        <w:rPr>
          <w:rFonts w:ascii="Times New Roman" w:hAnsi="Times New Roman" w:cs="Times New Roman"/>
          <w:sz w:val="18"/>
          <w:szCs w:val="18"/>
          <w:lang w:val="es-MX"/>
        </w:rPr>
        <w:t>Cifras en porcentajes y en millones de quetzales</w:t>
      </w:r>
    </w:p>
    <w:p w14:paraId="30AD2ADC" w14:textId="070C446D" w:rsidR="0041262B" w:rsidRDefault="0041262B" w:rsidP="0041262B">
      <w:pPr>
        <w:pStyle w:val="Sinespaciado"/>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14:paraId="7E51F7BC" w14:textId="7937A7D4" w:rsidR="00BA782D" w:rsidRPr="008E31D9" w:rsidRDefault="00BA782D" w:rsidP="00BA782D">
      <w:pPr>
        <w:pStyle w:val="Sinespaciado"/>
        <w:jc w:val="both"/>
        <w:rPr>
          <w:rFonts w:ascii="Times New Roman" w:hAnsi="Times New Roman" w:cs="Times New Roman"/>
          <w:color w:val="FF0000"/>
          <w:sz w:val="18"/>
        </w:rPr>
      </w:pPr>
    </w:p>
    <w:p w14:paraId="682CFA9D" w14:textId="3AB95AE1" w:rsidR="00A044EF" w:rsidRDefault="009B7456" w:rsidP="009B7456">
      <w:pPr>
        <w:pStyle w:val="Sinespaciado"/>
        <w:jc w:val="both"/>
        <w:rPr>
          <w:rFonts w:ascii="Times New Roman" w:hAnsi="Times New Roman" w:cs="Times New Roman"/>
          <w:color w:val="FF0000"/>
          <w:lang w:val="es-MX"/>
        </w:rPr>
      </w:pPr>
      <w:r w:rsidRPr="00851F17">
        <w:rPr>
          <w:rFonts w:ascii="Times New Roman" w:hAnsi="Times New Roman" w:cs="Times New Roman"/>
        </w:rPr>
        <w:t>En cuanto al financiamiento</w:t>
      </w:r>
      <w:r>
        <w:rPr>
          <w:rFonts w:ascii="Times New Roman" w:hAnsi="Times New Roman" w:cs="Times New Roman"/>
        </w:rPr>
        <w:t xml:space="preserve"> del gasto público, este fue financiado en su gran mayoría por fuentes tributarias. Aún no han iniciado las colocaciones de bonos del tesoro y los desembolsos de préstamos se mantienen en un nivel muy bajo, mientras las amortizaciones </w:t>
      </w:r>
      <w:r w:rsidRPr="009B7456">
        <w:rPr>
          <w:rFonts w:ascii="Times New Roman" w:hAnsi="Times New Roman" w:cs="Times New Roman"/>
        </w:rPr>
        <w:t>alcanzaron los Q273.6 millones y de esa cuenta el financiamiento externo neto es negativo.</w:t>
      </w:r>
    </w:p>
    <w:p w14:paraId="41E12865" w14:textId="736D1EBE" w:rsidR="00A044EF" w:rsidRPr="009B7456" w:rsidRDefault="00A044EF" w:rsidP="00BA782D">
      <w:pPr>
        <w:pStyle w:val="Sinespaciado"/>
        <w:jc w:val="both"/>
        <w:rPr>
          <w:rFonts w:ascii="Times New Roman" w:hAnsi="Times New Roman" w:cs="Times New Roman"/>
          <w:lang w:val="es-MX"/>
        </w:rPr>
      </w:pPr>
    </w:p>
    <w:p w14:paraId="2911F37D" w14:textId="2F160716" w:rsidR="009B7456" w:rsidRPr="008E31D9" w:rsidRDefault="009B7456" w:rsidP="00BA782D">
      <w:pPr>
        <w:pStyle w:val="Sinespaciado"/>
        <w:jc w:val="both"/>
        <w:rPr>
          <w:rFonts w:ascii="Times New Roman" w:hAnsi="Times New Roman" w:cs="Times New Roman"/>
          <w:lang w:val="es-MX"/>
        </w:rPr>
      </w:pPr>
      <w:r w:rsidRPr="009B7456">
        <w:rPr>
          <w:rFonts w:ascii="Times New Roman" w:hAnsi="Times New Roman" w:cs="Times New Roman"/>
          <w:lang w:val="es-MX"/>
        </w:rPr>
        <w:t>Derivado de un mayor nivel de ingresos respecto a los gastos, se reporta un incremento en la caja por Q1,2</w:t>
      </w:r>
      <w:r w:rsidR="00100B94">
        <w:rPr>
          <w:rFonts w:ascii="Times New Roman" w:hAnsi="Times New Roman" w:cs="Times New Roman"/>
          <w:lang w:val="es-MX"/>
        </w:rPr>
        <w:t>28</w:t>
      </w:r>
      <w:r w:rsidRPr="009B7456">
        <w:rPr>
          <w:rFonts w:ascii="Times New Roman" w:hAnsi="Times New Roman" w:cs="Times New Roman"/>
          <w:lang w:val="es-MX"/>
        </w:rPr>
        <w:t>.</w:t>
      </w:r>
      <w:r w:rsidR="00100B94">
        <w:rPr>
          <w:rFonts w:ascii="Times New Roman" w:hAnsi="Times New Roman" w:cs="Times New Roman"/>
          <w:lang w:val="es-MX"/>
        </w:rPr>
        <w:t>8</w:t>
      </w:r>
      <w:r w:rsidRPr="009B7456">
        <w:rPr>
          <w:rFonts w:ascii="Times New Roman" w:hAnsi="Times New Roman" w:cs="Times New Roman"/>
          <w:lang w:val="es-MX"/>
        </w:rPr>
        <w:t xml:space="preserve"> millones.</w:t>
      </w:r>
    </w:p>
    <w:p w14:paraId="3A2F41E5" w14:textId="0BF5966A" w:rsidR="00BA782D" w:rsidRDefault="00BA782D" w:rsidP="00BA782D">
      <w:pPr>
        <w:pStyle w:val="Sinespaciado"/>
        <w:jc w:val="both"/>
        <w:rPr>
          <w:rFonts w:ascii="Times New Roman" w:hAnsi="Times New Roman" w:cs="Times New Roman"/>
          <w:color w:val="FF0000"/>
          <w:sz w:val="16"/>
        </w:rPr>
      </w:pPr>
    </w:p>
    <w:p w14:paraId="67981C86" w14:textId="77777777" w:rsidR="00A673A4" w:rsidRPr="00CE2620" w:rsidRDefault="00A673A4" w:rsidP="00BA782D">
      <w:pPr>
        <w:pStyle w:val="Sinespaciado"/>
        <w:jc w:val="both"/>
        <w:rPr>
          <w:rFonts w:ascii="Times New Roman" w:hAnsi="Times New Roman" w:cs="Times New Roman"/>
          <w:color w:val="FF0000"/>
          <w:sz w:val="16"/>
        </w:rPr>
        <w:sectPr w:rsidR="00A673A4" w:rsidRPr="00CE2620" w:rsidSect="00040C99">
          <w:headerReference w:type="default" r:id="rId24"/>
          <w:footerReference w:type="default" r:id="rId25"/>
          <w:type w:val="continuous"/>
          <w:pgSz w:w="12240" w:h="15840" w:code="1"/>
          <w:pgMar w:top="1418" w:right="1418" w:bottom="1418" w:left="1701" w:header="709" w:footer="709" w:gutter="0"/>
          <w:cols w:num="2" w:space="708"/>
          <w:docGrid w:linePitch="360"/>
        </w:sectPr>
      </w:pPr>
    </w:p>
    <w:p w14:paraId="41FFB586" w14:textId="77777777" w:rsidR="00BA782D" w:rsidRPr="00CE2620" w:rsidRDefault="00BA782D" w:rsidP="00216605">
      <w:pPr>
        <w:pStyle w:val="Sinespaciado"/>
        <w:jc w:val="both"/>
        <w:rPr>
          <w:rFonts w:ascii="Times New Roman" w:hAnsi="Times New Roman" w:cs="Times New Roman"/>
          <w:color w:val="FF0000"/>
          <w:sz w:val="2"/>
          <w:lang w:val="es-MX"/>
        </w:rPr>
      </w:pPr>
    </w:p>
    <w:p w14:paraId="4ABA23F4" w14:textId="77777777" w:rsidR="001E4CD2" w:rsidRPr="00CE2620" w:rsidRDefault="001E4CD2" w:rsidP="00BC7539">
      <w:pPr>
        <w:pStyle w:val="Sinespaciado"/>
        <w:jc w:val="both"/>
        <w:rPr>
          <w:rFonts w:ascii="Times New Roman" w:hAnsi="Times New Roman" w:cs="Times New Roman"/>
          <w:color w:val="FF0000"/>
          <w:sz w:val="6"/>
        </w:rPr>
      </w:pPr>
    </w:p>
    <w:p w14:paraId="11FD61F5" w14:textId="77777777" w:rsidR="009B76D6" w:rsidRPr="00CE2620" w:rsidRDefault="009B76D6" w:rsidP="00CE75B5">
      <w:pPr>
        <w:pStyle w:val="Sinespaciado"/>
        <w:jc w:val="both"/>
        <w:rPr>
          <w:rFonts w:ascii="Times New Roman" w:hAnsi="Times New Roman" w:cs="Times New Roman"/>
          <w:color w:val="FF0000"/>
        </w:rPr>
        <w:sectPr w:rsidR="009B76D6" w:rsidRPr="00CE2620" w:rsidSect="00D554B2">
          <w:headerReference w:type="default" r:id="rId26"/>
          <w:footerReference w:type="default" r:id="rId27"/>
          <w:type w:val="continuous"/>
          <w:pgSz w:w="12240" w:h="15840"/>
          <w:pgMar w:top="1417" w:right="1701" w:bottom="1417" w:left="1701" w:header="708" w:footer="708" w:gutter="0"/>
          <w:cols w:num="2" w:space="708"/>
          <w:docGrid w:linePitch="360"/>
        </w:sectPr>
      </w:pPr>
    </w:p>
    <w:p w14:paraId="2053CDDE" w14:textId="77777777" w:rsidR="00494D1D" w:rsidRPr="00B42A82"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B42A82" w:rsidSect="00FA3B81">
          <w:headerReference w:type="default" r:id="rId28"/>
          <w:footerReference w:type="default" r:id="rId29"/>
          <w:type w:val="continuous"/>
          <w:pgSz w:w="12240" w:h="15840" w:code="1"/>
          <w:pgMar w:top="1418" w:right="1418" w:bottom="1418" w:left="1418" w:header="709" w:footer="709" w:gutter="0"/>
          <w:cols w:space="708"/>
          <w:docGrid w:linePitch="360"/>
        </w:sectPr>
      </w:pPr>
      <w:r w:rsidRPr="00B42A82">
        <w:rPr>
          <w:rFonts w:ascii="Times New Roman" w:hAnsi="Times New Roman" w:cs="Times New Roman"/>
          <w:b/>
          <w:lang w:val="es-MX"/>
        </w:rPr>
        <w:t>Ambientes macroeconómicos (externo e interno)</w:t>
      </w:r>
    </w:p>
    <w:p w14:paraId="4A0D7924" w14:textId="77777777" w:rsidR="00494D1D" w:rsidRPr="008E31D9" w:rsidRDefault="00494D1D" w:rsidP="00494D1D">
      <w:pPr>
        <w:pStyle w:val="Sinespaciado"/>
        <w:rPr>
          <w:rFonts w:ascii="Times New Roman" w:hAnsi="Times New Roman" w:cs="Times New Roman"/>
          <w:b/>
          <w:color w:val="FF0000"/>
          <w:lang w:val="es-MX"/>
        </w:rPr>
      </w:pPr>
    </w:p>
    <w:p w14:paraId="01ED3C77" w14:textId="77777777" w:rsidR="00494D1D" w:rsidRPr="00CE2620" w:rsidRDefault="00494D1D" w:rsidP="00494D1D">
      <w:pPr>
        <w:pStyle w:val="Sinespaciado"/>
        <w:rPr>
          <w:rFonts w:ascii="Times New Roman" w:hAnsi="Times New Roman" w:cs="Times New Roman"/>
          <w:b/>
          <w:color w:val="FF0000"/>
          <w:sz w:val="28"/>
          <w:lang w:val="es-MX"/>
        </w:rPr>
        <w:sectPr w:rsidR="00494D1D" w:rsidRPr="00CE2620" w:rsidSect="004E358C">
          <w:type w:val="continuous"/>
          <w:pgSz w:w="12240" w:h="15840"/>
          <w:pgMar w:top="1417" w:right="1701" w:bottom="1417" w:left="1701" w:header="708" w:footer="708" w:gutter="0"/>
          <w:cols w:space="708"/>
          <w:docGrid w:linePitch="360"/>
        </w:sectPr>
      </w:pPr>
    </w:p>
    <w:p w14:paraId="0535414E" w14:textId="3A235C77" w:rsidR="00CB5234" w:rsidRDefault="00E16303" w:rsidP="00C97A4D">
      <w:pPr>
        <w:pStyle w:val="Textodeglobo"/>
        <w:jc w:val="both"/>
        <w:rPr>
          <w:rFonts w:ascii="Times New Roman" w:hAnsi="Times New Roman" w:cs="Times New Roman"/>
          <w:sz w:val="22"/>
          <w:szCs w:val="22"/>
        </w:rPr>
      </w:pPr>
      <w:r w:rsidRPr="00B42A82">
        <w:rPr>
          <w:rFonts w:ascii="Times New Roman" w:hAnsi="Times New Roman" w:cs="Times New Roman"/>
          <w:sz w:val="22"/>
          <w:szCs w:val="22"/>
        </w:rPr>
        <w:t xml:space="preserve">Entre lo más relevante acontecido </w:t>
      </w:r>
      <w:r w:rsidR="0040580B" w:rsidRPr="00B42A82">
        <w:rPr>
          <w:rFonts w:ascii="Times New Roman" w:hAnsi="Times New Roman" w:cs="Times New Roman"/>
          <w:sz w:val="22"/>
          <w:szCs w:val="22"/>
        </w:rPr>
        <w:t xml:space="preserve">en </w:t>
      </w:r>
      <w:r w:rsidR="00E551C4" w:rsidRPr="00B42A82">
        <w:rPr>
          <w:rFonts w:ascii="Times New Roman" w:hAnsi="Times New Roman" w:cs="Times New Roman"/>
          <w:sz w:val="22"/>
          <w:szCs w:val="22"/>
        </w:rPr>
        <w:t>e</w:t>
      </w:r>
      <w:r w:rsidR="0040580B" w:rsidRPr="00B42A82">
        <w:rPr>
          <w:rFonts w:ascii="Times New Roman" w:hAnsi="Times New Roman" w:cs="Times New Roman"/>
          <w:sz w:val="22"/>
          <w:szCs w:val="22"/>
        </w:rPr>
        <w:t>nero</w:t>
      </w:r>
      <w:r w:rsidR="00E551C4" w:rsidRPr="00B42A82">
        <w:rPr>
          <w:rFonts w:ascii="Times New Roman" w:hAnsi="Times New Roman" w:cs="Times New Roman"/>
          <w:sz w:val="22"/>
          <w:szCs w:val="22"/>
        </w:rPr>
        <w:t xml:space="preserve"> se </w:t>
      </w:r>
      <w:r w:rsidR="00CB5234">
        <w:rPr>
          <w:rFonts w:ascii="Times New Roman" w:hAnsi="Times New Roman" w:cs="Times New Roman"/>
          <w:sz w:val="22"/>
          <w:szCs w:val="22"/>
        </w:rPr>
        <w:t xml:space="preserve">destaca </w:t>
      </w:r>
      <w:r w:rsidR="00CB5234" w:rsidRPr="00CB5234">
        <w:rPr>
          <w:rFonts w:ascii="Times New Roman" w:hAnsi="Times New Roman" w:cs="Times New Roman"/>
          <w:sz w:val="22"/>
          <w:szCs w:val="22"/>
        </w:rPr>
        <w:t>el Informe de Perspectivas de la Economía Mundial</w:t>
      </w:r>
      <w:r w:rsidR="00CB5234">
        <w:rPr>
          <w:rFonts w:ascii="Times New Roman" w:hAnsi="Times New Roman" w:cs="Times New Roman"/>
          <w:sz w:val="22"/>
          <w:szCs w:val="22"/>
        </w:rPr>
        <w:t xml:space="preserve"> elaborado por el </w:t>
      </w:r>
      <w:r w:rsidR="00CB5234" w:rsidRPr="00CB5234">
        <w:rPr>
          <w:rFonts w:ascii="Times New Roman" w:hAnsi="Times New Roman" w:cs="Times New Roman"/>
          <w:sz w:val="22"/>
          <w:szCs w:val="22"/>
        </w:rPr>
        <w:t>Fond</w:t>
      </w:r>
      <w:r w:rsidR="00CB5234">
        <w:rPr>
          <w:rFonts w:ascii="Times New Roman" w:hAnsi="Times New Roman" w:cs="Times New Roman"/>
          <w:sz w:val="22"/>
          <w:szCs w:val="22"/>
        </w:rPr>
        <w:t xml:space="preserve">o Monetario Internacional (FMI), ahí se </w:t>
      </w:r>
      <w:r w:rsidR="00CB5234" w:rsidRPr="00CB5234">
        <w:rPr>
          <w:rFonts w:ascii="Times New Roman" w:hAnsi="Times New Roman" w:cs="Times New Roman"/>
          <w:sz w:val="22"/>
          <w:szCs w:val="22"/>
        </w:rPr>
        <w:t>reporta que el Producto Interno Bruto (PIB) mundial tendrá una contracción del -3.5%, pero se recuperará en 5.5% para 2021 y en 4.2% para 2022.</w:t>
      </w:r>
      <w:r w:rsidR="00CB5234">
        <w:rPr>
          <w:rFonts w:ascii="Times New Roman" w:hAnsi="Times New Roman" w:cs="Times New Roman"/>
          <w:sz w:val="22"/>
          <w:szCs w:val="22"/>
        </w:rPr>
        <w:t xml:space="preserve">  </w:t>
      </w:r>
      <w:r w:rsidR="002C0919">
        <w:rPr>
          <w:rFonts w:ascii="Times New Roman" w:hAnsi="Times New Roman" w:cs="Times New Roman"/>
          <w:sz w:val="22"/>
          <w:szCs w:val="22"/>
        </w:rPr>
        <w:t>De</w:t>
      </w:r>
      <w:r w:rsidR="00C97A4D">
        <w:rPr>
          <w:rFonts w:ascii="Times New Roman" w:hAnsi="Times New Roman" w:cs="Times New Roman"/>
          <w:sz w:val="22"/>
          <w:szCs w:val="22"/>
        </w:rPr>
        <w:t>l informe</w:t>
      </w:r>
      <w:r w:rsidR="00CB5234" w:rsidRPr="00CB5234">
        <w:rPr>
          <w:rFonts w:ascii="Times New Roman" w:hAnsi="Times New Roman" w:cs="Times New Roman"/>
          <w:sz w:val="22"/>
          <w:szCs w:val="22"/>
        </w:rPr>
        <w:t xml:space="preserve"> </w:t>
      </w:r>
      <w:r w:rsidR="00C97A4D">
        <w:rPr>
          <w:rFonts w:ascii="Times New Roman" w:hAnsi="Times New Roman" w:cs="Times New Roman"/>
          <w:sz w:val="22"/>
          <w:szCs w:val="22"/>
        </w:rPr>
        <w:t xml:space="preserve">se puede destacar que </w:t>
      </w:r>
      <w:r w:rsidR="00CB5234" w:rsidRPr="00CB5234">
        <w:rPr>
          <w:rFonts w:ascii="Times New Roman" w:hAnsi="Times New Roman" w:cs="Times New Roman"/>
          <w:sz w:val="22"/>
          <w:szCs w:val="22"/>
        </w:rPr>
        <w:t>las economías avanzadas decrecerán en -4.9% en 2020, la expectativa de crecimiento es de 4.3% para 2021 y de 3.1% para 2022;</w:t>
      </w:r>
      <w:r w:rsidR="00C97A4D">
        <w:rPr>
          <w:rFonts w:ascii="Times New Roman" w:hAnsi="Times New Roman" w:cs="Times New Roman"/>
          <w:sz w:val="22"/>
          <w:szCs w:val="22"/>
        </w:rPr>
        <w:t xml:space="preserve"> y </w:t>
      </w:r>
      <w:r w:rsidR="00CB5234" w:rsidRPr="00CB5234">
        <w:rPr>
          <w:rFonts w:ascii="Times New Roman" w:hAnsi="Times New Roman" w:cs="Times New Roman"/>
          <w:sz w:val="22"/>
          <w:szCs w:val="22"/>
        </w:rPr>
        <w:t>las economías emergentes y en desarrollo contraerán la producción en -2.4% en 2020, pero crecerán en 6.3% y 5.0% para los próximos dos años, respectivamente.</w:t>
      </w:r>
    </w:p>
    <w:p w14:paraId="6716F6EC" w14:textId="77777777" w:rsidR="00CB5234" w:rsidRPr="008E31D9" w:rsidRDefault="00CB5234" w:rsidP="0040580B">
      <w:pPr>
        <w:pStyle w:val="Textodeglobo"/>
        <w:jc w:val="both"/>
        <w:rPr>
          <w:rFonts w:ascii="Times New Roman" w:hAnsi="Times New Roman" w:cs="Times New Roman"/>
          <w:sz w:val="24"/>
          <w:szCs w:val="22"/>
        </w:rPr>
      </w:pPr>
    </w:p>
    <w:p w14:paraId="770BA54C" w14:textId="77777777" w:rsidR="00B42A82" w:rsidRDefault="00CB5234" w:rsidP="0040580B">
      <w:pPr>
        <w:pStyle w:val="Textodeglobo"/>
        <w:jc w:val="both"/>
        <w:rPr>
          <w:rFonts w:ascii="Times New Roman" w:hAnsi="Times New Roman" w:cs="Times New Roman"/>
          <w:sz w:val="22"/>
          <w:szCs w:val="22"/>
        </w:rPr>
      </w:pPr>
      <w:r>
        <w:rPr>
          <w:rFonts w:ascii="Times New Roman" w:hAnsi="Times New Roman" w:cs="Times New Roman"/>
          <w:sz w:val="22"/>
          <w:szCs w:val="22"/>
        </w:rPr>
        <w:t>L</w:t>
      </w:r>
      <w:r w:rsidR="00B42A82" w:rsidRPr="00B42A82">
        <w:rPr>
          <w:rFonts w:ascii="Times New Roman" w:hAnsi="Times New Roman" w:cs="Times New Roman"/>
          <w:sz w:val="22"/>
          <w:szCs w:val="22"/>
        </w:rPr>
        <w:t>a Oficina Presupuestaria del Congreso estadounidense</w:t>
      </w:r>
      <w:r>
        <w:rPr>
          <w:rFonts w:ascii="Times New Roman" w:hAnsi="Times New Roman" w:cs="Times New Roman"/>
          <w:sz w:val="22"/>
          <w:szCs w:val="22"/>
        </w:rPr>
        <w:t xml:space="preserve"> comunicó que</w:t>
      </w:r>
      <w:r w:rsidR="00B42A82" w:rsidRPr="00B42A82">
        <w:rPr>
          <w:rFonts w:ascii="Times New Roman" w:hAnsi="Times New Roman" w:cs="Times New Roman"/>
          <w:sz w:val="22"/>
          <w:szCs w:val="22"/>
        </w:rPr>
        <w:t xml:space="preserve"> </w:t>
      </w:r>
      <w:r w:rsidR="00C97A4D">
        <w:rPr>
          <w:rFonts w:ascii="Times New Roman" w:hAnsi="Times New Roman" w:cs="Times New Roman"/>
          <w:sz w:val="22"/>
          <w:szCs w:val="22"/>
        </w:rPr>
        <w:t xml:space="preserve">esperan </w:t>
      </w:r>
      <w:r w:rsidR="00B42A82" w:rsidRPr="00B42A82">
        <w:rPr>
          <w:rFonts w:ascii="Times New Roman" w:hAnsi="Times New Roman" w:cs="Times New Roman"/>
          <w:sz w:val="22"/>
          <w:szCs w:val="22"/>
        </w:rPr>
        <w:t xml:space="preserve">un crecimiento económico de 3.7% en el año, y </w:t>
      </w:r>
      <w:r w:rsidR="00B42A82">
        <w:rPr>
          <w:rFonts w:ascii="Times New Roman" w:hAnsi="Times New Roman" w:cs="Times New Roman"/>
          <w:sz w:val="22"/>
          <w:szCs w:val="22"/>
        </w:rPr>
        <w:t xml:space="preserve">un descenso en </w:t>
      </w:r>
      <w:r w:rsidR="00B42A82" w:rsidRPr="00B42A82">
        <w:rPr>
          <w:rFonts w:ascii="Times New Roman" w:hAnsi="Times New Roman" w:cs="Times New Roman"/>
          <w:sz w:val="22"/>
          <w:szCs w:val="22"/>
        </w:rPr>
        <w:t>la tasa de desempleo a 5.3% a finales del año; la mejora de las perspectivas se atribuye a que grandes sectores de la economía se están adaptando mejor y más rápidamente a la pandemia y al paquete de ayuda económica de US$ 900,000 millones aprobados por el Congreso en diciembre.</w:t>
      </w:r>
      <w:r w:rsidR="00B42A82">
        <w:rPr>
          <w:rFonts w:ascii="Times New Roman" w:hAnsi="Times New Roman" w:cs="Times New Roman"/>
          <w:sz w:val="22"/>
          <w:szCs w:val="22"/>
        </w:rPr>
        <w:t xml:space="preserve">  </w:t>
      </w:r>
      <w:r w:rsidR="0055590E">
        <w:rPr>
          <w:rFonts w:ascii="Times New Roman" w:hAnsi="Times New Roman" w:cs="Times New Roman"/>
          <w:sz w:val="22"/>
          <w:szCs w:val="22"/>
        </w:rPr>
        <w:t xml:space="preserve"> </w:t>
      </w:r>
      <w:r w:rsidR="00B42A82">
        <w:rPr>
          <w:rFonts w:ascii="Times New Roman" w:hAnsi="Times New Roman" w:cs="Times New Roman"/>
          <w:sz w:val="22"/>
          <w:szCs w:val="22"/>
        </w:rPr>
        <w:t>Por su parte, el Departamento de Comercio comunicó un aumento de 17.7% del déficit comercial en 2020</w:t>
      </w:r>
      <w:r w:rsidR="0055590E">
        <w:rPr>
          <w:rFonts w:ascii="Times New Roman" w:hAnsi="Times New Roman" w:cs="Times New Roman"/>
          <w:sz w:val="22"/>
          <w:szCs w:val="22"/>
        </w:rPr>
        <w:t>; l</w:t>
      </w:r>
      <w:r w:rsidR="00B42A82" w:rsidRPr="00B42A82">
        <w:rPr>
          <w:rFonts w:ascii="Times New Roman" w:hAnsi="Times New Roman" w:cs="Times New Roman"/>
          <w:sz w:val="22"/>
          <w:szCs w:val="22"/>
        </w:rPr>
        <w:t xml:space="preserve">a brecha del comercio de bienes con China, eje de la discordia durante la </w:t>
      </w:r>
      <w:r w:rsidR="00B42A82" w:rsidRPr="00B42A82">
        <w:rPr>
          <w:rFonts w:ascii="Times New Roman" w:hAnsi="Times New Roman" w:cs="Times New Roman"/>
          <w:sz w:val="22"/>
          <w:szCs w:val="22"/>
        </w:rPr>
        <w:t>administración de Donald Trump, se redujo a casi 10% interanual y del 7.56% en diciembre.</w:t>
      </w:r>
    </w:p>
    <w:p w14:paraId="14D142E8" w14:textId="77777777" w:rsidR="004D0A0F" w:rsidRPr="008E31D9" w:rsidRDefault="004D0A0F" w:rsidP="004D0A0F">
      <w:pPr>
        <w:spacing w:after="0" w:line="240" w:lineRule="auto"/>
        <w:jc w:val="both"/>
        <w:rPr>
          <w:rFonts w:ascii="Times New Roman" w:hAnsi="Times New Roman" w:cs="Times New Roman"/>
          <w:color w:val="FF0000"/>
          <w:sz w:val="24"/>
        </w:rPr>
      </w:pPr>
    </w:p>
    <w:p w14:paraId="3B008025" w14:textId="77777777" w:rsidR="0062255C" w:rsidRPr="00C97A4D" w:rsidRDefault="00C97A4D" w:rsidP="00D75E95">
      <w:pPr>
        <w:spacing w:after="0" w:line="240" w:lineRule="auto"/>
        <w:jc w:val="both"/>
        <w:rPr>
          <w:rFonts w:ascii="Times New Roman" w:hAnsi="Times New Roman" w:cs="Times New Roman"/>
        </w:rPr>
      </w:pPr>
      <w:r w:rsidRPr="00C97A4D">
        <w:rPr>
          <w:rFonts w:ascii="Times New Roman" w:hAnsi="Times New Roman" w:cs="Times New Roman"/>
        </w:rPr>
        <w:t xml:space="preserve">La confianza económica de la zona euro se redujo en enero después de que los confinamientos decretados para frenar el avance de la pandemia profundicen aún más el ánimo en los servicios, el comercio minorista y los consumidores, a pesar de una mejora de la confianza en el sector industrial. Los datos mensuales de la Comisión Europea mostraron que el sentimiento económico en los 19 países que conforman la zona, </w:t>
      </w:r>
      <w:r w:rsidR="0055590E">
        <w:rPr>
          <w:rFonts w:ascii="Times New Roman" w:hAnsi="Times New Roman" w:cs="Times New Roman"/>
        </w:rPr>
        <w:t>disminuyó</w:t>
      </w:r>
      <w:r w:rsidRPr="00C97A4D">
        <w:rPr>
          <w:rFonts w:ascii="Times New Roman" w:hAnsi="Times New Roman" w:cs="Times New Roman"/>
        </w:rPr>
        <w:t xml:space="preserve"> hasta los 91.5 puntos</w:t>
      </w:r>
      <w:r w:rsidR="0055590E">
        <w:rPr>
          <w:rFonts w:ascii="Times New Roman" w:hAnsi="Times New Roman" w:cs="Times New Roman"/>
        </w:rPr>
        <w:t xml:space="preserve"> </w:t>
      </w:r>
      <w:r w:rsidRPr="00C97A4D">
        <w:rPr>
          <w:rFonts w:ascii="Times New Roman" w:hAnsi="Times New Roman" w:cs="Times New Roman"/>
        </w:rPr>
        <w:t>desde los 92.4 de diciembre.</w:t>
      </w:r>
    </w:p>
    <w:p w14:paraId="1D40D852" w14:textId="77777777" w:rsidR="00C645BC" w:rsidRPr="008E31D9" w:rsidRDefault="00C645BC" w:rsidP="00D75E95">
      <w:pPr>
        <w:spacing w:after="0" w:line="240" w:lineRule="auto"/>
        <w:jc w:val="both"/>
        <w:rPr>
          <w:rFonts w:ascii="Times New Roman" w:hAnsi="Times New Roman" w:cs="Times New Roman"/>
          <w:color w:val="FF0000"/>
          <w:sz w:val="24"/>
        </w:rPr>
      </w:pPr>
    </w:p>
    <w:p w14:paraId="5BB78333" w14:textId="77777777" w:rsidR="0062255C" w:rsidRPr="0055590E" w:rsidRDefault="00C97A4D" w:rsidP="00C97A4D">
      <w:pPr>
        <w:spacing w:after="0" w:line="240" w:lineRule="auto"/>
        <w:jc w:val="both"/>
        <w:rPr>
          <w:rFonts w:ascii="Times New Roman" w:hAnsi="Times New Roman" w:cs="Times New Roman"/>
          <w:lang w:val="es-MX"/>
        </w:rPr>
      </w:pPr>
      <w:r w:rsidRPr="0055590E">
        <w:rPr>
          <w:rFonts w:ascii="Times New Roman" w:hAnsi="Times New Roman" w:cs="Times New Roman"/>
          <w:lang w:val="es-MX"/>
        </w:rPr>
        <w:t xml:space="preserve">El Banco de Japón (BoJ) mejoró la previsión de crecimiento de su economía para 2021, </w:t>
      </w:r>
      <w:r w:rsidR="0055590E" w:rsidRPr="0055590E">
        <w:rPr>
          <w:rFonts w:ascii="Times New Roman" w:hAnsi="Times New Roman" w:cs="Times New Roman"/>
          <w:lang w:val="es-MX"/>
        </w:rPr>
        <w:t>proyectando</w:t>
      </w:r>
      <w:r w:rsidRPr="0055590E">
        <w:rPr>
          <w:rFonts w:ascii="Times New Roman" w:hAnsi="Times New Roman" w:cs="Times New Roman"/>
          <w:lang w:val="es-MX"/>
        </w:rPr>
        <w:t xml:space="preserve"> que el producto interior bruto (PIB) </w:t>
      </w:r>
      <w:r w:rsidR="0055590E" w:rsidRPr="0055590E">
        <w:rPr>
          <w:rFonts w:ascii="Times New Roman" w:hAnsi="Times New Roman" w:cs="Times New Roman"/>
          <w:lang w:val="es-MX"/>
        </w:rPr>
        <w:t>avance un 3.9</w:t>
      </w:r>
      <w:r w:rsidRPr="0055590E">
        <w:rPr>
          <w:rFonts w:ascii="Times New Roman" w:hAnsi="Times New Roman" w:cs="Times New Roman"/>
          <w:lang w:val="es-MX"/>
        </w:rPr>
        <w:t xml:space="preserve">%, tres </w:t>
      </w:r>
      <w:r w:rsidRPr="00FE1AFF">
        <w:rPr>
          <w:rFonts w:ascii="Times New Roman" w:hAnsi="Times New Roman" w:cs="Times New Roman"/>
          <w:lang w:val="es-MX"/>
        </w:rPr>
        <w:t>décimas por en</w:t>
      </w:r>
      <w:r w:rsidR="0055590E" w:rsidRPr="00FE1AFF">
        <w:rPr>
          <w:rFonts w:ascii="Times New Roman" w:hAnsi="Times New Roman" w:cs="Times New Roman"/>
          <w:lang w:val="es-MX"/>
        </w:rPr>
        <w:t xml:space="preserve">cima de su estimación anterior.  </w:t>
      </w:r>
      <w:r w:rsidRPr="00FE1AFF">
        <w:rPr>
          <w:rFonts w:ascii="Times New Roman" w:hAnsi="Times New Roman" w:cs="Times New Roman"/>
          <w:lang w:val="es-MX"/>
        </w:rPr>
        <w:t xml:space="preserve">Esto se debe a que, pese a que el BoJ considera que la covid-19 seguirá ejerciendo presión por el aumento de </w:t>
      </w:r>
      <w:r w:rsidRPr="0055590E">
        <w:rPr>
          <w:rFonts w:ascii="Times New Roman" w:hAnsi="Times New Roman" w:cs="Times New Roman"/>
          <w:lang w:val="es-MX"/>
        </w:rPr>
        <w:t>casos actual, "especialmente en los servicios de consumo cara a cara", prevé que la economía siga una tendencia de mejoría cuando la pandemia remita, aunque el ritmo será moderado, ha explicado en su informe.</w:t>
      </w:r>
    </w:p>
    <w:p w14:paraId="2A312B52" w14:textId="77777777" w:rsidR="00C97A4D" w:rsidRPr="00CE2620" w:rsidRDefault="00C97A4D" w:rsidP="00C97A4D">
      <w:pPr>
        <w:spacing w:after="0" w:line="240" w:lineRule="auto"/>
        <w:jc w:val="both"/>
        <w:rPr>
          <w:rFonts w:ascii="Times New Roman" w:hAnsi="Times New Roman" w:cs="Times New Roman"/>
          <w:color w:val="FF0000"/>
        </w:rPr>
      </w:pPr>
    </w:p>
    <w:p w14:paraId="3B57C2EE" w14:textId="7C53ADB9" w:rsidR="009C5F4E" w:rsidRDefault="0055590E" w:rsidP="00D75E95">
      <w:pPr>
        <w:spacing w:after="0" w:line="240" w:lineRule="auto"/>
        <w:jc w:val="both"/>
        <w:rPr>
          <w:rFonts w:ascii="Times New Roman" w:hAnsi="Times New Roman" w:cs="Times New Roman"/>
          <w:lang w:val="es-MX"/>
        </w:rPr>
      </w:pPr>
      <w:r w:rsidRPr="0055590E">
        <w:rPr>
          <w:rFonts w:ascii="Times New Roman" w:hAnsi="Times New Roman" w:cs="Times New Roman"/>
          <w:lang w:val="es-MX"/>
        </w:rPr>
        <w:lastRenderedPageBreak/>
        <w:t xml:space="preserve">La Comisión Económica para América Latina y el Caribe (CEPAL) dio a conocer en enero su última edición del informe Perspectivas del Comercio de </w:t>
      </w:r>
      <w:r w:rsidR="00F34933" w:rsidRPr="0055590E">
        <w:rPr>
          <w:rFonts w:ascii="Times New Roman" w:hAnsi="Times New Roman" w:cs="Times New Roman"/>
          <w:lang w:val="es-MX"/>
        </w:rPr>
        <w:t>América</w:t>
      </w:r>
      <w:r w:rsidR="002C0919">
        <w:rPr>
          <w:rFonts w:ascii="Times New Roman" w:hAnsi="Times New Roman" w:cs="Times New Roman"/>
          <w:lang w:val="es-MX"/>
        </w:rPr>
        <w:t xml:space="preserve"> Latina y el Caribe 2020, en donde</w:t>
      </w:r>
      <w:r w:rsidR="00F34933">
        <w:rPr>
          <w:rFonts w:ascii="Times New Roman" w:hAnsi="Times New Roman" w:cs="Times New Roman"/>
          <w:lang w:val="es-MX"/>
        </w:rPr>
        <w:t xml:space="preserve"> se revela una caída de 13% en las exportaciones de la región, mientras las importaciones disminuyeron 20%, atribuido a la abrupta caída de la demanda mundial por la pandemia, así como a las restricciones fronterizas que afectaron la logística del comercio internacional.  </w:t>
      </w:r>
    </w:p>
    <w:p w14:paraId="61E428DE" w14:textId="26624E9E" w:rsidR="008E31D9" w:rsidRDefault="008E31D9" w:rsidP="00E1309C">
      <w:pPr>
        <w:pStyle w:val="Sinespaciado"/>
        <w:jc w:val="both"/>
        <w:rPr>
          <w:rFonts w:ascii="Times New Roman" w:eastAsia="Times New Roman" w:hAnsi="Times New Roman" w:cs="Times New Roman"/>
          <w:lang w:val="es-MX"/>
        </w:rPr>
      </w:pPr>
    </w:p>
    <w:p w14:paraId="55289247" w14:textId="20010331" w:rsidR="00E1309C" w:rsidRDefault="003804E5" w:rsidP="00E1309C">
      <w:pPr>
        <w:pStyle w:val="Sinespaciado"/>
        <w:jc w:val="both"/>
        <w:rPr>
          <w:rFonts w:ascii="Times New Roman" w:eastAsia="Times New Roman" w:hAnsi="Times New Roman" w:cs="Times New Roman"/>
          <w:lang w:val="es-MX"/>
        </w:rPr>
      </w:pPr>
      <w:r w:rsidRPr="000F7F65">
        <w:rPr>
          <w:rFonts w:ascii="Times New Roman" w:eastAsia="Times New Roman" w:hAnsi="Times New Roman" w:cs="Times New Roman"/>
          <w:lang w:val="es-MX"/>
        </w:rPr>
        <w:t xml:space="preserve">En el entorno interno, </w:t>
      </w:r>
      <w:r w:rsidR="00107309" w:rsidRPr="000F7F65">
        <w:rPr>
          <w:rFonts w:ascii="Times New Roman" w:eastAsia="Times New Roman" w:hAnsi="Times New Roman" w:cs="Times New Roman"/>
          <w:lang w:val="es-MX"/>
        </w:rPr>
        <w:t xml:space="preserve">la percepción sobre la situación económica actual y el ambiente para los negocios </w:t>
      </w:r>
      <w:r w:rsidR="000F7F65">
        <w:rPr>
          <w:rFonts w:ascii="Times New Roman" w:eastAsia="Times New Roman" w:hAnsi="Times New Roman" w:cs="Times New Roman"/>
          <w:lang w:val="es-MX"/>
        </w:rPr>
        <w:t xml:space="preserve">comienza a dar muestras de mejoría con respecto a los meses del año anterior más afectados por la pandemia; </w:t>
      </w:r>
      <w:r w:rsidR="00107309" w:rsidRPr="000F7F65">
        <w:rPr>
          <w:rFonts w:ascii="Times New Roman" w:eastAsia="Times New Roman" w:hAnsi="Times New Roman" w:cs="Times New Roman"/>
          <w:lang w:val="es-MX"/>
        </w:rPr>
        <w:t xml:space="preserve">el nivel </w:t>
      </w:r>
      <w:r w:rsidR="00107309" w:rsidRPr="000F7F65">
        <w:rPr>
          <w:rFonts w:ascii="Times New Roman" w:eastAsia="Times New Roman" w:hAnsi="Times New Roman" w:cs="Times New Roman"/>
          <w:lang w:val="es-MX"/>
        </w:rPr>
        <w:t>del Índice de Confianza de la Ac</w:t>
      </w:r>
      <w:r w:rsidR="009D38BF" w:rsidRPr="000F7F65">
        <w:rPr>
          <w:rFonts w:ascii="Times New Roman" w:eastAsia="Times New Roman" w:hAnsi="Times New Roman" w:cs="Times New Roman"/>
          <w:lang w:val="es-MX"/>
        </w:rPr>
        <w:t xml:space="preserve">tividad </w:t>
      </w:r>
      <w:r w:rsidR="000F7F65" w:rsidRPr="000F7F65">
        <w:rPr>
          <w:rFonts w:ascii="Times New Roman" w:eastAsia="Times New Roman" w:hAnsi="Times New Roman" w:cs="Times New Roman"/>
          <w:lang w:val="es-MX"/>
        </w:rPr>
        <w:t>Económica se situó en 51.18 puntos, superior en 2.69</w:t>
      </w:r>
      <w:r w:rsidR="00107309" w:rsidRPr="000F7F65">
        <w:rPr>
          <w:rFonts w:ascii="Times New Roman" w:eastAsia="Times New Roman" w:hAnsi="Times New Roman" w:cs="Times New Roman"/>
          <w:lang w:val="es-MX"/>
        </w:rPr>
        <w:t>% co</w:t>
      </w:r>
      <w:r w:rsidR="000F7F65" w:rsidRPr="000F7F65">
        <w:rPr>
          <w:rFonts w:ascii="Times New Roman" w:eastAsia="Times New Roman" w:hAnsi="Times New Roman" w:cs="Times New Roman"/>
          <w:lang w:val="es-MX"/>
        </w:rPr>
        <w:t>n respecto al registrado en diciembre 2020, pero se redujo en 23.0</w:t>
      </w:r>
      <w:r w:rsidR="000C1FF2" w:rsidRPr="000F7F65">
        <w:rPr>
          <w:rFonts w:ascii="Times New Roman" w:eastAsia="Times New Roman" w:hAnsi="Times New Roman" w:cs="Times New Roman"/>
          <w:lang w:val="es-MX"/>
        </w:rPr>
        <w:t>4</w:t>
      </w:r>
      <w:r w:rsidR="00107309" w:rsidRPr="000F7F65">
        <w:rPr>
          <w:rFonts w:ascii="Times New Roman" w:eastAsia="Times New Roman" w:hAnsi="Times New Roman" w:cs="Times New Roman"/>
          <w:lang w:val="es-MX"/>
        </w:rPr>
        <w:t>%</w:t>
      </w:r>
      <w:r w:rsidR="005016F7" w:rsidRPr="000F7F65">
        <w:rPr>
          <w:rFonts w:ascii="Times New Roman" w:eastAsia="Times New Roman" w:hAnsi="Times New Roman" w:cs="Times New Roman"/>
          <w:lang w:val="es-MX"/>
        </w:rPr>
        <w:t xml:space="preserve"> </w:t>
      </w:r>
      <w:r w:rsidR="009D38BF" w:rsidRPr="000F7F65">
        <w:rPr>
          <w:rFonts w:ascii="Times New Roman" w:eastAsia="Times New Roman" w:hAnsi="Times New Roman" w:cs="Times New Roman"/>
          <w:lang w:val="es-MX"/>
        </w:rPr>
        <w:t xml:space="preserve">respecto al registrado en </w:t>
      </w:r>
      <w:r w:rsidR="000F7F65" w:rsidRPr="000F7F65">
        <w:rPr>
          <w:rFonts w:ascii="Times New Roman" w:eastAsia="Times New Roman" w:hAnsi="Times New Roman" w:cs="Times New Roman"/>
          <w:lang w:val="es-MX"/>
        </w:rPr>
        <w:t>enero 2020</w:t>
      </w:r>
      <w:r w:rsidR="00107309" w:rsidRPr="000F7F65">
        <w:rPr>
          <w:rFonts w:ascii="Times New Roman" w:eastAsia="Times New Roman" w:hAnsi="Times New Roman" w:cs="Times New Roman"/>
          <w:lang w:val="es-MX"/>
        </w:rPr>
        <w:t xml:space="preserve">.   </w:t>
      </w:r>
    </w:p>
    <w:p w14:paraId="10807DE5" w14:textId="77777777" w:rsidR="00E1309C" w:rsidRDefault="00E1309C" w:rsidP="00E1309C">
      <w:pPr>
        <w:pStyle w:val="Sinespaciado"/>
        <w:jc w:val="both"/>
        <w:rPr>
          <w:rFonts w:ascii="Times New Roman" w:eastAsia="Times New Roman" w:hAnsi="Times New Roman" w:cs="Times New Roman"/>
          <w:lang w:val="es-MX"/>
        </w:rPr>
      </w:pPr>
    </w:p>
    <w:p w14:paraId="2C6A7456" w14:textId="090BA123" w:rsidR="00E1309C" w:rsidRPr="00E1309C" w:rsidRDefault="00E1309C" w:rsidP="00E1309C">
      <w:pPr>
        <w:pStyle w:val="Sinespaciado"/>
        <w:jc w:val="both"/>
        <w:rPr>
          <w:rFonts w:ascii="Times New Roman" w:hAnsi="Times New Roman" w:cs="Times New Roman"/>
        </w:rPr>
      </w:pPr>
      <w:r w:rsidRPr="00E1309C">
        <w:rPr>
          <w:rFonts w:ascii="Times New Roman" w:hAnsi="Times New Roman" w:cs="Times New Roman"/>
        </w:rPr>
        <w:t xml:space="preserve">Las proyecciones más recientes del Banco de Guatemala (Banguat), detallan que el PIB nacional cerraría el 2020 en -2%, mejor que lo previsto en marzo 2020 cuando la expectativa era una caída de -3.5%. En este sentido, el </w:t>
      </w:r>
      <w:r w:rsidR="008E31D9">
        <w:rPr>
          <w:rFonts w:ascii="Times New Roman" w:hAnsi="Times New Roman" w:cs="Times New Roman"/>
        </w:rPr>
        <w:t>FMI</w:t>
      </w:r>
      <w:r w:rsidRPr="00E1309C">
        <w:rPr>
          <w:rFonts w:ascii="Times New Roman" w:hAnsi="Times New Roman" w:cs="Times New Roman"/>
        </w:rPr>
        <w:t xml:space="preserve">, ubicó a Guatemala en la cabeza de los países latinoamericanos en obtener un mejor desempeño económico en 2020, seguido por Paraguay que cerraría el año con -4.0% y Uruguay con -4.5%. </w:t>
      </w:r>
    </w:p>
    <w:p w14:paraId="0AFDDF49" w14:textId="77777777" w:rsidR="00E1309C" w:rsidRPr="0074502B" w:rsidRDefault="00E1309C" w:rsidP="00E1309C">
      <w:pPr>
        <w:pStyle w:val="Sinespaciado"/>
        <w:jc w:val="both"/>
        <w:rPr>
          <w:rFonts w:ascii="Times New Roman" w:hAnsi="Times New Roman" w:cs="Times New Roman"/>
          <w:lang w:val="es-MX"/>
        </w:rPr>
      </w:pPr>
    </w:p>
    <w:p w14:paraId="244A6C45" w14:textId="77777777" w:rsidR="00F062BF" w:rsidRPr="00CE2620" w:rsidRDefault="00F062BF" w:rsidP="00975E49">
      <w:pPr>
        <w:pStyle w:val="Sinespaciado"/>
        <w:ind w:right="-188"/>
        <w:jc w:val="both"/>
        <w:rPr>
          <w:rFonts w:ascii="Times New Roman" w:hAnsi="Times New Roman" w:cs="Times New Roman"/>
          <w:color w:val="FF0000"/>
          <w:sz w:val="16"/>
        </w:rPr>
        <w:sectPr w:rsidR="00F062BF" w:rsidRPr="00CE2620" w:rsidSect="00040C99">
          <w:headerReference w:type="default" r:id="rId30"/>
          <w:footerReference w:type="default" r:id="rId31"/>
          <w:type w:val="continuous"/>
          <w:pgSz w:w="12240" w:h="15840" w:code="1"/>
          <w:pgMar w:top="1418" w:right="1467" w:bottom="1418" w:left="1560" w:header="709" w:footer="709" w:gutter="0"/>
          <w:cols w:num="2" w:space="802"/>
          <w:docGrid w:linePitch="360"/>
        </w:sectPr>
      </w:pPr>
    </w:p>
    <w:p w14:paraId="56284FC2" w14:textId="77777777" w:rsidR="00F062BF" w:rsidRPr="00CE2620" w:rsidRDefault="00F062BF" w:rsidP="00F062BF">
      <w:pPr>
        <w:spacing w:after="0" w:line="240" w:lineRule="auto"/>
        <w:rPr>
          <w:rFonts w:ascii="Times New Roman" w:hAnsi="Times New Roman" w:cs="Times New Roman"/>
          <w:noProof/>
          <w:color w:val="FF0000"/>
          <w:sz w:val="16"/>
          <w:lang w:val="es-MX" w:eastAsia="es-GT"/>
        </w:rPr>
        <w:sectPr w:rsidR="00F062BF" w:rsidRPr="00CE2620" w:rsidSect="00986297">
          <w:headerReference w:type="default" r:id="rId32"/>
          <w:footerReference w:type="default" r:id="rId33"/>
          <w:type w:val="continuous"/>
          <w:pgSz w:w="12240" w:h="15840" w:code="1"/>
          <w:pgMar w:top="1418" w:right="1418" w:bottom="1418" w:left="1418" w:header="709" w:footer="709" w:gutter="0"/>
          <w:cols w:num="2" w:space="708"/>
          <w:docGrid w:linePitch="360"/>
        </w:sectPr>
      </w:pPr>
    </w:p>
    <w:p w14:paraId="6388A442" w14:textId="77777777" w:rsidR="003D557F" w:rsidRPr="00CE2620" w:rsidRDefault="003D557F" w:rsidP="00AD5816">
      <w:pPr>
        <w:spacing w:after="0" w:line="240" w:lineRule="auto"/>
        <w:rPr>
          <w:rFonts w:ascii="Times New Roman" w:hAnsi="Times New Roman" w:cs="Times New Roman"/>
          <w:noProof/>
          <w:color w:val="FF0000"/>
          <w:sz w:val="16"/>
          <w:lang w:eastAsia="es-GT"/>
        </w:rPr>
      </w:pPr>
    </w:p>
    <w:p w14:paraId="52FB2219" w14:textId="5E440969" w:rsidR="00A673A4" w:rsidRDefault="00A673A4" w:rsidP="00AD5816">
      <w:pPr>
        <w:spacing w:after="0" w:line="240" w:lineRule="auto"/>
        <w:rPr>
          <w:rFonts w:ascii="Times New Roman" w:hAnsi="Times New Roman" w:cs="Times New Roman"/>
          <w:noProof/>
          <w:color w:val="FF0000"/>
          <w:sz w:val="16"/>
          <w:lang w:eastAsia="es-GT"/>
        </w:rPr>
      </w:pPr>
    </w:p>
    <w:p w14:paraId="7329F834" w14:textId="6B7B24BB" w:rsidR="00A753EB" w:rsidRDefault="00A753EB" w:rsidP="00AD5816">
      <w:pPr>
        <w:spacing w:after="0" w:line="240" w:lineRule="auto"/>
        <w:rPr>
          <w:rFonts w:ascii="Times New Roman" w:hAnsi="Times New Roman" w:cs="Times New Roman"/>
          <w:noProof/>
          <w:color w:val="FF0000"/>
          <w:sz w:val="16"/>
          <w:lang w:eastAsia="es-GT"/>
        </w:rPr>
      </w:pPr>
    </w:p>
    <w:p w14:paraId="6E3D017B" w14:textId="77109DDE" w:rsidR="00A753EB" w:rsidRDefault="00A753EB" w:rsidP="00AD5816">
      <w:pPr>
        <w:spacing w:after="0" w:line="240" w:lineRule="auto"/>
        <w:rPr>
          <w:rFonts w:ascii="Times New Roman" w:hAnsi="Times New Roman" w:cs="Times New Roman"/>
          <w:noProof/>
          <w:color w:val="FF0000"/>
          <w:sz w:val="16"/>
          <w:lang w:eastAsia="es-GT"/>
        </w:rPr>
      </w:pPr>
    </w:p>
    <w:p w14:paraId="538543CF" w14:textId="6C495302" w:rsidR="00A753EB" w:rsidRDefault="00A753EB" w:rsidP="00AD5816">
      <w:pPr>
        <w:spacing w:after="0" w:line="240" w:lineRule="auto"/>
        <w:rPr>
          <w:rFonts w:ascii="Times New Roman" w:hAnsi="Times New Roman" w:cs="Times New Roman"/>
          <w:noProof/>
          <w:color w:val="FF0000"/>
          <w:sz w:val="16"/>
          <w:lang w:eastAsia="es-GT"/>
        </w:rPr>
      </w:pPr>
    </w:p>
    <w:p w14:paraId="54026D56" w14:textId="4ED85C28" w:rsidR="00A753EB" w:rsidRDefault="00A753EB" w:rsidP="00AD5816">
      <w:pPr>
        <w:spacing w:after="0" w:line="240" w:lineRule="auto"/>
        <w:rPr>
          <w:rFonts w:ascii="Times New Roman" w:hAnsi="Times New Roman" w:cs="Times New Roman"/>
          <w:noProof/>
          <w:color w:val="FF0000"/>
          <w:sz w:val="16"/>
          <w:lang w:eastAsia="es-GT"/>
        </w:rPr>
      </w:pPr>
    </w:p>
    <w:p w14:paraId="5D544F4F" w14:textId="1A8BBC7A" w:rsidR="00A753EB" w:rsidRDefault="00A753EB" w:rsidP="00AD5816">
      <w:pPr>
        <w:spacing w:after="0" w:line="240" w:lineRule="auto"/>
        <w:rPr>
          <w:rFonts w:ascii="Times New Roman" w:hAnsi="Times New Roman" w:cs="Times New Roman"/>
          <w:noProof/>
          <w:color w:val="FF0000"/>
          <w:sz w:val="16"/>
          <w:lang w:eastAsia="es-GT"/>
        </w:rPr>
      </w:pPr>
    </w:p>
    <w:p w14:paraId="7DCA45B2" w14:textId="4A2A05A2" w:rsidR="00A753EB" w:rsidRDefault="00A753EB" w:rsidP="00AD5816">
      <w:pPr>
        <w:spacing w:after="0" w:line="240" w:lineRule="auto"/>
        <w:rPr>
          <w:rFonts w:ascii="Times New Roman" w:hAnsi="Times New Roman" w:cs="Times New Roman"/>
          <w:noProof/>
          <w:color w:val="FF0000"/>
          <w:sz w:val="16"/>
          <w:lang w:eastAsia="es-GT"/>
        </w:rPr>
      </w:pPr>
    </w:p>
    <w:p w14:paraId="4926F13E" w14:textId="785D61D6" w:rsidR="00A753EB" w:rsidRDefault="00A753EB" w:rsidP="00AD5816">
      <w:pPr>
        <w:spacing w:after="0" w:line="240" w:lineRule="auto"/>
        <w:rPr>
          <w:rFonts w:ascii="Times New Roman" w:hAnsi="Times New Roman" w:cs="Times New Roman"/>
          <w:noProof/>
          <w:color w:val="FF0000"/>
          <w:sz w:val="16"/>
          <w:lang w:eastAsia="es-GT"/>
        </w:rPr>
      </w:pPr>
    </w:p>
    <w:p w14:paraId="317F3492" w14:textId="2C5ACF9B" w:rsidR="00A753EB" w:rsidRDefault="00A753EB" w:rsidP="00AD5816">
      <w:pPr>
        <w:spacing w:after="0" w:line="240" w:lineRule="auto"/>
        <w:rPr>
          <w:rFonts w:ascii="Times New Roman" w:hAnsi="Times New Roman" w:cs="Times New Roman"/>
          <w:noProof/>
          <w:color w:val="FF0000"/>
          <w:sz w:val="16"/>
          <w:lang w:eastAsia="es-GT"/>
        </w:rPr>
      </w:pPr>
    </w:p>
    <w:p w14:paraId="32DB2641" w14:textId="18A7DD66" w:rsidR="00A753EB" w:rsidRDefault="00A753EB" w:rsidP="00AD5816">
      <w:pPr>
        <w:spacing w:after="0" w:line="240" w:lineRule="auto"/>
        <w:rPr>
          <w:rFonts w:ascii="Times New Roman" w:hAnsi="Times New Roman" w:cs="Times New Roman"/>
          <w:noProof/>
          <w:color w:val="FF0000"/>
          <w:sz w:val="16"/>
          <w:lang w:eastAsia="es-GT"/>
        </w:rPr>
      </w:pPr>
    </w:p>
    <w:p w14:paraId="7AE5539D" w14:textId="2E5C62AD" w:rsidR="00A753EB" w:rsidRDefault="00A753EB" w:rsidP="00AD5816">
      <w:pPr>
        <w:spacing w:after="0" w:line="240" w:lineRule="auto"/>
        <w:rPr>
          <w:rFonts w:ascii="Times New Roman" w:hAnsi="Times New Roman" w:cs="Times New Roman"/>
          <w:noProof/>
          <w:color w:val="FF0000"/>
          <w:sz w:val="16"/>
          <w:lang w:eastAsia="es-GT"/>
        </w:rPr>
      </w:pPr>
    </w:p>
    <w:p w14:paraId="29425347" w14:textId="7BF991D2" w:rsidR="00A753EB" w:rsidRDefault="00A753EB" w:rsidP="00AD5816">
      <w:pPr>
        <w:spacing w:after="0" w:line="240" w:lineRule="auto"/>
        <w:rPr>
          <w:rFonts w:ascii="Times New Roman" w:hAnsi="Times New Roman" w:cs="Times New Roman"/>
          <w:noProof/>
          <w:color w:val="FF0000"/>
          <w:sz w:val="16"/>
          <w:lang w:eastAsia="es-GT"/>
        </w:rPr>
      </w:pPr>
    </w:p>
    <w:p w14:paraId="305C20C6" w14:textId="53BEF507" w:rsidR="00A753EB" w:rsidRDefault="00A753EB" w:rsidP="00AD5816">
      <w:pPr>
        <w:spacing w:after="0" w:line="240" w:lineRule="auto"/>
        <w:rPr>
          <w:rFonts w:ascii="Times New Roman" w:hAnsi="Times New Roman" w:cs="Times New Roman"/>
          <w:noProof/>
          <w:color w:val="FF0000"/>
          <w:sz w:val="16"/>
          <w:lang w:eastAsia="es-GT"/>
        </w:rPr>
      </w:pPr>
    </w:p>
    <w:p w14:paraId="5FCAFE89" w14:textId="59C58D60" w:rsidR="00A753EB" w:rsidRDefault="00A753EB" w:rsidP="00AD5816">
      <w:pPr>
        <w:spacing w:after="0" w:line="240" w:lineRule="auto"/>
        <w:rPr>
          <w:rFonts w:ascii="Times New Roman" w:hAnsi="Times New Roman" w:cs="Times New Roman"/>
          <w:noProof/>
          <w:color w:val="FF0000"/>
          <w:sz w:val="16"/>
          <w:lang w:eastAsia="es-GT"/>
        </w:rPr>
      </w:pPr>
    </w:p>
    <w:p w14:paraId="0ACD92CA" w14:textId="50DAC961" w:rsidR="00A753EB" w:rsidRDefault="00A753EB" w:rsidP="00AD5816">
      <w:pPr>
        <w:spacing w:after="0" w:line="240" w:lineRule="auto"/>
        <w:rPr>
          <w:rFonts w:ascii="Times New Roman" w:hAnsi="Times New Roman" w:cs="Times New Roman"/>
          <w:noProof/>
          <w:color w:val="FF0000"/>
          <w:sz w:val="16"/>
          <w:lang w:eastAsia="es-GT"/>
        </w:rPr>
      </w:pPr>
    </w:p>
    <w:p w14:paraId="746C7E7A" w14:textId="7A1E0F68" w:rsidR="00A753EB" w:rsidRDefault="00A753EB" w:rsidP="00AD5816">
      <w:pPr>
        <w:spacing w:after="0" w:line="240" w:lineRule="auto"/>
        <w:rPr>
          <w:rFonts w:ascii="Times New Roman" w:hAnsi="Times New Roman" w:cs="Times New Roman"/>
          <w:noProof/>
          <w:color w:val="FF0000"/>
          <w:sz w:val="16"/>
          <w:lang w:eastAsia="es-GT"/>
        </w:rPr>
      </w:pPr>
    </w:p>
    <w:p w14:paraId="6E420AB4" w14:textId="4ABA9BA1" w:rsidR="00A753EB" w:rsidRDefault="00A753EB" w:rsidP="00AD5816">
      <w:pPr>
        <w:spacing w:after="0" w:line="240" w:lineRule="auto"/>
        <w:rPr>
          <w:rFonts w:ascii="Times New Roman" w:hAnsi="Times New Roman" w:cs="Times New Roman"/>
          <w:noProof/>
          <w:color w:val="FF0000"/>
          <w:sz w:val="16"/>
          <w:lang w:eastAsia="es-GT"/>
        </w:rPr>
      </w:pPr>
    </w:p>
    <w:p w14:paraId="73F14068" w14:textId="002C3482" w:rsidR="00A753EB" w:rsidRDefault="00A753EB" w:rsidP="00AD5816">
      <w:pPr>
        <w:spacing w:after="0" w:line="240" w:lineRule="auto"/>
        <w:rPr>
          <w:rFonts w:ascii="Times New Roman" w:hAnsi="Times New Roman" w:cs="Times New Roman"/>
          <w:noProof/>
          <w:color w:val="FF0000"/>
          <w:sz w:val="16"/>
          <w:lang w:eastAsia="es-GT"/>
        </w:rPr>
      </w:pPr>
    </w:p>
    <w:p w14:paraId="3AE70AD6" w14:textId="6BCA6CCA" w:rsidR="00A753EB" w:rsidRDefault="00A753EB" w:rsidP="00AD5816">
      <w:pPr>
        <w:spacing w:after="0" w:line="240" w:lineRule="auto"/>
        <w:rPr>
          <w:rFonts w:ascii="Times New Roman" w:hAnsi="Times New Roman" w:cs="Times New Roman"/>
          <w:noProof/>
          <w:color w:val="FF0000"/>
          <w:sz w:val="16"/>
          <w:lang w:eastAsia="es-GT"/>
        </w:rPr>
      </w:pPr>
    </w:p>
    <w:p w14:paraId="4FBC6A5B" w14:textId="6B81A413" w:rsidR="00A753EB" w:rsidRDefault="00A753EB" w:rsidP="00AD5816">
      <w:pPr>
        <w:spacing w:after="0" w:line="240" w:lineRule="auto"/>
        <w:rPr>
          <w:rFonts w:ascii="Times New Roman" w:hAnsi="Times New Roman" w:cs="Times New Roman"/>
          <w:noProof/>
          <w:color w:val="FF0000"/>
          <w:sz w:val="16"/>
          <w:lang w:eastAsia="es-GT"/>
        </w:rPr>
      </w:pPr>
    </w:p>
    <w:p w14:paraId="67805DBE" w14:textId="79BBB0FE" w:rsidR="00A753EB" w:rsidRDefault="00A753EB" w:rsidP="00AD5816">
      <w:pPr>
        <w:spacing w:after="0" w:line="240" w:lineRule="auto"/>
        <w:rPr>
          <w:rFonts w:ascii="Times New Roman" w:hAnsi="Times New Roman" w:cs="Times New Roman"/>
          <w:noProof/>
          <w:color w:val="FF0000"/>
          <w:sz w:val="16"/>
          <w:lang w:eastAsia="es-GT"/>
        </w:rPr>
      </w:pPr>
    </w:p>
    <w:p w14:paraId="3081FE9B" w14:textId="48E1D3F5" w:rsidR="00A753EB" w:rsidRDefault="00A753EB" w:rsidP="00AD5816">
      <w:pPr>
        <w:spacing w:after="0" w:line="240" w:lineRule="auto"/>
        <w:rPr>
          <w:rFonts w:ascii="Times New Roman" w:hAnsi="Times New Roman" w:cs="Times New Roman"/>
          <w:noProof/>
          <w:color w:val="FF0000"/>
          <w:sz w:val="16"/>
          <w:lang w:eastAsia="es-GT"/>
        </w:rPr>
      </w:pPr>
    </w:p>
    <w:p w14:paraId="1A8D32AD" w14:textId="331C050B" w:rsidR="00A753EB" w:rsidRDefault="00A753EB" w:rsidP="00AD5816">
      <w:pPr>
        <w:spacing w:after="0" w:line="240" w:lineRule="auto"/>
        <w:rPr>
          <w:rFonts w:ascii="Times New Roman" w:hAnsi="Times New Roman" w:cs="Times New Roman"/>
          <w:noProof/>
          <w:color w:val="FF0000"/>
          <w:sz w:val="16"/>
          <w:lang w:eastAsia="es-GT"/>
        </w:rPr>
      </w:pPr>
    </w:p>
    <w:p w14:paraId="54FA5448" w14:textId="7D8D5AC6" w:rsidR="00A753EB" w:rsidRDefault="00A753EB" w:rsidP="00AD5816">
      <w:pPr>
        <w:spacing w:after="0" w:line="240" w:lineRule="auto"/>
        <w:rPr>
          <w:rFonts w:ascii="Times New Roman" w:hAnsi="Times New Roman" w:cs="Times New Roman"/>
          <w:noProof/>
          <w:color w:val="FF0000"/>
          <w:sz w:val="16"/>
          <w:lang w:eastAsia="es-GT"/>
        </w:rPr>
      </w:pPr>
    </w:p>
    <w:p w14:paraId="32E066D3" w14:textId="4FCE182B" w:rsidR="00A753EB" w:rsidRDefault="00A753EB" w:rsidP="00AD5816">
      <w:pPr>
        <w:spacing w:after="0" w:line="240" w:lineRule="auto"/>
        <w:rPr>
          <w:rFonts w:ascii="Times New Roman" w:hAnsi="Times New Roman" w:cs="Times New Roman"/>
          <w:noProof/>
          <w:color w:val="FF0000"/>
          <w:sz w:val="16"/>
          <w:lang w:eastAsia="es-GT"/>
        </w:rPr>
      </w:pPr>
    </w:p>
    <w:p w14:paraId="3081F91F" w14:textId="465EB30E" w:rsidR="00A753EB" w:rsidRDefault="00A753EB" w:rsidP="00AD5816">
      <w:pPr>
        <w:spacing w:after="0" w:line="240" w:lineRule="auto"/>
        <w:rPr>
          <w:rFonts w:ascii="Times New Roman" w:hAnsi="Times New Roman" w:cs="Times New Roman"/>
          <w:noProof/>
          <w:color w:val="FF0000"/>
          <w:sz w:val="16"/>
          <w:lang w:eastAsia="es-GT"/>
        </w:rPr>
      </w:pPr>
    </w:p>
    <w:p w14:paraId="3A08004C" w14:textId="469BD406" w:rsidR="00A753EB" w:rsidRDefault="00A753EB" w:rsidP="00AD5816">
      <w:pPr>
        <w:spacing w:after="0" w:line="240" w:lineRule="auto"/>
        <w:rPr>
          <w:rFonts w:ascii="Times New Roman" w:hAnsi="Times New Roman" w:cs="Times New Roman"/>
          <w:noProof/>
          <w:color w:val="FF0000"/>
          <w:sz w:val="16"/>
          <w:lang w:eastAsia="es-GT"/>
        </w:rPr>
      </w:pPr>
    </w:p>
    <w:p w14:paraId="6321C3CB" w14:textId="43619DB1" w:rsidR="00A753EB" w:rsidRDefault="00A753EB" w:rsidP="00AD5816">
      <w:pPr>
        <w:spacing w:after="0" w:line="240" w:lineRule="auto"/>
        <w:rPr>
          <w:rFonts w:ascii="Times New Roman" w:hAnsi="Times New Roman" w:cs="Times New Roman"/>
          <w:noProof/>
          <w:color w:val="FF0000"/>
          <w:sz w:val="16"/>
          <w:lang w:eastAsia="es-GT"/>
        </w:rPr>
      </w:pPr>
    </w:p>
    <w:p w14:paraId="12EB64DF" w14:textId="19198429" w:rsidR="00A753EB" w:rsidRDefault="00A753EB" w:rsidP="00AD5816">
      <w:pPr>
        <w:spacing w:after="0" w:line="240" w:lineRule="auto"/>
        <w:rPr>
          <w:rFonts w:ascii="Times New Roman" w:hAnsi="Times New Roman" w:cs="Times New Roman"/>
          <w:noProof/>
          <w:color w:val="FF0000"/>
          <w:sz w:val="16"/>
          <w:lang w:eastAsia="es-GT"/>
        </w:rPr>
      </w:pPr>
    </w:p>
    <w:p w14:paraId="02EFC555" w14:textId="2412C1AA" w:rsidR="00A753EB" w:rsidRDefault="00A753EB" w:rsidP="00AD5816">
      <w:pPr>
        <w:spacing w:after="0" w:line="240" w:lineRule="auto"/>
        <w:rPr>
          <w:rFonts w:ascii="Times New Roman" w:hAnsi="Times New Roman" w:cs="Times New Roman"/>
          <w:noProof/>
          <w:color w:val="FF0000"/>
          <w:sz w:val="16"/>
          <w:lang w:eastAsia="es-GT"/>
        </w:rPr>
      </w:pPr>
    </w:p>
    <w:p w14:paraId="7E9C6581" w14:textId="2988D0AF" w:rsidR="00A753EB" w:rsidRDefault="00A753EB" w:rsidP="00AD5816">
      <w:pPr>
        <w:spacing w:after="0" w:line="240" w:lineRule="auto"/>
        <w:rPr>
          <w:rFonts w:ascii="Times New Roman" w:hAnsi="Times New Roman" w:cs="Times New Roman"/>
          <w:noProof/>
          <w:color w:val="FF0000"/>
          <w:sz w:val="16"/>
          <w:lang w:eastAsia="es-GT"/>
        </w:rPr>
      </w:pPr>
    </w:p>
    <w:p w14:paraId="00BA8B97" w14:textId="270B2683" w:rsidR="00A753EB" w:rsidRDefault="00A753EB" w:rsidP="00AD5816">
      <w:pPr>
        <w:spacing w:after="0" w:line="240" w:lineRule="auto"/>
        <w:rPr>
          <w:rFonts w:ascii="Times New Roman" w:hAnsi="Times New Roman" w:cs="Times New Roman"/>
          <w:noProof/>
          <w:color w:val="FF0000"/>
          <w:sz w:val="16"/>
          <w:lang w:eastAsia="es-GT"/>
        </w:rPr>
      </w:pPr>
    </w:p>
    <w:p w14:paraId="71D12EFA" w14:textId="1A550250" w:rsidR="00A753EB" w:rsidRDefault="00A753EB" w:rsidP="00AD5816">
      <w:pPr>
        <w:spacing w:after="0" w:line="240" w:lineRule="auto"/>
        <w:rPr>
          <w:rFonts w:ascii="Times New Roman" w:hAnsi="Times New Roman" w:cs="Times New Roman"/>
          <w:noProof/>
          <w:color w:val="FF0000"/>
          <w:sz w:val="16"/>
          <w:lang w:eastAsia="es-GT"/>
        </w:rPr>
      </w:pPr>
    </w:p>
    <w:p w14:paraId="4A466A03" w14:textId="7F7A0301" w:rsidR="00A753EB" w:rsidRDefault="00A753EB" w:rsidP="00AD5816">
      <w:pPr>
        <w:spacing w:after="0" w:line="240" w:lineRule="auto"/>
        <w:rPr>
          <w:rFonts w:ascii="Times New Roman" w:hAnsi="Times New Roman" w:cs="Times New Roman"/>
          <w:noProof/>
          <w:color w:val="FF0000"/>
          <w:sz w:val="16"/>
          <w:lang w:eastAsia="es-GT"/>
        </w:rPr>
      </w:pPr>
    </w:p>
    <w:p w14:paraId="06D243A3" w14:textId="147D859B" w:rsidR="00A753EB" w:rsidRDefault="00A753EB" w:rsidP="00AD5816">
      <w:pPr>
        <w:spacing w:after="0" w:line="240" w:lineRule="auto"/>
        <w:rPr>
          <w:rFonts w:ascii="Times New Roman" w:hAnsi="Times New Roman" w:cs="Times New Roman"/>
          <w:noProof/>
          <w:color w:val="FF0000"/>
          <w:sz w:val="16"/>
          <w:lang w:eastAsia="es-GT"/>
        </w:rPr>
      </w:pPr>
    </w:p>
    <w:p w14:paraId="2E7B3E1D" w14:textId="5D4347E3" w:rsidR="00A753EB" w:rsidRDefault="00A753EB" w:rsidP="00AD5816">
      <w:pPr>
        <w:spacing w:after="0" w:line="240" w:lineRule="auto"/>
        <w:rPr>
          <w:rFonts w:ascii="Times New Roman" w:hAnsi="Times New Roman" w:cs="Times New Roman"/>
          <w:noProof/>
          <w:color w:val="FF0000"/>
          <w:sz w:val="16"/>
          <w:lang w:eastAsia="es-GT"/>
        </w:rPr>
      </w:pPr>
    </w:p>
    <w:p w14:paraId="7929B657" w14:textId="2FAD5A66" w:rsidR="00A753EB" w:rsidRDefault="00A753EB" w:rsidP="00AD5816">
      <w:pPr>
        <w:spacing w:after="0" w:line="240" w:lineRule="auto"/>
        <w:rPr>
          <w:rFonts w:ascii="Times New Roman" w:hAnsi="Times New Roman" w:cs="Times New Roman"/>
          <w:noProof/>
          <w:color w:val="FF0000"/>
          <w:sz w:val="16"/>
          <w:lang w:eastAsia="es-GT"/>
        </w:rPr>
      </w:pPr>
    </w:p>
    <w:p w14:paraId="2871C037" w14:textId="3C03E365" w:rsidR="00A753EB" w:rsidRDefault="00A753EB" w:rsidP="00AD5816">
      <w:pPr>
        <w:spacing w:after="0" w:line="240" w:lineRule="auto"/>
        <w:rPr>
          <w:rFonts w:ascii="Times New Roman" w:hAnsi="Times New Roman" w:cs="Times New Roman"/>
          <w:noProof/>
          <w:color w:val="FF0000"/>
          <w:sz w:val="16"/>
          <w:lang w:eastAsia="es-GT"/>
        </w:rPr>
      </w:pPr>
    </w:p>
    <w:p w14:paraId="7C3768E3" w14:textId="77777777" w:rsidR="00A753EB" w:rsidRPr="00CE2620" w:rsidRDefault="00A753EB" w:rsidP="00AD5816">
      <w:pPr>
        <w:spacing w:after="0" w:line="240" w:lineRule="auto"/>
        <w:rPr>
          <w:rFonts w:ascii="Times New Roman" w:hAnsi="Times New Roman" w:cs="Times New Roman"/>
          <w:noProof/>
          <w:color w:val="FF0000"/>
          <w:sz w:val="16"/>
          <w:lang w:eastAsia="es-GT"/>
        </w:rPr>
      </w:pPr>
    </w:p>
    <w:p w14:paraId="720DD138" w14:textId="77777777" w:rsidR="001F5581" w:rsidRPr="006D7959"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6D7959" w:rsidSect="00FA3B81">
          <w:headerReference w:type="default" r:id="rId34"/>
          <w:footerReference w:type="default" r:id="rId35"/>
          <w:type w:val="continuous"/>
          <w:pgSz w:w="12240" w:h="15840" w:code="1"/>
          <w:pgMar w:top="1418" w:right="1418" w:bottom="1418" w:left="1418" w:header="709" w:footer="709" w:gutter="0"/>
          <w:cols w:space="708"/>
          <w:docGrid w:linePitch="360"/>
        </w:sectPr>
      </w:pPr>
      <w:r w:rsidRPr="006D7959">
        <w:rPr>
          <w:rFonts w:ascii="Times New Roman" w:hAnsi="Times New Roman" w:cs="Times New Roman"/>
          <w:b/>
          <w:lang w:val="es-MX"/>
        </w:rPr>
        <w:t>Anexo</w:t>
      </w:r>
      <w:r w:rsidR="0008320B" w:rsidRPr="006D7959">
        <w:rPr>
          <w:rFonts w:ascii="Times New Roman" w:hAnsi="Times New Roman" w:cs="Times New Roman"/>
          <w:b/>
          <w:lang w:val="es-MX"/>
        </w:rPr>
        <w:t>s</w:t>
      </w:r>
    </w:p>
    <w:p w14:paraId="17203CDE" w14:textId="77777777" w:rsidR="001F5581" w:rsidRPr="00CE2620" w:rsidRDefault="001F5581" w:rsidP="00AD5816">
      <w:pPr>
        <w:spacing w:after="0" w:line="240" w:lineRule="auto"/>
        <w:rPr>
          <w:rFonts w:ascii="Times New Roman" w:hAnsi="Times New Roman" w:cs="Times New Roman"/>
          <w:noProof/>
          <w:color w:val="FF0000"/>
          <w:sz w:val="16"/>
          <w:lang w:val="es-MX" w:eastAsia="es-GT"/>
        </w:rPr>
        <w:sectPr w:rsidR="001F5581" w:rsidRPr="00CE2620" w:rsidSect="00986297">
          <w:headerReference w:type="default" r:id="rId36"/>
          <w:footerReference w:type="default" r:id="rId37"/>
          <w:type w:val="continuous"/>
          <w:pgSz w:w="12240" w:h="15840" w:code="1"/>
          <w:pgMar w:top="1418" w:right="1418" w:bottom="1418" w:left="1418" w:header="709" w:footer="709" w:gutter="0"/>
          <w:cols w:num="2" w:space="708"/>
          <w:docGrid w:linePitch="360"/>
        </w:sectPr>
      </w:pPr>
    </w:p>
    <w:p w14:paraId="604C72DD" w14:textId="391BC4C9" w:rsidR="0008320B" w:rsidRPr="00CE2620" w:rsidRDefault="00100B94" w:rsidP="007E6BCF">
      <w:pPr>
        <w:spacing w:after="0" w:line="240" w:lineRule="auto"/>
        <w:rPr>
          <w:noProof/>
          <w:color w:val="FF0000"/>
          <w:lang w:eastAsia="es-GT"/>
        </w:rPr>
      </w:pPr>
      <w:r w:rsidRPr="00100B94">
        <w:rPr>
          <w:noProof/>
          <w:lang w:eastAsia="es-GT"/>
        </w:rPr>
        <w:drawing>
          <wp:anchor distT="0" distB="0" distL="114300" distR="114300" simplePos="0" relativeHeight="251751424" behindDoc="0" locked="0" layoutInCell="1" allowOverlap="1" wp14:anchorId="1133FEF6" wp14:editId="528DD3AC">
            <wp:simplePos x="0" y="0"/>
            <wp:positionH relativeFrom="column">
              <wp:posOffset>-233045</wp:posOffset>
            </wp:positionH>
            <wp:positionV relativeFrom="paragraph">
              <wp:posOffset>210185</wp:posOffset>
            </wp:positionV>
            <wp:extent cx="6424295" cy="51085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24295" cy="510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F5F5A" w14:textId="2525795C" w:rsidR="001F5581" w:rsidRPr="00CE2620" w:rsidRDefault="001F5581" w:rsidP="007E6BCF">
      <w:pPr>
        <w:spacing w:after="0" w:line="240" w:lineRule="auto"/>
        <w:rPr>
          <w:rFonts w:ascii="Times New Roman" w:hAnsi="Times New Roman" w:cs="Times New Roman"/>
          <w:noProof/>
          <w:color w:val="FF0000"/>
          <w:sz w:val="16"/>
          <w:lang w:val="es-MX" w:eastAsia="es-GT"/>
        </w:rPr>
        <w:sectPr w:rsidR="001F5581" w:rsidRPr="00CE2620" w:rsidSect="001F5581">
          <w:type w:val="continuous"/>
          <w:pgSz w:w="12240" w:h="15840" w:code="1"/>
          <w:pgMar w:top="1418" w:right="1418" w:bottom="1418" w:left="1418" w:header="709" w:footer="709" w:gutter="0"/>
          <w:cols w:space="708"/>
          <w:docGrid w:linePitch="360"/>
        </w:sectPr>
      </w:pPr>
    </w:p>
    <w:p w14:paraId="6759E78B" w14:textId="77777777" w:rsidR="00AD5816" w:rsidRPr="00CE2620" w:rsidRDefault="00AD5816" w:rsidP="00AD5816">
      <w:pPr>
        <w:spacing w:after="0" w:line="240" w:lineRule="auto"/>
        <w:rPr>
          <w:rFonts w:ascii="Times New Roman" w:hAnsi="Times New Roman" w:cs="Times New Roman"/>
          <w:noProof/>
          <w:color w:val="FF0000"/>
          <w:sz w:val="16"/>
          <w:lang w:eastAsia="es-GT"/>
        </w:rPr>
      </w:pPr>
    </w:p>
    <w:p w14:paraId="7F14B667" w14:textId="77777777" w:rsidR="00AD5816" w:rsidRPr="00CE2620" w:rsidRDefault="00AD5816" w:rsidP="00AD5816">
      <w:pPr>
        <w:spacing w:after="0" w:line="240" w:lineRule="auto"/>
        <w:rPr>
          <w:rFonts w:ascii="Times New Roman" w:hAnsi="Times New Roman" w:cs="Times New Roman"/>
          <w:noProof/>
          <w:color w:val="FF0000"/>
          <w:sz w:val="16"/>
          <w:lang w:eastAsia="es-GT"/>
        </w:rPr>
      </w:pPr>
    </w:p>
    <w:p w14:paraId="58A697BC" w14:textId="77777777" w:rsidR="007703A2" w:rsidRPr="00CE2620" w:rsidRDefault="007703A2" w:rsidP="00940C2E">
      <w:pPr>
        <w:pStyle w:val="Sinespaciado"/>
        <w:jc w:val="center"/>
        <w:rPr>
          <w:rFonts w:ascii="Times New Roman" w:hAnsi="Times New Roman" w:cs="Times New Roman"/>
          <w:color w:val="FF0000"/>
        </w:rPr>
      </w:pPr>
    </w:p>
    <w:sectPr w:rsidR="007703A2" w:rsidRPr="00CE2620"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DF528" w14:textId="77777777" w:rsidR="00C50BB6" w:rsidRDefault="00C50BB6" w:rsidP="007D4651">
      <w:pPr>
        <w:spacing w:after="0" w:line="240" w:lineRule="auto"/>
      </w:pPr>
      <w:r>
        <w:separator/>
      </w:r>
    </w:p>
  </w:endnote>
  <w:endnote w:type="continuationSeparator" w:id="0">
    <w:p w14:paraId="5ECD1A13" w14:textId="77777777" w:rsidR="00C50BB6" w:rsidRDefault="00C50BB6"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737366140"/>
      <w:docPartObj>
        <w:docPartGallery w:val="Page Numbers (Bottom of Page)"/>
        <w:docPartUnique/>
      </w:docPartObj>
    </w:sdtPr>
    <w:sdtEndPr/>
    <w:sdtContent>
      <w:p w14:paraId="66701C29" w14:textId="77777777" w:rsidR="00AF68D3" w:rsidRDefault="00AF68D3">
        <w:pPr>
          <w:pStyle w:val="Piedepgina"/>
          <w:jc w:val="right"/>
          <w:rPr>
            <w:lang w:val="es-ES"/>
          </w:rPr>
        </w:pPr>
      </w:p>
      <w:p w14:paraId="75F5409C" w14:textId="77777777"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236BC2EA" wp14:editId="78214513">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F489C"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5CBC9A34" w14:textId="4788B6AE"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753EB" w:rsidRPr="00A753EB">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14:paraId="4A74AEB5" w14:textId="77777777" w:rsidR="00AF68D3" w:rsidRDefault="00AF68D3" w:rsidP="007D4651">
    <w:pPr>
      <w:pStyle w:val="Piedepgina"/>
      <w:tabs>
        <w:tab w:val="clear" w:pos="4419"/>
        <w:tab w:val="clear" w:pos="8838"/>
        <w:tab w:val="left" w:pos="5777"/>
      </w:tabs>
    </w:pPr>
  </w:p>
  <w:p w14:paraId="795F2C38" w14:textId="77777777" w:rsidR="00AF68D3" w:rsidRDefault="00AF68D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1093235116"/>
      <w:docPartObj>
        <w:docPartGallery w:val="Page Numbers (Bottom of Page)"/>
        <w:docPartUnique/>
      </w:docPartObj>
    </w:sdtPr>
    <w:sdtEndPr/>
    <w:sdtContent>
      <w:p w14:paraId="3B30A360" w14:textId="77777777" w:rsidR="001F5581" w:rsidRDefault="001F5581">
        <w:pPr>
          <w:pStyle w:val="Piedepgina"/>
          <w:jc w:val="right"/>
          <w:rPr>
            <w:lang w:val="es-ES"/>
          </w:rPr>
        </w:pPr>
      </w:p>
      <w:p w14:paraId="53F879C8" w14:textId="77777777"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46B671C2" wp14:editId="6036FF29">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0D202"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7E64DAAC" w14:textId="27D2135D"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753EB" w:rsidRPr="00A753EB">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14:paraId="7E2603B3" w14:textId="77777777" w:rsidR="001F5581" w:rsidRDefault="001F5581" w:rsidP="007D4651">
    <w:pPr>
      <w:pStyle w:val="Piedepgina"/>
      <w:tabs>
        <w:tab w:val="clear" w:pos="4419"/>
        <w:tab w:val="clear" w:pos="8838"/>
        <w:tab w:val="left" w:pos="5777"/>
      </w:tabs>
    </w:pPr>
  </w:p>
  <w:p w14:paraId="1368D6C0" w14:textId="77777777" w:rsidR="001F5581" w:rsidRDefault="001F558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1390385153"/>
      <w:docPartObj>
        <w:docPartGallery w:val="Page Numbers (Bottom of Page)"/>
        <w:docPartUnique/>
      </w:docPartObj>
    </w:sdtPr>
    <w:sdtEndPr/>
    <w:sdtContent>
      <w:p w14:paraId="4F81FC63" w14:textId="77777777" w:rsidR="00AF68D3" w:rsidRDefault="00AF68D3">
        <w:pPr>
          <w:pStyle w:val="Piedepgina"/>
          <w:jc w:val="right"/>
          <w:rPr>
            <w:lang w:val="es-ES"/>
          </w:rPr>
        </w:pPr>
      </w:p>
      <w:p w14:paraId="48BC3895" w14:textId="77777777"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648EA3C5" wp14:editId="4F2D9D13">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13CF78"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77D38511" w14:textId="1E425F4D"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753EB" w:rsidRPr="00A753EB">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14:paraId="08A4CE52" w14:textId="77777777" w:rsidR="00AF68D3" w:rsidRDefault="00AF68D3" w:rsidP="007D4651">
    <w:pPr>
      <w:pStyle w:val="Piedepgina"/>
      <w:tabs>
        <w:tab w:val="clear" w:pos="4419"/>
        <w:tab w:val="clear" w:pos="8838"/>
        <w:tab w:val="left" w:pos="5777"/>
      </w:tabs>
    </w:pPr>
  </w:p>
  <w:p w14:paraId="358BDE0E" w14:textId="77777777" w:rsidR="00AF68D3" w:rsidRDefault="00AF68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185034144"/>
      <w:docPartObj>
        <w:docPartGallery w:val="Page Numbers (Bottom of Page)"/>
        <w:docPartUnique/>
      </w:docPartObj>
    </w:sdtPr>
    <w:sdtEndPr/>
    <w:sdtContent>
      <w:p w14:paraId="39A84E45" w14:textId="77777777" w:rsidR="00AF68D3" w:rsidRDefault="00AF68D3">
        <w:pPr>
          <w:pStyle w:val="Piedepgina"/>
          <w:jc w:val="right"/>
          <w:rPr>
            <w:lang w:val="es-ES"/>
          </w:rPr>
        </w:pPr>
      </w:p>
      <w:p w14:paraId="08CF8D6E" w14:textId="77777777"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5C0D7DF9" wp14:editId="0CA69EB0">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0B5E4"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1D7158B4" w14:textId="2B05222B"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673A4" w:rsidRPr="00A673A4">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14:paraId="2064BD85" w14:textId="77777777" w:rsidR="00AF68D3" w:rsidRDefault="00AF68D3" w:rsidP="007D4651">
    <w:pPr>
      <w:pStyle w:val="Piedepgina"/>
      <w:tabs>
        <w:tab w:val="clear" w:pos="4419"/>
        <w:tab w:val="clear" w:pos="8838"/>
        <w:tab w:val="left" w:pos="5777"/>
      </w:tabs>
    </w:pPr>
  </w:p>
  <w:p w14:paraId="53C75FC5" w14:textId="77777777" w:rsidR="00AF68D3" w:rsidRDefault="00AF68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1358082904"/>
      <w:docPartObj>
        <w:docPartGallery w:val="Page Numbers (Bottom of Page)"/>
        <w:docPartUnique/>
      </w:docPartObj>
    </w:sdtPr>
    <w:sdtEndPr/>
    <w:sdtContent>
      <w:p w14:paraId="03F6BDB1" w14:textId="77777777" w:rsidR="00EB1910" w:rsidRDefault="00EB1910">
        <w:pPr>
          <w:pStyle w:val="Piedepgina"/>
          <w:jc w:val="right"/>
          <w:rPr>
            <w:lang w:val="es-ES"/>
          </w:rPr>
        </w:pPr>
      </w:p>
      <w:p w14:paraId="2BD7DE48" w14:textId="77777777"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3C644609" wp14:editId="6DDF9258">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B1826"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137745BA" w14:textId="26E9770A"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753EB" w:rsidRPr="00A753EB">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14:paraId="61BAB4AE" w14:textId="77777777" w:rsidR="00EB1910" w:rsidRDefault="00EB1910" w:rsidP="007D4651">
    <w:pPr>
      <w:pStyle w:val="Piedepgina"/>
      <w:tabs>
        <w:tab w:val="clear" w:pos="4419"/>
        <w:tab w:val="clear" w:pos="8838"/>
        <w:tab w:val="left" w:pos="5777"/>
      </w:tabs>
    </w:pPr>
  </w:p>
  <w:p w14:paraId="52B25552" w14:textId="77777777" w:rsidR="00EB1910" w:rsidRDefault="00EB1910"/>
  <w:p w14:paraId="1E800A06" w14:textId="77777777" w:rsidR="0030020D" w:rsidRDefault="0030020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1057080796"/>
      <w:docPartObj>
        <w:docPartGallery w:val="Page Numbers (Bottom of Page)"/>
        <w:docPartUnique/>
      </w:docPartObj>
    </w:sdtPr>
    <w:sdtEndPr/>
    <w:sdtContent>
      <w:p w14:paraId="158F32AA" w14:textId="77777777" w:rsidR="00AF68D3" w:rsidRDefault="00AF68D3">
        <w:pPr>
          <w:pStyle w:val="Piedepgina"/>
          <w:jc w:val="right"/>
          <w:rPr>
            <w:lang w:val="es-ES"/>
          </w:rPr>
        </w:pPr>
      </w:p>
      <w:p w14:paraId="31975D9B" w14:textId="77777777"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39577F90" wp14:editId="6CC57D11">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CF233"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16EEBF7B" w14:textId="39F0DCF8"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753EB" w:rsidRPr="00A753EB">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14:paraId="60347FB0" w14:textId="77777777" w:rsidR="00AF68D3" w:rsidRDefault="00AF68D3" w:rsidP="007D4651">
    <w:pPr>
      <w:pStyle w:val="Piedepgina"/>
      <w:tabs>
        <w:tab w:val="clear" w:pos="4419"/>
        <w:tab w:val="clear" w:pos="8838"/>
        <w:tab w:val="left" w:pos="5777"/>
      </w:tabs>
    </w:pPr>
  </w:p>
  <w:p w14:paraId="59137102" w14:textId="77777777" w:rsidR="00AF68D3" w:rsidRDefault="00AF68D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136733220"/>
      <w:docPartObj>
        <w:docPartGallery w:val="Page Numbers (Bottom of Page)"/>
        <w:docPartUnique/>
      </w:docPartObj>
    </w:sdtPr>
    <w:sdtEndPr/>
    <w:sdtContent>
      <w:p w14:paraId="663D21AC" w14:textId="77777777" w:rsidR="00216605" w:rsidRDefault="00216605">
        <w:pPr>
          <w:pStyle w:val="Piedepgina"/>
          <w:jc w:val="right"/>
          <w:rPr>
            <w:lang w:val="es-ES"/>
          </w:rPr>
        </w:pPr>
      </w:p>
      <w:p w14:paraId="5241A32B" w14:textId="77777777"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602EF97B" wp14:editId="0525BA9B">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00624"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3B1D80BD" w14:textId="6E409460"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753EB" w:rsidRPr="00A753EB">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14:paraId="75E09D83" w14:textId="77777777" w:rsidR="00216605" w:rsidRDefault="00216605" w:rsidP="007D4651">
    <w:pPr>
      <w:pStyle w:val="Piedepgina"/>
      <w:tabs>
        <w:tab w:val="clear" w:pos="4419"/>
        <w:tab w:val="clear" w:pos="8838"/>
        <w:tab w:val="left" w:pos="5777"/>
      </w:tabs>
    </w:pPr>
  </w:p>
  <w:p w14:paraId="45079609" w14:textId="77777777" w:rsidR="00216605" w:rsidRDefault="0021660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1198588034"/>
      <w:docPartObj>
        <w:docPartGallery w:val="Page Numbers (Bottom of Page)"/>
        <w:docPartUnique/>
      </w:docPartObj>
    </w:sdtPr>
    <w:sdtEndPr/>
    <w:sdtContent>
      <w:p w14:paraId="7F2629F0" w14:textId="77777777" w:rsidR="00AF68D3" w:rsidRDefault="00AF68D3">
        <w:pPr>
          <w:pStyle w:val="Piedepgina"/>
          <w:jc w:val="right"/>
          <w:rPr>
            <w:lang w:val="es-ES"/>
          </w:rPr>
        </w:pPr>
      </w:p>
      <w:p w14:paraId="7623CDB3" w14:textId="77777777"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27FD8095" wp14:editId="433A8E33">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B0380"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5697536C" w14:textId="1683E874"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00B94" w:rsidRPr="00100B94">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14:paraId="066838C5" w14:textId="77777777" w:rsidR="00AF68D3" w:rsidRDefault="00AF68D3" w:rsidP="007D4651">
    <w:pPr>
      <w:pStyle w:val="Piedepgina"/>
      <w:tabs>
        <w:tab w:val="clear" w:pos="4419"/>
        <w:tab w:val="clear" w:pos="8838"/>
        <w:tab w:val="left" w:pos="5777"/>
      </w:tabs>
    </w:pPr>
  </w:p>
  <w:p w14:paraId="67568B92" w14:textId="77777777" w:rsidR="00AF68D3" w:rsidRDefault="00AF68D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567338240"/>
      <w:docPartObj>
        <w:docPartGallery w:val="Page Numbers (Bottom of Page)"/>
        <w:docPartUnique/>
      </w:docPartObj>
    </w:sdtPr>
    <w:sdtEndPr/>
    <w:sdtContent>
      <w:p w14:paraId="4532BD1A" w14:textId="77777777" w:rsidR="00AF68D3" w:rsidRDefault="00AF68D3">
        <w:pPr>
          <w:pStyle w:val="Piedepgina"/>
          <w:jc w:val="right"/>
          <w:rPr>
            <w:lang w:val="es-ES"/>
          </w:rPr>
        </w:pPr>
      </w:p>
      <w:p w14:paraId="468D607E" w14:textId="77777777"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7FA25344" wp14:editId="116143FA">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58C24"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38BB97A4" w14:textId="0FCC3F50"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673A4" w:rsidRPr="00A673A4">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14:paraId="0FB54E91" w14:textId="77777777" w:rsidR="00AF68D3" w:rsidRDefault="00AF68D3" w:rsidP="007D4651">
    <w:pPr>
      <w:pStyle w:val="Piedepgina"/>
      <w:tabs>
        <w:tab w:val="clear" w:pos="4419"/>
        <w:tab w:val="clear" w:pos="8838"/>
        <w:tab w:val="left" w:pos="5777"/>
      </w:tabs>
    </w:pPr>
  </w:p>
  <w:p w14:paraId="3993B7F0" w14:textId="77777777" w:rsidR="00AF68D3" w:rsidRDefault="00AF68D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1247607362"/>
      <w:docPartObj>
        <w:docPartGallery w:val="Page Numbers (Bottom of Page)"/>
        <w:docPartUnique/>
      </w:docPartObj>
    </w:sdtPr>
    <w:sdtEndPr/>
    <w:sdtContent>
      <w:p w14:paraId="49AF3DCB" w14:textId="77777777" w:rsidR="00AD5816" w:rsidRDefault="00AD5816">
        <w:pPr>
          <w:pStyle w:val="Piedepgina"/>
          <w:jc w:val="right"/>
          <w:rPr>
            <w:lang w:val="es-ES"/>
          </w:rPr>
        </w:pPr>
      </w:p>
      <w:p w14:paraId="62E27268" w14:textId="77777777"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6518090A" wp14:editId="661FB7B8">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BE2253"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244BDB92" w14:textId="43A5DE90"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753EB" w:rsidRPr="00A753EB">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14:paraId="0D333713" w14:textId="77777777" w:rsidR="00AD5816" w:rsidRDefault="00AD5816" w:rsidP="007D4651">
    <w:pPr>
      <w:pStyle w:val="Piedepgina"/>
      <w:tabs>
        <w:tab w:val="clear" w:pos="4419"/>
        <w:tab w:val="clear" w:pos="8838"/>
        <w:tab w:val="left" w:pos="5777"/>
      </w:tabs>
    </w:pPr>
  </w:p>
  <w:p w14:paraId="00D48EE0" w14:textId="77777777" w:rsidR="00AD5816" w:rsidRDefault="00AD581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ES"/>
      </w:rPr>
      <w:id w:val="1476265944"/>
      <w:docPartObj>
        <w:docPartGallery w:val="Page Numbers (Bottom of Page)"/>
        <w:docPartUnique/>
      </w:docPartObj>
    </w:sdtPr>
    <w:sdtEndPr/>
    <w:sdtContent>
      <w:p w14:paraId="6FDB06B5" w14:textId="77777777" w:rsidR="00F062BF" w:rsidRDefault="00F062BF">
        <w:pPr>
          <w:pStyle w:val="Piedepgina"/>
          <w:jc w:val="right"/>
          <w:rPr>
            <w:lang w:val="es-ES"/>
          </w:rPr>
        </w:pPr>
      </w:p>
      <w:p w14:paraId="409D3E85" w14:textId="77777777" w:rsidR="00F062BF" w:rsidRDefault="00F062BF"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7088" behindDoc="0" locked="0" layoutInCell="1" allowOverlap="1" wp14:anchorId="5EDE9A7E" wp14:editId="1CD9C61E">
                  <wp:simplePos x="0" y="0"/>
                  <wp:positionH relativeFrom="column">
                    <wp:posOffset>1776669</wp:posOffset>
                  </wp:positionH>
                  <wp:positionV relativeFrom="paragraph">
                    <wp:posOffset>70516</wp:posOffset>
                  </wp:positionV>
                  <wp:extent cx="5155565" cy="45719"/>
                  <wp:effectExtent l="38100" t="38100" r="64135" b="88265"/>
                  <wp:wrapNone/>
                  <wp:docPr id="21"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A41D1" id="39 Rectángulo" o:spid="_x0000_s1026" style="position:absolute;margin-left:139.9pt;margin-top:5.55pt;width:405.95pt;height:3.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Tl8mz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14:paraId="6B745C64" w14:textId="77777777" w:rsidR="00F062BF" w:rsidRDefault="00F062BF">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Pr="009F1C07">
          <w:rPr>
            <w:rFonts w:ascii="Times New Roman" w:hAnsi="Times New Roman" w:cs="Times New Roman"/>
            <w:b/>
            <w:noProof/>
            <w:color w:val="1F497D" w:themeColor="text2"/>
            <w:lang w:val="es-ES"/>
          </w:rPr>
          <w:t>10</w:t>
        </w:r>
        <w:r w:rsidRPr="007D4651">
          <w:rPr>
            <w:rFonts w:ascii="Times New Roman" w:hAnsi="Times New Roman" w:cs="Times New Roman"/>
            <w:b/>
            <w:color w:val="1F497D" w:themeColor="text2"/>
          </w:rPr>
          <w:fldChar w:fldCharType="end"/>
        </w:r>
        <w:r>
          <w:rPr>
            <w:lang w:val="es-ES"/>
          </w:rPr>
          <w:t xml:space="preserve"> </w:t>
        </w:r>
      </w:p>
    </w:sdtContent>
  </w:sdt>
  <w:p w14:paraId="6A094DA1" w14:textId="77777777" w:rsidR="00F062BF" w:rsidRDefault="00F062BF" w:rsidP="007D4651">
    <w:pPr>
      <w:pStyle w:val="Piedepgina"/>
      <w:tabs>
        <w:tab w:val="clear" w:pos="4419"/>
        <w:tab w:val="clear" w:pos="8838"/>
        <w:tab w:val="left" w:pos="5777"/>
      </w:tabs>
    </w:pPr>
  </w:p>
  <w:p w14:paraId="01F40983" w14:textId="77777777" w:rsidR="00F062BF" w:rsidRDefault="00F062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CFDBA" w14:textId="77777777" w:rsidR="00C50BB6" w:rsidRDefault="00C50BB6" w:rsidP="007D4651">
      <w:pPr>
        <w:spacing w:after="0" w:line="240" w:lineRule="auto"/>
      </w:pPr>
      <w:r>
        <w:separator/>
      </w:r>
    </w:p>
  </w:footnote>
  <w:footnote w:type="continuationSeparator" w:id="0">
    <w:p w14:paraId="44F681DF" w14:textId="77777777" w:rsidR="00C50BB6" w:rsidRDefault="00C50BB6"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D6ED" w14:textId="77777777" w:rsidR="00AF68D3" w:rsidRPr="007D4651" w:rsidRDefault="0001624A" w:rsidP="00BD3A7C">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39136" behindDoc="0" locked="0" layoutInCell="1" allowOverlap="1" wp14:anchorId="4AEE9920" wp14:editId="3E754A59">
          <wp:simplePos x="0" y="0"/>
          <wp:positionH relativeFrom="column">
            <wp:posOffset>0</wp:posOffset>
          </wp:positionH>
          <wp:positionV relativeFrom="paragraph">
            <wp:posOffset>-635</wp:posOffset>
          </wp:positionV>
          <wp:extent cx="1598212" cy="723976"/>
          <wp:effectExtent l="0" t="0" r="2540" b="0"/>
          <wp:wrapNone/>
          <wp:docPr id="15" name="Imagen 15"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D3" w:rsidRPr="007D4651">
      <w:rPr>
        <w:rFonts w:ascii="Times New Roman" w:hAnsi="Times New Roman" w:cs="Times New Roman"/>
        <w:b/>
        <w:color w:val="1F497D" w:themeColor="text2"/>
        <w:sz w:val="24"/>
        <w:lang w:val="es-MX"/>
      </w:rPr>
      <w:t>Informe de las Finanzas Públicas</w:t>
    </w:r>
  </w:p>
  <w:p w14:paraId="73D80442" w14:textId="77777777" w:rsidR="00AF68D3" w:rsidRDefault="00CE2620"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2021</w:t>
    </w:r>
  </w:p>
  <w:p w14:paraId="412840BA" w14:textId="77777777"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34B21D7C" wp14:editId="30220021">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EC4EA"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4047F703" w14:textId="77777777"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14:paraId="23DC06F5" w14:textId="77777777"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0D78" w14:textId="77777777" w:rsidR="003762C5" w:rsidRPr="007D4651" w:rsidRDefault="003762C5" w:rsidP="003762C5">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57568" behindDoc="0" locked="0" layoutInCell="1" allowOverlap="1" wp14:anchorId="6992276A" wp14:editId="26FF0864">
          <wp:simplePos x="0" y="0"/>
          <wp:positionH relativeFrom="column">
            <wp:posOffset>0</wp:posOffset>
          </wp:positionH>
          <wp:positionV relativeFrom="paragraph">
            <wp:posOffset>-635</wp:posOffset>
          </wp:positionV>
          <wp:extent cx="1598212" cy="723976"/>
          <wp:effectExtent l="0" t="0" r="2540" b="0"/>
          <wp:wrapNone/>
          <wp:docPr id="236" name="Imagen 236"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651">
      <w:rPr>
        <w:rFonts w:ascii="Times New Roman" w:hAnsi="Times New Roman" w:cs="Times New Roman"/>
        <w:b/>
        <w:color w:val="1F497D" w:themeColor="text2"/>
        <w:sz w:val="24"/>
        <w:lang w:val="es-MX"/>
      </w:rPr>
      <w:t>Informe de las Finanzas Públicas</w:t>
    </w:r>
  </w:p>
  <w:p w14:paraId="44836F41" w14:textId="77777777" w:rsidR="003762C5" w:rsidRDefault="003762C5" w:rsidP="003762C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2021</w:t>
    </w:r>
  </w:p>
  <w:p w14:paraId="014FE3D3" w14:textId="77777777" w:rsidR="003762C5" w:rsidRDefault="003762C5" w:rsidP="003762C5">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56544" behindDoc="0" locked="0" layoutInCell="1" allowOverlap="1" wp14:anchorId="20F1B9F9" wp14:editId="74785088">
              <wp:simplePos x="0" y="0"/>
              <wp:positionH relativeFrom="column">
                <wp:posOffset>1710568</wp:posOffset>
              </wp:positionH>
              <wp:positionV relativeFrom="paragraph">
                <wp:posOffset>29118</wp:posOffset>
              </wp:positionV>
              <wp:extent cx="5155894" cy="45719"/>
              <wp:effectExtent l="38100" t="38100" r="64135" b="88265"/>
              <wp:wrapNone/>
              <wp:docPr id="23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A1D48" id="20 Rectángulo" o:spid="_x0000_s1026" style="position:absolute;margin-left:134.7pt;margin-top:2.3pt;width:406pt;height:3.6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iHsD5D8DAACo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70E3D14B" w14:textId="77777777" w:rsidR="003762C5" w:rsidRDefault="003762C5" w:rsidP="003762C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14:paraId="6EE11A90" w14:textId="77777777" w:rsidR="001F5581" w:rsidRPr="007452E2" w:rsidRDefault="001F5581" w:rsidP="00E16925">
    <w:pPr>
      <w:pStyle w:val="Encabezado"/>
      <w:rPr>
        <w:rFonts w:ascii="Times New Roman" w:hAnsi="Times New Roman" w:cs="Times New Roman"/>
        <w:lang w:val="es-MX"/>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587E" w14:textId="77777777" w:rsidR="00AF68D3" w:rsidRPr="007D4651" w:rsidRDefault="0001624A" w:rsidP="007D4651">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49376" behindDoc="0" locked="0" layoutInCell="1" allowOverlap="1" wp14:anchorId="38E7A003" wp14:editId="28F25DF2">
          <wp:simplePos x="0" y="0"/>
          <wp:positionH relativeFrom="column">
            <wp:posOffset>0</wp:posOffset>
          </wp:positionH>
          <wp:positionV relativeFrom="paragraph">
            <wp:posOffset>-635</wp:posOffset>
          </wp:positionV>
          <wp:extent cx="1598212" cy="723976"/>
          <wp:effectExtent l="0" t="0" r="2540" b="0"/>
          <wp:wrapNone/>
          <wp:docPr id="237" name="Imagen 237"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D3" w:rsidRPr="007D4651">
      <w:rPr>
        <w:rFonts w:ascii="Times New Roman" w:hAnsi="Times New Roman" w:cs="Times New Roman"/>
        <w:b/>
        <w:color w:val="1F497D" w:themeColor="text2"/>
        <w:sz w:val="24"/>
        <w:lang w:val="es-MX"/>
      </w:rPr>
      <w:t>Informe de las Finanzas Públicas</w:t>
    </w:r>
  </w:p>
  <w:p w14:paraId="159DDBED" w14:textId="77777777" w:rsidR="00775DE3" w:rsidRDefault="00CE2620"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2021</w:t>
    </w:r>
  </w:p>
  <w:p w14:paraId="640ADA34" w14:textId="77777777"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750AD1FF" wp14:editId="3B270F9C">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50115"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0F61E532" w14:textId="77777777"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14:paraId="39A25CA5" w14:textId="77777777"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8636" w14:textId="77777777" w:rsidR="00B97122" w:rsidRPr="007D4651" w:rsidRDefault="00B97122" w:rsidP="00B97122">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60640" behindDoc="0" locked="0" layoutInCell="1" allowOverlap="1" wp14:anchorId="2F63E157" wp14:editId="25C88EC3">
          <wp:simplePos x="0" y="0"/>
          <wp:positionH relativeFrom="column">
            <wp:posOffset>0</wp:posOffset>
          </wp:positionH>
          <wp:positionV relativeFrom="paragraph">
            <wp:posOffset>-635</wp:posOffset>
          </wp:positionV>
          <wp:extent cx="1598212" cy="723976"/>
          <wp:effectExtent l="0" t="0" r="2540" b="0"/>
          <wp:wrapNone/>
          <wp:docPr id="17" name="Imagen 17"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651">
      <w:rPr>
        <w:rFonts w:ascii="Times New Roman" w:hAnsi="Times New Roman" w:cs="Times New Roman"/>
        <w:b/>
        <w:color w:val="1F497D" w:themeColor="text2"/>
        <w:sz w:val="24"/>
        <w:lang w:val="es-MX"/>
      </w:rPr>
      <w:t>Informe de las Finanzas Públicas</w:t>
    </w:r>
  </w:p>
  <w:p w14:paraId="5818B050" w14:textId="77777777" w:rsidR="00B97122" w:rsidRDefault="00B97122" w:rsidP="00B97122">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2021</w:t>
    </w:r>
  </w:p>
  <w:p w14:paraId="4630E014" w14:textId="77777777" w:rsidR="00B97122" w:rsidRDefault="00B97122" w:rsidP="00B97122">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59616" behindDoc="0" locked="0" layoutInCell="1" allowOverlap="1" wp14:anchorId="1A19A59C" wp14:editId="64F3122F">
              <wp:simplePos x="0" y="0"/>
              <wp:positionH relativeFrom="column">
                <wp:posOffset>1720884</wp:posOffset>
              </wp:positionH>
              <wp:positionV relativeFrom="paragraph">
                <wp:posOffset>7980</wp:posOffset>
              </wp:positionV>
              <wp:extent cx="5155894" cy="45719"/>
              <wp:effectExtent l="38100" t="38100" r="64135" b="88265"/>
              <wp:wrapNone/>
              <wp:docPr id="232"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4BC9F" id="11 Rectángulo" o:spid="_x0000_s1026" style="position:absolute;margin-left:135.5pt;margin-top:.65pt;width:406pt;height:3.6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T2PwMAAKg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5C113223" w14:textId="77777777" w:rsidR="00B97122" w:rsidRPr="0073581B" w:rsidRDefault="00B97122" w:rsidP="00B97122">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14:paraId="1ABD3E83" w14:textId="77777777"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F6A6" w14:textId="77777777" w:rsidR="00EB1910" w:rsidRPr="007D4651" w:rsidRDefault="0001624A" w:rsidP="007D4651">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41184" behindDoc="0" locked="0" layoutInCell="1" allowOverlap="1" wp14:anchorId="6F22889F" wp14:editId="1AE02EEE">
          <wp:simplePos x="0" y="0"/>
          <wp:positionH relativeFrom="column">
            <wp:posOffset>0</wp:posOffset>
          </wp:positionH>
          <wp:positionV relativeFrom="paragraph">
            <wp:posOffset>-635</wp:posOffset>
          </wp:positionV>
          <wp:extent cx="1598212" cy="723976"/>
          <wp:effectExtent l="0" t="0" r="2540" b="0"/>
          <wp:wrapNone/>
          <wp:docPr id="18" name="Imagen 18"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00EB1910" w:rsidRPr="007D4651">
      <w:rPr>
        <w:rFonts w:ascii="Times New Roman" w:hAnsi="Times New Roman" w:cs="Times New Roman"/>
        <w:b/>
        <w:color w:val="1F497D" w:themeColor="text2"/>
        <w:sz w:val="24"/>
        <w:lang w:val="es-MX"/>
      </w:rPr>
      <w:t>Informe de las Finanzas Públicas</w:t>
    </w:r>
  </w:p>
  <w:p w14:paraId="70490256" w14:textId="77777777" w:rsidR="00E53B45" w:rsidRDefault="0001624A"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w:t>
    </w:r>
    <w:r w:rsidR="00E9315E">
      <w:rPr>
        <w:rFonts w:ascii="Times New Roman" w:hAnsi="Times New Roman" w:cs="Times New Roman"/>
        <w:color w:val="1F497D" w:themeColor="text2"/>
        <w:lang w:val="es-MX"/>
      </w:rPr>
      <w:t xml:space="preserve"> </w:t>
    </w:r>
    <w:r>
      <w:rPr>
        <w:rFonts w:ascii="Times New Roman" w:hAnsi="Times New Roman" w:cs="Times New Roman"/>
        <w:color w:val="1F497D" w:themeColor="text2"/>
        <w:lang w:val="es-MX"/>
      </w:rPr>
      <w:t>2020</w:t>
    </w:r>
  </w:p>
  <w:p w14:paraId="3BEB9ABF" w14:textId="77777777"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25751AFB" wp14:editId="1898E3B5">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952E4"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589C74D1" w14:textId="77777777" w:rsidR="0030020D" w:rsidRDefault="00EB1910" w:rsidP="0001624A">
    <w:pPr>
      <w:pStyle w:val="Encabezado"/>
      <w:rPr>
        <w:rFonts w:ascii="Times New Roman" w:hAnsi="Times New Roman" w:cs="Times New Roman"/>
        <w:b/>
        <w:color w:val="4F81BD" w:themeColor="accent1"/>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14:paraId="053A5131" w14:textId="77777777" w:rsidR="0001624A" w:rsidRPr="0001624A" w:rsidRDefault="0001624A" w:rsidP="0001624A">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D469" w14:textId="77777777" w:rsidR="00B97122" w:rsidRPr="007D4651" w:rsidRDefault="00B97122" w:rsidP="00B97122">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63712" behindDoc="0" locked="0" layoutInCell="1" allowOverlap="1" wp14:anchorId="34FE3A52" wp14:editId="18103B7A">
          <wp:simplePos x="0" y="0"/>
          <wp:positionH relativeFrom="column">
            <wp:posOffset>0</wp:posOffset>
          </wp:positionH>
          <wp:positionV relativeFrom="paragraph">
            <wp:posOffset>-635</wp:posOffset>
          </wp:positionV>
          <wp:extent cx="1598212" cy="723976"/>
          <wp:effectExtent l="0" t="0" r="2540" b="0"/>
          <wp:wrapNone/>
          <wp:docPr id="19" name="Imagen 19"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651">
      <w:rPr>
        <w:rFonts w:ascii="Times New Roman" w:hAnsi="Times New Roman" w:cs="Times New Roman"/>
        <w:b/>
        <w:color w:val="1F497D" w:themeColor="text2"/>
        <w:sz w:val="24"/>
        <w:lang w:val="es-MX"/>
      </w:rPr>
      <w:t>Informe de las Finanzas Públicas</w:t>
    </w:r>
  </w:p>
  <w:p w14:paraId="3C74A958" w14:textId="77777777" w:rsidR="00B97122" w:rsidRDefault="00B97122" w:rsidP="00B97122">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2021</w:t>
    </w:r>
  </w:p>
  <w:p w14:paraId="62916FB5" w14:textId="77777777" w:rsidR="00B97122" w:rsidRDefault="00B97122" w:rsidP="00B97122">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62688" behindDoc="0" locked="0" layoutInCell="1" allowOverlap="1" wp14:anchorId="41C66913" wp14:editId="73B9C8C1">
              <wp:simplePos x="0" y="0"/>
              <wp:positionH relativeFrom="column">
                <wp:posOffset>1720884</wp:posOffset>
              </wp:positionH>
              <wp:positionV relativeFrom="paragraph">
                <wp:posOffset>7980</wp:posOffset>
              </wp:positionV>
              <wp:extent cx="5155894" cy="45719"/>
              <wp:effectExtent l="38100" t="38100" r="64135" b="88265"/>
              <wp:wrapNone/>
              <wp:docPr id="240"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C4D97" id="11 Rectángulo" o:spid="_x0000_s1026" style="position:absolute;margin-left:135.5pt;margin-top:.65pt;width:406pt;height:3.6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00774B53" w14:textId="77777777" w:rsidR="00B97122" w:rsidRPr="0073581B" w:rsidRDefault="00B97122" w:rsidP="00B97122">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14:paraId="7B915716" w14:textId="77777777"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FE98" w14:textId="77777777" w:rsidR="00216605" w:rsidRPr="007D4651" w:rsidRDefault="0001624A" w:rsidP="007D4651">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43232" behindDoc="0" locked="0" layoutInCell="1" allowOverlap="1" wp14:anchorId="6F5BF97F" wp14:editId="367F74F3">
          <wp:simplePos x="0" y="0"/>
          <wp:positionH relativeFrom="column">
            <wp:posOffset>0</wp:posOffset>
          </wp:positionH>
          <wp:positionV relativeFrom="paragraph">
            <wp:posOffset>-635</wp:posOffset>
          </wp:positionV>
          <wp:extent cx="1598212" cy="723976"/>
          <wp:effectExtent l="0" t="0" r="2540" b="0"/>
          <wp:wrapNone/>
          <wp:docPr id="24" name="Imagen 24"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00216605" w:rsidRPr="007D4651">
      <w:rPr>
        <w:rFonts w:ascii="Times New Roman" w:hAnsi="Times New Roman" w:cs="Times New Roman"/>
        <w:b/>
        <w:color w:val="1F497D" w:themeColor="text2"/>
        <w:sz w:val="24"/>
        <w:lang w:val="es-MX"/>
      </w:rPr>
      <w:t>Informe de las Finanzas Públicas</w:t>
    </w:r>
  </w:p>
  <w:p w14:paraId="7A8B1A3B" w14:textId="77777777" w:rsidR="00E53B45" w:rsidRDefault="0001624A"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w:t>
    </w:r>
    <w:r w:rsidR="00E9315E">
      <w:rPr>
        <w:rFonts w:ascii="Times New Roman" w:hAnsi="Times New Roman" w:cs="Times New Roman"/>
        <w:color w:val="1F497D" w:themeColor="text2"/>
        <w:lang w:val="es-MX"/>
      </w:rPr>
      <w:t xml:space="preserve"> </w:t>
    </w:r>
    <w:r w:rsidR="00CE2620">
      <w:rPr>
        <w:rFonts w:ascii="Times New Roman" w:hAnsi="Times New Roman" w:cs="Times New Roman"/>
        <w:color w:val="1F497D" w:themeColor="text2"/>
        <w:lang w:val="es-MX"/>
      </w:rPr>
      <w:t>2021</w:t>
    </w:r>
  </w:p>
  <w:p w14:paraId="457A43F1" w14:textId="77777777"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52B652D6" wp14:editId="3794BD4D">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B5552"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7E8D4DC9" w14:textId="77777777"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14:paraId="0DEE250A" w14:textId="77777777"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B14A" w14:textId="77777777" w:rsidR="00AF68D3" w:rsidRPr="007D4651" w:rsidRDefault="0001624A" w:rsidP="007D4651">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45280" behindDoc="0" locked="0" layoutInCell="1" allowOverlap="1" wp14:anchorId="13747466" wp14:editId="75A22759">
          <wp:simplePos x="0" y="0"/>
          <wp:positionH relativeFrom="column">
            <wp:posOffset>0</wp:posOffset>
          </wp:positionH>
          <wp:positionV relativeFrom="paragraph">
            <wp:posOffset>-635</wp:posOffset>
          </wp:positionV>
          <wp:extent cx="1598212" cy="723976"/>
          <wp:effectExtent l="0" t="0" r="2540" b="0"/>
          <wp:wrapNone/>
          <wp:docPr id="241" name="Imagen 241"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D3" w:rsidRPr="007D4651">
      <w:rPr>
        <w:rFonts w:ascii="Times New Roman" w:hAnsi="Times New Roman" w:cs="Times New Roman"/>
        <w:b/>
        <w:color w:val="1F497D" w:themeColor="text2"/>
        <w:sz w:val="24"/>
        <w:lang w:val="es-MX"/>
      </w:rPr>
      <w:t>Informe de las Finanzas Públicas</w:t>
    </w:r>
  </w:p>
  <w:p w14:paraId="410D352E" w14:textId="77777777" w:rsidR="00E53B45" w:rsidRDefault="0001624A"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w:t>
    </w:r>
    <w:r w:rsidR="00E9315E">
      <w:rPr>
        <w:rFonts w:ascii="Times New Roman" w:hAnsi="Times New Roman" w:cs="Times New Roman"/>
        <w:color w:val="1F497D" w:themeColor="text2"/>
        <w:lang w:val="es-MX"/>
      </w:rPr>
      <w:t xml:space="preserve"> </w:t>
    </w:r>
    <w:r>
      <w:rPr>
        <w:rFonts w:ascii="Times New Roman" w:hAnsi="Times New Roman" w:cs="Times New Roman"/>
        <w:color w:val="1F497D" w:themeColor="text2"/>
        <w:lang w:val="es-MX"/>
      </w:rPr>
      <w:t>2020</w:t>
    </w:r>
  </w:p>
  <w:p w14:paraId="32BE02A0" w14:textId="77777777"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68CC674F" wp14:editId="04A423C9">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62D75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3E777098" w14:textId="77777777"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14:paraId="0727411A" w14:textId="77777777"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B7E" w14:textId="77777777" w:rsidR="00FE1AFF" w:rsidRPr="007D4651" w:rsidRDefault="00FE1AFF" w:rsidP="00FE1AFF">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54496" behindDoc="0" locked="0" layoutInCell="1" allowOverlap="1" wp14:anchorId="386E0B9A" wp14:editId="70BFDAF3">
          <wp:simplePos x="0" y="0"/>
          <wp:positionH relativeFrom="column">
            <wp:posOffset>0</wp:posOffset>
          </wp:positionH>
          <wp:positionV relativeFrom="paragraph">
            <wp:posOffset>-635</wp:posOffset>
          </wp:positionV>
          <wp:extent cx="1598212" cy="723976"/>
          <wp:effectExtent l="0" t="0" r="2540" b="0"/>
          <wp:wrapNone/>
          <wp:docPr id="27" name="Imagen 27"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651">
      <w:rPr>
        <w:rFonts w:ascii="Times New Roman" w:hAnsi="Times New Roman" w:cs="Times New Roman"/>
        <w:b/>
        <w:color w:val="1F497D" w:themeColor="text2"/>
        <w:sz w:val="24"/>
        <w:lang w:val="es-MX"/>
      </w:rPr>
      <w:t>Informe de las Finanzas Públicas</w:t>
    </w:r>
  </w:p>
  <w:p w14:paraId="1B7CCA04" w14:textId="77777777" w:rsidR="00FE1AFF" w:rsidRDefault="00FE1AFF" w:rsidP="00FE1AFF">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2021</w:t>
    </w:r>
  </w:p>
  <w:p w14:paraId="1D5EBBBE" w14:textId="77777777" w:rsidR="00FE1AFF" w:rsidRDefault="00FE1AFF" w:rsidP="00FE1AFF">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53472" behindDoc="0" locked="0" layoutInCell="1" allowOverlap="1" wp14:anchorId="0B3F8B79" wp14:editId="1FD669B7">
              <wp:simplePos x="0" y="0"/>
              <wp:positionH relativeFrom="column">
                <wp:posOffset>1710568</wp:posOffset>
              </wp:positionH>
              <wp:positionV relativeFrom="paragraph">
                <wp:posOffset>29118</wp:posOffset>
              </wp:positionV>
              <wp:extent cx="5155894" cy="45719"/>
              <wp:effectExtent l="38100" t="38100" r="64135" b="88265"/>
              <wp:wrapNone/>
              <wp:docPr id="228"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4C75E" id="22 Rectángulo" o:spid="_x0000_s1026" style="position:absolute;margin-left:134.7pt;margin-top:2.3pt;width:406pt;height:3.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ofCb9j8DAACo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56553C04" w14:textId="77777777" w:rsidR="00FE1AFF" w:rsidRDefault="00FE1AFF" w:rsidP="00FE1AFF">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14:paraId="1EEC570C" w14:textId="77777777"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EE52" w14:textId="77777777" w:rsidR="00AD5816" w:rsidRPr="007D4651" w:rsidRDefault="0001624A" w:rsidP="007D4651">
    <w:pPr>
      <w:pStyle w:val="Encabezado"/>
      <w:jc w:val="right"/>
      <w:rPr>
        <w:rFonts w:ascii="Times New Roman" w:hAnsi="Times New Roman" w:cs="Times New Roman"/>
        <w:b/>
        <w:color w:val="1F497D" w:themeColor="text2"/>
        <w:sz w:val="24"/>
        <w:lang w:val="es-MX"/>
      </w:rPr>
    </w:pPr>
    <w:r>
      <w:rPr>
        <w:noProof/>
        <w:lang w:eastAsia="es-GT"/>
      </w:rPr>
      <w:drawing>
        <wp:anchor distT="0" distB="0" distL="114300" distR="114300" simplePos="0" relativeHeight="251747328" behindDoc="0" locked="0" layoutInCell="1" allowOverlap="1" wp14:anchorId="5B79936D" wp14:editId="6219B2FC">
          <wp:simplePos x="0" y="0"/>
          <wp:positionH relativeFrom="column">
            <wp:posOffset>0</wp:posOffset>
          </wp:positionH>
          <wp:positionV relativeFrom="paragraph">
            <wp:posOffset>-635</wp:posOffset>
          </wp:positionV>
          <wp:extent cx="1598212" cy="723976"/>
          <wp:effectExtent l="0" t="0" r="2540" b="0"/>
          <wp:wrapNone/>
          <wp:docPr id="242" name="Imagen 242"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133" cy="726658"/>
                  </a:xfrm>
                  <a:prstGeom prst="rect">
                    <a:avLst/>
                  </a:prstGeom>
                  <a:noFill/>
                  <a:ln>
                    <a:noFill/>
                  </a:ln>
                </pic:spPr>
              </pic:pic>
            </a:graphicData>
          </a:graphic>
          <wp14:sizeRelH relativeFrom="page">
            <wp14:pctWidth>0</wp14:pctWidth>
          </wp14:sizeRelH>
          <wp14:sizeRelV relativeFrom="page">
            <wp14:pctHeight>0</wp14:pctHeight>
          </wp14:sizeRelV>
        </wp:anchor>
      </w:drawing>
    </w:r>
    <w:r w:rsidR="00AD5816" w:rsidRPr="007D4651">
      <w:rPr>
        <w:rFonts w:ascii="Times New Roman" w:hAnsi="Times New Roman" w:cs="Times New Roman"/>
        <w:b/>
        <w:color w:val="1F497D" w:themeColor="text2"/>
        <w:sz w:val="24"/>
        <w:lang w:val="es-MX"/>
      </w:rPr>
      <w:t>Informe de las Finanzas Públicas</w:t>
    </w:r>
  </w:p>
  <w:p w14:paraId="4DDC7776" w14:textId="77777777" w:rsidR="00E53B45" w:rsidRDefault="0001624A"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w:t>
    </w:r>
    <w:r w:rsidR="00E9315E">
      <w:rPr>
        <w:rFonts w:ascii="Times New Roman" w:hAnsi="Times New Roman" w:cs="Times New Roman"/>
        <w:color w:val="1F497D" w:themeColor="text2"/>
        <w:lang w:val="es-MX"/>
      </w:rPr>
      <w:t xml:space="preserve"> </w:t>
    </w:r>
    <w:r w:rsidR="00CE2620">
      <w:rPr>
        <w:rFonts w:ascii="Times New Roman" w:hAnsi="Times New Roman" w:cs="Times New Roman"/>
        <w:color w:val="1F497D" w:themeColor="text2"/>
        <w:lang w:val="es-MX"/>
      </w:rPr>
      <w:t>2021</w:t>
    </w:r>
  </w:p>
  <w:p w14:paraId="1DDFC223" w14:textId="77777777"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0EF44717" wp14:editId="4C57F327">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6ECC8"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2C276B25" w14:textId="77777777"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14:paraId="7F462748" w14:textId="77777777"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D21A" w14:textId="77777777" w:rsidR="00F062BF" w:rsidRPr="007D4651" w:rsidRDefault="00F062BF"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6064" behindDoc="1" locked="0" layoutInCell="1" allowOverlap="1" wp14:anchorId="69D80E0B" wp14:editId="209FB409">
          <wp:simplePos x="0" y="0"/>
          <wp:positionH relativeFrom="column">
            <wp:posOffset>-89849</wp:posOffset>
          </wp:positionH>
          <wp:positionV relativeFrom="paragraph">
            <wp:posOffset>-163027</wp:posOffset>
          </wp:positionV>
          <wp:extent cx="1697990" cy="914400"/>
          <wp:effectExtent l="0" t="0" r="0" b="0"/>
          <wp:wrapNone/>
          <wp:docPr id="243" name="Imagen 24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14:paraId="4EDA0862" w14:textId="77777777" w:rsidR="00F062BF" w:rsidRDefault="00F062BF"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Noviembre 2018</w:t>
    </w:r>
  </w:p>
  <w:p w14:paraId="1D8088BF" w14:textId="77777777" w:rsidR="00F062BF" w:rsidRDefault="00F062BF"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35040" behindDoc="0" locked="0" layoutInCell="1" allowOverlap="1" wp14:anchorId="29CA704C" wp14:editId="5642E1D5">
              <wp:simplePos x="0" y="0"/>
              <wp:positionH relativeFrom="column">
                <wp:posOffset>1710568</wp:posOffset>
              </wp:positionH>
              <wp:positionV relativeFrom="paragraph">
                <wp:posOffset>29118</wp:posOffset>
              </wp:positionV>
              <wp:extent cx="5155894" cy="45719"/>
              <wp:effectExtent l="38100" t="38100" r="64135" b="88265"/>
              <wp:wrapNone/>
              <wp:docPr id="2"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35A49" id="38 Rectángulo" o:spid="_x0000_s1026" style="position:absolute;margin-left:134.7pt;margin-top:2.3pt;width:406pt;height:3.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JIPQMAAKY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8PAkg9AwAApg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14:paraId="670AC580" w14:textId="77777777" w:rsidR="00F062BF" w:rsidRDefault="00F062BF"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14:paraId="2347AF98" w14:textId="77777777" w:rsidR="00F062BF" w:rsidRPr="00E16925" w:rsidRDefault="00F062BF"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284F18C2"/>
    <w:multiLevelType w:val="hybridMultilevel"/>
    <w:tmpl w:val="60180018"/>
    <w:lvl w:ilvl="0" w:tplc="8DF2F090">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15:restartNumberingAfterBreak="0">
    <w:nsid w:val="34920911"/>
    <w:multiLevelType w:val="hybridMultilevel"/>
    <w:tmpl w:val="110441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6DAE7A0A"/>
    <w:multiLevelType w:val="hybridMultilevel"/>
    <w:tmpl w:val="F59ACDD0"/>
    <w:lvl w:ilvl="0" w:tplc="527E0502">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
  </w:num>
  <w:num w:numId="5">
    <w:abstractNumId w:val="13"/>
  </w:num>
  <w:num w:numId="6">
    <w:abstractNumId w:val="16"/>
  </w:num>
  <w:num w:numId="7">
    <w:abstractNumId w:val="15"/>
  </w:num>
  <w:num w:numId="8">
    <w:abstractNumId w:val="3"/>
  </w:num>
  <w:num w:numId="9">
    <w:abstractNumId w:val="10"/>
  </w:num>
  <w:num w:numId="10">
    <w:abstractNumId w:val="6"/>
  </w:num>
  <w:num w:numId="11">
    <w:abstractNumId w:val="9"/>
  </w:num>
  <w:num w:numId="12">
    <w:abstractNumId w:val="7"/>
  </w:num>
  <w:num w:numId="13">
    <w:abstractNumId w:val="0"/>
  </w:num>
  <w:num w:numId="14">
    <w:abstractNumId w:val="2"/>
  </w:num>
  <w:num w:numId="15">
    <w:abstractNumId w:val="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51"/>
    <w:rsid w:val="0000354D"/>
    <w:rsid w:val="000053A7"/>
    <w:rsid w:val="00006489"/>
    <w:rsid w:val="000064C3"/>
    <w:rsid w:val="000067B1"/>
    <w:rsid w:val="00013A7F"/>
    <w:rsid w:val="00013C63"/>
    <w:rsid w:val="0001624A"/>
    <w:rsid w:val="00020E23"/>
    <w:rsid w:val="00022E98"/>
    <w:rsid w:val="00025121"/>
    <w:rsid w:val="00025788"/>
    <w:rsid w:val="00025D1E"/>
    <w:rsid w:val="00035835"/>
    <w:rsid w:val="000378CF"/>
    <w:rsid w:val="00040C99"/>
    <w:rsid w:val="00042B27"/>
    <w:rsid w:val="00045D14"/>
    <w:rsid w:val="00051776"/>
    <w:rsid w:val="00051A92"/>
    <w:rsid w:val="000530BD"/>
    <w:rsid w:val="00053517"/>
    <w:rsid w:val="0006261A"/>
    <w:rsid w:val="00063120"/>
    <w:rsid w:val="0006646A"/>
    <w:rsid w:val="000723B2"/>
    <w:rsid w:val="00072EEB"/>
    <w:rsid w:val="00074BC6"/>
    <w:rsid w:val="00076AB4"/>
    <w:rsid w:val="00076AD2"/>
    <w:rsid w:val="00076BF9"/>
    <w:rsid w:val="00080BD8"/>
    <w:rsid w:val="0008320B"/>
    <w:rsid w:val="0008348D"/>
    <w:rsid w:val="00087ADE"/>
    <w:rsid w:val="000A0A4F"/>
    <w:rsid w:val="000A6E8E"/>
    <w:rsid w:val="000B0279"/>
    <w:rsid w:val="000B56CE"/>
    <w:rsid w:val="000C1547"/>
    <w:rsid w:val="000C1FF2"/>
    <w:rsid w:val="000C21E1"/>
    <w:rsid w:val="000C2C25"/>
    <w:rsid w:val="000C4EC0"/>
    <w:rsid w:val="000C65AB"/>
    <w:rsid w:val="000D016D"/>
    <w:rsid w:val="000D2FA4"/>
    <w:rsid w:val="000D489E"/>
    <w:rsid w:val="000E43A8"/>
    <w:rsid w:val="000E5E43"/>
    <w:rsid w:val="000F1314"/>
    <w:rsid w:val="000F3B7F"/>
    <w:rsid w:val="000F4520"/>
    <w:rsid w:val="000F509C"/>
    <w:rsid w:val="000F5F87"/>
    <w:rsid w:val="000F7F65"/>
    <w:rsid w:val="00100B94"/>
    <w:rsid w:val="00102939"/>
    <w:rsid w:val="00103DA9"/>
    <w:rsid w:val="001045CE"/>
    <w:rsid w:val="00106793"/>
    <w:rsid w:val="00107309"/>
    <w:rsid w:val="00111B77"/>
    <w:rsid w:val="001178B6"/>
    <w:rsid w:val="00120C4D"/>
    <w:rsid w:val="001259BA"/>
    <w:rsid w:val="0013022C"/>
    <w:rsid w:val="001339A4"/>
    <w:rsid w:val="00133DBA"/>
    <w:rsid w:val="0013436D"/>
    <w:rsid w:val="00136D08"/>
    <w:rsid w:val="0014167F"/>
    <w:rsid w:val="00142BF3"/>
    <w:rsid w:val="00142F1A"/>
    <w:rsid w:val="00143620"/>
    <w:rsid w:val="00145313"/>
    <w:rsid w:val="00150585"/>
    <w:rsid w:val="00152798"/>
    <w:rsid w:val="001549AB"/>
    <w:rsid w:val="00155A02"/>
    <w:rsid w:val="00157402"/>
    <w:rsid w:val="00157C3A"/>
    <w:rsid w:val="00160EAC"/>
    <w:rsid w:val="00163944"/>
    <w:rsid w:val="00171909"/>
    <w:rsid w:val="001735EE"/>
    <w:rsid w:val="001741D8"/>
    <w:rsid w:val="0017454D"/>
    <w:rsid w:val="00182730"/>
    <w:rsid w:val="00185253"/>
    <w:rsid w:val="001913A4"/>
    <w:rsid w:val="00196A44"/>
    <w:rsid w:val="001A0C82"/>
    <w:rsid w:val="001A27B3"/>
    <w:rsid w:val="001A3185"/>
    <w:rsid w:val="001A6038"/>
    <w:rsid w:val="001A79F4"/>
    <w:rsid w:val="001B1DBB"/>
    <w:rsid w:val="001B3984"/>
    <w:rsid w:val="001B3EEE"/>
    <w:rsid w:val="001B5046"/>
    <w:rsid w:val="001C2FF5"/>
    <w:rsid w:val="001C3649"/>
    <w:rsid w:val="001D0065"/>
    <w:rsid w:val="001D3345"/>
    <w:rsid w:val="001D46C3"/>
    <w:rsid w:val="001D4C8E"/>
    <w:rsid w:val="001D5A5B"/>
    <w:rsid w:val="001E0E10"/>
    <w:rsid w:val="001E0F86"/>
    <w:rsid w:val="001E3B99"/>
    <w:rsid w:val="001E4CD2"/>
    <w:rsid w:val="001E61BB"/>
    <w:rsid w:val="001F1118"/>
    <w:rsid w:val="001F2EA3"/>
    <w:rsid w:val="001F34AD"/>
    <w:rsid w:val="001F4EE1"/>
    <w:rsid w:val="001F4F78"/>
    <w:rsid w:val="001F5240"/>
    <w:rsid w:val="001F5581"/>
    <w:rsid w:val="001F7141"/>
    <w:rsid w:val="00200FB1"/>
    <w:rsid w:val="00202594"/>
    <w:rsid w:val="0020377F"/>
    <w:rsid w:val="00207693"/>
    <w:rsid w:val="002101C9"/>
    <w:rsid w:val="00212A2C"/>
    <w:rsid w:val="00213C92"/>
    <w:rsid w:val="00216605"/>
    <w:rsid w:val="00216695"/>
    <w:rsid w:val="0021693D"/>
    <w:rsid w:val="00216B0E"/>
    <w:rsid w:val="00216DA8"/>
    <w:rsid w:val="002215C9"/>
    <w:rsid w:val="00222598"/>
    <w:rsid w:val="002302ED"/>
    <w:rsid w:val="002335EE"/>
    <w:rsid w:val="0023642A"/>
    <w:rsid w:val="00240D86"/>
    <w:rsid w:val="00242202"/>
    <w:rsid w:val="00244AAA"/>
    <w:rsid w:val="002512EC"/>
    <w:rsid w:val="00252B28"/>
    <w:rsid w:val="00256F02"/>
    <w:rsid w:val="002610FC"/>
    <w:rsid w:val="00261B7A"/>
    <w:rsid w:val="00262E76"/>
    <w:rsid w:val="00263007"/>
    <w:rsid w:val="00263CC4"/>
    <w:rsid w:val="00264C3A"/>
    <w:rsid w:val="00264FC5"/>
    <w:rsid w:val="002672D5"/>
    <w:rsid w:val="00270CAB"/>
    <w:rsid w:val="002719C8"/>
    <w:rsid w:val="00273E2C"/>
    <w:rsid w:val="002752BD"/>
    <w:rsid w:val="00275F3F"/>
    <w:rsid w:val="00276250"/>
    <w:rsid w:val="00276A28"/>
    <w:rsid w:val="00281439"/>
    <w:rsid w:val="00281FB7"/>
    <w:rsid w:val="0028212F"/>
    <w:rsid w:val="00292AD2"/>
    <w:rsid w:val="00292AD8"/>
    <w:rsid w:val="0029321A"/>
    <w:rsid w:val="00295365"/>
    <w:rsid w:val="002969E2"/>
    <w:rsid w:val="00296D57"/>
    <w:rsid w:val="002977ED"/>
    <w:rsid w:val="002A076B"/>
    <w:rsid w:val="002A5B1B"/>
    <w:rsid w:val="002B5E9D"/>
    <w:rsid w:val="002B7644"/>
    <w:rsid w:val="002C0021"/>
    <w:rsid w:val="002C0919"/>
    <w:rsid w:val="002C2547"/>
    <w:rsid w:val="002C482A"/>
    <w:rsid w:val="002C6478"/>
    <w:rsid w:val="002C68B8"/>
    <w:rsid w:val="002C7F2B"/>
    <w:rsid w:val="002D11E8"/>
    <w:rsid w:val="002D1C01"/>
    <w:rsid w:val="002D3469"/>
    <w:rsid w:val="002D54E6"/>
    <w:rsid w:val="002E0EA7"/>
    <w:rsid w:val="002E3F4C"/>
    <w:rsid w:val="002F14AA"/>
    <w:rsid w:val="002F29DE"/>
    <w:rsid w:val="002F2A42"/>
    <w:rsid w:val="002F5408"/>
    <w:rsid w:val="002F7E08"/>
    <w:rsid w:val="0030020D"/>
    <w:rsid w:val="00302D40"/>
    <w:rsid w:val="0030695C"/>
    <w:rsid w:val="00312262"/>
    <w:rsid w:val="00312D85"/>
    <w:rsid w:val="0031651A"/>
    <w:rsid w:val="00321745"/>
    <w:rsid w:val="0032198D"/>
    <w:rsid w:val="00322ECC"/>
    <w:rsid w:val="00330A9D"/>
    <w:rsid w:val="00334324"/>
    <w:rsid w:val="003371DC"/>
    <w:rsid w:val="00343A5D"/>
    <w:rsid w:val="00345216"/>
    <w:rsid w:val="0034700C"/>
    <w:rsid w:val="003523F0"/>
    <w:rsid w:val="0035279B"/>
    <w:rsid w:val="003531E5"/>
    <w:rsid w:val="003551C3"/>
    <w:rsid w:val="003566E1"/>
    <w:rsid w:val="003649D9"/>
    <w:rsid w:val="00364DD6"/>
    <w:rsid w:val="00366770"/>
    <w:rsid w:val="00367E12"/>
    <w:rsid w:val="00374D44"/>
    <w:rsid w:val="0037619D"/>
    <w:rsid w:val="003762C5"/>
    <w:rsid w:val="00376802"/>
    <w:rsid w:val="00376FE9"/>
    <w:rsid w:val="0038008D"/>
    <w:rsid w:val="003804E5"/>
    <w:rsid w:val="00381A4F"/>
    <w:rsid w:val="0038488D"/>
    <w:rsid w:val="00385BA8"/>
    <w:rsid w:val="00393E59"/>
    <w:rsid w:val="0039499F"/>
    <w:rsid w:val="003968DB"/>
    <w:rsid w:val="003A1300"/>
    <w:rsid w:val="003A3726"/>
    <w:rsid w:val="003A72C9"/>
    <w:rsid w:val="003B00D2"/>
    <w:rsid w:val="003B13B4"/>
    <w:rsid w:val="003B1A93"/>
    <w:rsid w:val="003B24E3"/>
    <w:rsid w:val="003C3922"/>
    <w:rsid w:val="003C7085"/>
    <w:rsid w:val="003D05CE"/>
    <w:rsid w:val="003D15F7"/>
    <w:rsid w:val="003D2C99"/>
    <w:rsid w:val="003D38A7"/>
    <w:rsid w:val="003D557F"/>
    <w:rsid w:val="003D60E4"/>
    <w:rsid w:val="003D72D3"/>
    <w:rsid w:val="003D7EBA"/>
    <w:rsid w:val="003E25F8"/>
    <w:rsid w:val="003E2823"/>
    <w:rsid w:val="003E28F4"/>
    <w:rsid w:val="003E591D"/>
    <w:rsid w:val="003E70E0"/>
    <w:rsid w:val="003F0660"/>
    <w:rsid w:val="003F1E83"/>
    <w:rsid w:val="003F4609"/>
    <w:rsid w:val="003F7076"/>
    <w:rsid w:val="0040361C"/>
    <w:rsid w:val="0040580B"/>
    <w:rsid w:val="00410690"/>
    <w:rsid w:val="0041262B"/>
    <w:rsid w:val="00413FBE"/>
    <w:rsid w:val="00416D41"/>
    <w:rsid w:val="00421BA0"/>
    <w:rsid w:val="0042387A"/>
    <w:rsid w:val="004248D9"/>
    <w:rsid w:val="0042628E"/>
    <w:rsid w:val="00426F4F"/>
    <w:rsid w:val="00434FC6"/>
    <w:rsid w:val="00443336"/>
    <w:rsid w:val="00443385"/>
    <w:rsid w:val="00443621"/>
    <w:rsid w:val="00447F4F"/>
    <w:rsid w:val="00450531"/>
    <w:rsid w:val="00451504"/>
    <w:rsid w:val="00452A5A"/>
    <w:rsid w:val="004575BA"/>
    <w:rsid w:val="004606FD"/>
    <w:rsid w:val="00464DB9"/>
    <w:rsid w:val="004650C5"/>
    <w:rsid w:val="00465F37"/>
    <w:rsid w:val="00471B35"/>
    <w:rsid w:val="00474EC2"/>
    <w:rsid w:val="00480824"/>
    <w:rsid w:val="004830FD"/>
    <w:rsid w:val="004835C8"/>
    <w:rsid w:val="00483632"/>
    <w:rsid w:val="0048385B"/>
    <w:rsid w:val="00487136"/>
    <w:rsid w:val="00492967"/>
    <w:rsid w:val="00494116"/>
    <w:rsid w:val="00494BC6"/>
    <w:rsid w:val="00494D1D"/>
    <w:rsid w:val="00495C21"/>
    <w:rsid w:val="00495F43"/>
    <w:rsid w:val="00497DD6"/>
    <w:rsid w:val="004A28E4"/>
    <w:rsid w:val="004A3D32"/>
    <w:rsid w:val="004A3DB8"/>
    <w:rsid w:val="004A6705"/>
    <w:rsid w:val="004A73AA"/>
    <w:rsid w:val="004B1E1A"/>
    <w:rsid w:val="004B336D"/>
    <w:rsid w:val="004B4B9F"/>
    <w:rsid w:val="004B5B0F"/>
    <w:rsid w:val="004B799B"/>
    <w:rsid w:val="004C208F"/>
    <w:rsid w:val="004C3B4E"/>
    <w:rsid w:val="004D0A0F"/>
    <w:rsid w:val="004D1F76"/>
    <w:rsid w:val="004D7482"/>
    <w:rsid w:val="004E23E4"/>
    <w:rsid w:val="004E358C"/>
    <w:rsid w:val="004E4FDE"/>
    <w:rsid w:val="004E54B7"/>
    <w:rsid w:val="004E5D0E"/>
    <w:rsid w:val="004E61EC"/>
    <w:rsid w:val="004F02B2"/>
    <w:rsid w:val="004F4F4D"/>
    <w:rsid w:val="004F72F9"/>
    <w:rsid w:val="005004C9"/>
    <w:rsid w:val="005016F6"/>
    <w:rsid w:val="005016F7"/>
    <w:rsid w:val="00502FD6"/>
    <w:rsid w:val="005077A5"/>
    <w:rsid w:val="00507E67"/>
    <w:rsid w:val="005104DC"/>
    <w:rsid w:val="00511C93"/>
    <w:rsid w:val="00512601"/>
    <w:rsid w:val="0051308A"/>
    <w:rsid w:val="005136F3"/>
    <w:rsid w:val="00514CFD"/>
    <w:rsid w:val="00515CE6"/>
    <w:rsid w:val="00517930"/>
    <w:rsid w:val="00520FB0"/>
    <w:rsid w:val="005226CD"/>
    <w:rsid w:val="00523738"/>
    <w:rsid w:val="00530EAC"/>
    <w:rsid w:val="00532025"/>
    <w:rsid w:val="0053566F"/>
    <w:rsid w:val="005364DE"/>
    <w:rsid w:val="005428C6"/>
    <w:rsid w:val="00544E9A"/>
    <w:rsid w:val="00546650"/>
    <w:rsid w:val="0055248B"/>
    <w:rsid w:val="005537D0"/>
    <w:rsid w:val="005550D8"/>
    <w:rsid w:val="0055590E"/>
    <w:rsid w:val="00566C5B"/>
    <w:rsid w:val="00573AB0"/>
    <w:rsid w:val="005755E9"/>
    <w:rsid w:val="00575DFA"/>
    <w:rsid w:val="00580D47"/>
    <w:rsid w:val="00582F9F"/>
    <w:rsid w:val="00586745"/>
    <w:rsid w:val="005879A5"/>
    <w:rsid w:val="00591D14"/>
    <w:rsid w:val="005925BD"/>
    <w:rsid w:val="00592D6E"/>
    <w:rsid w:val="0059421A"/>
    <w:rsid w:val="005948F0"/>
    <w:rsid w:val="0059655C"/>
    <w:rsid w:val="00596662"/>
    <w:rsid w:val="0059700F"/>
    <w:rsid w:val="005979EB"/>
    <w:rsid w:val="005A03A9"/>
    <w:rsid w:val="005A1EFC"/>
    <w:rsid w:val="005A6ACE"/>
    <w:rsid w:val="005A6F91"/>
    <w:rsid w:val="005B0E84"/>
    <w:rsid w:val="005B1B53"/>
    <w:rsid w:val="005B44D1"/>
    <w:rsid w:val="005B4E4C"/>
    <w:rsid w:val="005B6D05"/>
    <w:rsid w:val="005C103A"/>
    <w:rsid w:val="005C275E"/>
    <w:rsid w:val="005C4C97"/>
    <w:rsid w:val="005D2336"/>
    <w:rsid w:val="005D5151"/>
    <w:rsid w:val="005D51CA"/>
    <w:rsid w:val="005D6423"/>
    <w:rsid w:val="005D7AC4"/>
    <w:rsid w:val="005E4D76"/>
    <w:rsid w:val="005E6BD0"/>
    <w:rsid w:val="005E7E89"/>
    <w:rsid w:val="005F04EC"/>
    <w:rsid w:val="005F18DE"/>
    <w:rsid w:val="005F470C"/>
    <w:rsid w:val="005F591A"/>
    <w:rsid w:val="0060094A"/>
    <w:rsid w:val="006014EC"/>
    <w:rsid w:val="00601C99"/>
    <w:rsid w:val="00601CF4"/>
    <w:rsid w:val="00603743"/>
    <w:rsid w:val="00604F51"/>
    <w:rsid w:val="006060AD"/>
    <w:rsid w:val="00606D70"/>
    <w:rsid w:val="00610F84"/>
    <w:rsid w:val="0062255C"/>
    <w:rsid w:val="00623DEA"/>
    <w:rsid w:val="00623EC9"/>
    <w:rsid w:val="00624417"/>
    <w:rsid w:val="00625AA5"/>
    <w:rsid w:val="00632EE6"/>
    <w:rsid w:val="00633616"/>
    <w:rsid w:val="00637772"/>
    <w:rsid w:val="00637AC9"/>
    <w:rsid w:val="00640B12"/>
    <w:rsid w:val="0064258A"/>
    <w:rsid w:val="00643685"/>
    <w:rsid w:val="00643FB6"/>
    <w:rsid w:val="00651522"/>
    <w:rsid w:val="006525C5"/>
    <w:rsid w:val="006530FD"/>
    <w:rsid w:val="00654855"/>
    <w:rsid w:val="006553D6"/>
    <w:rsid w:val="00656178"/>
    <w:rsid w:val="00660888"/>
    <w:rsid w:val="00661E2A"/>
    <w:rsid w:val="006630B2"/>
    <w:rsid w:val="00663EB3"/>
    <w:rsid w:val="00665BB7"/>
    <w:rsid w:val="00666477"/>
    <w:rsid w:val="006668D4"/>
    <w:rsid w:val="0066791B"/>
    <w:rsid w:val="00670F33"/>
    <w:rsid w:val="0067132B"/>
    <w:rsid w:val="00674EAE"/>
    <w:rsid w:val="00676765"/>
    <w:rsid w:val="006820CE"/>
    <w:rsid w:val="006830CD"/>
    <w:rsid w:val="00685A33"/>
    <w:rsid w:val="00685C3A"/>
    <w:rsid w:val="006968BB"/>
    <w:rsid w:val="006A1473"/>
    <w:rsid w:val="006A41F1"/>
    <w:rsid w:val="006A64D5"/>
    <w:rsid w:val="006B0D82"/>
    <w:rsid w:val="006B40EC"/>
    <w:rsid w:val="006C0680"/>
    <w:rsid w:val="006C2F15"/>
    <w:rsid w:val="006C7015"/>
    <w:rsid w:val="006D1857"/>
    <w:rsid w:val="006D7959"/>
    <w:rsid w:val="006D7B6E"/>
    <w:rsid w:val="006D7BB6"/>
    <w:rsid w:val="006E082A"/>
    <w:rsid w:val="006E1D11"/>
    <w:rsid w:val="006E27A5"/>
    <w:rsid w:val="006E4937"/>
    <w:rsid w:val="006E63F3"/>
    <w:rsid w:val="006E6A13"/>
    <w:rsid w:val="006F157C"/>
    <w:rsid w:val="006F202E"/>
    <w:rsid w:val="006F20A4"/>
    <w:rsid w:val="006F3C0D"/>
    <w:rsid w:val="006F3FF3"/>
    <w:rsid w:val="006F410A"/>
    <w:rsid w:val="006F4891"/>
    <w:rsid w:val="006F5EA0"/>
    <w:rsid w:val="006F7575"/>
    <w:rsid w:val="00706A33"/>
    <w:rsid w:val="00712339"/>
    <w:rsid w:val="00714E40"/>
    <w:rsid w:val="00715C88"/>
    <w:rsid w:val="00715D8F"/>
    <w:rsid w:val="0071791E"/>
    <w:rsid w:val="007206C9"/>
    <w:rsid w:val="00720E64"/>
    <w:rsid w:val="00723F6E"/>
    <w:rsid w:val="00725F93"/>
    <w:rsid w:val="0073367E"/>
    <w:rsid w:val="0073437F"/>
    <w:rsid w:val="0073581B"/>
    <w:rsid w:val="007362C1"/>
    <w:rsid w:val="0074137E"/>
    <w:rsid w:val="007413CE"/>
    <w:rsid w:val="00741591"/>
    <w:rsid w:val="00741F6B"/>
    <w:rsid w:val="0074369F"/>
    <w:rsid w:val="0074502B"/>
    <w:rsid w:val="0074528B"/>
    <w:rsid w:val="007452E2"/>
    <w:rsid w:val="00747C79"/>
    <w:rsid w:val="00751CCA"/>
    <w:rsid w:val="00754057"/>
    <w:rsid w:val="007572E9"/>
    <w:rsid w:val="0075770C"/>
    <w:rsid w:val="0076028F"/>
    <w:rsid w:val="00762722"/>
    <w:rsid w:val="00762FE3"/>
    <w:rsid w:val="0076667B"/>
    <w:rsid w:val="00767573"/>
    <w:rsid w:val="00767B56"/>
    <w:rsid w:val="007701C9"/>
    <w:rsid w:val="007703A2"/>
    <w:rsid w:val="007706F8"/>
    <w:rsid w:val="00771670"/>
    <w:rsid w:val="00773919"/>
    <w:rsid w:val="00775DE3"/>
    <w:rsid w:val="00776974"/>
    <w:rsid w:val="0078135B"/>
    <w:rsid w:val="007814D6"/>
    <w:rsid w:val="007846C7"/>
    <w:rsid w:val="00784AF8"/>
    <w:rsid w:val="007859CD"/>
    <w:rsid w:val="007A6523"/>
    <w:rsid w:val="007A7272"/>
    <w:rsid w:val="007A7814"/>
    <w:rsid w:val="007A7FB8"/>
    <w:rsid w:val="007B26CD"/>
    <w:rsid w:val="007B3D0C"/>
    <w:rsid w:val="007B5BA5"/>
    <w:rsid w:val="007B720C"/>
    <w:rsid w:val="007C0C8C"/>
    <w:rsid w:val="007C4E46"/>
    <w:rsid w:val="007C6F35"/>
    <w:rsid w:val="007D0566"/>
    <w:rsid w:val="007D22F4"/>
    <w:rsid w:val="007D268B"/>
    <w:rsid w:val="007D38A9"/>
    <w:rsid w:val="007D4651"/>
    <w:rsid w:val="007D7CFE"/>
    <w:rsid w:val="007E314A"/>
    <w:rsid w:val="007E5841"/>
    <w:rsid w:val="007E6BCF"/>
    <w:rsid w:val="007E6F28"/>
    <w:rsid w:val="007F126E"/>
    <w:rsid w:val="007F443F"/>
    <w:rsid w:val="007F4528"/>
    <w:rsid w:val="007F6F57"/>
    <w:rsid w:val="008010A6"/>
    <w:rsid w:val="00804E1C"/>
    <w:rsid w:val="00806D75"/>
    <w:rsid w:val="0081055D"/>
    <w:rsid w:val="0081058F"/>
    <w:rsid w:val="00810A4C"/>
    <w:rsid w:val="008112C9"/>
    <w:rsid w:val="00813E3C"/>
    <w:rsid w:val="0081609E"/>
    <w:rsid w:val="00822C6B"/>
    <w:rsid w:val="00823719"/>
    <w:rsid w:val="00825110"/>
    <w:rsid w:val="00826AEC"/>
    <w:rsid w:val="00826D9D"/>
    <w:rsid w:val="008274C1"/>
    <w:rsid w:val="008277A9"/>
    <w:rsid w:val="008316E1"/>
    <w:rsid w:val="00833E90"/>
    <w:rsid w:val="00835216"/>
    <w:rsid w:val="00835D5C"/>
    <w:rsid w:val="00842D8F"/>
    <w:rsid w:val="00842FFE"/>
    <w:rsid w:val="008501C7"/>
    <w:rsid w:val="00851B4B"/>
    <w:rsid w:val="00855D0B"/>
    <w:rsid w:val="00857302"/>
    <w:rsid w:val="0085741B"/>
    <w:rsid w:val="00861640"/>
    <w:rsid w:val="008658A7"/>
    <w:rsid w:val="008662DB"/>
    <w:rsid w:val="00870831"/>
    <w:rsid w:val="008718E5"/>
    <w:rsid w:val="00871B31"/>
    <w:rsid w:val="0088214C"/>
    <w:rsid w:val="008827D6"/>
    <w:rsid w:val="008844B1"/>
    <w:rsid w:val="00891B11"/>
    <w:rsid w:val="00891F2D"/>
    <w:rsid w:val="00892181"/>
    <w:rsid w:val="00892DE1"/>
    <w:rsid w:val="00895722"/>
    <w:rsid w:val="00897192"/>
    <w:rsid w:val="00897DAA"/>
    <w:rsid w:val="008A1777"/>
    <w:rsid w:val="008A2427"/>
    <w:rsid w:val="008A5760"/>
    <w:rsid w:val="008B110A"/>
    <w:rsid w:val="008B3C43"/>
    <w:rsid w:val="008B5573"/>
    <w:rsid w:val="008C079A"/>
    <w:rsid w:val="008C147E"/>
    <w:rsid w:val="008D5E9E"/>
    <w:rsid w:val="008E0F73"/>
    <w:rsid w:val="008E31D9"/>
    <w:rsid w:val="008E5C4F"/>
    <w:rsid w:val="008E6162"/>
    <w:rsid w:val="008E7869"/>
    <w:rsid w:val="008E7927"/>
    <w:rsid w:val="008F312E"/>
    <w:rsid w:val="008F46B7"/>
    <w:rsid w:val="008F4BCE"/>
    <w:rsid w:val="008F5915"/>
    <w:rsid w:val="008F5DBB"/>
    <w:rsid w:val="008F7686"/>
    <w:rsid w:val="0090034D"/>
    <w:rsid w:val="009062A4"/>
    <w:rsid w:val="00910163"/>
    <w:rsid w:val="009121F7"/>
    <w:rsid w:val="00912A58"/>
    <w:rsid w:val="00916532"/>
    <w:rsid w:val="00917786"/>
    <w:rsid w:val="00924E88"/>
    <w:rsid w:val="00934746"/>
    <w:rsid w:val="0093522C"/>
    <w:rsid w:val="00935D14"/>
    <w:rsid w:val="00936E17"/>
    <w:rsid w:val="00940C2E"/>
    <w:rsid w:val="00942163"/>
    <w:rsid w:val="0094219B"/>
    <w:rsid w:val="00946523"/>
    <w:rsid w:val="00950874"/>
    <w:rsid w:val="00951347"/>
    <w:rsid w:val="00954FB2"/>
    <w:rsid w:val="00956270"/>
    <w:rsid w:val="00963756"/>
    <w:rsid w:val="00964466"/>
    <w:rsid w:val="00964ECA"/>
    <w:rsid w:val="00965F44"/>
    <w:rsid w:val="00972FCF"/>
    <w:rsid w:val="00975E49"/>
    <w:rsid w:val="00981FB0"/>
    <w:rsid w:val="00982379"/>
    <w:rsid w:val="00986297"/>
    <w:rsid w:val="0099341E"/>
    <w:rsid w:val="00993857"/>
    <w:rsid w:val="00995540"/>
    <w:rsid w:val="00997A06"/>
    <w:rsid w:val="009A12F9"/>
    <w:rsid w:val="009A1EA3"/>
    <w:rsid w:val="009A1FA7"/>
    <w:rsid w:val="009A2CB8"/>
    <w:rsid w:val="009A3187"/>
    <w:rsid w:val="009A47FE"/>
    <w:rsid w:val="009A5380"/>
    <w:rsid w:val="009A7441"/>
    <w:rsid w:val="009B10B6"/>
    <w:rsid w:val="009B2AD3"/>
    <w:rsid w:val="009B7148"/>
    <w:rsid w:val="009B7429"/>
    <w:rsid w:val="009B7456"/>
    <w:rsid w:val="009B76D6"/>
    <w:rsid w:val="009C0583"/>
    <w:rsid w:val="009C0B93"/>
    <w:rsid w:val="009C361A"/>
    <w:rsid w:val="009C3938"/>
    <w:rsid w:val="009C4027"/>
    <w:rsid w:val="009C5F4E"/>
    <w:rsid w:val="009D00E9"/>
    <w:rsid w:val="009D0D94"/>
    <w:rsid w:val="009D1232"/>
    <w:rsid w:val="009D2132"/>
    <w:rsid w:val="009D25F9"/>
    <w:rsid w:val="009D2C22"/>
    <w:rsid w:val="009D38BF"/>
    <w:rsid w:val="009D4E7A"/>
    <w:rsid w:val="009D72CF"/>
    <w:rsid w:val="009E61BB"/>
    <w:rsid w:val="009F15B9"/>
    <w:rsid w:val="009F164F"/>
    <w:rsid w:val="009F1C07"/>
    <w:rsid w:val="009F1C62"/>
    <w:rsid w:val="009F530C"/>
    <w:rsid w:val="009F628A"/>
    <w:rsid w:val="00A00D30"/>
    <w:rsid w:val="00A0113A"/>
    <w:rsid w:val="00A044EF"/>
    <w:rsid w:val="00A07BE4"/>
    <w:rsid w:val="00A11B04"/>
    <w:rsid w:val="00A15244"/>
    <w:rsid w:val="00A159B6"/>
    <w:rsid w:val="00A2151F"/>
    <w:rsid w:val="00A21A6A"/>
    <w:rsid w:val="00A24C4D"/>
    <w:rsid w:val="00A25906"/>
    <w:rsid w:val="00A26C76"/>
    <w:rsid w:val="00A305E5"/>
    <w:rsid w:val="00A32AA1"/>
    <w:rsid w:val="00A34EAE"/>
    <w:rsid w:val="00A40EAF"/>
    <w:rsid w:val="00A4399A"/>
    <w:rsid w:val="00A446DB"/>
    <w:rsid w:val="00A45BC8"/>
    <w:rsid w:val="00A46630"/>
    <w:rsid w:val="00A53877"/>
    <w:rsid w:val="00A54CC2"/>
    <w:rsid w:val="00A60591"/>
    <w:rsid w:val="00A64AE4"/>
    <w:rsid w:val="00A673A4"/>
    <w:rsid w:val="00A67992"/>
    <w:rsid w:val="00A706A2"/>
    <w:rsid w:val="00A7383F"/>
    <w:rsid w:val="00A74F16"/>
    <w:rsid w:val="00A753EB"/>
    <w:rsid w:val="00A75539"/>
    <w:rsid w:val="00A75E19"/>
    <w:rsid w:val="00A775C6"/>
    <w:rsid w:val="00A808B8"/>
    <w:rsid w:val="00A817F8"/>
    <w:rsid w:val="00A875EE"/>
    <w:rsid w:val="00A900E8"/>
    <w:rsid w:val="00A92B4B"/>
    <w:rsid w:val="00A92D6E"/>
    <w:rsid w:val="00A970F8"/>
    <w:rsid w:val="00AA11B9"/>
    <w:rsid w:val="00AA4872"/>
    <w:rsid w:val="00AA54A5"/>
    <w:rsid w:val="00AA6C6B"/>
    <w:rsid w:val="00AA7DB0"/>
    <w:rsid w:val="00AB20BD"/>
    <w:rsid w:val="00AB2522"/>
    <w:rsid w:val="00AB52BE"/>
    <w:rsid w:val="00AC5CAC"/>
    <w:rsid w:val="00AC7961"/>
    <w:rsid w:val="00AD3FF3"/>
    <w:rsid w:val="00AD4251"/>
    <w:rsid w:val="00AD4EF6"/>
    <w:rsid w:val="00AD55FD"/>
    <w:rsid w:val="00AD5816"/>
    <w:rsid w:val="00AE1096"/>
    <w:rsid w:val="00AE2039"/>
    <w:rsid w:val="00AE50A8"/>
    <w:rsid w:val="00AF067F"/>
    <w:rsid w:val="00AF073D"/>
    <w:rsid w:val="00AF4290"/>
    <w:rsid w:val="00AF644A"/>
    <w:rsid w:val="00AF68D3"/>
    <w:rsid w:val="00AF7ACE"/>
    <w:rsid w:val="00B00205"/>
    <w:rsid w:val="00B00A4F"/>
    <w:rsid w:val="00B00E20"/>
    <w:rsid w:val="00B0107A"/>
    <w:rsid w:val="00B02673"/>
    <w:rsid w:val="00B04D97"/>
    <w:rsid w:val="00B05AC1"/>
    <w:rsid w:val="00B06546"/>
    <w:rsid w:val="00B11FD1"/>
    <w:rsid w:val="00B136D6"/>
    <w:rsid w:val="00B1448A"/>
    <w:rsid w:val="00B21010"/>
    <w:rsid w:val="00B26014"/>
    <w:rsid w:val="00B2709E"/>
    <w:rsid w:val="00B35FDC"/>
    <w:rsid w:val="00B368DA"/>
    <w:rsid w:val="00B42A82"/>
    <w:rsid w:val="00B43892"/>
    <w:rsid w:val="00B468EF"/>
    <w:rsid w:val="00B5017E"/>
    <w:rsid w:val="00B5079C"/>
    <w:rsid w:val="00B508E2"/>
    <w:rsid w:val="00B56EE0"/>
    <w:rsid w:val="00B579BB"/>
    <w:rsid w:val="00B57AAB"/>
    <w:rsid w:val="00B57CED"/>
    <w:rsid w:val="00B606D0"/>
    <w:rsid w:val="00B632B3"/>
    <w:rsid w:val="00B667BC"/>
    <w:rsid w:val="00B667E7"/>
    <w:rsid w:val="00B7015D"/>
    <w:rsid w:val="00B7136E"/>
    <w:rsid w:val="00B7616E"/>
    <w:rsid w:val="00B827E1"/>
    <w:rsid w:val="00B82ABC"/>
    <w:rsid w:val="00B83CAC"/>
    <w:rsid w:val="00B84995"/>
    <w:rsid w:val="00B85950"/>
    <w:rsid w:val="00B86812"/>
    <w:rsid w:val="00B91010"/>
    <w:rsid w:val="00B917E5"/>
    <w:rsid w:val="00B9286A"/>
    <w:rsid w:val="00B93470"/>
    <w:rsid w:val="00B95BBF"/>
    <w:rsid w:val="00B96036"/>
    <w:rsid w:val="00B96AC8"/>
    <w:rsid w:val="00B97122"/>
    <w:rsid w:val="00BA12CD"/>
    <w:rsid w:val="00BA25B6"/>
    <w:rsid w:val="00BA3920"/>
    <w:rsid w:val="00BA782D"/>
    <w:rsid w:val="00BB1AAC"/>
    <w:rsid w:val="00BB4C28"/>
    <w:rsid w:val="00BB5426"/>
    <w:rsid w:val="00BC2768"/>
    <w:rsid w:val="00BC33C2"/>
    <w:rsid w:val="00BC4F9E"/>
    <w:rsid w:val="00BC647C"/>
    <w:rsid w:val="00BC7539"/>
    <w:rsid w:val="00BC79C1"/>
    <w:rsid w:val="00BD0FCC"/>
    <w:rsid w:val="00BD1088"/>
    <w:rsid w:val="00BD33FC"/>
    <w:rsid w:val="00BD3A7C"/>
    <w:rsid w:val="00BD4961"/>
    <w:rsid w:val="00BE0387"/>
    <w:rsid w:val="00BE2D99"/>
    <w:rsid w:val="00BE3463"/>
    <w:rsid w:val="00BE54D6"/>
    <w:rsid w:val="00BF1481"/>
    <w:rsid w:val="00BF2610"/>
    <w:rsid w:val="00BF6B5B"/>
    <w:rsid w:val="00C001D0"/>
    <w:rsid w:val="00C02A39"/>
    <w:rsid w:val="00C02FE1"/>
    <w:rsid w:val="00C04E3C"/>
    <w:rsid w:val="00C05425"/>
    <w:rsid w:val="00C069B8"/>
    <w:rsid w:val="00C074EF"/>
    <w:rsid w:val="00C10B42"/>
    <w:rsid w:val="00C12720"/>
    <w:rsid w:val="00C15432"/>
    <w:rsid w:val="00C15AC4"/>
    <w:rsid w:val="00C21149"/>
    <w:rsid w:val="00C2773E"/>
    <w:rsid w:val="00C3128B"/>
    <w:rsid w:val="00C33674"/>
    <w:rsid w:val="00C3385B"/>
    <w:rsid w:val="00C41470"/>
    <w:rsid w:val="00C41FF2"/>
    <w:rsid w:val="00C50BB6"/>
    <w:rsid w:val="00C54747"/>
    <w:rsid w:val="00C5514E"/>
    <w:rsid w:val="00C56C98"/>
    <w:rsid w:val="00C61690"/>
    <w:rsid w:val="00C6254D"/>
    <w:rsid w:val="00C629B9"/>
    <w:rsid w:val="00C645BC"/>
    <w:rsid w:val="00C646C4"/>
    <w:rsid w:val="00C75935"/>
    <w:rsid w:val="00C76463"/>
    <w:rsid w:val="00C85696"/>
    <w:rsid w:val="00C9002C"/>
    <w:rsid w:val="00C91204"/>
    <w:rsid w:val="00C922D7"/>
    <w:rsid w:val="00C935C2"/>
    <w:rsid w:val="00C93727"/>
    <w:rsid w:val="00C95BFB"/>
    <w:rsid w:val="00C97A4D"/>
    <w:rsid w:val="00CA19F5"/>
    <w:rsid w:val="00CA57D4"/>
    <w:rsid w:val="00CA6173"/>
    <w:rsid w:val="00CA65FF"/>
    <w:rsid w:val="00CB0938"/>
    <w:rsid w:val="00CB220A"/>
    <w:rsid w:val="00CB5234"/>
    <w:rsid w:val="00CC2800"/>
    <w:rsid w:val="00CC3420"/>
    <w:rsid w:val="00CC3BC7"/>
    <w:rsid w:val="00CC547C"/>
    <w:rsid w:val="00CC60FF"/>
    <w:rsid w:val="00CD58C8"/>
    <w:rsid w:val="00CD7760"/>
    <w:rsid w:val="00CE0468"/>
    <w:rsid w:val="00CE123C"/>
    <w:rsid w:val="00CE13DA"/>
    <w:rsid w:val="00CE2620"/>
    <w:rsid w:val="00CE2C40"/>
    <w:rsid w:val="00CE3C39"/>
    <w:rsid w:val="00CE75B5"/>
    <w:rsid w:val="00CF0F94"/>
    <w:rsid w:val="00CF2D98"/>
    <w:rsid w:val="00CF436B"/>
    <w:rsid w:val="00CF5AB1"/>
    <w:rsid w:val="00CF73B4"/>
    <w:rsid w:val="00D00E78"/>
    <w:rsid w:val="00D01738"/>
    <w:rsid w:val="00D04F96"/>
    <w:rsid w:val="00D1383A"/>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5810"/>
    <w:rsid w:val="00D466D2"/>
    <w:rsid w:val="00D50ABF"/>
    <w:rsid w:val="00D51EBD"/>
    <w:rsid w:val="00D532B4"/>
    <w:rsid w:val="00D55ACB"/>
    <w:rsid w:val="00D571E0"/>
    <w:rsid w:val="00D616E2"/>
    <w:rsid w:val="00D61F8E"/>
    <w:rsid w:val="00D63636"/>
    <w:rsid w:val="00D63CFC"/>
    <w:rsid w:val="00D66D34"/>
    <w:rsid w:val="00D716E4"/>
    <w:rsid w:val="00D73D1A"/>
    <w:rsid w:val="00D7427C"/>
    <w:rsid w:val="00D75C74"/>
    <w:rsid w:val="00D75E95"/>
    <w:rsid w:val="00D858E5"/>
    <w:rsid w:val="00DA13C8"/>
    <w:rsid w:val="00DA53C7"/>
    <w:rsid w:val="00DA5809"/>
    <w:rsid w:val="00DA58BF"/>
    <w:rsid w:val="00DA7B48"/>
    <w:rsid w:val="00DA7C18"/>
    <w:rsid w:val="00DB03B7"/>
    <w:rsid w:val="00DB2350"/>
    <w:rsid w:val="00DB4551"/>
    <w:rsid w:val="00DC1048"/>
    <w:rsid w:val="00DC44CF"/>
    <w:rsid w:val="00DC6DE1"/>
    <w:rsid w:val="00DD01C5"/>
    <w:rsid w:val="00DD23C0"/>
    <w:rsid w:val="00DD4AB3"/>
    <w:rsid w:val="00DD4D5D"/>
    <w:rsid w:val="00DD517E"/>
    <w:rsid w:val="00DE17E2"/>
    <w:rsid w:val="00DE3020"/>
    <w:rsid w:val="00DE4D85"/>
    <w:rsid w:val="00DE6D9A"/>
    <w:rsid w:val="00DE6DD3"/>
    <w:rsid w:val="00DF18B6"/>
    <w:rsid w:val="00DF317F"/>
    <w:rsid w:val="00DF3C7A"/>
    <w:rsid w:val="00DF42DF"/>
    <w:rsid w:val="00DF70C1"/>
    <w:rsid w:val="00DF71A8"/>
    <w:rsid w:val="00E027B0"/>
    <w:rsid w:val="00E02A24"/>
    <w:rsid w:val="00E06484"/>
    <w:rsid w:val="00E07E88"/>
    <w:rsid w:val="00E11403"/>
    <w:rsid w:val="00E11DA9"/>
    <w:rsid w:val="00E1309C"/>
    <w:rsid w:val="00E16303"/>
    <w:rsid w:val="00E16925"/>
    <w:rsid w:val="00E27247"/>
    <w:rsid w:val="00E274A2"/>
    <w:rsid w:val="00E31CA5"/>
    <w:rsid w:val="00E31D49"/>
    <w:rsid w:val="00E3382E"/>
    <w:rsid w:val="00E348DD"/>
    <w:rsid w:val="00E3492D"/>
    <w:rsid w:val="00E3753A"/>
    <w:rsid w:val="00E37543"/>
    <w:rsid w:val="00E412A7"/>
    <w:rsid w:val="00E42E28"/>
    <w:rsid w:val="00E43BF3"/>
    <w:rsid w:val="00E44DE5"/>
    <w:rsid w:val="00E45C4B"/>
    <w:rsid w:val="00E47525"/>
    <w:rsid w:val="00E47720"/>
    <w:rsid w:val="00E47F91"/>
    <w:rsid w:val="00E5126C"/>
    <w:rsid w:val="00E526A4"/>
    <w:rsid w:val="00E53B45"/>
    <w:rsid w:val="00E545F1"/>
    <w:rsid w:val="00E54BAD"/>
    <w:rsid w:val="00E551C4"/>
    <w:rsid w:val="00E56B67"/>
    <w:rsid w:val="00E570ED"/>
    <w:rsid w:val="00E627ED"/>
    <w:rsid w:val="00E63798"/>
    <w:rsid w:val="00E6619D"/>
    <w:rsid w:val="00E7442E"/>
    <w:rsid w:val="00E756CD"/>
    <w:rsid w:val="00E82188"/>
    <w:rsid w:val="00E825A1"/>
    <w:rsid w:val="00E829E3"/>
    <w:rsid w:val="00E85293"/>
    <w:rsid w:val="00E871CE"/>
    <w:rsid w:val="00E87AC7"/>
    <w:rsid w:val="00E9315E"/>
    <w:rsid w:val="00E94F03"/>
    <w:rsid w:val="00E97903"/>
    <w:rsid w:val="00EA37FC"/>
    <w:rsid w:val="00EA68DF"/>
    <w:rsid w:val="00EB0687"/>
    <w:rsid w:val="00EB0FC5"/>
    <w:rsid w:val="00EB1910"/>
    <w:rsid w:val="00EB317F"/>
    <w:rsid w:val="00EB335D"/>
    <w:rsid w:val="00EB62F2"/>
    <w:rsid w:val="00ED2C29"/>
    <w:rsid w:val="00ED3624"/>
    <w:rsid w:val="00ED7253"/>
    <w:rsid w:val="00EE02F0"/>
    <w:rsid w:val="00EE2F16"/>
    <w:rsid w:val="00EE68A4"/>
    <w:rsid w:val="00EE6FBD"/>
    <w:rsid w:val="00EE72DB"/>
    <w:rsid w:val="00EF1CB1"/>
    <w:rsid w:val="00EF56F9"/>
    <w:rsid w:val="00F00537"/>
    <w:rsid w:val="00F03418"/>
    <w:rsid w:val="00F04678"/>
    <w:rsid w:val="00F062BF"/>
    <w:rsid w:val="00F06437"/>
    <w:rsid w:val="00F0775B"/>
    <w:rsid w:val="00F10A29"/>
    <w:rsid w:val="00F10ACE"/>
    <w:rsid w:val="00F16658"/>
    <w:rsid w:val="00F16692"/>
    <w:rsid w:val="00F20D0D"/>
    <w:rsid w:val="00F229CE"/>
    <w:rsid w:val="00F22BA2"/>
    <w:rsid w:val="00F23065"/>
    <w:rsid w:val="00F25E21"/>
    <w:rsid w:val="00F26087"/>
    <w:rsid w:val="00F27024"/>
    <w:rsid w:val="00F3088D"/>
    <w:rsid w:val="00F341FB"/>
    <w:rsid w:val="00F34933"/>
    <w:rsid w:val="00F37AD2"/>
    <w:rsid w:val="00F43CF0"/>
    <w:rsid w:val="00F4680E"/>
    <w:rsid w:val="00F46EBB"/>
    <w:rsid w:val="00F47088"/>
    <w:rsid w:val="00F51B37"/>
    <w:rsid w:val="00F541D1"/>
    <w:rsid w:val="00F54627"/>
    <w:rsid w:val="00F54C17"/>
    <w:rsid w:val="00F641E1"/>
    <w:rsid w:val="00F644EA"/>
    <w:rsid w:val="00F6521F"/>
    <w:rsid w:val="00F652E7"/>
    <w:rsid w:val="00F654C6"/>
    <w:rsid w:val="00F674C8"/>
    <w:rsid w:val="00F70176"/>
    <w:rsid w:val="00F70871"/>
    <w:rsid w:val="00F73186"/>
    <w:rsid w:val="00F75C84"/>
    <w:rsid w:val="00F75EDB"/>
    <w:rsid w:val="00F762E5"/>
    <w:rsid w:val="00F76491"/>
    <w:rsid w:val="00F8230E"/>
    <w:rsid w:val="00F930A8"/>
    <w:rsid w:val="00FA3B81"/>
    <w:rsid w:val="00FA5DE4"/>
    <w:rsid w:val="00FA5E7B"/>
    <w:rsid w:val="00FA7384"/>
    <w:rsid w:val="00FB2C2F"/>
    <w:rsid w:val="00FB5F5C"/>
    <w:rsid w:val="00FB6AF8"/>
    <w:rsid w:val="00FC0D3E"/>
    <w:rsid w:val="00FC256A"/>
    <w:rsid w:val="00FC319F"/>
    <w:rsid w:val="00FC3884"/>
    <w:rsid w:val="00FC4DC9"/>
    <w:rsid w:val="00FC4F6B"/>
    <w:rsid w:val="00FD36A3"/>
    <w:rsid w:val="00FD4333"/>
    <w:rsid w:val="00FD46E0"/>
    <w:rsid w:val="00FD61B9"/>
    <w:rsid w:val="00FD7FF0"/>
    <w:rsid w:val="00FE16D2"/>
    <w:rsid w:val="00FE1AFF"/>
    <w:rsid w:val="00FE2ED3"/>
    <w:rsid w:val="00FE4F72"/>
    <w:rsid w:val="00FE500D"/>
    <w:rsid w:val="00FE56B8"/>
    <w:rsid w:val="00FE65DB"/>
    <w:rsid w:val="00FE6FD3"/>
    <w:rsid w:val="00FF0C96"/>
    <w:rsid w:val="00FF2904"/>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3943"/>
  <w15:docId w15:val="{B9DEC234-DE50-4F83-A6C2-7D376DCB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17159523">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536358022">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chart" Target="charts/chart1.xml"/><Relationship Id="rId19" Type="http://schemas.openxmlformats.org/officeDocument/2006/relationships/chart" Target="charts/chart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eargueta\Desktop\Informes%202021\Sitfin\Enero\Sitfin%20al%20310121%20(1502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99490248746559E-2"/>
          <c:y val="6.1111111111111109E-2"/>
          <c:w val="0.89800620945350784"/>
          <c:h val="0.81675537924268726"/>
        </c:manualLayout>
      </c:layout>
      <c:barChart>
        <c:barDir val="col"/>
        <c:grouping val="clustered"/>
        <c:varyColors val="0"/>
        <c:ser>
          <c:idx val="0"/>
          <c:order val="0"/>
          <c:tx>
            <c:strRef>
              <c:f>'Reporte Diario'!$L$62</c:f>
              <c:strCache>
                <c:ptCount val="1"/>
                <c:pt idx="0">
                  <c:v>Déficit</c:v>
                </c:pt>
              </c:strCache>
            </c:strRef>
          </c:tx>
          <c:spPr>
            <a:solidFill>
              <a:schemeClr val="accent1">
                <a:lumMod val="50000"/>
              </a:schemeClr>
            </a:solidFill>
            <a:ln>
              <a:noFill/>
            </a:ln>
            <a:effectLst/>
            <a:scene3d>
              <a:camera prst="orthographicFront"/>
              <a:lightRig rig="threePt" dir="t"/>
            </a:scene3d>
            <a:sp3d>
              <a:bevelT w="165100" prst="coolSlant"/>
            </a:sp3d>
          </c:spPr>
          <c:invertIfNegative val="0"/>
          <c:dPt>
            <c:idx val="3"/>
            <c:invertIfNegative val="0"/>
            <c:bubble3D val="0"/>
            <c:spPr>
              <a:solidFill>
                <a:srgbClr val="C00000"/>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1-2DB3-41CE-87F0-F6DED3774C4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'Reporte Diario'!$M$61:$P$61</c:f>
              <c:numCache>
                <c:formatCode>General</c:formatCode>
                <c:ptCount val="4"/>
                <c:pt idx="0">
                  <c:v>2018</c:v>
                </c:pt>
                <c:pt idx="1">
                  <c:v>2019</c:v>
                </c:pt>
                <c:pt idx="2">
                  <c:v>2020</c:v>
                </c:pt>
                <c:pt idx="3">
                  <c:v>2021</c:v>
                </c:pt>
              </c:numCache>
            </c:numRef>
          </c:cat>
          <c:val>
            <c:numRef>
              <c:f>'Reporte Diario'!$M$62:$P$62</c:f>
              <c:numCache>
                <c:formatCode>_-* #,##0.0_-;\-* #,##0.0_-;_-* "-"??_-;_-@_-</c:formatCode>
                <c:ptCount val="4"/>
                <c:pt idx="0">
                  <c:v>1666.4724274199998</c:v>
                </c:pt>
                <c:pt idx="1">
                  <c:v>1054.8585207600008</c:v>
                </c:pt>
                <c:pt idx="2">
                  <c:v>1446.3125361000002</c:v>
                </c:pt>
                <c:pt idx="3">
                  <c:v>1501.7021721699994</c:v>
                </c:pt>
              </c:numCache>
            </c:numRef>
          </c:val>
          <c:extLst>
            <c:ext xmlns:c16="http://schemas.microsoft.com/office/drawing/2014/chart" uri="{C3380CC4-5D6E-409C-BE32-E72D297353CC}">
              <c16:uniqueId val="{00000002-2DB3-41CE-87F0-F6DED3774C4B}"/>
            </c:ext>
          </c:extLst>
        </c:ser>
        <c:dLbls>
          <c:showLegendKey val="0"/>
          <c:showVal val="0"/>
          <c:showCatName val="0"/>
          <c:showSerName val="0"/>
          <c:showPercent val="0"/>
          <c:showBubbleSize val="0"/>
        </c:dLbls>
        <c:gapWidth val="105"/>
        <c:overlap val="-27"/>
        <c:axId val="674696352"/>
        <c:axId val="674709472"/>
      </c:barChart>
      <c:catAx>
        <c:axId val="67469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674709472"/>
        <c:crosses val="autoZero"/>
        <c:auto val="1"/>
        <c:lblAlgn val="ctr"/>
        <c:lblOffset val="100"/>
        <c:noMultiLvlLbl val="0"/>
      </c:catAx>
      <c:valAx>
        <c:axId val="674709472"/>
        <c:scaling>
          <c:orientation val="minMax"/>
        </c:scaling>
        <c:delete val="0"/>
        <c:axPos val="l"/>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674696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53207124054059"/>
          <c:y val="3.1475757507388943E-2"/>
          <c:w val="0.78768596275798108"/>
          <c:h val="0.78931796132933252"/>
        </c:manualLayout>
      </c:layout>
      <c:barChart>
        <c:barDir val="col"/>
        <c:grouping val="stacked"/>
        <c:varyColors val="0"/>
        <c:ser>
          <c:idx val="0"/>
          <c:order val="0"/>
          <c:tx>
            <c:strRef>
              <c:f>Hoja1!$B$1</c:f>
              <c:strCache>
                <c:ptCount val="1"/>
                <c:pt idx="0">
                  <c:v>SAT</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C3-4F42-A513-649AB0EC097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C3-4F42-A513-649AB0EC097C}"/>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Hoja1!$A$2:$A$3</c:f>
              <c:strCache>
                <c:ptCount val="2"/>
                <c:pt idx="0">
                  <c:v>Meta </c:v>
                </c:pt>
                <c:pt idx="1">
                  <c:v>Observado</c:v>
                </c:pt>
              </c:strCache>
            </c:strRef>
          </c:cat>
          <c:val>
            <c:numRef>
              <c:f>Hoja1!$B$2:$B$3</c:f>
              <c:numCache>
                <c:formatCode>General</c:formatCode>
                <c:ptCount val="2"/>
                <c:pt idx="0">
                  <c:v>6804.6188797699997</c:v>
                </c:pt>
                <c:pt idx="1">
                  <c:v>6873.3768260000006</c:v>
                </c:pt>
              </c:numCache>
            </c:numRef>
          </c:val>
          <c:extLst>
            <c:ext xmlns:c16="http://schemas.microsoft.com/office/drawing/2014/chart" uri="{C3380CC4-5D6E-409C-BE32-E72D297353CC}">
              <c16:uniqueId val="{00000002-DBC3-4F42-A513-649AB0EC097C}"/>
            </c:ext>
          </c:extLst>
        </c:ser>
        <c:ser>
          <c:idx val="1"/>
          <c:order val="1"/>
          <c:tx>
            <c:strRef>
              <c:f>Hoja1!$C$1</c:f>
              <c:strCache>
                <c:ptCount val="1"/>
                <c:pt idx="0">
                  <c:v>No administrado por SAT</c:v>
                </c:pt>
              </c:strCache>
            </c:strRef>
          </c:tx>
          <c:spPr>
            <a:solidFill>
              <a:schemeClr val="accent6"/>
            </a:solidFill>
            <a:ln>
              <a:noFill/>
            </a:ln>
            <a:effectLst/>
          </c:spPr>
          <c:invertIfNegative val="0"/>
          <c:dLbls>
            <c:dLbl>
              <c:idx val="0"/>
              <c:layout>
                <c:manualLayout>
                  <c:x val="-4.516659656947226E-17"/>
                  <c:y val="1.1461318051575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C3-4F42-A513-649AB0EC097C}"/>
                </c:ext>
              </c:extLst>
            </c:dLbl>
            <c:dLbl>
              <c:idx val="1"/>
              <c:layout>
                <c:manualLayout>
                  <c:x val="0"/>
                  <c:y val="1.14613180515759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C3-4F42-A513-649AB0EC097C}"/>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Hoja1!$A$2:$A$3</c:f>
              <c:strCache>
                <c:ptCount val="2"/>
                <c:pt idx="0">
                  <c:v>Meta </c:v>
                </c:pt>
                <c:pt idx="1">
                  <c:v>Observado</c:v>
                </c:pt>
              </c:strCache>
            </c:strRef>
          </c:cat>
          <c:val>
            <c:numRef>
              <c:f>Hoja1!$C$2:$C$3</c:f>
              <c:numCache>
                <c:formatCode>General</c:formatCode>
                <c:ptCount val="2"/>
                <c:pt idx="0">
                  <c:v>61.780951693432399</c:v>
                </c:pt>
                <c:pt idx="1">
                  <c:v>19.603469949999997</c:v>
                </c:pt>
              </c:numCache>
            </c:numRef>
          </c:val>
          <c:extLst>
            <c:ext xmlns:c16="http://schemas.microsoft.com/office/drawing/2014/chart" uri="{C3380CC4-5D6E-409C-BE32-E72D297353CC}">
              <c16:uniqueId val="{00000005-DBC3-4F42-A513-649AB0EC097C}"/>
            </c:ext>
          </c:extLst>
        </c:ser>
        <c:dLbls>
          <c:showLegendKey val="0"/>
          <c:showVal val="0"/>
          <c:showCatName val="0"/>
          <c:showSerName val="0"/>
          <c:showPercent val="0"/>
          <c:showBubbleSize val="0"/>
        </c:dLbls>
        <c:gapWidth val="25"/>
        <c:overlap val="100"/>
        <c:axId val="185202944"/>
        <c:axId val="191870080"/>
      </c:barChart>
      <c:catAx>
        <c:axId val="1852029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91870080"/>
        <c:crosses val="autoZero"/>
        <c:auto val="1"/>
        <c:lblAlgn val="ctr"/>
        <c:lblOffset val="100"/>
        <c:noMultiLvlLbl val="0"/>
      </c:catAx>
      <c:valAx>
        <c:axId val="191870080"/>
        <c:scaling>
          <c:orientation val="minMax"/>
          <c:min val="5000"/>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s-GT">
                    <a:latin typeface="Times New Roman" panose="02020603050405020304" pitchFamily="18" charset="0"/>
                    <a:cs typeface="Times New Roman" panose="02020603050405020304" pitchFamily="18" charset="0"/>
                  </a:rPr>
                  <a:t>Millones de quetzales</a:t>
                </a:r>
              </a:p>
            </c:rich>
          </c:tx>
          <c:layout>
            <c:manualLayout>
              <c:xMode val="edge"/>
              <c:yMode val="edge"/>
              <c:x val="1.2010250381673465E-2"/>
              <c:y val="0.20393971527198068"/>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85202944"/>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6169336926010636"/>
          <c:y val="0.93309510880105506"/>
          <c:w val="0.67661287350167698"/>
          <c:h val="6.690489119894496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latin typeface="+mn-lt"/>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2855324902571"/>
          <c:y val="3.1995541841673462E-2"/>
          <c:w val="0.85833483674851063"/>
          <c:h val="0.81784501707928714"/>
        </c:manualLayout>
      </c:layout>
      <c:lineChart>
        <c:grouping val="standard"/>
        <c:varyColors val="0"/>
        <c:ser>
          <c:idx val="0"/>
          <c:order val="0"/>
          <c:tx>
            <c:strRef>
              <c:f>Hoja1!$B$1</c:f>
              <c:strCache>
                <c:ptCount val="1"/>
                <c:pt idx="0">
                  <c:v>Var </c:v>
                </c:pt>
              </c:strCache>
            </c:strRef>
          </c:tx>
          <c:spPr>
            <a:ln w="22225" cap="rnd">
              <a:solidFill>
                <a:schemeClr val="accent1"/>
              </a:solidFill>
              <a:round/>
            </a:ln>
            <a:effectLst/>
          </c:spPr>
          <c:marker>
            <c:symbol val="circle"/>
            <c:size val="5"/>
            <c:spPr>
              <a:solidFill>
                <a:schemeClr val="lt1"/>
              </a:solidFill>
              <a:ln w="15875">
                <a:solidFill>
                  <a:schemeClr val="accent1"/>
                </a:solidFill>
                <a:round/>
              </a:ln>
              <a:effectLst/>
            </c:spPr>
          </c:marker>
          <c:dLbls>
            <c:dLbl>
              <c:idx val="0"/>
              <c:layout>
                <c:manualLayout>
                  <c:x val="-8.1621282927217251E-2"/>
                  <c:y val="8.59598972146830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91-40F8-92BE-64FDA7B32654}"/>
                </c:ext>
              </c:extLst>
            </c:dLbl>
            <c:dLbl>
              <c:idx val="1"/>
              <c:layout>
                <c:manualLayout>
                  <c:x val="-1.7566096920811729E-2"/>
                  <c:y val="-3.19955418416734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91-40F8-92BE-64FDA7B32654}"/>
                </c:ext>
              </c:extLst>
            </c:dLbl>
            <c:dLbl>
              <c:idx val="2"/>
              <c:layout>
                <c:manualLayout>
                  <c:x val="-0.16032264259650475"/>
                  <c:y val="4.66414175292308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91-40F8-92BE-64FDA7B32654}"/>
                </c:ext>
              </c:extLst>
            </c:dLbl>
            <c:dLbl>
              <c:idx val="3"/>
              <c:layout>
                <c:manualLayout>
                  <c:x val="-6.1776202586650064E-2"/>
                  <c:y val="-7.78671014747009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91-40F8-92BE-64FDA7B32654}"/>
                </c:ext>
              </c:extLst>
            </c:dLbl>
            <c:dLbl>
              <c:idx val="4"/>
              <c:layout>
                <c:manualLayout>
                  <c:x val="-1.2502982581722739E-2"/>
                  <c:y val="5.31944974768062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91-40F8-92BE-64FDA7B32654}"/>
                </c:ext>
              </c:extLst>
            </c:dLbl>
            <c:dLbl>
              <c:idx val="5"/>
              <c:layout>
                <c:manualLayout>
                  <c:x val="-0.14554067659502659"/>
                  <c:y val="-6.47609415795502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91-40F8-92BE-64FDA7B32654}"/>
                </c:ext>
              </c:extLst>
            </c:dLbl>
            <c:dLbl>
              <c:idx val="6"/>
              <c:layout>
                <c:manualLayout>
                  <c:x val="-8.1485490588621076E-2"/>
                  <c:y val="-7.13140215271256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891-40F8-92BE-64FDA7B32654}"/>
                </c:ext>
              </c:extLst>
            </c:dLbl>
            <c:dLbl>
              <c:idx val="7"/>
              <c:layout>
                <c:manualLayout>
                  <c:x val="-7.6558168588128264E-2"/>
                  <c:y val="7.2853737319532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91-40F8-92BE-64FDA7B32654}"/>
                </c:ext>
              </c:extLst>
            </c:dLbl>
            <c:dLbl>
              <c:idx val="9"/>
              <c:layout>
                <c:manualLayout>
                  <c:x val="-1.3167977062734121E-2"/>
                  <c:y val="8.8273757166625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891-40F8-92BE-64FDA7B3265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Hoja1!$B$2:$B$11</c:f>
              <c:numCache>
                <c:formatCode>General</c:formatCode>
                <c:ptCount val="10"/>
                <c:pt idx="0">
                  <c:v>0.11425564880078398</c:v>
                </c:pt>
                <c:pt idx="1">
                  <c:v>0.16483686403979037</c:v>
                </c:pt>
                <c:pt idx="2">
                  <c:v>4.2369406466282733E-2</c:v>
                </c:pt>
                <c:pt idx="3">
                  <c:v>2.0643932053213909E-2</c:v>
                </c:pt>
                <c:pt idx="4">
                  <c:v>2.6818050354776579E-2</c:v>
                </c:pt>
                <c:pt idx="5">
                  <c:v>6.9487050821729124E-2</c:v>
                </c:pt>
                <c:pt idx="6">
                  <c:v>9.2493921006903568E-2</c:v>
                </c:pt>
                <c:pt idx="7">
                  <c:v>4.144229832341817E-2</c:v>
                </c:pt>
                <c:pt idx="8">
                  <c:v>9.9930227400694793E-2</c:v>
                </c:pt>
                <c:pt idx="9">
                  <c:v>4.5547605960860382E-2</c:v>
                </c:pt>
              </c:numCache>
            </c:numRef>
          </c:val>
          <c:smooth val="0"/>
          <c:extLst>
            <c:ext xmlns:c16="http://schemas.microsoft.com/office/drawing/2014/chart" uri="{C3380CC4-5D6E-409C-BE32-E72D297353CC}">
              <c16:uniqueId val="{00000009-0891-40F8-92BE-64FDA7B32654}"/>
            </c:ext>
          </c:extLst>
        </c:ser>
        <c:dLbls>
          <c:showLegendKey val="0"/>
          <c:showVal val="0"/>
          <c:showCatName val="0"/>
          <c:showSerName val="0"/>
          <c:showPercent val="0"/>
          <c:showBubbleSize val="0"/>
        </c:dLbls>
        <c:marker val="1"/>
        <c:smooth val="0"/>
        <c:axId val="130672128"/>
        <c:axId val="130673664"/>
      </c:lineChart>
      <c:catAx>
        <c:axId val="13067212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8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30673664"/>
        <c:crosses val="autoZero"/>
        <c:auto val="1"/>
        <c:lblAlgn val="ctr"/>
        <c:lblOffset val="100"/>
        <c:noMultiLvlLbl val="0"/>
      </c:catAx>
      <c:valAx>
        <c:axId val="130673664"/>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3067212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sz="800"/>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6342411872737"/>
          <c:y val="6.4992614475627764E-2"/>
          <c:w val="0.87657127136728308"/>
          <c:h val="0.73031368124774654"/>
        </c:manualLayout>
      </c:layout>
      <c:barChart>
        <c:barDir val="col"/>
        <c:grouping val="clustered"/>
        <c:varyColors val="0"/>
        <c:ser>
          <c:idx val="1"/>
          <c:order val="1"/>
          <c:tx>
            <c:strRef>
              <c:f>Sheet1!$C$1</c:f>
              <c:strCache>
                <c:ptCount val="1"/>
                <c:pt idx="0">
                  <c:v>2021</c:v>
                </c:pt>
              </c:strCache>
            </c:strRef>
          </c:tx>
          <c:spPr>
            <a:solidFill>
              <a:srgbClr val="FF7C80"/>
            </a:solidFill>
            <a:ln w="12700">
              <a:solidFill>
                <a:schemeClr val="tx1"/>
              </a:solidFill>
            </a:ln>
            <a:effectLst/>
          </c:spPr>
          <c:invertIfNegative val="0"/>
          <c:dLbls>
            <c:dLbl>
              <c:idx val="0"/>
              <c:layout>
                <c:manualLayout>
                  <c:x val="0"/>
                  <c:y val="9.20643153526971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66-48F7-A556-096865DAEDAF}"/>
                </c:ext>
              </c:extLst>
            </c:dLbl>
            <c:dLbl>
              <c:idx val="2"/>
              <c:layout>
                <c:manualLayout>
                  <c:x val="0"/>
                  <c:y val="2.8820525942381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66-48F7-A556-096865DAEDAF}"/>
                </c:ext>
              </c:extLst>
            </c:dLbl>
            <c:dLbl>
              <c:idx val="3"/>
              <c:layout>
                <c:manualLayout>
                  <c:x val="0"/>
                  <c:y val="2.4685562753695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66-48F7-A556-096865DAEDAF}"/>
                </c:ext>
              </c:extLst>
            </c:dLbl>
            <c:dLbl>
              <c:idx val="8"/>
              <c:layout>
                <c:manualLayout>
                  <c:x val="0"/>
                  <c:y val="2.20435684647302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66-48F7-A556-096865DAEDAF}"/>
                </c:ext>
              </c:extLst>
            </c:dLbl>
            <c:dLbl>
              <c:idx val="9"/>
              <c:layout>
                <c:manualLayout>
                  <c:x val="0"/>
                  <c:y val="1.68568464730290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66-48F7-A556-096865DAEDAF}"/>
                </c:ext>
              </c:extLst>
            </c:dLbl>
            <c:dLbl>
              <c:idx val="10"/>
              <c:layout>
                <c:manualLayout>
                  <c:x val="0"/>
                  <c:y val="2.20435684647302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66-48F7-A556-096865DAEDAF}"/>
                </c:ext>
              </c:extLst>
            </c:dLbl>
            <c:spPr>
              <a:noFill/>
              <a:ln>
                <a:noFill/>
              </a:ln>
              <a:effectLst/>
            </c:spPr>
            <c:txPr>
              <a:bodyPr rot="-5400000" spcFirstLastPara="1" vertOverflow="ellipsis"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Enero</c:v>
                </c:pt>
                <c:pt idx="1">
                  <c:v>Febrero</c:v>
                </c:pt>
                <c:pt idx="2">
                  <c:v>Marzo</c:v>
                </c:pt>
                <c:pt idx="3">
                  <c:v>Abril</c:v>
                </c:pt>
                <c:pt idx="4">
                  <c:v>Mayo</c:v>
                </c:pt>
                <c:pt idx="5">
                  <c:v>Junio</c:v>
                </c:pt>
                <c:pt idx="6">
                  <c:v>Julio</c:v>
                </c:pt>
                <c:pt idx="7">
                  <c:v>Agosto</c:v>
                </c:pt>
                <c:pt idx="8">
                  <c:v>Septiembre</c:v>
                </c:pt>
                <c:pt idx="9">
                  <c:v>Octubre </c:v>
                </c:pt>
                <c:pt idx="10">
                  <c:v>Noviembre </c:v>
                </c:pt>
                <c:pt idx="11">
                  <c:v>Diciembre</c:v>
                </c:pt>
              </c:strCache>
            </c:strRef>
          </c:cat>
          <c:val>
            <c:numRef>
              <c:f>Sheet1!$C$2:$C$13</c:f>
              <c:numCache>
                <c:formatCode>General</c:formatCode>
                <c:ptCount val="12"/>
                <c:pt idx="0" formatCode="0.0">
                  <c:v>3.7189413058487304</c:v>
                </c:pt>
              </c:numCache>
            </c:numRef>
          </c:val>
          <c:extLst>
            <c:ext xmlns:c16="http://schemas.microsoft.com/office/drawing/2014/chart" uri="{C3380CC4-5D6E-409C-BE32-E72D297353CC}">
              <c16:uniqueId val="{00000006-6F66-48F7-A556-096865DAEDAF}"/>
            </c:ext>
          </c:extLst>
        </c:ser>
        <c:dLbls>
          <c:showLegendKey val="0"/>
          <c:showVal val="0"/>
          <c:showCatName val="0"/>
          <c:showSerName val="0"/>
          <c:showPercent val="0"/>
          <c:showBubbleSize val="0"/>
        </c:dLbls>
        <c:gapWidth val="62"/>
        <c:overlap val="-27"/>
        <c:axId val="153461120"/>
        <c:axId val="153462656"/>
      </c:barChart>
      <c:lineChart>
        <c:grouping val="stacked"/>
        <c:varyColors val="0"/>
        <c:ser>
          <c:idx val="0"/>
          <c:order val="0"/>
          <c:tx>
            <c:strRef>
              <c:f>Sheet1!$B$1</c:f>
              <c:strCache>
                <c:ptCount val="1"/>
                <c:pt idx="0">
                  <c:v>2020</c:v>
                </c:pt>
              </c:strCache>
            </c:strRef>
          </c:tx>
          <c:spPr>
            <a:ln w="15875" cap="rnd">
              <a:solidFill>
                <a:schemeClr val="accent1"/>
              </a:solidFill>
              <a:prstDash val="sysDash"/>
              <a:round/>
            </a:ln>
            <a:effectLst/>
          </c:spPr>
          <c:marker>
            <c:symbol val="circle"/>
            <c:size val="4"/>
            <c:spPr>
              <a:solidFill>
                <a:schemeClr val="accent1"/>
              </a:solidFill>
              <a:ln w="3175">
                <a:solidFill>
                  <a:schemeClr val="accent1"/>
                </a:solidFill>
              </a:ln>
              <a:effectLst/>
            </c:spPr>
          </c:marker>
          <c:dLbls>
            <c:dLbl>
              <c:idx val="0"/>
              <c:layout>
                <c:manualLayout>
                  <c:x val="-5.6657223796033995E-2"/>
                  <c:y val="-4.7267355982274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66-48F7-A556-096865DAEDAF}"/>
                </c:ext>
              </c:extLst>
            </c:dLbl>
            <c:dLbl>
              <c:idx val="1"/>
              <c:layout>
                <c:manualLayout>
                  <c:x val="-6.3041624640838081E-2"/>
                  <c:y val="5.0289149540954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66-48F7-A556-096865DAEDAF}"/>
                </c:ext>
              </c:extLst>
            </c:dLbl>
            <c:dLbl>
              <c:idx val="2"/>
              <c:layout>
                <c:manualLayout>
                  <c:x val="-5.235160997770865E-2"/>
                  <c:y val="-4.6093622373966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66-48F7-A556-096865DAEDAF}"/>
                </c:ext>
              </c:extLst>
            </c:dLbl>
            <c:dLbl>
              <c:idx val="3"/>
              <c:layout>
                <c:manualLayout>
                  <c:x val="-6.1378673198681163E-2"/>
                  <c:y val="3.1255105041330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F66-48F7-A556-096865DAEDAF}"/>
                </c:ext>
              </c:extLst>
            </c:dLbl>
            <c:dLbl>
              <c:idx val="4"/>
              <c:layout>
                <c:manualLayout>
                  <c:x val="-7.860149343549494E-2"/>
                  <c:y val="-3.5450632208318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F66-48F7-A556-096865DAEDAF}"/>
                </c:ext>
              </c:extLst>
            </c:dLbl>
            <c:dLbl>
              <c:idx val="5"/>
              <c:layout>
                <c:manualLayout>
                  <c:x val="-6.915877711195681E-2"/>
                  <c:y val="-4.0637354200019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F66-48F7-A556-096865DAEDAF}"/>
                </c:ext>
              </c:extLst>
            </c:dLbl>
            <c:dLbl>
              <c:idx val="6"/>
              <c:layout>
                <c:manualLayout>
                  <c:x val="-6.1378659112370164E-2"/>
                  <c:y val="-4.7267355982274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F66-48F7-A556-096865DAEDAF}"/>
                </c:ext>
              </c:extLst>
            </c:dLbl>
            <c:dLbl>
              <c:idx val="7"/>
              <c:layout>
                <c:manualLayout>
                  <c:x val="-6.9990083317087975E-2"/>
                  <c:y val="-4.6545724834188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F66-48F7-A556-096865DAEDAF}"/>
                </c:ext>
              </c:extLst>
            </c:dLbl>
            <c:dLbl>
              <c:idx val="8"/>
              <c:layout>
                <c:manualLayout>
                  <c:x val="-4.9708856360662211E-2"/>
                  <c:y val="5.24540954683568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F66-48F7-A556-096865DAEDAF}"/>
                </c:ext>
              </c:extLst>
            </c:dLbl>
            <c:dLbl>
              <c:idx val="9"/>
              <c:layout>
                <c:manualLayout>
                  <c:x val="-3.2486036123848351E-2"/>
                  <c:y val="4.0637354200019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F66-48F7-A556-096865DAEDAF}"/>
                </c:ext>
              </c:extLst>
            </c:dLbl>
            <c:dLbl>
              <c:idx val="10"/>
              <c:layout>
                <c:manualLayout>
                  <c:x val="-7.0405736419653836E-2"/>
                  <c:y val="-3.6441827033031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F66-48F7-A556-096865DAEDAF}"/>
                </c:ext>
              </c:extLst>
            </c:dLbl>
            <c:dLbl>
              <c:idx val="11"/>
              <c:layout>
                <c:manualLayout>
                  <c:x val="-8.3130620513124768E-4"/>
                  <c:y val="-4.2350197667200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F66-48F7-A556-096865DAEDAF}"/>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accent1">
                        <a:lumMod val="7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Enero</c:v>
                </c:pt>
                <c:pt idx="1">
                  <c:v>Febrero</c:v>
                </c:pt>
                <c:pt idx="2">
                  <c:v>Marzo</c:v>
                </c:pt>
                <c:pt idx="3">
                  <c:v>Abril</c:v>
                </c:pt>
                <c:pt idx="4">
                  <c:v>Mayo</c:v>
                </c:pt>
                <c:pt idx="5">
                  <c:v>Junio</c:v>
                </c:pt>
                <c:pt idx="6">
                  <c:v>Julio</c:v>
                </c:pt>
                <c:pt idx="7">
                  <c:v>Agosto</c:v>
                </c:pt>
                <c:pt idx="8">
                  <c:v>Septiembre</c:v>
                </c:pt>
                <c:pt idx="9">
                  <c:v>Octubre </c:v>
                </c:pt>
                <c:pt idx="10">
                  <c:v>Noviembre </c:v>
                </c:pt>
                <c:pt idx="11">
                  <c:v>Diciembre</c:v>
                </c:pt>
              </c:strCache>
            </c:strRef>
          </c:cat>
          <c:val>
            <c:numRef>
              <c:f>Sheet1!$B$2:$B$13</c:f>
              <c:numCache>
                <c:formatCode>0.0</c:formatCode>
                <c:ptCount val="12"/>
                <c:pt idx="0">
                  <c:v>4.8191861258905817</c:v>
                </c:pt>
                <c:pt idx="1">
                  <c:v>9.5655130970186519E-2</c:v>
                </c:pt>
                <c:pt idx="2">
                  <c:v>2.3974325379896584</c:v>
                </c:pt>
                <c:pt idx="3">
                  <c:v>-1.9848700717106169</c:v>
                </c:pt>
                <c:pt idx="4">
                  <c:v>4.2224631181484256</c:v>
                </c:pt>
                <c:pt idx="5">
                  <c:v>9.0680434021580965</c:v>
                </c:pt>
                <c:pt idx="6">
                  <c:v>10.232293442045986</c:v>
                </c:pt>
                <c:pt idx="7">
                  <c:v>12.533229099769343</c:v>
                </c:pt>
                <c:pt idx="8">
                  <c:v>14.872198669992656</c:v>
                </c:pt>
                <c:pt idx="9">
                  <c:v>14.678379762438269</c:v>
                </c:pt>
                <c:pt idx="10">
                  <c:v>15.472802612662733</c:v>
                </c:pt>
                <c:pt idx="11">
                  <c:v>17.151091678742532</c:v>
                </c:pt>
              </c:numCache>
            </c:numRef>
          </c:val>
          <c:smooth val="0"/>
          <c:extLst>
            <c:ext xmlns:c16="http://schemas.microsoft.com/office/drawing/2014/chart" uri="{C3380CC4-5D6E-409C-BE32-E72D297353CC}">
              <c16:uniqueId val="{00000013-6F66-48F7-A556-096865DAEDAF}"/>
            </c:ext>
          </c:extLst>
        </c:ser>
        <c:dLbls>
          <c:showLegendKey val="0"/>
          <c:showVal val="0"/>
          <c:showCatName val="0"/>
          <c:showSerName val="0"/>
          <c:showPercent val="0"/>
          <c:showBubbleSize val="0"/>
        </c:dLbls>
        <c:marker val="1"/>
        <c:smooth val="0"/>
        <c:axId val="153461120"/>
        <c:axId val="153462656"/>
      </c:lineChart>
      <c:catAx>
        <c:axId val="1534611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53462656"/>
        <c:crosses val="autoZero"/>
        <c:auto val="1"/>
        <c:lblAlgn val="ctr"/>
        <c:lblOffset val="100"/>
        <c:noMultiLvlLbl val="0"/>
      </c:catAx>
      <c:valAx>
        <c:axId val="15346265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3461120"/>
        <c:crosses val="autoZero"/>
        <c:crossBetween val="between"/>
      </c:valAx>
      <c:spPr>
        <a:noFill/>
        <a:ln>
          <a:noFill/>
        </a:ln>
        <a:effectLst/>
      </c:spPr>
    </c:plotArea>
    <c:legend>
      <c:legendPos val="b"/>
      <c:layout>
        <c:manualLayout>
          <c:xMode val="edge"/>
          <c:yMode val="edge"/>
          <c:x val="0.1607285795411203"/>
          <c:y val="5.8858267716535434E-2"/>
          <c:w val="0.25118035882908402"/>
          <c:h val="0.17534700333802439"/>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976150544358851"/>
          <c:y val="0"/>
          <c:w val="0.63361775723980451"/>
          <c:h val="0.94607667416898678"/>
        </c:manualLayout>
      </c:layout>
      <c:barChart>
        <c:barDir val="bar"/>
        <c:grouping val="clustered"/>
        <c:varyColors val="0"/>
        <c:ser>
          <c:idx val="0"/>
          <c:order val="0"/>
          <c:tx>
            <c:strRef>
              <c:f>Sheet1!$B$1</c:f>
              <c:strCache>
                <c:ptCount val="1"/>
                <c:pt idx="0">
                  <c:v>2020</c:v>
                </c:pt>
              </c:strCache>
            </c:strRef>
          </c:tx>
          <c:spPr>
            <a:solidFill>
              <a:schemeClr val="accent5">
                <a:lumMod val="75000"/>
              </a:schemeClr>
            </a:solidFill>
            <a:ln w="15875">
              <a:solidFill>
                <a:srgbClr val="002060"/>
              </a:solidFill>
            </a:ln>
            <a:effectLst>
              <a:outerShdw blurRad="50800" dist="38100" dir="2700000" algn="tl" rotWithShape="0">
                <a:prstClr val="black">
                  <a:alpha val="40000"/>
                </a:prstClr>
              </a:outerShdw>
            </a:effectLst>
          </c:spPr>
          <c:invertIfNegative val="0"/>
          <c:dLbls>
            <c:dLbl>
              <c:idx val="0"/>
              <c:layout>
                <c:manualLayout>
                  <c:x val="0"/>
                  <c:y val="5.12032770097286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FC-4BEA-85C7-F4B81BB2B26F}"/>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Bienes y servicios </c:v>
                </c:pt>
                <c:pt idx="1">
                  <c:v>Intereses </c:v>
                </c:pt>
                <c:pt idx="2">
                  <c:v>Prestaciones a la S.S</c:v>
                </c:pt>
                <c:pt idx="3">
                  <c:v>Trans. De Capital</c:v>
                </c:pt>
                <c:pt idx="4">
                  <c:v>Trans. Corrientes</c:v>
                </c:pt>
                <c:pt idx="5">
                  <c:v>Remuneraciones </c:v>
                </c:pt>
              </c:strCache>
            </c:strRef>
          </c:cat>
          <c:val>
            <c:numRef>
              <c:f>Sheet1!$B$2:$B$7</c:f>
              <c:numCache>
                <c:formatCode>#,##0.0</c:formatCode>
                <c:ptCount val="6"/>
                <c:pt idx="0">
                  <c:v>213.03620481999999</c:v>
                </c:pt>
                <c:pt idx="1">
                  <c:v>253.37894936000001</c:v>
                </c:pt>
                <c:pt idx="2">
                  <c:v>386.58069382000002</c:v>
                </c:pt>
                <c:pt idx="3">
                  <c:v>665.19061524000006</c:v>
                </c:pt>
                <c:pt idx="4">
                  <c:v>1411.6809569099998</c:v>
                </c:pt>
                <c:pt idx="5">
                  <c:v>2543.2524395700002</c:v>
                </c:pt>
              </c:numCache>
            </c:numRef>
          </c:val>
          <c:extLst>
            <c:ext xmlns:c16="http://schemas.microsoft.com/office/drawing/2014/chart" uri="{C3380CC4-5D6E-409C-BE32-E72D297353CC}">
              <c16:uniqueId val="{00000001-CCFC-4BEA-85C7-F4B81BB2B26F}"/>
            </c:ext>
          </c:extLst>
        </c:ser>
        <c:ser>
          <c:idx val="1"/>
          <c:order val="1"/>
          <c:tx>
            <c:strRef>
              <c:f>Sheet1!$C$1</c:f>
              <c:strCache>
                <c:ptCount val="1"/>
                <c:pt idx="0">
                  <c:v>2021</c:v>
                </c:pt>
              </c:strCache>
            </c:strRef>
          </c:tx>
          <c:spPr>
            <a:solidFill>
              <a:srgbClr val="92D050"/>
            </a:solidFill>
            <a:ln w="15875">
              <a:solidFill>
                <a:schemeClr val="accent3">
                  <a:lumMod val="50000"/>
                </a:schemeClr>
              </a:solid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Bienes y servicios </c:v>
                </c:pt>
                <c:pt idx="1">
                  <c:v>Intereses </c:v>
                </c:pt>
                <c:pt idx="2">
                  <c:v>Prestaciones a la S.S</c:v>
                </c:pt>
                <c:pt idx="3">
                  <c:v>Trans. De Capital</c:v>
                </c:pt>
                <c:pt idx="4">
                  <c:v>Trans. Corrientes</c:v>
                </c:pt>
                <c:pt idx="5">
                  <c:v>Remuneraciones </c:v>
                </c:pt>
              </c:strCache>
            </c:strRef>
          </c:cat>
          <c:val>
            <c:numRef>
              <c:f>Sheet1!$C$2:$C$7</c:f>
              <c:numCache>
                <c:formatCode>#,##0.0</c:formatCode>
                <c:ptCount val="6"/>
                <c:pt idx="0">
                  <c:v>290.91756153</c:v>
                </c:pt>
                <c:pt idx="1">
                  <c:v>397.27962144999998</c:v>
                </c:pt>
                <c:pt idx="2">
                  <c:v>398.47269353999997</c:v>
                </c:pt>
                <c:pt idx="3">
                  <c:v>642.62716538000006</c:v>
                </c:pt>
                <c:pt idx="4">
                  <c:v>1286.0749627300002</c:v>
                </c:pt>
                <c:pt idx="5">
                  <c:v>2655.85666309</c:v>
                </c:pt>
              </c:numCache>
            </c:numRef>
          </c:val>
          <c:extLst>
            <c:ext xmlns:c16="http://schemas.microsoft.com/office/drawing/2014/chart" uri="{C3380CC4-5D6E-409C-BE32-E72D297353CC}">
              <c16:uniqueId val="{00000002-CCFC-4BEA-85C7-F4B81BB2B26F}"/>
            </c:ext>
          </c:extLst>
        </c:ser>
        <c:dLbls>
          <c:showLegendKey val="0"/>
          <c:showVal val="0"/>
          <c:showCatName val="0"/>
          <c:showSerName val="0"/>
          <c:showPercent val="0"/>
          <c:showBubbleSize val="0"/>
        </c:dLbls>
        <c:gapWidth val="132"/>
        <c:axId val="153174400"/>
        <c:axId val="153175936"/>
      </c:barChart>
      <c:catAx>
        <c:axId val="1531744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GT"/>
          </a:p>
        </c:txPr>
        <c:crossAx val="153175936"/>
        <c:crosses val="autoZero"/>
        <c:auto val="1"/>
        <c:lblAlgn val="ctr"/>
        <c:lblOffset val="100"/>
        <c:noMultiLvlLbl val="0"/>
      </c:catAx>
      <c:valAx>
        <c:axId val="153175936"/>
        <c:scaling>
          <c:orientation val="minMax"/>
        </c:scaling>
        <c:delete val="0"/>
        <c:axPos val="b"/>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317440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64726531927191411"/>
          <c:y val="0.71585201502288331"/>
          <c:w val="0.28308684661649763"/>
          <c:h val="7.563369094992158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39668902540773E-2"/>
          <c:y val="3.5224826189978561E-2"/>
          <c:w val="0.90489558370421086"/>
          <c:h val="0.88620975086752518"/>
        </c:manualLayout>
      </c:layout>
      <c:barChart>
        <c:barDir val="col"/>
        <c:grouping val="clustered"/>
        <c:varyColors val="0"/>
        <c:ser>
          <c:idx val="0"/>
          <c:order val="0"/>
          <c:tx>
            <c:strRef>
              <c:f>Hoja1!$B$1</c:f>
              <c:strCache>
                <c:ptCount val="1"/>
                <c:pt idx="0">
                  <c:v>% de ejecución</c:v>
                </c:pt>
              </c:strCache>
            </c:strRef>
          </c:tx>
          <c:spPr>
            <a:solidFill>
              <a:schemeClr val="tx2">
                <a:lumMod val="60000"/>
                <a:lumOff val="40000"/>
              </a:schemeClr>
            </a:solidFill>
            <a:ln>
              <a:noFill/>
            </a:ln>
            <a:effectLst>
              <a:outerShdw blurRad="50800" dist="38100" dir="2700000" algn="tl" rotWithShape="0">
                <a:prstClr val="black">
                  <a:alpha val="40000"/>
                </a:prstClr>
              </a:outerShdw>
            </a:effectLst>
            <a:scene3d>
              <a:camera prst="orthographicFront"/>
              <a:lightRig rig="threePt" dir="t"/>
            </a:scene3d>
            <a:sp3d>
              <a:bevelT/>
            </a:sp3d>
          </c:spPr>
          <c:invertIfNegative val="0"/>
          <c:dPt>
            <c:idx val="5"/>
            <c:invertIfNegative val="0"/>
            <c:bubble3D val="0"/>
            <c:spPr>
              <a:solidFill>
                <a:schemeClr val="tx2">
                  <a:lumMod val="75000"/>
                </a:schemeClr>
              </a:solidFill>
              <a:ln>
                <a:noFill/>
              </a:ln>
              <a:effectLst>
                <a:outerShdw blurRad="50800" dist="38100" dir="2700000" algn="t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1-D12C-4534-B666-0879880799D2}"/>
              </c:ext>
            </c:extLst>
          </c:dPt>
          <c:dPt>
            <c:idx val="6"/>
            <c:invertIfNegative val="0"/>
            <c:bubble3D val="0"/>
            <c:spPr>
              <a:solidFill>
                <a:srgbClr val="FFC000"/>
              </a:solidFill>
              <a:ln>
                <a:noFill/>
              </a:ln>
              <a:effectLst>
                <a:outerShdw blurRad="50800" dist="38100" dir="2700000" algn="tl" rotWithShape="0">
                  <a:prstClr val="black">
                    <a:alpha val="40000"/>
                  </a:prstClr>
                </a:outerShdw>
              </a:effectLst>
              <a:scene3d>
                <a:camera prst="orthographicFront"/>
                <a:lightRig rig="threePt" dir="t"/>
              </a:scene3d>
              <a:sp3d>
                <a:bevelT/>
              </a:sp3d>
            </c:spPr>
            <c:extLst>
              <c:ext xmlns:c16="http://schemas.microsoft.com/office/drawing/2014/chart" uri="{C3380CC4-5D6E-409C-BE32-E72D297353CC}">
                <c16:uniqueId val="{00000003-D12C-4534-B666-0879880799D2}"/>
              </c:ext>
            </c:extLst>
          </c:dPt>
          <c:dLbls>
            <c:dLbl>
              <c:idx val="3"/>
              <c:layout>
                <c:manualLayout>
                  <c:x val="-8.0109772984700854E-17"/>
                  <c:y val="0.1035210221363838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2C-4534-B666-0879880799D2}"/>
                </c:ext>
              </c:extLst>
            </c:dLbl>
            <c:dLbl>
              <c:idx val="4"/>
              <c:layout>
                <c:manualLayout>
                  <c:x val="4.3696744592527856E-3"/>
                  <c:y val="0.1418964618549640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2C-4534-B666-0879880799D2}"/>
                </c:ext>
              </c:extLst>
            </c:dLbl>
            <c:dLbl>
              <c:idx val="5"/>
              <c:layout>
                <c:manualLayout>
                  <c:x val="-1.6021954596940171E-16"/>
                  <c:y val="0.103613687240166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2C-4534-B666-0879880799D2}"/>
                </c:ext>
              </c:extLst>
            </c:dLbl>
            <c:dLbl>
              <c:idx val="6"/>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End"/>
              <c:showLegendKey val="0"/>
              <c:showVal val="1"/>
              <c:showCatName val="0"/>
              <c:showSerName val="0"/>
              <c:showPercent val="0"/>
              <c:showBubbleSize val="0"/>
              <c:extLst>
                <c:ext xmlns:c16="http://schemas.microsoft.com/office/drawing/2014/chart" uri="{C3380CC4-5D6E-409C-BE32-E72D297353CC}">
                  <c16:uniqueId val="{00000003-D12C-4534-B666-0879880799D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Hoja1!$A$2:$A$7</c:f>
              <c:numCache>
                <c:formatCode>General</c:formatCode>
                <c:ptCount val="6"/>
                <c:pt idx="0">
                  <c:v>2016</c:v>
                </c:pt>
                <c:pt idx="1">
                  <c:v>2017</c:v>
                </c:pt>
                <c:pt idx="2">
                  <c:v>2018</c:v>
                </c:pt>
                <c:pt idx="3">
                  <c:v>2019</c:v>
                </c:pt>
                <c:pt idx="4">
                  <c:v>2020</c:v>
                </c:pt>
                <c:pt idx="5">
                  <c:v>2021</c:v>
                </c:pt>
              </c:numCache>
            </c:numRef>
          </c:cat>
          <c:val>
            <c:numRef>
              <c:f>Hoja1!$B$2:$B$7</c:f>
              <c:numCache>
                <c:formatCode>0.0</c:formatCode>
                <c:ptCount val="6"/>
                <c:pt idx="0">
                  <c:v>6.0230399013733917</c:v>
                </c:pt>
                <c:pt idx="1">
                  <c:v>5.9167359808426658</c:v>
                </c:pt>
                <c:pt idx="2">
                  <c:v>5.9047311027679772</c:v>
                </c:pt>
                <c:pt idx="3">
                  <c:v>6.2641694596116109</c:v>
                </c:pt>
                <c:pt idx="4">
                  <c:v>6.5796455021520819</c:v>
                </c:pt>
                <c:pt idx="5">
                  <c:v>5.5345635155693191</c:v>
                </c:pt>
              </c:numCache>
            </c:numRef>
          </c:val>
          <c:extLst>
            <c:ext xmlns:c16="http://schemas.microsoft.com/office/drawing/2014/chart" uri="{C3380CC4-5D6E-409C-BE32-E72D297353CC}">
              <c16:uniqueId val="{00000006-D12C-4534-B666-0879880799D2}"/>
            </c:ext>
          </c:extLst>
        </c:ser>
        <c:dLbls>
          <c:showLegendKey val="0"/>
          <c:showVal val="0"/>
          <c:showCatName val="0"/>
          <c:showSerName val="0"/>
          <c:showPercent val="0"/>
          <c:showBubbleSize val="0"/>
        </c:dLbls>
        <c:gapWidth val="50"/>
        <c:overlap val="-27"/>
        <c:axId val="154818048"/>
        <c:axId val="154819584"/>
      </c:barChart>
      <c:lineChart>
        <c:grouping val="standard"/>
        <c:varyColors val="0"/>
        <c:ser>
          <c:idx val="1"/>
          <c:order val="1"/>
          <c:tx>
            <c:strRef>
              <c:f>Hoja1!$C$1</c:f>
              <c:strCache>
                <c:ptCount val="1"/>
                <c:pt idx="0">
                  <c:v>Promedio</c:v>
                </c:pt>
              </c:strCache>
            </c:strRef>
          </c:tx>
          <c:spPr>
            <a:ln w="15875" cap="rnd">
              <a:solidFill>
                <a:srgbClr val="C00000"/>
              </a:solidFill>
              <a:prstDash val="sysDash"/>
              <a:round/>
            </a:ln>
            <a:effectLst/>
          </c:spPr>
          <c:marker>
            <c:symbol val="none"/>
          </c:marker>
          <c:dLbls>
            <c:dLbl>
              <c:idx val="2"/>
              <c:layout>
                <c:manualLayout>
                  <c:x val="-0.20974454607856124"/>
                  <c:y val="-5.1167252958106826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1"/>
              <c:showPercent val="0"/>
              <c:showBubbleSize val="0"/>
              <c:extLst>
                <c:ext xmlns:c15="http://schemas.microsoft.com/office/drawing/2012/chart" uri="{CE6537A1-D6FC-4f65-9D91-7224C49458BB}">
                  <c15:layout>
                    <c:manualLayout>
                      <c:w val="0.28619165667433361"/>
                      <c:h val="0.15151902782219379"/>
                    </c:manualLayout>
                  </c15:layout>
                </c:ext>
                <c:ext xmlns:c16="http://schemas.microsoft.com/office/drawing/2014/chart" uri="{C3380CC4-5D6E-409C-BE32-E72D297353CC}">
                  <c16:uniqueId val="{00000007-D12C-4534-B666-0879880799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Hoja1!$A$2:$A$7</c:f>
              <c:numCache>
                <c:formatCode>General</c:formatCode>
                <c:ptCount val="6"/>
                <c:pt idx="0">
                  <c:v>2016</c:v>
                </c:pt>
                <c:pt idx="1">
                  <c:v>2017</c:v>
                </c:pt>
                <c:pt idx="2">
                  <c:v>2018</c:v>
                </c:pt>
                <c:pt idx="3">
                  <c:v>2019</c:v>
                </c:pt>
                <c:pt idx="4">
                  <c:v>2020</c:v>
                </c:pt>
                <c:pt idx="5">
                  <c:v>2021</c:v>
                </c:pt>
              </c:numCache>
            </c:numRef>
          </c:cat>
          <c:val>
            <c:numRef>
              <c:f>Hoja1!$C$2:$C$7</c:f>
              <c:numCache>
                <c:formatCode>0.0</c:formatCode>
                <c:ptCount val="6"/>
                <c:pt idx="0">
                  <c:v>6.1376643893495464</c:v>
                </c:pt>
                <c:pt idx="1">
                  <c:v>6.1376643893495464</c:v>
                </c:pt>
                <c:pt idx="2">
                  <c:v>6.1376643893495464</c:v>
                </c:pt>
                <c:pt idx="3">
                  <c:v>6.1376643893495464</c:v>
                </c:pt>
                <c:pt idx="4">
                  <c:v>6.1376643893495464</c:v>
                </c:pt>
              </c:numCache>
            </c:numRef>
          </c:val>
          <c:smooth val="0"/>
          <c:extLst>
            <c:ext xmlns:c16="http://schemas.microsoft.com/office/drawing/2014/chart" uri="{C3380CC4-5D6E-409C-BE32-E72D297353CC}">
              <c16:uniqueId val="{00000008-D12C-4534-B666-0879880799D2}"/>
            </c:ext>
          </c:extLst>
        </c:ser>
        <c:dLbls>
          <c:showLegendKey val="0"/>
          <c:showVal val="0"/>
          <c:showCatName val="0"/>
          <c:showSerName val="0"/>
          <c:showPercent val="0"/>
          <c:showBubbleSize val="0"/>
        </c:dLbls>
        <c:marker val="1"/>
        <c:smooth val="0"/>
        <c:axId val="154818048"/>
        <c:axId val="154819584"/>
      </c:lineChart>
      <c:catAx>
        <c:axId val="15481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54819584"/>
        <c:crosses val="autoZero"/>
        <c:auto val="1"/>
        <c:lblAlgn val="ctr"/>
        <c:lblOffset val="100"/>
        <c:noMultiLvlLbl val="0"/>
      </c:catAx>
      <c:valAx>
        <c:axId val="154819584"/>
        <c:scaling>
          <c:orientation val="minMax"/>
          <c:min val="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5481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11229258735818"/>
          <c:y val="2.1552184025777264E-2"/>
          <c:w val="0.67595450840542404"/>
          <c:h val="0.93622203728598963"/>
        </c:manualLayout>
      </c:layout>
      <c:barChart>
        <c:barDir val="bar"/>
        <c:grouping val="clustered"/>
        <c:varyColors val="0"/>
        <c:ser>
          <c:idx val="0"/>
          <c:order val="0"/>
          <c:tx>
            <c:strRef>
              <c:f>Hoja1!$B$1</c:f>
              <c:strCache>
                <c:ptCount val="1"/>
                <c:pt idx="0">
                  <c:v>%</c:v>
                </c:pt>
              </c:strCache>
            </c:strRef>
          </c:tx>
          <c:spPr>
            <a:solidFill>
              <a:srgbClr val="FF9999">
                <a:alpha val="75000"/>
              </a:srgbClr>
            </a:solidFill>
            <a:ln>
              <a:solidFill>
                <a:schemeClr val="tx1">
                  <a:lumMod val="95000"/>
                  <a:lumOff val="5000"/>
                </a:schemeClr>
              </a:solidFill>
            </a:ln>
            <a:effectLst/>
          </c:spPr>
          <c:invertIfNegative val="0"/>
          <c:dPt>
            <c:idx val="10"/>
            <c:invertIfNegative val="0"/>
            <c:bubble3D val="0"/>
            <c:spPr>
              <a:solidFill>
                <a:srgbClr val="C00000">
                  <a:alpha val="75000"/>
                </a:srgbClr>
              </a:solidFill>
              <a:ln>
                <a:solidFill>
                  <a:schemeClr val="tx1">
                    <a:lumMod val="95000"/>
                    <a:lumOff val="5000"/>
                  </a:schemeClr>
                </a:solidFill>
              </a:ln>
              <a:effectLst/>
            </c:spPr>
            <c:extLst>
              <c:ext xmlns:c16="http://schemas.microsoft.com/office/drawing/2014/chart" uri="{C3380CC4-5D6E-409C-BE32-E72D297353CC}">
                <c16:uniqueId val="{00000001-C3A3-44CB-B7D0-88FA2F5C2CAB}"/>
              </c:ext>
            </c:extLst>
          </c:dPt>
          <c:dPt>
            <c:idx val="12"/>
            <c:invertIfNegative val="0"/>
            <c:bubble3D val="0"/>
            <c:spPr>
              <a:solidFill>
                <a:srgbClr val="FF7C80">
                  <a:alpha val="75000"/>
                </a:srgbClr>
              </a:solidFill>
              <a:ln>
                <a:solidFill>
                  <a:schemeClr val="tx1">
                    <a:lumMod val="95000"/>
                    <a:lumOff val="5000"/>
                  </a:schemeClr>
                </a:solidFill>
              </a:ln>
              <a:effectLst/>
            </c:spPr>
            <c:extLst>
              <c:ext xmlns:c16="http://schemas.microsoft.com/office/drawing/2014/chart" uri="{C3380CC4-5D6E-409C-BE32-E72D297353CC}">
                <c16:uniqueId val="{00000003-C3A3-44CB-B7D0-88FA2F5C2CAB}"/>
              </c:ext>
            </c:extLst>
          </c:dPt>
          <c:dPt>
            <c:idx val="13"/>
            <c:invertIfNegative val="0"/>
            <c:bubble3D val="0"/>
            <c:spPr>
              <a:solidFill>
                <a:srgbClr val="FF9999">
                  <a:alpha val="74902"/>
                </a:srgbClr>
              </a:solidFill>
              <a:ln>
                <a:solidFill>
                  <a:schemeClr val="tx1">
                    <a:lumMod val="95000"/>
                    <a:lumOff val="5000"/>
                  </a:schemeClr>
                </a:solidFill>
              </a:ln>
              <a:effectLst/>
            </c:spPr>
            <c:extLst>
              <c:ext xmlns:c16="http://schemas.microsoft.com/office/drawing/2014/chart" uri="{C3380CC4-5D6E-409C-BE32-E72D297353CC}">
                <c16:uniqueId val="{00000005-C3A3-44CB-B7D0-88FA2F5C2CAB}"/>
              </c:ext>
            </c:extLst>
          </c:dPt>
          <c:dPt>
            <c:idx val="14"/>
            <c:invertIfNegative val="0"/>
            <c:bubble3D val="0"/>
            <c:spPr>
              <a:solidFill>
                <a:srgbClr val="FF9999">
                  <a:alpha val="74902"/>
                </a:srgbClr>
              </a:solidFill>
              <a:ln>
                <a:solidFill>
                  <a:schemeClr val="tx1">
                    <a:lumMod val="95000"/>
                    <a:lumOff val="5000"/>
                  </a:schemeClr>
                </a:solidFill>
              </a:ln>
              <a:effectLst/>
            </c:spPr>
            <c:extLst>
              <c:ext xmlns:c16="http://schemas.microsoft.com/office/drawing/2014/chart" uri="{C3380CC4-5D6E-409C-BE32-E72D297353CC}">
                <c16:uniqueId val="{00000007-C3A3-44CB-B7D0-88FA2F5C2CAB}"/>
              </c:ext>
            </c:extLst>
          </c:dPt>
          <c:dLbls>
            <c:dLbl>
              <c:idx val="19"/>
              <c:layout>
                <c:manualLayout>
                  <c:x val="-1.3295143311980156E-3"/>
                  <c:y val="-4.140271352201623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A3-44CB-B7D0-88FA2F5C2CAB}"/>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Desarrollo</c:v>
                </c:pt>
                <c:pt idx="1">
                  <c:v>Economía</c:v>
                </c:pt>
                <c:pt idx="2">
                  <c:v>Comunicaciones</c:v>
                </c:pt>
                <c:pt idx="3">
                  <c:v>Agricultura</c:v>
                </c:pt>
                <c:pt idx="4">
                  <c:v>Cultura</c:v>
                </c:pt>
                <c:pt idx="5">
                  <c:v>Secretarías</c:v>
                </c:pt>
                <c:pt idx="6">
                  <c:v>Deuda Pública</c:v>
                </c:pt>
                <c:pt idx="7">
                  <c:v>MINREX</c:v>
                </c:pt>
                <c:pt idx="8">
                  <c:v>Salud Pública </c:v>
                </c:pt>
                <c:pt idx="9">
                  <c:v>Obligaciones </c:v>
                </c:pt>
                <c:pt idx="10">
                  <c:v>Total</c:v>
                </c:pt>
                <c:pt idx="11">
                  <c:v>Ambiente </c:v>
                </c:pt>
                <c:pt idx="12">
                  <c:v>Energía</c:v>
                </c:pt>
                <c:pt idx="13">
                  <c:v>Presidencia</c:v>
                </c:pt>
                <c:pt idx="14">
                  <c:v>Trabajo </c:v>
                </c:pt>
                <c:pt idx="15">
                  <c:v>Finanzas</c:v>
                </c:pt>
                <c:pt idx="16">
                  <c:v>Defensa </c:v>
                </c:pt>
                <c:pt idx="17">
                  <c:v>Gobernación</c:v>
                </c:pt>
                <c:pt idx="18">
                  <c:v>PGN</c:v>
                </c:pt>
                <c:pt idx="19">
                  <c:v>Educación </c:v>
                </c:pt>
              </c:strCache>
            </c:strRef>
          </c:cat>
          <c:val>
            <c:numRef>
              <c:f>Hoja1!$B$2:$B$21</c:f>
              <c:numCache>
                <c:formatCode>0.0</c:formatCode>
                <c:ptCount val="20"/>
                <c:pt idx="0">
                  <c:v>0.12130170152963081</c:v>
                </c:pt>
                <c:pt idx="1">
                  <c:v>0.49998935918994297</c:v>
                </c:pt>
                <c:pt idx="2">
                  <c:v>0.77697820603241963</c:v>
                </c:pt>
                <c:pt idx="3">
                  <c:v>2.7618584077212787</c:v>
                </c:pt>
                <c:pt idx="4">
                  <c:v>3.1007743944625568</c:v>
                </c:pt>
                <c:pt idx="5">
                  <c:v>4.3052640817371834</c:v>
                </c:pt>
                <c:pt idx="6">
                  <c:v>4.5915821589213612</c:v>
                </c:pt>
                <c:pt idx="7">
                  <c:v>4.6355536461074038</c:v>
                </c:pt>
                <c:pt idx="8">
                  <c:v>5.0489943790982883</c:v>
                </c:pt>
                <c:pt idx="9">
                  <c:v>5.4892719652561519</c:v>
                </c:pt>
                <c:pt idx="10">
                  <c:v>5.5345635155693191</c:v>
                </c:pt>
                <c:pt idx="11">
                  <c:v>5.9862868310235378</c:v>
                </c:pt>
                <c:pt idx="12">
                  <c:v>6.1702158484788612</c:v>
                </c:pt>
                <c:pt idx="13">
                  <c:v>6.4305399350649353</c:v>
                </c:pt>
                <c:pt idx="14">
                  <c:v>6.5580603101830368</c:v>
                </c:pt>
                <c:pt idx="15">
                  <c:v>6.6645090310565518</c:v>
                </c:pt>
                <c:pt idx="16">
                  <c:v>6.8503038255142616</c:v>
                </c:pt>
                <c:pt idx="17">
                  <c:v>7.2914793696234907</c:v>
                </c:pt>
                <c:pt idx="18">
                  <c:v>8.1621931673104111</c:v>
                </c:pt>
                <c:pt idx="19">
                  <c:v>11.222963326082199</c:v>
                </c:pt>
              </c:numCache>
            </c:numRef>
          </c:val>
          <c:extLst>
            <c:ext xmlns:c16="http://schemas.microsoft.com/office/drawing/2014/chart" uri="{C3380CC4-5D6E-409C-BE32-E72D297353CC}">
              <c16:uniqueId val="{00000009-C3A3-44CB-B7D0-88FA2F5C2CAB}"/>
            </c:ext>
          </c:extLst>
        </c:ser>
        <c:dLbls>
          <c:showLegendKey val="0"/>
          <c:showVal val="0"/>
          <c:showCatName val="0"/>
          <c:showSerName val="0"/>
          <c:showPercent val="0"/>
          <c:showBubbleSize val="0"/>
        </c:dLbls>
        <c:gapWidth val="100"/>
        <c:axId val="153197568"/>
        <c:axId val="153621248"/>
      </c:barChart>
      <c:catAx>
        <c:axId val="15319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53621248"/>
        <c:crosses val="autoZero"/>
        <c:auto val="1"/>
        <c:lblAlgn val="ctr"/>
        <c:lblOffset val="100"/>
        <c:noMultiLvlLbl val="0"/>
      </c:catAx>
      <c:valAx>
        <c:axId val="153621248"/>
        <c:scaling>
          <c:orientation val="minMax"/>
          <c:max val="12"/>
          <c:min val="0"/>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153197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9CC1-2E35-4F3E-BC67-049BF9CA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2430</Words>
  <Characters>13365</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Myriam Adelaida Galvez García</cp:lastModifiedBy>
  <cp:revision>2</cp:revision>
  <dcterms:created xsi:type="dcterms:W3CDTF">2021-02-19T15:49:00Z</dcterms:created>
  <dcterms:modified xsi:type="dcterms:W3CDTF">2021-02-19T15:49:00Z</dcterms:modified>
</cp:coreProperties>
</file>