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957410" w:rsidP="00906836">
      <w:pPr>
        <w:spacing w:after="0" w:line="240" w:lineRule="auto"/>
        <w:jc w:val="center"/>
        <w:rPr>
          <w:b/>
          <w:sz w:val="28"/>
          <w:szCs w:val="24"/>
        </w:rPr>
      </w:pPr>
      <w:bookmarkStart w:id="0" w:name="_GoBack"/>
      <w:bookmarkEnd w:id="0"/>
      <w:r>
        <w:rPr>
          <w:b/>
          <w:sz w:val="28"/>
          <w:szCs w:val="24"/>
        </w:rPr>
        <w:t>FICHA TÉ</w:t>
      </w:r>
      <w:r w:rsidR="00906836" w:rsidRPr="00F715E3">
        <w:rPr>
          <w:b/>
          <w:sz w:val="28"/>
          <w:szCs w:val="24"/>
        </w:rPr>
        <w:t>CNICA DE L</w:t>
      </w:r>
      <w:r w:rsidR="00906836">
        <w:rPr>
          <w:b/>
          <w:sz w:val="28"/>
          <w:szCs w:val="24"/>
        </w:rPr>
        <w:t xml:space="preserve">A DISCUSION “PRESUPUESTO MULTIANUAL </w:t>
      </w:r>
      <w:r w:rsidR="00906836" w:rsidRPr="00F715E3">
        <w:rPr>
          <w:b/>
          <w:sz w:val="28"/>
          <w:szCs w:val="24"/>
        </w:rPr>
        <w:t xml:space="preserve"> 201</w:t>
      </w:r>
      <w:r>
        <w:rPr>
          <w:b/>
          <w:sz w:val="28"/>
          <w:szCs w:val="24"/>
        </w:rPr>
        <w:t>8-2022, RUTA PAÍS  5 AÑOS</w:t>
      </w:r>
      <w:r w:rsidR="00906836" w:rsidRPr="00F715E3">
        <w:rPr>
          <w:b/>
          <w:sz w:val="28"/>
          <w:szCs w:val="24"/>
        </w:rPr>
        <w:t xml:space="preserve">” </w:t>
      </w:r>
      <w:r w:rsidR="00906836">
        <w:rPr>
          <w:b/>
          <w:sz w:val="28"/>
          <w:szCs w:val="24"/>
        </w:rPr>
        <w:t xml:space="preserve">SECTOR </w:t>
      </w:r>
      <w:r w:rsidR="00A80983">
        <w:rPr>
          <w:b/>
          <w:sz w:val="28"/>
          <w:szCs w:val="24"/>
        </w:rPr>
        <w:t xml:space="preserve">DERECHOS HUMANOS </w:t>
      </w:r>
    </w:p>
    <w:p w:rsidR="00906836" w:rsidRDefault="00957410" w:rsidP="00906836">
      <w:pPr>
        <w:spacing w:after="0" w:line="240" w:lineRule="auto"/>
        <w:rPr>
          <w:b/>
          <w:sz w:val="28"/>
          <w:szCs w:val="24"/>
        </w:rPr>
      </w:pPr>
      <w:r>
        <w:rPr>
          <w:b/>
          <w:sz w:val="28"/>
          <w:szCs w:val="24"/>
        </w:rPr>
        <w:t>Entidad</w:t>
      </w:r>
      <w:r w:rsidR="00D235E8">
        <w:rPr>
          <w:b/>
          <w:sz w:val="28"/>
          <w:szCs w:val="24"/>
        </w:rPr>
        <w:t>:</w:t>
      </w:r>
      <w:r w:rsidR="0085279A">
        <w:rPr>
          <w:b/>
          <w:sz w:val="28"/>
          <w:szCs w:val="24"/>
        </w:rPr>
        <w:t xml:space="preserve"> </w:t>
      </w:r>
      <w:r w:rsidR="00A80983">
        <w:rPr>
          <w:b/>
          <w:sz w:val="28"/>
          <w:szCs w:val="24"/>
        </w:rPr>
        <w:t>S</w:t>
      </w:r>
      <w:r>
        <w:rPr>
          <w:b/>
          <w:sz w:val="28"/>
          <w:szCs w:val="24"/>
        </w:rPr>
        <w:t>ECRETARÍA CONTRA LA VIOLENCIA SEXUAL, EXPLOTACIÓN Y TRATA DE PERSONAS</w:t>
      </w:r>
    </w:p>
    <w:p w:rsidR="00906836" w:rsidRDefault="00C41181" w:rsidP="00906836">
      <w:pPr>
        <w:spacing w:after="0" w:line="240" w:lineRule="auto"/>
        <w:rPr>
          <w:b/>
          <w:sz w:val="28"/>
          <w:szCs w:val="24"/>
        </w:rPr>
      </w:pPr>
      <w:r>
        <w:rPr>
          <w:b/>
          <w:sz w:val="28"/>
          <w:szCs w:val="24"/>
        </w:rPr>
        <w:t>Fecha: 30</w:t>
      </w:r>
      <w:r w:rsidR="0085279A">
        <w:rPr>
          <w:b/>
          <w:sz w:val="28"/>
          <w:szCs w:val="24"/>
        </w:rPr>
        <w:t xml:space="preserve"> de mayo de 2017</w:t>
      </w:r>
    </w:p>
    <w:tbl>
      <w:tblPr>
        <w:tblStyle w:val="Tablaconcuadrcula"/>
        <w:tblW w:w="0" w:type="auto"/>
        <w:jc w:val="center"/>
        <w:tblLook w:val="04A0" w:firstRow="1" w:lastRow="0" w:firstColumn="1" w:lastColumn="0" w:noHBand="0" w:noVBand="1"/>
      </w:tblPr>
      <w:tblGrid>
        <w:gridCol w:w="8978"/>
      </w:tblGrid>
      <w:tr w:rsidR="002A36D8" w:rsidRPr="003750B8" w:rsidTr="00D55CD1">
        <w:trPr>
          <w:trHeight w:val="332"/>
          <w:jc w:val="center"/>
        </w:trPr>
        <w:tc>
          <w:tcPr>
            <w:tcW w:w="8978" w:type="dxa"/>
            <w:shd w:val="clear" w:color="auto" w:fill="B8CCE4" w:themeFill="accent1" w:themeFillTint="66"/>
          </w:tcPr>
          <w:p w:rsidR="002A36D8" w:rsidRPr="003750B8" w:rsidRDefault="002A36D8" w:rsidP="00D55CD1">
            <w:pPr>
              <w:spacing w:after="0" w:line="240" w:lineRule="auto"/>
              <w:jc w:val="center"/>
              <w:rPr>
                <w:b/>
                <w:sz w:val="32"/>
                <w:szCs w:val="24"/>
              </w:rPr>
            </w:pPr>
            <w:r w:rsidRPr="009316AF">
              <w:rPr>
                <w:b/>
                <w:sz w:val="28"/>
                <w:szCs w:val="24"/>
              </w:rPr>
              <w:t>PRESENTACIONES DE APERTURA</w:t>
            </w:r>
          </w:p>
        </w:tc>
      </w:tr>
      <w:tr w:rsidR="002A36D8" w:rsidTr="002A36D8">
        <w:trPr>
          <w:trHeight w:val="450"/>
          <w:jc w:val="center"/>
        </w:trPr>
        <w:tc>
          <w:tcPr>
            <w:tcW w:w="8978" w:type="dxa"/>
          </w:tcPr>
          <w:p w:rsidR="00F7558C" w:rsidRDefault="00F7558C" w:rsidP="00F7558C">
            <w:pPr>
              <w:spacing w:after="0"/>
              <w:jc w:val="both"/>
            </w:pPr>
            <w:r w:rsidRPr="003D3088">
              <w:rPr>
                <w:b/>
              </w:rPr>
              <w:t>MINISTERIO DE FINANZAS PÚBLICAS:</w:t>
            </w:r>
            <w:r>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F7558C" w:rsidRDefault="00F7558C" w:rsidP="00F7558C">
            <w:pPr>
              <w:spacing w:after="0"/>
              <w:jc w:val="both"/>
            </w:pPr>
          </w:p>
          <w:p w:rsidR="00F7558C" w:rsidRDefault="00F7558C" w:rsidP="00F7558C">
            <w:pPr>
              <w:spacing w:after="0"/>
              <w:jc w:val="both"/>
            </w:pPr>
            <w:r>
              <w:t xml:space="preserve">Explicó las etapas que componen el proceso presupuestario, los plazos legales para cada una de ellas, incluyendo su integración y principales actores. </w:t>
            </w:r>
          </w:p>
          <w:p w:rsidR="00F7558C" w:rsidRDefault="00F7558C" w:rsidP="00F7558C">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F7558C" w:rsidRDefault="00F7558C" w:rsidP="00F7558C">
            <w:pPr>
              <w:spacing w:after="0"/>
              <w:jc w:val="both"/>
            </w:pPr>
            <w:r>
              <w:t xml:space="preserve">Señaló las acciones que ya han sido realizadas, entre ellas:  </w:t>
            </w:r>
          </w:p>
          <w:p w:rsidR="00F7558C" w:rsidRPr="00DC4BCC" w:rsidRDefault="00F7558C" w:rsidP="00F7558C">
            <w:pPr>
              <w:numPr>
                <w:ilvl w:val="0"/>
                <w:numId w:val="5"/>
              </w:numPr>
              <w:spacing w:after="0"/>
              <w:jc w:val="both"/>
            </w:pPr>
            <w:r w:rsidRPr="003E6C78">
              <w:t xml:space="preserve">Definición de escenario macro fiscal – </w:t>
            </w:r>
            <w:r w:rsidRPr="00DC4BCC">
              <w:rPr>
                <w:bCs/>
              </w:rPr>
              <w:t xml:space="preserve">Exposición de supuestos Banguat-SAT </w:t>
            </w:r>
          </w:p>
          <w:p w:rsidR="00F7558C" w:rsidRPr="00DC4BCC" w:rsidRDefault="00F7558C" w:rsidP="00F7558C">
            <w:pPr>
              <w:numPr>
                <w:ilvl w:val="0"/>
                <w:numId w:val="5"/>
              </w:numPr>
              <w:spacing w:after="0"/>
              <w:jc w:val="both"/>
            </w:pPr>
            <w:r w:rsidRPr="00DC4BCC">
              <w:t>Talleres de Micro simulaciones –</w:t>
            </w:r>
            <w:r w:rsidRPr="00DC4BCC">
              <w:rPr>
                <w:bCs/>
              </w:rPr>
              <w:t xml:space="preserve"> Apoyo de Cooperación Internacional</w:t>
            </w:r>
          </w:p>
          <w:p w:rsidR="00F7558C" w:rsidRPr="00DC4BCC" w:rsidRDefault="00F7558C" w:rsidP="00F7558C">
            <w:pPr>
              <w:numPr>
                <w:ilvl w:val="0"/>
                <w:numId w:val="5"/>
              </w:numPr>
              <w:spacing w:after="0"/>
              <w:jc w:val="both"/>
            </w:pPr>
            <w:r w:rsidRPr="00DC4BCC">
              <w:t xml:space="preserve">Talleres Sectoriales con Expertos – </w:t>
            </w:r>
            <w:r w:rsidRPr="00DC4BCC">
              <w:rPr>
                <w:bCs/>
              </w:rPr>
              <w:t xml:space="preserve">Diagnóstico de seis sectores priorizados </w:t>
            </w:r>
          </w:p>
          <w:p w:rsidR="00F7558C" w:rsidRDefault="00F7558C" w:rsidP="00F7558C">
            <w:pPr>
              <w:spacing w:after="0"/>
              <w:jc w:val="both"/>
            </w:pPr>
          </w:p>
          <w:p w:rsidR="00F7558C" w:rsidRPr="005610B6" w:rsidRDefault="00F7558C" w:rsidP="00F7558C">
            <w:pPr>
              <w:spacing w:after="0"/>
              <w:jc w:val="both"/>
              <w:rPr>
                <w:sz w:val="4"/>
              </w:rPr>
            </w:pPr>
            <w:r>
              <w:t xml:space="preserve">Actualmente se están realizando los talleres de presupuesto abierto 2018 como insumo  para la definición de los techos presupuestarios. </w:t>
            </w:r>
          </w:p>
          <w:p w:rsidR="00F7558C" w:rsidRDefault="00F7558C" w:rsidP="00F7558C">
            <w:pPr>
              <w:spacing w:after="0"/>
              <w:jc w:val="both"/>
            </w:pPr>
          </w:p>
          <w:p w:rsidR="00F7558C" w:rsidRPr="005610B6" w:rsidRDefault="00F7558C" w:rsidP="00F7558C">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F7558C" w:rsidRDefault="00F7558C" w:rsidP="00F7558C">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F7558C" w:rsidRPr="005610B6" w:rsidRDefault="00F7558C" w:rsidP="00F7558C">
            <w:pPr>
              <w:spacing w:after="0"/>
              <w:jc w:val="both"/>
              <w:rPr>
                <w:sz w:val="2"/>
              </w:rPr>
            </w:pPr>
          </w:p>
          <w:p w:rsidR="00F7558C" w:rsidRDefault="00F7558C" w:rsidP="00F7558C">
            <w:pPr>
              <w:spacing w:after="0"/>
              <w:jc w:val="both"/>
              <w:rPr>
                <w:lang w:val="es-ES"/>
              </w:rPr>
            </w:pPr>
          </w:p>
          <w:p w:rsidR="00F7558C" w:rsidRDefault="00F7558C" w:rsidP="00F7558C">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F7558C" w:rsidRDefault="00F7558C" w:rsidP="00F7558C">
            <w:pPr>
              <w:spacing w:after="0"/>
              <w:jc w:val="both"/>
              <w:rPr>
                <w:lang w:val="es-ES"/>
              </w:rPr>
            </w:pPr>
          </w:p>
          <w:p w:rsidR="00F7558C" w:rsidRDefault="00F7558C" w:rsidP="00F7558C">
            <w:pPr>
              <w:spacing w:after="0"/>
              <w:jc w:val="both"/>
              <w:rPr>
                <w:lang w:val="es-ES"/>
              </w:rPr>
            </w:pPr>
            <w:r>
              <w:rPr>
                <w:lang w:val="es-ES"/>
              </w:rPr>
              <w:lastRenderedPageBreak/>
              <w:t xml:space="preserve">En función del ejercicio multianual, se tiene la siguiente gráfica de proyección de presupuesto así como los montos proyectados de recaudación y el Déficit porcentual del PIB del 2018- 2022. </w:t>
            </w:r>
          </w:p>
          <w:p w:rsidR="00F7558C" w:rsidRDefault="00F7558C" w:rsidP="00F7558C">
            <w:pPr>
              <w:spacing w:after="0"/>
              <w:jc w:val="center"/>
              <w:rPr>
                <w:lang w:val="es-ES"/>
              </w:rPr>
            </w:pPr>
          </w:p>
          <w:p w:rsidR="00F7558C" w:rsidRDefault="00F7558C" w:rsidP="00F7558C">
            <w:pPr>
              <w:spacing w:after="0"/>
              <w:jc w:val="center"/>
              <w:rPr>
                <w:lang w:val="es-ES"/>
              </w:rPr>
            </w:pPr>
          </w:p>
          <w:p w:rsidR="00F7558C" w:rsidRDefault="00F7558C" w:rsidP="00F7558C">
            <w:pPr>
              <w:spacing w:after="0"/>
              <w:jc w:val="center"/>
              <w:rPr>
                <w:lang w:val="es-ES"/>
              </w:rPr>
            </w:pPr>
          </w:p>
          <w:p w:rsidR="00F7558C" w:rsidRDefault="00F7558C" w:rsidP="00F7558C">
            <w:pPr>
              <w:spacing w:after="0"/>
              <w:jc w:val="center"/>
              <w:rPr>
                <w:lang w:val="es-ES"/>
              </w:rPr>
            </w:pPr>
          </w:p>
          <w:p w:rsidR="00F7558C" w:rsidRDefault="00F7558C" w:rsidP="00F7558C">
            <w:pPr>
              <w:spacing w:after="0"/>
              <w:jc w:val="center"/>
              <w:rPr>
                <w:lang w:val="es-ES"/>
              </w:rPr>
            </w:pPr>
            <w:r>
              <w:rPr>
                <w:lang w:val="es-ES"/>
              </w:rPr>
              <w:t xml:space="preserve">Gráfica No. 1 </w:t>
            </w:r>
          </w:p>
          <w:p w:rsidR="00F7558C" w:rsidRDefault="00F7558C" w:rsidP="00F7558C">
            <w:pPr>
              <w:spacing w:after="0"/>
              <w:jc w:val="center"/>
            </w:pPr>
            <w:r>
              <w:rPr>
                <w:noProof/>
                <w:lang w:eastAsia="es-GT"/>
              </w:rPr>
              <w:drawing>
                <wp:inline distT="0" distB="0" distL="0" distR="0" wp14:anchorId="34DAB1B2" wp14:editId="44DFBE30">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F7558C" w:rsidRDefault="00F7558C" w:rsidP="00F7558C">
            <w:pPr>
              <w:jc w:val="right"/>
            </w:pPr>
            <w:r>
              <w:t>Fuente: Presentación del señor Ministro de Finanzas Públicas</w:t>
            </w:r>
          </w:p>
          <w:p w:rsidR="00F7558C" w:rsidRDefault="00F7558C" w:rsidP="00F7558C">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F7558C" w:rsidRPr="005610B6" w:rsidRDefault="00F7558C" w:rsidP="00F7558C">
            <w:pPr>
              <w:spacing w:after="0"/>
              <w:jc w:val="both"/>
              <w:rPr>
                <w:sz w:val="6"/>
              </w:rPr>
            </w:pPr>
          </w:p>
          <w:p w:rsidR="00F7558C" w:rsidRDefault="00F7558C" w:rsidP="00F7558C">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El señor Subsecretario de SEGEPLAN</w:t>
            </w:r>
            <w:r>
              <w:t xml:space="preserve"> Luis Catalán</w:t>
            </w:r>
            <w:r w:rsidRPr="007B736B">
              <w:t xml:space="preserve">, </w:t>
            </w:r>
            <w:r>
              <w:t>retoma las palabras del señor presidente donde plantea un  cambio de paradigma que representa la planificación a largo plazo, mencionó los planes con los que se cuenta como Gobierno ,</w:t>
            </w:r>
            <w:r w:rsidRPr="007B736B">
              <w:t xml:space="preserve"> entre los que </w:t>
            </w:r>
            <w:r>
              <w:t xml:space="preserve"> se incluye</w:t>
            </w:r>
            <w:r w:rsidRPr="007B736B">
              <w:t xml:space="preserve"> el </w:t>
            </w:r>
            <w:r>
              <w:t xml:space="preserve">Plan Nacional de Desarrollo, K’atun: Nuestra Guatemala 2032, Agenda 2030 ODS, la Política General de Gobierno 2016- 2020,  </w:t>
            </w:r>
            <w:r w:rsidRPr="007B736B">
              <w:t xml:space="preserve">el </w:t>
            </w:r>
            <w:r>
              <w:t>P</w:t>
            </w:r>
            <w:r w:rsidRPr="007B736B">
              <w:t xml:space="preserve">lan </w:t>
            </w:r>
            <w:r>
              <w:t xml:space="preserve">de la </w:t>
            </w:r>
            <w:r w:rsidRPr="007B736B">
              <w:t>Alianza para la Prosperidad,</w:t>
            </w:r>
            <w:r>
              <w:t xml:space="preserve"> los Planes Estratégicos, los POA y POM haciendo la reflexión que el Presupuesto Multianual  provee una herramienta de armonización y hace operativo los planes,  transparentando las necesidades en el ejercicio de Presupuesto Abierto.</w:t>
            </w:r>
          </w:p>
          <w:p w:rsidR="00BC2909" w:rsidRDefault="00F7558C" w:rsidP="00F7558C">
            <w:pPr>
              <w:spacing w:after="0"/>
              <w:jc w:val="both"/>
            </w:pPr>
            <w:r>
              <w:t>Se busca mejorar la calidad del gasto, la racionalidad y la transparencia, el presupuesto es la expresión de los planes.</w:t>
            </w:r>
          </w:p>
        </w:tc>
      </w:tr>
    </w:tbl>
    <w:p w:rsidR="002A36D8" w:rsidRPr="007B736B" w:rsidRDefault="002A36D8" w:rsidP="0090683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2A36D8" w:rsidRPr="009316AF" w:rsidTr="00D55CD1">
        <w:trPr>
          <w:trHeight w:val="332"/>
          <w:jc w:val="center"/>
        </w:trPr>
        <w:tc>
          <w:tcPr>
            <w:tcW w:w="8978" w:type="dxa"/>
            <w:shd w:val="clear" w:color="auto" w:fill="B8CCE4" w:themeFill="accent1" w:themeFillTint="66"/>
          </w:tcPr>
          <w:p w:rsidR="002A36D8" w:rsidRPr="009316AF" w:rsidRDefault="002A36D8" w:rsidP="005C4A01">
            <w:pPr>
              <w:spacing w:after="0" w:line="240" w:lineRule="auto"/>
              <w:jc w:val="center"/>
              <w:rPr>
                <w:b/>
                <w:sz w:val="28"/>
                <w:szCs w:val="24"/>
              </w:rPr>
            </w:pPr>
            <w:r w:rsidRPr="009316AF">
              <w:rPr>
                <w:b/>
                <w:sz w:val="28"/>
                <w:szCs w:val="24"/>
              </w:rPr>
              <w:t>P</w:t>
            </w:r>
            <w:r w:rsidR="00957410">
              <w:rPr>
                <w:b/>
                <w:sz w:val="28"/>
                <w:szCs w:val="24"/>
              </w:rPr>
              <w:t>RESENTACIONES DE</w:t>
            </w:r>
            <w:r w:rsidR="00875320">
              <w:rPr>
                <w:b/>
                <w:sz w:val="28"/>
                <w:szCs w:val="24"/>
              </w:rPr>
              <w:t xml:space="preserve"> LA SECRETA</w:t>
            </w:r>
            <w:r w:rsidR="00B26B46">
              <w:rPr>
                <w:b/>
                <w:sz w:val="28"/>
                <w:szCs w:val="24"/>
              </w:rPr>
              <w:t>RÍA CONTRA LA VIOLENCIA SEXUAL,</w:t>
            </w:r>
            <w:r w:rsidR="00875320">
              <w:rPr>
                <w:b/>
                <w:sz w:val="28"/>
                <w:szCs w:val="24"/>
              </w:rPr>
              <w:t xml:space="preserve"> EXPLOTACIÓN Y TRATA DE PERSONAS </w:t>
            </w:r>
          </w:p>
        </w:tc>
      </w:tr>
      <w:tr w:rsidR="002A36D8" w:rsidRPr="00114000" w:rsidTr="00D55CD1">
        <w:trPr>
          <w:trHeight w:val="450"/>
          <w:jc w:val="center"/>
        </w:trPr>
        <w:tc>
          <w:tcPr>
            <w:tcW w:w="8978" w:type="dxa"/>
          </w:tcPr>
          <w:p w:rsidR="00D30D8E" w:rsidRPr="00114000" w:rsidRDefault="00F7558C" w:rsidP="009E082F">
            <w:pPr>
              <w:pStyle w:val="Prrafodelista"/>
              <w:spacing w:after="0"/>
              <w:ind w:left="29"/>
            </w:pPr>
            <w:r>
              <w:t xml:space="preserve">La Secretaria contra la violencia sexual explotación y trata de persona, Claudia Ordoñez  presentó </w:t>
            </w:r>
            <w:r w:rsidR="00B80C73">
              <w:t xml:space="preserve">la siguiente información: SVET tiene a su cargo temas muy importantes y sensibles como su nombre lo indica tiene temas de violencia sexual, de explotación y trata de personas en donde lamentablemente la población más vulnerable siguen siendo nuestros niños y adolescentes, adultos. Considera importante el trabajo de SVET en los temas de prevención, si se apuesta por la prevención se </w:t>
            </w:r>
            <w:r w:rsidR="009E082F">
              <w:t xml:space="preserve">deben tener menos cantidad de víctimas y hacia eso se quiere dirigir los esfuerzos de SVET. </w:t>
            </w:r>
          </w:p>
        </w:tc>
      </w:tr>
    </w:tbl>
    <w:p w:rsidR="009316AF" w:rsidRPr="00114000" w:rsidRDefault="009316AF" w:rsidP="00906836">
      <w:pPr>
        <w:spacing w:after="0" w:line="240" w:lineRule="auto"/>
        <w:rPr>
          <w:sz w:val="8"/>
          <w:szCs w:val="24"/>
        </w:rPr>
      </w:pPr>
    </w:p>
    <w:p w:rsidR="00D30D8E" w:rsidRPr="009316AF" w:rsidRDefault="00D30D8E" w:rsidP="00114000">
      <w:pPr>
        <w:spacing w:after="0" w:line="276" w:lineRule="auto"/>
        <w:rPr>
          <w:b/>
          <w:sz w:val="28"/>
          <w:szCs w:val="24"/>
        </w:rPr>
      </w:pPr>
      <w:r w:rsidRPr="009316AF">
        <w:rPr>
          <w:b/>
          <w:sz w:val="28"/>
          <w:szCs w:val="24"/>
        </w:rPr>
        <w:t>PRES</w:t>
      </w:r>
      <w:r w:rsidR="00957410">
        <w:rPr>
          <w:b/>
          <w:sz w:val="28"/>
          <w:szCs w:val="24"/>
        </w:rPr>
        <w:t>UPUESTO ACTUAL Y PROYECTADO DE</w:t>
      </w:r>
      <w:r w:rsidR="00C41181">
        <w:rPr>
          <w:b/>
          <w:sz w:val="28"/>
          <w:szCs w:val="24"/>
        </w:rPr>
        <w:t xml:space="preserve"> </w:t>
      </w:r>
      <w:r w:rsidR="00B26B46">
        <w:rPr>
          <w:b/>
          <w:sz w:val="28"/>
          <w:szCs w:val="24"/>
        </w:rPr>
        <w:t xml:space="preserve">LA SECRETARÍA CONTRA LA VIOLENCIA SEXUAL, EXPLOTACIÒN Y TRATA DE PERSONAS </w:t>
      </w:r>
    </w:p>
    <w:tbl>
      <w:tblPr>
        <w:tblStyle w:val="Tablaconcuadrcula"/>
        <w:tblW w:w="0" w:type="auto"/>
        <w:tblLook w:val="04A0" w:firstRow="1" w:lastRow="0" w:firstColumn="1" w:lastColumn="0" w:noHBand="0" w:noVBand="1"/>
      </w:tblPr>
      <w:tblGrid>
        <w:gridCol w:w="1717"/>
        <w:gridCol w:w="1203"/>
        <w:gridCol w:w="1226"/>
        <w:gridCol w:w="1227"/>
        <w:gridCol w:w="1227"/>
        <w:gridCol w:w="1227"/>
        <w:gridCol w:w="1227"/>
      </w:tblGrid>
      <w:tr w:rsidR="00FD59C9" w:rsidTr="003D2E02">
        <w:tc>
          <w:tcPr>
            <w:tcW w:w="1809" w:type="dxa"/>
            <w:shd w:val="clear" w:color="auto" w:fill="B8CCE4" w:themeFill="accent1" w:themeFillTint="66"/>
          </w:tcPr>
          <w:p w:rsidR="003D2E02" w:rsidRPr="00F7558C" w:rsidRDefault="003D2E02" w:rsidP="00906836">
            <w:pPr>
              <w:spacing w:after="0" w:line="240" w:lineRule="auto"/>
              <w:jc w:val="center"/>
              <w:rPr>
                <w:b/>
                <w:sz w:val="18"/>
                <w:szCs w:val="18"/>
              </w:rPr>
            </w:pPr>
            <w:r w:rsidRPr="00F7558C">
              <w:rPr>
                <w:b/>
                <w:sz w:val="18"/>
                <w:szCs w:val="18"/>
              </w:rPr>
              <w:t xml:space="preserve">Año </w:t>
            </w:r>
          </w:p>
        </w:tc>
        <w:tc>
          <w:tcPr>
            <w:tcW w:w="1091" w:type="dxa"/>
            <w:shd w:val="clear" w:color="auto" w:fill="B8CCE4" w:themeFill="accent1" w:themeFillTint="66"/>
          </w:tcPr>
          <w:p w:rsidR="003D2E02" w:rsidRPr="00F7558C" w:rsidRDefault="003D2E02" w:rsidP="00906836">
            <w:pPr>
              <w:spacing w:after="0" w:line="240" w:lineRule="auto"/>
              <w:jc w:val="center"/>
              <w:rPr>
                <w:b/>
                <w:sz w:val="18"/>
                <w:szCs w:val="18"/>
              </w:rPr>
            </w:pPr>
            <w:r w:rsidRPr="00F7558C">
              <w:rPr>
                <w:b/>
                <w:sz w:val="18"/>
                <w:szCs w:val="18"/>
              </w:rPr>
              <w:t>2017</w:t>
            </w:r>
          </w:p>
        </w:tc>
        <w:tc>
          <w:tcPr>
            <w:tcW w:w="1230" w:type="dxa"/>
            <w:shd w:val="clear" w:color="auto" w:fill="B8CCE4" w:themeFill="accent1" w:themeFillTint="66"/>
          </w:tcPr>
          <w:p w:rsidR="003D2E02" w:rsidRPr="00F7558C" w:rsidRDefault="003D2E02" w:rsidP="00906836">
            <w:pPr>
              <w:spacing w:after="0" w:line="240" w:lineRule="auto"/>
              <w:jc w:val="center"/>
              <w:rPr>
                <w:b/>
                <w:sz w:val="18"/>
                <w:szCs w:val="18"/>
              </w:rPr>
            </w:pPr>
            <w:r w:rsidRPr="00F7558C">
              <w:rPr>
                <w:b/>
                <w:sz w:val="18"/>
                <w:szCs w:val="18"/>
              </w:rPr>
              <w:t>2018</w:t>
            </w:r>
          </w:p>
        </w:tc>
        <w:tc>
          <w:tcPr>
            <w:tcW w:w="1231" w:type="dxa"/>
            <w:shd w:val="clear" w:color="auto" w:fill="B8CCE4" w:themeFill="accent1" w:themeFillTint="66"/>
          </w:tcPr>
          <w:p w:rsidR="003D2E02" w:rsidRPr="00F7558C" w:rsidRDefault="003D2E02" w:rsidP="00906836">
            <w:pPr>
              <w:spacing w:after="0" w:line="240" w:lineRule="auto"/>
              <w:jc w:val="center"/>
              <w:rPr>
                <w:b/>
                <w:sz w:val="18"/>
                <w:szCs w:val="18"/>
              </w:rPr>
            </w:pPr>
            <w:r w:rsidRPr="00F7558C">
              <w:rPr>
                <w:b/>
                <w:sz w:val="18"/>
                <w:szCs w:val="18"/>
              </w:rPr>
              <w:t>2019</w:t>
            </w:r>
          </w:p>
        </w:tc>
        <w:tc>
          <w:tcPr>
            <w:tcW w:w="1231" w:type="dxa"/>
            <w:shd w:val="clear" w:color="auto" w:fill="B8CCE4" w:themeFill="accent1" w:themeFillTint="66"/>
          </w:tcPr>
          <w:p w:rsidR="003D2E02" w:rsidRPr="00F7558C" w:rsidRDefault="003D2E02" w:rsidP="00906836">
            <w:pPr>
              <w:spacing w:after="0" w:line="240" w:lineRule="auto"/>
              <w:jc w:val="center"/>
              <w:rPr>
                <w:b/>
                <w:sz w:val="18"/>
                <w:szCs w:val="18"/>
              </w:rPr>
            </w:pPr>
            <w:r w:rsidRPr="00F7558C">
              <w:rPr>
                <w:b/>
                <w:sz w:val="18"/>
                <w:szCs w:val="18"/>
              </w:rPr>
              <w:t>2020</w:t>
            </w:r>
          </w:p>
        </w:tc>
        <w:tc>
          <w:tcPr>
            <w:tcW w:w="1231" w:type="dxa"/>
            <w:shd w:val="clear" w:color="auto" w:fill="B8CCE4" w:themeFill="accent1" w:themeFillTint="66"/>
          </w:tcPr>
          <w:p w:rsidR="003D2E02" w:rsidRPr="00F7558C" w:rsidRDefault="003D2E02" w:rsidP="00906836">
            <w:pPr>
              <w:spacing w:after="0" w:line="240" w:lineRule="auto"/>
              <w:jc w:val="center"/>
              <w:rPr>
                <w:b/>
                <w:sz w:val="18"/>
                <w:szCs w:val="18"/>
              </w:rPr>
            </w:pPr>
            <w:r w:rsidRPr="00F7558C">
              <w:rPr>
                <w:b/>
                <w:sz w:val="18"/>
                <w:szCs w:val="18"/>
              </w:rPr>
              <w:t>2021</w:t>
            </w:r>
          </w:p>
        </w:tc>
        <w:tc>
          <w:tcPr>
            <w:tcW w:w="1231" w:type="dxa"/>
            <w:shd w:val="clear" w:color="auto" w:fill="B8CCE4" w:themeFill="accent1" w:themeFillTint="66"/>
          </w:tcPr>
          <w:p w:rsidR="003D2E02" w:rsidRPr="00F7558C" w:rsidRDefault="003D2E02" w:rsidP="00906836">
            <w:pPr>
              <w:spacing w:after="0" w:line="240" w:lineRule="auto"/>
              <w:jc w:val="center"/>
              <w:rPr>
                <w:b/>
                <w:sz w:val="18"/>
                <w:szCs w:val="18"/>
              </w:rPr>
            </w:pPr>
            <w:r w:rsidRPr="00F7558C">
              <w:rPr>
                <w:b/>
                <w:sz w:val="18"/>
                <w:szCs w:val="18"/>
              </w:rPr>
              <w:t>2022</w:t>
            </w:r>
          </w:p>
        </w:tc>
      </w:tr>
      <w:tr w:rsidR="00FD59C9" w:rsidTr="006056A1">
        <w:trPr>
          <w:trHeight w:val="306"/>
        </w:trPr>
        <w:tc>
          <w:tcPr>
            <w:tcW w:w="1809" w:type="dxa"/>
            <w:shd w:val="clear" w:color="auto" w:fill="B8CCE4" w:themeFill="accent1" w:themeFillTint="66"/>
          </w:tcPr>
          <w:p w:rsidR="00FD59C9" w:rsidRPr="00F7558C" w:rsidRDefault="00FD59C9" w:rsidP="00FD59C9">
            <w:pPr>
              <w:spacing w:after="0" w:line="240" w:lineRule="auto"/>
              <w:jc w:val="center"/>
              <w:rPr>
                <w:b/>
                <w:sz w:val="18"/>
                <w:szCs w:val="18"/>
              </w:rPr>
            </w:pPr>
            <w:r w:rsidRPr="00F7558C">
              <w:rPr>
                <w:b/>
                <w:sz w:val="18"/>
                <w:szCs w:val="18"/>
              </w:rPr>
              <w:t xml:space="preserve">Presupuesto </w:t>
            </w:r>
          </w:p>
          <w:p w:rsidR="00FD59C9" w:rsidRPr="00F7558C" w:rsidRDefault="00FD59C9" w:rsidP="00FD59C9">
            <w:pPr>
              <w:spacing w:after="0" w:line="240" w:lineRule="auto"/>
              <w:jc w:val="center"/>
              <w:rPr>
                <w:b/>
                <w:sz w:val="18"/>
                <w:szCs w:val="18"/>
              </w:rPr>
            </w:pPr>
            <w:r w:rsidRPr="00F7558C">
              <w:rPr>
                <w:b/>
                <w:sz w:val="18"/>
                <w:szCs w:val="18"/>
              </w:rPr>
              <w:t xml:space="preserve">en quetzales </w:t>
            </w:r>
          </w:p>
        </w:tc>
        <w:tc>
          <w:tcPr>
            <w:tcW w:w="1091" w:type="dxa"/>
            <w:vAlign w:val="center"/>
          </w:tcPr>
          <w:p w:rsidR="00FD59C9" w:rsidRPr="00F7558C" w:rsidRDefault="00FD59C9" w:rsidP="00FD59C9">
            <w:pPr>
              <w:spacing w:after="0" w:line="240" w:lineRule="auto"/>
              <w:jc w:val="center"/>
              <w:rPr>
                <w:rFonts w:ascii="Calibri" w:hAnsi="Calibri"/>
                <w:color w:val="000000"/>
                <w:sz w:val="18"/>
                <w:szCs w:val="18"/>
              </w:rPr>
            </w:pPr>
            <w:r w:rsidRPr="00F7558C">
              <w:rPr>
                <w:rFonts w:ascii="Calibri" w:hAnsi="Calibri"/>
                <w:color w:val="000000"/>
                <w:sz w:val="18"/>
                <w:szCs w:val="18"/>
              </w:rPr>
              <w:t>Q.14,000,000</w:t>
            </w:r>
          </w:p>
        </w:tc>
        <w:tc>
          <w:tcPr>
            <w:tcW w:w="1230" w:type="dxa"/>
            <w:vAlign w:val="center"/>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Q.26,720,000</w:t>
            </w:r>
          </w:p>
        </w:tc>
        <w:tc>
          <w:tcPr>
            <w:tcW w:w="1231" w:type="dxa"/>
            <w:vAlign w:val="center"/>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Q.32,540,000</w:t>
            </w:r>
          </w:p>
        </w:tc>
        <w:tc>
          <w:tcPr>
            <w:tcW w:w="1231" w:type="dxa"/>
            <w:vAlign w:val="center"/>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Q.38,360,000</w:t>
            </w:r>
          </w:p>
        </w:tc>
        <w:tc>
          <w:tcPr>
            <w:tcW w:w="1231" w:type="dxa"/>
            <w:vAlign w:val="center"/>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Q.44,180,000</w:t>
            </w:r>
          </w:p>
        </w:tc>
        <w:tc>
          <w:tcPr>
            <w:tcW w:w="1231" w:type="dxa"/>
            <w:vAlign w:val="center"/>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Q.50,000,000</w:t>
            </w:r>
          </w:p>
        </w:tc>
      </w:tr>
      <w:tr w:rsidR="00FD59C9" w:rsidTr="00BC6838">
        <w:trPr>
          <w:trHeight w:val="376"/>
        </w:trPr>
        <w:tc>
          <w:tcPr>
            <w:tcW w:w="1809" w:type="dxa"/>
            <w:shd w:val="clear" w:color="auto" w:fill="B8CCE4" w:themeFill="accent1" w:themeFillTint="66"/>
          </w:tcPr>
          <w:p w:rsidR="00FD59C9" w:rsidRPr="00F7558C" w:rsidRDefault="00FD59C9" w:rsidP="00FD59C9">
            <w:pPr>
              <w:spacing w:after="0" w:line="240" w:lineRule="auto"/>
              <w:jc w:val="center"/>
              <w:rPr>
                <w:b/>
                <w:sz w:val="18"/>
                <w:szCs w:val="18"/>
              </w:rPr>
            </w:pPr>
            <w:r w:rsidRPr="00F7558C">
              <w:rPr>
                <w:b/>
                <w:sz w:val="18"/>
                <w:szCs w:val="18"/>
              </w:rPr>
              <w:t xml:space="preserve">% de variación </w:t>
            </w:r>
          </w:p>
        </w:tc>
        <w:tc>
          <w:tcPr>
            <w:tcW w:w="1091" w:type="dxa"/>
            <w:vAlign w:val="bottom"/>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N/A</w:t>
            </w:r>
          </w:p>
        </w:tc>
        <w:tc>
          <w:tcPr>
            <w:tcW w:w="1230" w:type="dxa"/>
            <w:vAlign w:val="bottom"/>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90.86</w:t>
            </w:r>
          </w:p>
        </w:tc>
        <w:tc>
          <w:tcPr>
            <w:tcW w:w="1231" w:type="dxa"/>
            <w:vAlign w:val="bottom"/>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21.78</w:t>
            </w:r>
          </w:p>
        </w:tc>
        <w:tc>
          <w:tcPr>
            <w:tcW w:w="1231" w:type="dxa"/>
            <w:vAlign w:val="bottom"/>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17.89</w:t>
            </w:r>
          </w:p>
        </w:tc>
        <w:tc>
          <w:tcPr>
            <w:tcW w:w="1231" w:type="dxa"/>
            <w:vAlign w:val="bottom"/>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15.17</w:t>
            </w:r>
          </w:p>
        </w:tc>
        <w:tc>
          <w:tcPr>
            <w:tcW w:w="1231" w:type="dxa"/>
            <w:vAlign w:val="bottom"/>
          </w:tcPr>
          <w:p w:rsidR="00FD59C9" w:rsidRPr="00F7558C" w:rsidRDefault="00FD59C9" w:rsidP="00FD59C9">
            <w:pPr>
              <w:jc w:val="center"/>
              <w:rPr>
                <w:rFonts w:ascii="Calibri" w:hAnsi="Calibri"/>
                <w:color w:val="000000"/>
                <w:sz w:val="18"/>
                <w:szCs w:val="18"/>
              </w:rPr>
            </w:pPr>
            <w:r w:rsidRPr="00F7558C">
              <w:rPr>
                <w:rFonts w:ascii="Calibri" w:hAnsi="Calibri"/>
                <w:color w:val="000000"/>
                <w:sz w:val="18"/>
                <w:szCs w:val="18"/>
              </w:rPr>
              <w:t>13.17</w:t>
            </w:r>
          </w:p>
        </w:tc>
      </w:tr>
    </w:tbl>
    <w:p w:rsidR="00906836" w:rsidRPr="007B736B" w:rsidRDefault="00906836" w:rsidP="00906836">
      <w:pPr>
        <w:spacing w:after="0" w:line="240" w:lineRule="auto"/>
        <w:jc w:val="center"/>
        <w:rPr>
          <w:b/>
          <w:sz w:val="12"/>
          <w:szCs w:val="24"/>
        </w:rPr>
      </w:pPr>
    </w:p>
    <w:p w:rsidR="00906836" w:rsidRDefault="007B736B" w:rsidP="00906836">
      <w:pPr>
        <w:jc w:val="center"/>
      </w:pPr>
      <w:r>
        <w:rPr>
          <w:noProof/>
          <w:lang w:eastAsia="es-GT"/>
        </w:rPr>
        <mc:AlternateContent>
          <mc:Choice Requires="wps">
            <w:drawing>
              <wp:anchor distT="0" distB="0" distL="114300" distR="114300" simplePos="0" relativeHeight="251659264" behindDoc="0" locked="0" layoutInCell="1" allowOverlap="1" wp14:anchorId="28B110C1" wp14:editId="2BDC8339">
                <wp:simplePos x="0" y="0"/>
                <wp:positionH relativeFrom="column">
                  <wp:posOffset>231080</wp:posOffset>
                </wp:positionH>
                <wp:positionV relativeFrom="paragraph">
                  <wp:posOffset>186307</wp:posOffset>
                </wp:positionV>
                <wp:extent cx="5186045" cy="3295290"/>
                <wp:effectExtent l="0" t="0" r="14605" b="19685"/>
                <wp:wrapNone/>
                <wp:docPr id="1" name="1 Rectángulo redondeado"/>
                <wp:cNvGraphicFramePr/>
                <a:graphic xmlns:a="http://schemas.openxmlformats.org/drawingml/2006/main">
                  <a:graphicData uri="http://schemas.microsoft.com/office/word/2010/wordprocessingShape">
                    <wps:wsp>
                      <wps:cNvSpPr/>
                      <wps:spPr>
                        <a:xfrm>
                          <a:off x="0" y="0"/>
                          <a:ext cx="5186045" cy="3295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8775E1" w:rsidP="00906836">
                            <w:pPr>
                              <w:jc w:val="center"/>
                            </w:pPr>
                            <w:r>
                              <w:rPr>
                                <w:noProof/>
                                <w:lang w:eastAsia="es-GT"/>
                              </w:rPr>
                              <w:drawing>
                                <wp:inline distT="0" distB="0" distL="0" distR="0" wp14:anchorId="3B69458B" wp14:editId="4E719B89">
                                  <wp:extent cx="4659465" cy="2608028"/>
                                  <wp:effectExtent l="0" t="0" r="27305" b="209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110C1" id="1 Rectángulo redondeado" o:spid="_x0000_s1026" style="position:absolute;left:0;text-align:left;margin-left:18.2pt;margin-top:14.65pt;width:408.35pt;height:25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" fillcolor="#4f81bd [3204]" strokecolor="#243f60 [1604]" strokeweight="2pt">
                <v:textbox>
                  <w:txbxContent>
                    <w:p w:rsidR="00D235E8" w:rsidRDefault="008775E1" w:rsidP="00906836">
                      <w:pPr>
                        <w:jc w:val="center"/>
                      </w:pPr>
                      <w:r>
                        <w:rPr>
                          <w:noProof/>
                          <w:lang w:eastAsia="es-GT"/>
                        </w:rPr>
                        <w:drawing>
                          <wp:inline distT="0" distB="0" distL="0" distR="0" wp14:anchorId="3B69458B" wp14:editId="4E719B89">
                            <wp:extent cx="4659465" cy="2608028"/>
                            <wp:effectExtent l="0" t="0" r="27305" b="209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roundrect>
            </w:pict>
          </mc:Fallback>
        </mc:AlternateContent>
      </w:r>
      <w:r w:rsidR="00906836">
        <w:t xml:space="preserve">Gráfica de </w:t>
      </w:r>
      <w:r>
        <w:t>presupuesto actual y proyectado del 2018-2022</w: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7B736B" w:rsidRPr="007B736B" w:rsidRDefault="007B736B" w:rsidP="00906836">
      <w:pPr>
        <w:jc w:val="right"/>
        <w:rPr>
          <w:sz w:val="2"/>
        </w:rPr>
      </w:pPr>
    </w:p>
    <w:p w:rsidR="00B26B46" w:rsidRDefault="00B26B46" w:rsidP="00906836">
      <w:pPr>
        <w:jc w:val="right"/>
      </w:pPr>
    </w:p>
    <w:p w:rsidR="00B26B46" w:rsidRDefault="00B26B46" w:rsidP="00906836">
      <w:pPr>
        <w:jc w:val="right"/>
      </w:pPr>
    </w:p>
    <w:p w:rsidR="00B26B46" w:rsidRDefault="00B26B46" w:rsidP="00906836">
      <w:pPr>
        <w:jc w:val="right"/>
      </w:pPr>
    </w:p>
    <w:p w:rsidR="00B26B46" w:rsidRDefault="00B26B46" w:rsidP="00906836">
      <w:pPr>
        <w:jc w:val="right"/>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9316AF" w:rsidTr="003750B8">
        <w:tc>
          <w:tcPr>
            <w:tcW w:w="8978" w:type="dxa"/>
            <w:shd w:val="clear" w:color="auto" w:fill="B8CCE4" w:themeFill="accent1" w:themeFillTint="66"/>
          </w:tcPr>
          <w:p w:rsidR="003750B8" w:rsidRPr="009316AF" w:rsidRDefault="003750B8" w:rsidP="003750B8">
            <w:pPr>
              <w:spacing w:after="0" w:line="240" w:lineRule="auto"/>
              <w:jc w:val="center"/>
              <w:rPr>
                <w:b/>
                <w:sz w:val="28"/>
                <w:szCs w:val="24"/>
              </w:rPr>
            </w:pPr>
            <w:r w:rsidRPr="009316AF">
              <w:rPr>
                <w:b/>
                <w:sz w:val="28"/>
                <w:szCs w:val="24"/>
              </w:rPr>
              <w:t>PRINCIPALES PROGRAMAS</w:t>
            </w:r>
          </w:p>
        </w:tc>
      </w:tr>
      <w:tr w:rsidR="003750B8" w:rsidTr="005C0C08">
        <w:trPr>
          <w:trHeight w:val="334"/>
        </w:trPr>
        <w:tc>
          <w:tcPr>
            <w:tcW w:w="8978" w:type="dxa"/>
          </w:tcPr>
          <w:p w:rsidR="003750B8" w:rsidRPr="005C0C08" w:rsidRDefault="005C0C08" w:rsidP="005C0C08">
            <w:pPr>
              <w:pStyle w:val="Prrafodelista"/>
              <w:numPr>
                <w:ilvl w:val="0"/>
                <w:numId w:val="1"/>
              </w:numPr>
              <w:jc w:val="both"/>
              <w:rPr>
                <w:b/>
                <w:bCs/>
                <w:lang w:val="es-ES"/>
              </w:rPr>
            </w:pPr>
            <w:r>
              <w:rPr>
                <w:b/>
                <w:bCs/>
              </w:rPr>
              <w:t>Programa 70,</w:t>
            </w:r>
            <w:r w:rsidR="00091219" w:rsidRPr="00091219">
              <w:rPr>
                <w:b/>
                <w:bCs/>
              </w:rPr>
              <w:t xml:space="preserve"> </w:t>
            </w:r>
            <w:r w:rsidRPr="005C0C08">
              <w:rPr>
                <w:b/>
                <w:bCs/>
                <w:lang w:val="es-ES"/>
              </w:rPr>
              <w:t>Protección contra la violencia sexual, explotación y trata de personas</w:t>
            </w:r>
          </w:p>
        </w:tc>
      </w:tr>
    </w:tbl>
    <w:p w:rsidR="00906836" w:rsidRPr="007B736B" w:rsidRDefault="00906836" w:rsidP="007B736B">
      <w:pPr>
        <w:spacing w:after="0"/>
        <w:rPr>
          <w:sz w:val="6"/>
        </w:rPr>
      </w:pPr>
    </w:p>
    <w:tbl>
      <w:tblPr>
        <w:tblStyle w:val="Tablaconcuadrcula"/>
        <w:tblW w:w="0" w:type="auto"/>
        <w:tblLook w:val="04A0" w:firstRow="1" w:lastRow="0" w:firstColumn="1" w:lastColumn="0" w:noHBand="0" w:noVBand="1"/>
      </w:tblPr>
      <w:tblGrid>
        <w:gridCol w:w="8978"/>
      </w:tblGrid>
      <w:tr w:rsidR="0093780D" w:rsidRPr="009316AF" w:rsidTr="00D235E8">
        <w:tc>
          <w:tcPr>
            <w:tcW w:w="8978" w:type="dxa"/>
            <w:shd w:val="clear" w:color="auto" w:fill="B8CCE4" w:themeFill="accent1" w:themeFillTint="66"/>
          </w:tcPr>
          <w:p w:rsidR="0093780D" w:rsidRPr="009316AF" w:rsidRDefault="0093780D" w:rsidP="00D235E8">
            <w:pPr>
              <w:spacing w:after="0" w:line="240" w:lineRule="auto"/>
              <w:jc w:val="center"/>
              <w:rPr>
                <w:b/>
                <w:sz w:val="28"/>
                <w:szCs w:val="24"/>
              </w:rPr>
            </w:pPr>
            <w:r w:rsidRPr="009316AF">
              <w:rPr>
                <w:b/>
                <w:sz w:val="28"/>
                <w:szCs w:val="24"/>
              </w:rPr>
              <w:t xml:space="preserve">PRIORIDADES </w:t>
            </w:r>
          </w:p>
        </w:tc>
      </w:tr>
      <w:tr w:rsidR="0093780D" w:rsidTr="0093780D">
        <w:trPr>
          <w:trHeight w:val="856"/>
        </w:trPr>
        <w:tc>
          <w:tcPr>
            <w:tcW w:w="8978" w:type="dxa"/>
          </w:tcPr>
          <w:p w:rsidR="0093780D" w:rsidRPr="005C0C08" w:rsidRDefault="005C0C08" w:rsidP="005C0C08">
            <w:pPr>
              <w:pStyle w:val="Prrafodelista"/>
              <w:rPr>
                <w:lang w:val="es-ES"/>
              </w:rPr>
            </w:pPr>
            <w:r>
              <w:t xml:space="preserve">Fortalecimiento institucional para </w:t>
            </w:r>
            <w:r w:rsidR="00847225" w:rsidRPr="00B157D0">
              <w:t xml:space="preserve"> </w:t>
            </w:r>
            <w:r w:rsidRPr="005C0C08">
              <w:rPr>
                <w:lang w:val="es-ES"/>
              </w:rPr>
              <w:t>Protección contra la violencia sexual,</w:t>
            </w:r>
            <w:r>
              <w:rPr>
                <w:lang w:val="es-ES"/>
              </w:rPr>
              <w:t xml:space="preserve"> explotación y trata de persona</w:t>
            </w:r>
            <w:r w:rsidR="00DE1F4B">
              <w:rPr>
                <w:lang w:val="es-ES"/>
              </w:rPr>
              <w:t xml:space="preserve">. </w:t>
            </w:r>
          </w:p>
        </w:tc>
      </w:tr>
    </w:tbl>
    <w:p w:rsidR="003F3101" w:rsidRDefault="003F3101" w:rsidP="00906836">
      <w:pPr>
        <w:jc w:val="center"/>
      </w:pPr>
    </w:p>
    <w:p w:rsidR="003F3101" w:rsidRDefault="003F3101">
      <w:pPr>
        <w:spacing w:after="200" w:line="276" w:lineRule="auto"/>
      </w:pPr>
      <w:r>
        <w:br w:type="page"/>
      </w:r>
    </w:p>
    <w:tbl>
      <w:tblPr>
        <w:tblStyle w:val="Tablaconcuadrcula"/>
        <w:tblW w:w="0" w:type="auto"/>
        <w:tblLook w:val="04A0" w:firstRow="1" w:lastRow="0" w:firstColumn="1" w:lastColumn="0" w:noHBand="0" w:noVBand="1"/>
      </w:tblPr>
      <w:tblGrid>
        <w:gridCol w:w="8978"/>
      </w:tblGrid>
      <w:tr w:rsidR="0093780D" w:rsidRPr="003750B8" w:rsidTr="00D235E8">
        <w:tc>
          <w:tcPr>
            <w:tcW w:w="8978" w:type="dxa"/>
            <w:shd w:val="clear" w:color="auto" w:fill="B8CCE4" w:themeFill="accent1" w:themeFillTint="66"/>
          </w:tcPr>
          <w:p w:rsidR="0093780D" w:rsidRPr="003750B8" w:rsidRDefault="0093780D" w:rsidP="00D235E8">
            <w:pPr>
              <w:spacing w:after="0" w:line="240" w:lineRule="auto"/>
              <w:jc w:val="center"/>
              <w:rPr>
                <w:b/>
                <w:sz w:val="32"/>
                <w:szCs w:val="24"/>
              </w:rPr>
            </w:pPr>
            <w:r>
              <w:rPr>
                <w:b/>
                <w:sz w:val="32"/>
                <w:szCs w:val="24"/>
              </w:rPr>
              <w:lastRenderedPageBreak/>
              <w:t xml:space="preserve">APORTES Y RETROALIMENTACIÓN </w:t>
            </w:r>
          </w:p>
        </w:tc>
      </w:tr>
      <w:tr w:rsidR="0093780D" w:rsidTr="00D235E8">
        <w:trPr>
          <w:trHeight w:val="856"/>
        </w:trPr>
        <w:tc>
          <w:tcPr>
            <w:tcW w:w="8978" w:type="dxa"/>
          </w:tcPr>
          <w:p w:rsidR="00DE1F4B" w:rsidRDefault="005C0C08" w:rsidP="009E6507">
            <w:pPr>
              <w:spacing w:after="0"/>
              <w:jc w:val="both"/>
            </w:pPr>
            <w:r>
              <w:t xml:space="preserve">Pregunta </w:t>
            </w:r>
            <w:r w:rsidR="00166698">
              <w:t xml:space="preserve"> realizada por </w:t>
            </w:r>
            <w:r>
              <w:t xml:space="preserve">el señor Ministro </w:t>
            </w:r>
            <w:r w:rsidR="00DE1F4B">
              <w:t>de Finanzas Públicas para</w:t>
            </w:r>
            <w:r w:rsidR="009E6507">
              <w:t xml:space="preserve"> la señora Secretaria de</w:t>
            </w:r>
            <w:r w:rsidR="00DE1F4B">
              <w:t xml:space="preserve"> SVET:</w:t>
            </w:r>
          </w:p>
          <w:p w:rsidR="000F31CE" w:rsidRDefault="00DE1F4B" w:rsidP="009E6507">
            <w:pPr>
              <w:spacing w:after="0"/>
              <w:jc w:val="both"/>
            </w:pPr>
            <w:r>
              <w:t>E</w:t>
            </w:r>
            <w:r w:rsidR="005C0C08">
              <w:t>l cambio  de beneficiarios evidenciado en la presentación es muy radical de 90,000 a 150,000 beneficiarios,  ¿qué es lo que esto implica? un cambio de presencia física, presencia institucional o algún tipo de expansión. Debido a que es un salto de capacidad muy grande en un año,  se ha enfatizado con otras instituciones el no hacer propuestas de tan drásticas, sino entender un poco más la estrategia.</w:t>
            </w:r>
          </w:p>
          <w:p w:rsidR="00124865" w:rsidRDefault="00124865" w:rsidP="009E6507">
            <w:pPr>
              <w:spacing w:after="0"/>
              <w:jc w:val="both"/>
            </w:pPr>
          </w:p>
          <w:p w:rsidR="00124865" w:rsidRPr="00124865" w:rsidRDefault="00DF43DF" w:rsidP="009E6507">
            <w:pPr>
              <w:spacing w:after="0"/>
              <w:jc w:val="both"/>
              <w:rPr>
                <w:i/>
              </w:rPr>
            </w:pPr>
            <w:r>
              <w:rPr>
                <w:i/>
              </w:rPr>
              <w:t>Respuesta de la s</w:t>
            </w:r>
            <w:r w:rsidR="00124865" w:rsidRPr="00124865">
              <w:rPr>
                <w:i/>
              </w:rPr>
              <w:t>eñora Secretaria de SVET:</w:t>
            </w:r>
          </w:p>
          <w:p w:rsidR="00124865" w:rsidRPr="00124865" w:rsidRDefault="00124865" w:rsidP="009E6507">
            <w:pPr>
              <w:spacing w:after="0"/>
              <w:jc w:val="both"/>
              <w:rPr>
                <w:i/>
              </w:rPr>
            </w:pPr>
            <w:r w:rsidRPr="00124865">
              <w:rPr>
                <w:i/>
              </w:rPr>
              <w:t xml:space="preserve">La propuesta que se tiene </w:t>
            </w:r>
            <w:r w:rsidR="00DE1F4B">
              <w:rPr>
                <w:i/>
              </w:rPr>
              <w:t xml:space="preserve"> consideró que </w:t>
            </w:r>
            <w:r w:rsidRPr="00124865">
              <w:rPr>
                <w:i/>
              </w:rPr>
              <w:t xml:space="preserve">las cantidades </w:t>
            </w:r>
            <w:r w:rsidR="00DE1F4B">
              <w:rPr>
                <w:i/>
              </w:rPr>
              <w:t xml:space="preserve">deberían ser </w:t>
            </w:r>
            <w:r w:rsidRPr="00124865">
              <w:rPr>
                <w:i/>
              </w:rPr>
              <w:t>más elevadas y creo que podría</w:t>
            </w:r>
            <w:r w:rsidR="00DE1F4B">
              <w:rPr>
                <w:i/>
              </w:rPr>
              <w:t xml:space="preserve">n ser más elevadas, ejemplificó con respecto al año 2016,  </w:t>
            </w:r>
            <w:r w:rsidRPr="00124865">
              <w:rPr>
                <w:i/>
              </w:rPr>
              <w:t xml:space="preserve">la meta de 21,000 personas a las que </w:t>
            </w:r>
            <w:r w:rsidR="00DE1F4B">
              <w:rPr>
                <w:i/>
              </w:rPr>
              <w:t xml:space="preserve">se tenía planificado llegar el año pasado fue </w:t>
            </w:r>
            <w:r w:rsidRPr="00124865">
              <w:rPr>
                <w:i/>
              </w:rPr>
              <w:t>superada llegando a 68,000</w:t>
            </w:r>
            <w:r w:rsidR="00DE1F4B">
              <w:rPr>
                <w:i/>
              </w:rPr>
              <w:t xml:space="preserve">,  y en este caso se pudo evidenciar que lo importante </w:t>
            </w:r>
            <w:r w:rsidRPr="00124865">
              <w:rPr>
                <w:i/>
              </w:rPr>
              <w:t xml:space="preserve">son las estrategias a utilizar para llegar a mayor población. </w:t>
            </w:r>
            <w:r w:rsidR="00DE1F4B">
              <w:rPr>
                <w:i/>
              </w:rPr>
              <w:t>S</w:t>
            </w:r>
            <w:r w:rsidRPr="00124865">
              <w:rPr>
                <w:i/>
              </w:rPr>
              <w:t xml:space="preserve">e han implementado campañas de sensibilización y formación a través de la radio y </w:t>
            </w:r>
            <w:r w:rsidR="00DE1F4B">
              <w:rPr>
                <w:i/>
              </w:rPr>
              <w:t xml:space="preserve">las cuales son </w:t>
            </w:r>
            <w:r w:rsidRPr="00124865">
              <w:rPr>
                <w:i/>
              </w:rPr>
              <w:t>fácil</w:t>
            </w:r>
            <w:r w:rsidR="00DE1F4B">
              <w:rPr>
                <w:i/>
              </w:rPr>
              <w:t>es de medir,</w:t>
            </w:r>
            <w:r w:rsidRPr="00124865">
              <w:rPr>
                <w:i/>
              </w:rPr>
              <w:t xml:space="preserve"> puede cuantificarse y esto nos arroja los resultados que tenemos. </w:t>
            </w:r>
          </w:p>
          <w:p w:rsidR="00124865" w:rsidRPr="00124865" w:rsidRDefault="00DE1F4B" w:rsidP="009E6507">
            <w:pPr>
              <w:spacing w:after="0"/>
              <w:jc w:val="both"/>
              <w:rPr>
                <w:i/>
              </w:rPr>
            </w:pPr>
            <w:r>
              <w:rPr>
                <w:i/>
              </w:rPr>
              <w:t>Además de eso SVET implementó</w:t>
            </w:r>
            <w:r w:rsidR="00124865" w:rsidRPr="00124865">
              <w:rPr>
                <w:i/>
              </w:rPr>
              <w:t xml:space="preserve"> una campaña de cap</w:t>
            </w:r>
            <w:r w:rsidR="00DF2B8D">
              <w:rPr>
                <w:i/>
              </w:rPr>
              <w:t xml:space="preserve">acitación a nivel nacional para esta campaña </w:t>
            </w:r>
            <w:r w:rsidR="00124865" w:rsidRPr="00124865">
              <w:rPr>
                <w:i/>
              </w:rPr>
              <w:t>se contrataron a los profesionales de las regionales estas personas</w:t>
            </w:r>
            <w:r>
              <w:rPr>
                <w:i/>
              </w:rPr>
              <w:t xml:space="preserve"> no están aquí en la capital si</w:t>
            </w:r>
            <w:r w:rsidR="00124865" w:rsidRPr="00124865">
              <w:rPr>
                <w:i/>
              </w:rPr>
              <w:t>no que pertenecen precisamente a su región y esto permite contar con consultores que hablan idiomas mayas, garífunas e incluso incluimos el lenguaje a señas, población a la que anteriormente no se había permitido o</w:t>
            </w:r>
            <w:r w:rsidR="003A12DA">
              <w:rPr>
                <w:i/>
              </w:rPr>
              <w:t xml:space="preserve"> no se había podido llegar. Este tipo de estrategias </w:t>
            </w:r>
            <w:r w:rsidR="00124865" w:rsidRPr="00124865">
              <w:rPr>
                <w:i/>
              </w:rPr>
              <w:t xml:space="preserve">ha dado muy buenos resultados porque </w:t>
            </w:r>
            <w:r w:rsidR="003A12DA">
              <w:rPr>
                <w:i/>
              </w:rPr>
              <w:t xml:space="preserve">hay una pertinencia </w:t>
            </w:r>
            <w:r w:rsidR="00124865" w:rsidRPr="00124865">
              <w:rPr>
                <w:i/>
              </w:rPr>
              <w:t>cultura</w:t>
            </w:r>
            <w:r w:rsidR="003A12DA">
              <w:rPr>
                <w:i/>
              </w:rPr>
              <w:t xml:space="preserve">l y </w:t>
            </w:r>
            <w:r w:rsidR="00124865" w:rsidRPr="00124865">
              <w:rPr>
                <w:i/>
              </w:rPr>
              <w:t xml:space="preserve">siendo originarios de la región les permite articular de una mejor manera las capacitaciones y las actividades con los funcionarios del </w:t>
            </w:r>
            <w:r>
              <w:rPr>
                <w:i/>
              </w:rPr>
              <w:t>sector</w:t>
            </w:r>
            <w:r w:rsidR="00124865" w:rsidRPr="00124865">
              <w:rPr>
                <w:i/>
              </w:rPr>
              <w:t xml:space="preserve"> público.  </w:t>
            </w:r>
            <w:r w:rsidR="003A12DA">
              <w:rPr>
                <w:i/>
              </w:rPr>
              <w:t xml:space="preserve">Se está </w:t>
            </w:r>
            <w:r w:rsidR="00124865" w:rsidRPr="00124865">
              <w:rPr>
                <w:i/>
              </w:rPr>
              <w:t>involucrando a todos los sectores del país para que</w:t>
            </w:r>
            <w:r w:rsidR="003A12DA">
              <w:rPr>
                <w:i/>
              </w:rPr>
              <w:t xml:space="preserve"> conjuntamente se pueda </w:t>
            </w:r>
            <w:r w:rsidR="00124865" w:rsidRPr="00124865">
              <w:rPr>
                <w:i/>
              </w:rPr>
              <w:t xml:space="preserve">alcanzar a mayor número de población. </w:t>
            </w:r>
          </w:p>
          <w:p w:rsidR="00124865" w:rsidRDefault="00124865" w:rsidP="00124865">
            <w:pPr>
              <w:spacing w:after="0"/>
            </w:pPr>
          </w:p>
        </w:tc>
      </w:tr>
    </w:tbl>
    <w:p w:rsidR="0093780D" w:rsidRDefault="0093780D" w:rsidP="00906836">
      <w:pPr>
        <w:jc w:val="center"/>
      </w:pPr>
    </w:p>
    <w:sectPr w:rsidR="0093780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EF" w:rsidRDefault="00AB27EF" w:rsidP="009D50CC">
      <w:pPr>
        <w:spacing w:after="0" w:line="240" w:lineRule="auto"/>
      </w:pPr>
      <w:r>
        <w:separator/>
      </w:r>
    </w:p>
  </w:endnote>
  <w:endnote w:type="continuationSeparator" w:id="0">
    <w:p w:rsidR="00AB27EF" w:rsidRDefault="00AB27EF" w:rsidP="009D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EF" w:rsidRDefault="00AB27EF" w:rsidP="009D50CC">
      <w:pPr>
        <w:spacing w:after="0" w:line="240" w:lineRule="auto"/>
      </w:pPr>
      <w:r>
        <w:separator/>
      </w:r>
    </w:p>
  </w:footnote>
  <w:footnote w:type="continuationSeparator" w:id="0">
    <w:p w:rsidR="00AB27EF" w:rsidRDefault="00AB27EF" w:rsidP="009D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CC" w:rsidRDefault="009D50CC">
    <w:pPr>
      <w:pStyle w:val="Encabezado"/>
    </w:pPr>
    <w:r>
      <w:rPr>
        <w:noProof/>
        <w:lang w:eastAsia="es-GT"/>
      </w:rPr>
      <w:drawing>
        <wp:inline distT="0" distB="0" distL="0" distR="0" wp14:anchorId="2CB7751F" wp14:editId="1514F17E">
          <wp:extent cx="1779885" cy="835083"/>
          <wp:effectExtent l="0" t="0" r="0"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fin.png"/>
                  <pic:cNvPicPr/>
                </pic:nvPicPr>
                <pic:blipFill>
                  <a:blip r:embed="rId1">
                    <a:extLst>
                      <a:ext uri="{28A0092B-C50C-407E-A947-70E740481C1C}">
                        <a14:useLocalDpi xmlns:a14="http://schemas.microsoft.com/office/drawing/2010/main" val="0"/>
                      </a:ext>
                    </a:extLst>
                  </a:blip>
                  <a:stretch>
                    <a:fillRect/>
                  </a:stretch>
                </pic:blipFill>
                <pic:spPr>
                  <a:xfrm>
                    <a:off x="0" y="0"/>
                    <a:ext cx="1779885" cy="835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A121588"/>
    <w:multiLevelType w:val="hybridMultilevel"/>
    <w:tmpl w:val="F388292E"/>
    <w:lvl w:ilvl="0" w:tplc="100A0005">
      <w:start w:val="1"/>
      <w:numFmt w:val="bullet"/>
      <w:lvlText w:val=""/>
      <w:lvlJc w:val="left"/>
      <w:pPr>
        <w:ind w:left="772" w:hanging="360"/>
      </w:pPr>
      <w:rPr>
        <w:rFonts w:ascii="Wingdings" w:hAnsi="Wingdings" w:hint="default"/>
      </w:rPr>
    </w:lvl>
    <w:lvl w:ilvl="1" w:tplc="100A0003" w:tentative="1">
      <w:start w:val="1"/>
      <w:numFmt w:val="bullet"/>
      <w:lvlText w:val="o"/>
      <w:lvlJc w:val="left"/>
      <w:pPr>
        <w:ind w:left="1492" w:hanging="360"/>
      </w:pPr>
      <w:rPr>
        <w:rFonts w:ascii="Courier New" w:hAnsi="Courier New" w:cs="Courier New" w:hint="default"/>
      </w:rPr>
    </w:lvl>
    <w:lvl w:ilvl="2" w:tplc="100A0005" w:tentative="1">
      <w:start w:val="1"/>
      <w:numFmt w:val="bullet"/>
      <w:lvlText w:val=""/>
      <w:lvlJc w:val="left"/>
      <w:pPr>
        <w:ind w:left="2212" w:hanging="360"/>
      </w:pPr>
      <w:rPr>
        <w:rFonts w:ascii="Wingdings" w:hAnsi="Wingdings" w:hint="default"/>
      </w:rPr>
    </w:lvl>
    <w:lvl w:ilvl="3" w:tplc="100A0001" w:tentative="1">
      <w:start w:val="1"/>
      <w:numFmt w:val="bullet"/>
      <w:lvlText w:val=""/>
      <w:lvlJc w:val="left"/>
      <w:pPr>
        <w:ind w:left="2932" w:hanging="360"/>
      </w:pPr>
      <w:rPr>
        <w:rFonts w:ascii="Symbol" w:hAnsi="Symbol" w:hint="default"/>
      </w:rPr>
    </w:lvl>
    <w:lvl w:ilvl="4" w:tplc="100A0003" w:tentative="1">
      <w:start w:val="1"/>
      <w:numFmt w:val="bullet"/>
      <w:lvlText w:val="o"/>
      <w:lvlJc w:val="left"/>
      <w:pPr>
        <w:ind w:left="3652" w:hanging="360"/>
      </w:pPr>
      <w:rPr>
        <w:rFonts w:ascii="Courier New" w:hAnsi="Courier New" w:cs="Courier New" w:hint="default"/>
      </w:rPr>
    </w:lvl>
    <w:lvl w:ilvl="5" w:tplc="100A0005" w:tentative="1">
      <w:start w:val="1"/>
      <w:numFmt w:val="bullet"/>
      <w:lvlText w:val=""/>
      <w:lvlJc w:val="left"/>
      <w:pPr>
        <w:ind w:left="4372" w:hanging="360"/>
      </w:pPr>
      <w:rPr>
        <w:rFonts w:ascii="Wingdings" w:hAnsi="Wingdings" w:hint="default"/>
      </w:rPr>
    </w:lvl>
    <w:lvl w:ilvl="6" w:tplc="100A0001" w:tentative="1">
      <w:start w:val="1"/>
      <w:numFmt w:val="bullet"/>
      <w:lvlText w:val=""/>
      <w:lvlJc w:val="left"/>
      <w:pPr>
        <w:ind w:left="5092" w:hanging="360"/>
      </w:pPr>
      <w:rPr>
        <w:rFonts w:ascii="Symbol" w:hAnsi="Symbol" w:hint="default"/>
      </w:rPr>
    </w:lvl>
    <w:lvl w:ilvl="7" w:tplc="100A0003" w:tentative="1">
      <w:start w:val="1"/>
      <w:numFmt w:val="bullet"/>
      <w:lvlText w:val="o"/>
      <w:lvlJc w:val="left"/>
      <w:pPr>
        <w:ind w:left="5812" w:hanging="360"/>
      </w:pPr>
      <w:rPr>
        <w:rFonts w:ascii="Courier New" w:hAnsi="Courier New" w:cs="Courier New" w:hint="default"/>
      </w:rPr>
    </w:lvl>
    <w:lvl w:ilvl="8" w:tplc="100A0005" w:tentative="1">
      <w:start w:val="1"/>
      <w:numFmt w:val="bullet"/>
      <w:lvlText w:val=""/>
      <w:lvlJc w:val="left"/>
      <w:pPr>
        <w:ind w:left="6532" w:hanging="360"/>
      </w:pPr>
      <w:rPr>
        <w:rFonts w:ascii="Wingdings" w:hAnsi="Wingdings" w:hint="default"/>
      </w:rPr>
    </w:lvl>
  </w:abstractNum>
  <w:abstractNum w:abstractNumId="3"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57A89"/>
    <w:rsid w:val="00083E62"/>
    <w:rsid w:val="00091219"/>
    <w:rsid w:val="000F31CE"/>
    <w:rsid w:val="00114000"/>
    <w:rsid w:val="00124865"/>
    <w:rsid w:val="0013525E"/>
    <w:rsid w:val="00166698"/>
    <w:rsid w:val="00235DBE"/>
    <w:rsid w:val="002A36D8"/>
    <w:rsid w:val="002C103F"/>
    <w:rsid w:val="00357915"/>
    <w:rsid w:val="003750B8"/>
    <w:rsid w:val="003A12DA"/>
    <w:rsid w:val="003C6F50"/>
    <w:rsid w:val="003D2E02"/>
    <w:rsid w:val="003F3101"/>
    <w:rsid w:val="004C6DE1"/>
    <w:rsid w:val="004D7798"/>
    <w:rsid w:val="005A2652"/>
    <w:rsid w:val="005C0C08"/>
    <w:rsid w:val="005C4A01"/>
    <w:rsid w:val="006056A1"/>
    <w:rsid w:val="007048B6"/>
    <w:rsid w:val="007B736B"/>
    <w:rsid w:val="007F7F20"/>
    <w:rsid w:val="00847225"/>
    <w:rsid w:val="0085279A"/>
    <w:rsid w:val="00875320"/>
    <w:rsid w:val="008775E1"/>
    <w:rsid w:val="008B7BCB"/>
    <w:rsid w:val="008E1AAF"/>
    <w:rsid w:val="008F1AA9"/>
    <w:rsid w:val="008F5F11"/>
    <w:rsid w:val="00906836"/>
    <w:rsid w:val="009316AF"/>
    <w:rsid w:val="0093780D"/>
    <w:rsid w:val="00957410"/>
    <w:rsid w:val="009D50CC"/>
    <w:rsid w:val="009E082F"/>
    <w:rsid w:val="009E6507"/>
    <w:rsid w:val="00A20FAF"/>
    <w:rsid w:val="00A80983"/>
    <w:rsid w:val="00A83910"/>
    <w:rsid w:val="00AB27EF"/>
    <w:rsid w:val="00B157D0"/>
    <w:rsid w:val="00B26B46"/>
    <w:rsid w:val="00B80C73"/>
    <w:rsid w:val="00BA7758"/>
    <w:rsid w:val="00BC2909"/>
    <w:rsid w:val="00C41181"/>
    <w:rsid w:val="00CA4C76"/>
    <w:rsid w:val="00CD2B7D"/>
    <w:rsid w:val="00CF6C1A"/>
    <w:rsid w:val="00D12064"/>
    <w:rsid w:val="00D235E8"/>
    <w:rsid w:val="00D30D8E"/>
    <w:rsid w:val="00D5016C"/>
    <w:rsid w:val="00D92828"/>
    <w:rsid w:val="00DA76AE"/>
    <w:rsid w:val="00DC55A0"/>
    <w:rsid w:val="00DE1F4B"/>
    <w:rsid w:val="00DF2B8D"/>
    <w:rsid w:val="00DF43DF"/>
    <w:rsid w:val="00E13B82"/>
    <w:rsid w:val="00E14634"/>
    <w:rsid w:val="00E61EAA"/>
    <w:rsid w:val="00E72C50"/>
    <w:rsid w:val="00E95B19"/>
    <w:rsid w:val="00ED74A7"/>
    <w:rsid w:val="00EF1DDA"/>
    <w:rsid w:val="00F16BAA"/>
    <w:rsid w:val="00F7558C"/>
    <w:rsid w:val="00FD59C9"/>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4A107-AE76-4B2D-AB7B-F753A6CA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Encabezado">
    <w:name w:val="header"/>
    <w:basedOn w:val="Normal"/>
    <w:link w:val="EncabezadoCar"/>
    <w:uiPriority w:val="99"/>
    <w:unhideWhenUsed/>
    <w:rsid w:val="009D5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0CC"/>
  </w:style>
  <w:style w:type="paragraph" w:styleId="Piedepgina">
    <w:name w:val="footer"/>
    <w:basedOn w:val="Normal"/>
    <w:link w:val="PiedepginaCar"/>
    <w:uiPriority w:val="99"/>
    <w:unhideWhenUsed/>
    <w:rsid w:val="009D5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0CC"/>
  </w:style>
  <w:style w:type="paragraph" w:styleId="NormalWeb">
    <w:name w:val="Normal (Web)"/>
    <w:basedOn w:val="Normal"/>
    <w:uiPriority w:val="99"/>
    <w:semiHidden/>
    <w:unhideWhenUsed/>
    <w:rsid w:val="005C0C0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495533196">
      <w:bodyDiv w:val="1"/>
      <w:marLeft w:val="0"/>
      <w:marRight w:val="0"/>
      <w:marTop w:val="0"/>
      <w:marBottom w:val="0"/>
      <w:divBdr>
        <w:top w:val="none" w:sz="0" w:space="0" w:color="auto"/>
        <w:left w:val="none" w:sz="0" w:space="0" w:color="auto"/>
        <w:bottom w:val="none" w:sz="0" w:space="0" w:color="auto"/>
        <w:right w:val="none" w:sz="0" w:space="0" w:color="auto"/>
      </w:divBdr>
    </w:div>
    <w:div w:id="1624463187">
      <w:bodyDiv w:val="1"/>
      <w:marLeft w:val="0"/>
      <w:marRight w:val="0"/>
      <w:marTop w:val="0"/>
      <w:marBottom w:val="0"/>
      <w:divBdr>
        <w:top w:val="none" w:sz="0" w:space="0" w:color="auto"/>
        <w:left w:val="none" w:sz="0" w:space="0" w:color="auto"/>
        <w:bottom w:val="none" w:sz="0" w:space="0" w:color="auto"/>
        <w:right w:val="none" w:sz="0" w:space="0" w:color="auto"/>
      </w:divBdr>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SVET</a:t>
            </a:r>
          </a:p>
        </c:rich>
      </c:tx>
      <c:overlay val="0"/>
    </c:title>
    <c:autoTitleDeleted val="0"/>
    <c:plotArea>
      <c:layout/>
      <c:barChart>
        <c:barDir val="col"/>
        <c:grouping val="clustered"/>
        <c:varyColors val="0"/>
        <c:ser>
          <c:idx val="0"/>
          <c:order val="0"/>
          <c:tx>
            <c:strRef>
              <c:f>SVET!$D$9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SVET!$B$3:$G$3</c:f>
              <c:strCache>
                <c:ptCount val="6"/>
                <c:pt idx="0">
                  <c:v>Prespuesto  aprobado 2017</c:v>
                </c:pt>
                <c:pt idx="1">
                  <c:v>Solicitado 2018</c:v>
                </c:pt>
                <c:pt idx="2">
                  <c:v>Solicitado 2019</c:v>
                </c:pt>
                <c:pt idx="3">
                  <c:v>Solicitado 2020</c:v>
                </c:pt>
                <c:pt idx="4">
                  <c:v>Solicitado 2021</c:v>
                </c:pt>
                <c:pt idx="5">
                  <c:v>Solicitado 2022</c:v>
                </c:pt>
              </c:strCache>
            </c:strRef>
          </c:cat>
          <c:val>
            <c:numRef>
              <c:f>SVET!$B$4:$G$4</c:f>
              <c:numCache>
                <c:formatCode>_("Q"* #,##0.0_);_("Q"* \(#,##0.0\);_("Q"* "-"??_);_(@_)</c:formatCode>
                <c:ptCount val="6"/>
                <c:pt idx="0">
                  <c:v>14000000</c:v>
                </c:pt>
                <c:pt idx="1">
                  <c:v>26720000</c:v>
                </c:pt>
                <c:pt idx="2">
                  <c:v>32540000</c:v>
                </c:pt>
                <c:pt idx="3">
                  <c:v>38360000</c:v>
                </c:pt>
                <c:pt idx="4">
                  <c:v>44180000</c:v>
                </c:pt>
                <c:pt idx="5">
                  <c:v>50000000</c:v>
                </c:pt>
              </c:numCache>
            </c:numRef>
          </c:val>
          <c:extLst>
            <c:ext xmlns:c16="http://schemas.microsoft.com/office/drawing/2014/chart" uri="{C3380CC4-5D6E-409C-BE32-E72D297353CC}">
              <c16:uniqueId val="{00000000-E74B-44D7-8882-2E5CDE63932A}"/>
            </c:ext>
          </c:extLst>
        </c:ser>
        <c:dLbls>
          <c:showLegendKey val="0"/>
          <c:showVal val="0"/>
          <c:showCatName val="0"/>
          <c:showSerName val="0"/>
          <c:showPercent val="0"/>
          <c:showBubbleSize val="0"/>
        </c:dLbls>
        <c:gapWidth val="75"/>
        <c:overlap val="-25"/>
        <c:axId val="24622592"/>
        <c:axId val="24624128"/>
      </c:barChart>
      <c:catAx>
        <c:axId val="24622592"/>
        <c:scaling>
          <c:orientation val="minMax"/>
        </c:scaling>
        <c:delete val="0"/>
        <c:axPos val="b"/>
        <c:numFmt formatCode="General" sourceLinked="0"/>
        <c:majorTickMark val="none"/>
        <c:minorTickMark val="none"/>
        <c:tickLblPos val="nextTo"/>
        <c:crossAx val="24624128"/>
        <c:crosses val="autoZero"/>
        <c:auto val="1"/>
        <c:lblAlgn val="ctr"/>
        <c:lblOffset val="100"/>
        <c:noMultiLvlLbl val="0"/>
      </c:catAx>
      <c:valAx>
        <c:axId val="24624128"/>
        <c:scaling>
          <c:orientation val="minMax"/>
        </c:scaling>
        <c:delete val="0"/>
        <c:axPos val="l"/>
        <c:majorGridlines/>
        <c:numFmt formatCode="_(&quot;Q&quot;* #,##0.0_);_(&quot;Q&quot;* \(#,##0.0\);_(&quot;Q&quot;* &quot;-&quot;??_);_(@_)" sourceLinked="1"/>
        <c:majorTickMark val="none"/>
        <c:minorTickMark val="none"/>
        <c:tickLblPos val="nextTo"/>
        <c:spPr>
          <a:ln w="9525">
            <a:noFill/>
          </a:ln>
        </c:spPr>
        <c:crossAx val="2462259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6261</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2017-06-23T16:20:00Z</dcterms:created>
  <dcterms:modified xsi:type="dcterms:W3CDTF">2017-06-23T16:20:00Z</dcterms:modified>
</cp:coreProperties>
</file>