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B6" w:rsidRDefault="005610B6" w:rsidP="005610B6">
      <w:pPr>
        <w:spacing w:after="0" w:line="240" w:lineRule="auto"/>
        <w:jc w:val="center"/>
        <w:rPr>
          <w:b/>
          <w:sz w:val="28"/>
          <w:szCs w:val="24"/>
        </w:rPr>
      </w:pPr>
      <w:bookmarkStart w:id="0" w:name="_GoBack"/>
      <w:bookmarkEnd w:id="0"/>
      <w:r w:rsidRPr="00F715E3">
        <w:rPr>
          <w:b/>
          <w:sz w:val="28"/>
          <w:szCs w:val="24"/>
        </w:rPr>
        <w:t>FICHA T</w:t>
      </w:r>
      <w:r>
        <w:rPr>
          <w:b/>
          <w:sz w:val="28"/>
          <w:szCs w:val="24"/>
        </w:rPr>
        <w:t>E</w:t>
      </w:r>
      <w:r w:rsidRPr="00F715E3">
        <w:rPr>
          <w:b/>
          <w:sz w:val="28"/>
          <w:szCs w:val="24"/>
        </w:rPr>
        <w:t>CNICA DE L</w:t>
      </w:r>
      <w:r>
        <w:rPr>
          <w:b/>
          <w:sz w:val="28"/>
          <w:szCs w:val="24"/>
        </w:rPr>
        <w:t xml:space="preserve">A DISCUSIÓN “PRESUPUESTO MULTIANUAL </w:t>
      </w:r>
      <w:r w:rsidRPr="00F715E3">
        <w:rPr>
          <w:b/>
          <w:sz w:val="28"/>
          <w:szCs w:val="24"/>
        </w:rPr>
        <w:t xml:space="preserve"> 201</w:t>
      </w:r>
      <w:r w:rsidR="00207041">
        <w:rPr>
          <w:b/>
          <w:sz w:val="28"/>
          <w:szCs w:val="24"/>
        </w:rPr>
        <w:t>8-2022, RUTA PAÍS 5 AÑOS</w:t>
      </w:r>
      <w:r w:rsidRPr="00F715E3">
        <w:rPr>
          <w:b/>
          <w:sz w:val="28"/>
          <w:szCs w:val="24"/>
        </w:rPr>
        <w:t xml:space="preserve">” </w:t>
      </w:r>
    </w:p>
    <w:p w:rsidR="005610B6" w:rsidRDefault="005610B6" w:rsidP="005610B6">
      <w:pPr>
        <w:spacing w:after="0" w:line="240" w:lineRule="auto"/>
        <w:rPr>
          <w:b/>
          <w:sz w:val="28"/>
          <w:szCs w:val="24"/>
        </w:rPr>
      </w:pPr>
      <w:r>
        <w:rPr>
          <w:b/>
          <w:sz w:val="28"/>
          <w:szCs w:val="24"/>
        </w:rPr>
        <w:t xml:space="preserve">Entidad: </w:t>
      </w:r>
      <w:r w:rsidR="00612573">
        <w:rPr>
          <w:b/>
          <w:sz w:val="28"/>
          <w:szCs w:val="24"/>
        </w:rPr>
        <w:t>COMISIÓ</w:t>
      </w:r>
      <w:r w:rsidR="003166F5">
        <w:rPr>
          <w:b/>
          <w:sz w:val="28"/>
          <w:szCs w:val="24"/>
        </w:rPr>
        <w:t>N PRESIDENCIAL CONTRA LA DISCRIMINACIÓN Y EL</w:t>
      </w:r>
      <w:r w:rsidR="00612573">
        <w:rPr>
          <w:b/>
          <w:sz w:val="28"/>
          <w:szCs w:val="24"/>
        </w:rPr>
        <w:t xml:space="preserve"> RACISMO CONTRA LOS PUEBLOS INDÍ</w:t>
      </w:r>
      <w:r w:rsidR="003166F5">
        <w:rPr>
          <w:b/>
          <w:sz w:val="28"/>
          <w:szCs w:val="24"/>
        </w:rPr>
        <w:t xml:space="preserve">GENAS EN GUATEMALA </w:t>
      </w:r>
    </w:p>
    <w:p w:rsidR="005610B6" w:rsidRDefault="005610B6" w:rsidP="005610B6">
      <w:pPr>
        <w:spacing w:after="0" w:line="240" w:lineRule="auto"/>
        <w:rPr>
          <w:b/>
          <w:sz w:val="28"/>
          <w:szCs w:val="24"/>
        </w:rPr>
      </w:pPr>
      <w:r>
        <w:rPr>
          <w:b/>
          <w:sz w:val="28"/>
          <w:szCs w:val="24"/>
        </w:rPr>
        <w:t xml:space="preserve">Fecha: </w:t>
      </w:r>
      <w:r w:rsidR="008F4723">
        <w:rPr>
          <w:b/>
          <w:sz w:val="28"/>
          <w:szCs w:val="24"/>
        </w:rPr>
        <w:t>08</w:t>
      </w:r>
      <w:r w:rsidR="003D7265">
        <w:rPr>
          <w:b/>
          <w:sz w:val="28"/>
          <w:szCs w:val="24"/>
        </w:rPr>
        <w:t xml:space="preserve"> de junio</w:t>
      </w:r>
      <w:r>
        <w:rPr>
          <w:b/>
          <w:sz w:val="28"/>
          <w:szCs w:val="24"/>
        </w:rPr>
        <w:t xml:space="preserve"> 2017</w:t>
      </w:r>
    </w:p>
    <w:tbl>
      <w:tblPr>
        <w:tblStyle w:val="Tablaconcuadrcula"/>
        <w:tblW w:w="0" w:type="auto"/>
        <w:jc w:val="center"/>
        <w:tblLook w:val="04A0" w:firstRow="1" w:lastRow="0" w:firstColumn="1" w:lastColumn="0" w:noHBand="0" w:noVBand="1"/>
      </w:tblPr>
      <w:tblGrid>
        <w:gridCol w:w="8978"/>
      </w:tblGrid>
      <w:tr w:rsidR="005610B6" w:rsidRPr="003750B8" w:rsidTr="00FD1000">
        <w:trPr>
          <w:trHeight w:val="332"/>
          <w:tblHeader/>
          <w:jc w:val="center"/>
        </w:trPr>
        <w:tc>
          <w:tcPr>
            <w:tcW w:w="8978" w:type="dxa"/>
            <w:shd w:val="clear" w:color="auto" w:fill="B8CCE4" w:themeFill="accent1" w:themeFillTint="66"/>
          </w:tcPr>
          <w:p w:rsidR="005610B6" w:rsidRPr="003750B8" w:rsidRDefault="005610B6" w:rsidP="0075044F">
            <w:pPr>
              <w:spacing w:after="0" w:line="240" w:lineRule="auto"/>
              <w:jc w:val="center"/>
              <w:rPr>
                <w:b/>
                <w:sz w:val="32"/>
                <w:szCs w:val="24"/>
              </w:rPr>
            </w:pPr>
            <w:r w:rsidRPr="009316AF">
              <w:rPr>
                <w:b/>
                <w:sz w:val="28"/>
                <w:szCs w:val="24"/>
              </w:rPr>
              <w:t>PRESENTACIONES DE APERTURA</w:t>
            </w:r>
          </w:p>
        </w:tc>
      </w:tr>
      <w:tr w:rsidR="005610B6" w:rsidTr="0075044F">
        <w:trPr>
          <w:trHeight w:val="450"/>
          <w:jc w:val="center"/>
        </w:trPr>
        <w:tc>
          <w:tcPr>
            <w:tcW w:w="8978" w:type="dxa"/>
          </w:tcPr>
          <w:p w:rsidR="00D17054" w:rsidRDefault="00D17054" w:rsidP="0075044F">
            <w:pPr>
              <w:spacing w:after="0"/>
              <w:jc w:val="both"/>
              <w:rPr>
                <w:b/>
              </w:rPr>
            </w:pPr>
          </w:p>
          <w:p w:rsidR="005610B6" w:rsidRDefault="005610B6" w:rsidP="0075044F">
            <w:pPr>
              <w:spacing w:after="0"/>
              <w:jc w:val="both"/>
            </w:pPr>
            <w:r w:rsidRPr="003D3088">
              <w:rPr>
                <w:b/>
              </w:rPr>
              <w:t>MINISTERIO DE FINANZAS PÚBLICAS:</w:t>
            </w:r>
            <w:r w:rsidR="008F4723">
              <w:t xml:space="preserve"> </w:t>
            </w:r>
            <w:r w:rsidR="00DA2721">
              <w:t xml:space="preserve">El señor </w:t>
            </w:r>
            <w:r w:rsidR="00FD1000">
              <w:t>Ministro en funciones</w:t>
            </w:r>
            <w:r w:rsidR="00DA2721">
              <w:t xml:space="preserve"> del Ministerio de Finanzas Públicas, Víctor Martínez, </w:t>
            </w:r>
            <w:r>
              <w:t xml:space="preserve">dirigió palabras de bienvenida a la audiencia, </w:t>
            </w:r>
            <w:r w:rsidR="003D7265">
              <w:t xml:space="preserve">realizó la presentación de las diferentes etapas </w:t>
            </w:r>
            <w:r>
              <w:t xml:space="preserve"> que componen el proceso presupuestario, los plazos legales para cada una de ellas, incluyendo su integración y principales actores. </w:t>
            </w:r>
          </w:p>
          <w:p w:rsidR="005610B6" w:rsidRDefault="005610B6" w:rsidP="0075044F">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5610B6" w:rsidRDefault="005610B6" w:rsidP="0075044F">
            <w:pPr>
              <w:spacing w:after="0"/>
              <w:jc w:val="both"/>
            </w:pPr>
            <w:r>
              <w:t xml:space="preserve">Señaló las acciones que ya han sido realizadas, entre ellas:  </w:t>
            </w:r>
          </w:p>
          <w:p w:rsidR="005610B6" w:rsidRPr="00DC4BCC" w:rsidRDefault="005610B6" w:rsidP="0075044F">
            <w:pPr>
              <w:numPr>
                <w:ilvl w:val="0"/>
                <w:numId w:val="5"/>
              </w:numPr>
              <w:spacing w:after="0"/>
              <w:jc w:val="both"/>
            </w:pPr>
            <w:r w:rsidRPr="003E6C78">
              <w:t xml:space="preserve">Definición de escenario macro fiscal – </w:t>
            </w:r>
            <w:r w:rsidRPr="00DC4BCC">
              <w:rPr>
                <w:bCs/>
              </w:rPr>
              <w:t xml:space="preserve">Exposición de supuestos Banguat-SAT </w:t>
            </w:r>
          </w:p>
          <w:p w:rsidR="005610B6" w:rsidRPr="00DC4BCC" w:rsidRDefault="005610B6" w:rsidP="0075044F">
            <w:pPr>
              <w:numPr>
                <w:ilvl w:val="0"/>
                <w:numId w:val="5"/>
              </w:numPr>
              <w:spacing w:after="0"/>
              <w:jc w:val="both"/>
            </w:pPr>
            <w:r w:rsidRPr="00DC4BCC">
              <w:t>Talleres de Micro simulaciones –</w:t>
            </w:r>
            <w:r w:rsidRPr="00DC4BCC">
              <w:rPr>
                <w:bCs/>
              </w:rPr>
              <w:t xml:space="preserve"> Apoyo de Cooperación Internacional</w:t>
            </w:r>
          </w:p>
          <w:p w:rsidR="005610B6" w:rsidRPr="00DC4BCC" w:rsidRDefault="005610B6" w:rsidP="005610B6">
            <w:pPr>
              <w:numPr>
                <w:ilvl w:val="0"/>
                <w:numId w:val="5"/>
              </w:numPr>
              <w:spacing w:after="0"/>
              <w:jc w:val="both"/>
            </w:pPr>
            <w:r w:rsidRPr="00DC4BCC">
              <w:t xml:space="preserve">Talleres Sectoriales con Expertos – </w:t>
            </w:r>
            <w:r w:rsidRPr="00DC4BCC">
              <w:rPr>
                <w:bCs/>
              </w:rPr>
              <w:t xml:space="preserve">Diagnóstico de seis sectores priorizados </w:t>
            </w:r>
          </w:p>
          <w:p w:rsidR="005610B6" w:rsidRDefault="005610B6" w:rsidP="0075044F">
            <w:pPr>
              <w:spacing w:after="0"/>
              <w:jc w:val="both"/>
            </w:pPr>
            <w:r>
              <w:t xml:space="preserve">Actualmente se están realizando los talleres de presupuesto abierto 2018 como insumo  para la definición de los techos presupuestarios. </w:t>
            </w:r>
          </w:p>
          <w:p w:rsidR="00D17054" w:rsidRPr="005610B6" w:rsidRDefault="00D17054" w:rsidP="0075044F">
            <w:pPr>
              <w:spacing w:after="0"/>
              <w:jc w:val="both"/>
              <w:rPr>
                <w:sz w:val="4"/>
              </w:rPr>
            </w:pPr>
          </w:p>
          <w:p w:rsidR="005610B6" w:rsidRDefault="005610B6" w:rsidP="0075044F">
            <w:pPr>
              <w:spacing w:after="0"/>
              <w:jc w:val="both"/>
              <w:rPr>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D17054" w:rsidRPr="005610B6" w:rsidRDefault="00D17054" w:rsidP="0075044F">
            <w:pPr>
              <w:spacing w:after="0"/>
              <w:jc w:val="both"/>
              <w:rPr>
                <w:sz w:val="4"/>
                <w:lang w:val="es-ES"/>
              </w:rPr>
            </w:pPr>
          </w:p>
          <w:p w:rsidR="005610B6" w:rsidRDefault="005610B6" w:rsidP="0075044F">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D17054" w:rsidRDefault="00D17054" w:rsidP="0075044F">
            <w:pPr>
              <w:spacing w:after="0"/>
              <w:jc w:val="both"/>
            </w:pPr>
          </w:p>
          <w:p w:rsidR="005610B6" w:rsidRPr="005610B6" w:rsidRDefault="005610B6" w:rsidP="0075044F">
            <w:pPr>
              <w:spacing w:after="0"/>
              <w:jc w:val="both"/>
              <w:rPr>
                <w:sz w:val="2"/>
              </w:rPr>
            </w:pPr>
          </w:p>
          <w:p w:rsidR="005610B6" w:rsidRDefault="005610B6" w:rsidP="005610B6">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5610B6" w:rsidRDefault="005610B6" w:rsidP="005610B6">
            <w:pPr>
              <w:spacing w:after="0"/>
              <w:jc w:val="both"/>
              <w:rPr>
                <w:lang w:val="es-ES"/>
              </w:rPr>
            </w:pPr>
          </w:p>
          <w:p w:rsidR="005610B6" w:rsidRDefault="005610B6" w:rsidP="005610B6">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EF681D" w:rsidRDefault="00EF681D" w:rsidP="005610B6">
            <w:pPr>
              <w:spacing w:after="0"/>
              <w:jc w:val="center"/>
              <w:rPr>
                <w:lang w:val="es-ES"/>
              </w:rPr>
            </w:pPr>
          </w:p>
          <w:p w:rsidR="00EF681D" w:rsidRDefault="00EF681D" w:rsidP="005610B6">
            <w:pPr>
              <w:spacing w:after="0"/>
              <w:jc w:val="center"/>
              <w:rPr>
                <w:lang w:val="es-ES"/>
              </w:rPr>
            </w:pPr>
          </w:p>
          <w:p w:rsidR="00EF681D" w:rsidRDefault="00EF681D" w:rsidP="005610B6">
            <w:pPr>
              <w:spacing w:after="0"/>
              <w:jc w:val="center"/>
              <w:rPr>
                <w:lang w:val="es-ES"/>
              </w:rPr>
            </w:pPr>
          </w:p>
          <w:p w:rsidR="00BE6CFA" w:rsidRDefault="00BE6CFA" w:rsidP="005610B6">
            <w:pPr>
              <w:spacing w:after="0"/>
              <w:jc w:val="center"/>
              <w:rPr>
                <w:lang w:val="es-ES"/>
              </w:rPr>
            </w:pPr>
          </w:p>
          <w:p w:rsidR="00BE6CFA" w:rsidRDefault="00BE6CFA" w:rsidP="005610B6">
            <w:pPr>
              <w:spacing w:after="0"/>
              <w:jc w:val="center"/>
              <w:rPr>
                <w:lang w:val="es-ES"/>
              </w:rPr>
            </w:pPr>
          </w:p>
          <w:p w:rsidR="00EF681D" w:rsidRDefault="00EF681D" w:rsidP="005610B6">
            <w:pPr>
              <w:spacing w:after="0"/>
              <w:jc w:val="center"/>
              <w:rPr>
                <w:lang w:val="es-ES"/>
              </w:rPr>
            </w:pPr>
          </w:p>
          <w:p w:rsidR="005610B6" w:rsidRDefault="005610B6" w:rsidP="005610B6">
            <w:pPr>
              <w:spacing w:after="0"/>
              <w:jc w:val="center"/>
              <w:rPr>
                <w:lang w:val="es-ES"/>
              </w:rPr>
            </w:pPr>
            <w:r>
              <w:rPr>
                <w:lang w:val="es-ES"/>
              </w:rPr>
              <w:t xml:space="preserve">Gráfica No. 1 </w:t>
            </w:r>
          </w:p>
          <w:p w:rsidR="005610B6" w:rsidRDefault="005610B6" w:rsidP="005610B6">
            <w:pPr>
              <w:spacing w:after="0"/>
              <w:jc w:val="center"/>
            </w:pPr>
            <w:r>
              <w:rPr>
                <w:noProof/>
                <w:lang w:eastAsia="es-GT"/>
              </w:rPr>
              <w:drawing>
                <wp:inline distT="0" distB="0" distL="0" distR="0" wp14:anchorId="261096FC" wp14:editId="657D02E2">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5610B6" w:rsidRDefault="005610B6" w:rsidP="005610B6">
            <w:pPr>
              <w:jc w:val="right"/>
            </w:pPr>
            <w:r>
              <w:t xml:space="preserve">Fuente: Presentación del </w:t>
            </w:r>
            <w:r w:rsidR="00EF681D">
              <w:t xml:space="preserve">señor </w:t>
            </w:r>
            <w:r>
              <w:t>Ministro de Finanzas Públicas</w:t>
            </w:r>
            <w:r w:rsidR="00C12C85">
              <w:t xml:space="preserve"> en funciones</w:t>
            </w:r>
          </w:p>
          <w:p w:rsidR="005610B6" w:rsidRDefault="005610B6" w:rsidP="0075044F">
            <w:pPr>
              <w:spacing w:after="0"/>
              <w:jc w:val="both"/>
            </w:pPr>
            <w:r>
              <w:t xml:space="preserve">Finalmente enfatizó que el objetivo de los talleres es fortalecer el Gobierno Abierto, la democracia y </w:t>
            </w:r>
            <w:r w:rsidR="00167D5D">
              <w:t xml:space="preserve">agradeció la participación de las personas de </w:t>
            </w:r>
            <w:r w:rsidR="00BE6CFA">
              <w:t xml:space="preserve">los diferentes sectores presentes en el taller y los insto a emitir sus comentarios y aportes. </w:t>
            </w:r>
          </w:p>
          <w:p w:rsidR="005610B6" w:rsidRPr="005610B6" w:rsidRDefault="005610B6" w:rsidP="0075044F">
            <w:pPr>
              <w:spacing w:after="0"/>
              <w:jc w:val="both"/>
              <w:rPr>
                <w:sz w:val="6"/>
              </w:rPr>
            </w:pPr>
          </w:p>
          <w:p w:rsidR="00167D5D" w:rsidRDefault="005610B6" w:rsidP="00167D5D">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 xml:space="preserve">El señor </w:t>
            </w:r>
            <w:r w:rsidR="00167D5D">
              <w:t xml:space="preserve">Secretario de </w:t>
            </w:r>
            <w:r w:rsidRPr="007B736B">
              <w:t>SEGEPLAN</w:t>
            </w:r>
            <w:r w:rsidR="00167D5D">
              <w:t xml:space="preserve"> Miguel Angel Moir, tomó la palabra y hablo sobre los O</w:t>
            </w:r>
            <w:r w:rsidR="00BE6CFA">
              <w:t xml:space="preserve">bjetivos de </w:t>
            </w:r>
            <w:r w:rsidR="00167D5D">
              <w:t>D</w:t>
            </w:r>
            <w:r w:rsidR="00BE6CFA">
              <w:t xml:space="preserve">esarrollo </w:t>
            </w:r>
            <w:r w:rsidR="00167D5D">
              <w:t>S</w:t>
            </w:r>
            <w:r w:rsidR="00BE6CFA">
              <w:t xml:space="preserve">ostenible, </w:t>
            </w:r>
            <w:r w:rsidR="00167D5D">
              <w:t>de la importancia</w:t>
            </w:r>
            <w:r w:rsidR="00BE6CFA">
              <w:t xml:space="preserve"> de hacerlos operativos a través de</w:t>
            </w:r>
            <w:r w:rsidR="00167D5D">
              <w:t xml:space="preserve"> los compromisos que hemos asumido </w:t>
            </w:r>
            <w:r w:rsidR="00BE6CFA">
              <w:t xml:space="preserve">de manera que no se cometan </w:t>
            </w:r>
            <w:r w:rsidR="00167D5D">
              <w:t>los mismo errores de los O</w:t>
            </w:r>
            <w:r w:rsidR="00BE6CFA">
              <w:t xml:space="preserve">bjetivos de </w:t>
            </w:r>
            <w:r w:rsidR="00167D5D">
              <w:t>D</w:t>
            </w:r>
            <w:r w:rsidR="00BE6CFA">
              <w:t xml:space="preserve">esarrollo del </w:t>
            </w:r>
            <w:r w:rsidR="00167D5D">
              <w:t>M</w:t>
            </w:r>
            <w:r w:rsidR="00BE6CFA">
              <w:t>ilenio</w:t>
            </w:r>
            <w:r w:rsidR="00167D5D">
              <w:t xml:space="preserve">, </w:t>
            </w:r>
            <w:r w:rsidR="00BE6CFA">
              <w:t xml:space="preserve"> hizo referencia de </w:t>
            </w:r>
            <w:r w:rsidR="00167D5D">
              <w:t>la primera reunión</w:t>
            </w:r>
            <w:r w:rsidR="00BE6CFA">
              <w:t xml:space="preserve"> en la que el señor P</w:t>
            </w:r>
            <w:r w:rsidR="00167D5D">
              <w:t xml:space="preserve">residente utilizó una frase en la que hace referencia a romper los paradigmas para conseguir la Guatemala que queremos ver en unos años, por esta razón se abrió este espacio para poder contribuir con este tema. </w:t>
            </w:r>
          </w:p>
          <w:p w:rsidR="005610B6" w:rsidRDefault="00167D5D" w:rsidP="00612573">
            <w:pPr>
              <w:spacing w:after="0"/>
              <w:jc w:val="both"/>
            </w:pPr>
            <w:r>
              <w:t>Para hacer vi</w:t>
            </w:r>
            <w:r w:rsidR="00BE6CFA">
              <w:t xml:space="preserve">able la programación </w:t>
            </w:r>
            <w:r w:rsidR="00612573">
              <w:t xml:space="preserve">multianual </w:t>
            </w:r>
            <w:r w:rsidR="00BE6CFA">
              <w:t xml:space="preserve">es necesario un esfuerzo estratégico y coordinado de parte de todas las entidades de Gobierno para conseguir los resultados que nos propongamos para una mejor Guatemala. </w:t>
            </w:r>
          </w:p>
        </w:tc>
      </w:tr>
    </w:tbl>
    <w:p w:rsidR="005610B6" w:rsidRPr="007B736B" w:rsidRDefault="005610B6" w:rsidP="005610B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5610B6" w:rsidRPr="009316AF" w:rsidTr="00FD1000">
        <w:trPr>
          <w:trHeight w:val="332"/>
          <w:tblHeader/>
          <w:jc w:val="center"/>
        </w:trPr>
        <w:tc>
          <w:tcPr>
            <w:tcW w:w="8978" w:type="dxa"/>
            <w:shd w:val="clear" w:color="auto" w:fill="B8CCE4" w:themeFill="accent1" w:themeFillTint="66"/>
          </w:tcPr>
          <w:p w:rsidR="005610B6" w:rsidRPr="009316AF" w:rsidRDefault="005610B6" w:rsidP="00612573">
            <w:pPr>
              <w:spacing w:after="0" w:line="240" w:lineRule="auto"/>
              <w:jc w:val="center"/>
              <w:rPr>
                <w:b/>
                <w:sz w:val="28"/>
                <w:szCs w:val="24"/>
              </w:rPr>
            </w:pPr>
            <w:r>
              <w:rPr>
                <w:b/>
                <w:sz w:val="28"/>
                <w:szCs w:val="24"/>
              </w:rPr>
              <w:t>PRESENTACIÓN</w:t>
            </w:r>
            <w:r w:rsidR="009D11AA">
              <w:rPr>
                <w:b/>
                <w:sz w:val="28"/>
                <w:szCs w:val="24"/>
              </w:rPr>
              <w:t xml:space="preserve"> DE CO</w:t>
            </w:r>
            <w:r w:rsidR="00612573">
              <w:rPr>
                <w:b/>
                <w:sz w:val="28"/>
                <w:szCs w:val="24"/>
              </w:rPr>
              <w:t>MISIÓN PRESIDENCIAL CONTRA LA DISCRIMINACIÓN Y EL RACISMO CONTRA LOS PUEBLOS INDÍGENAS EN GUATEMAL</w:t>
            </w:r>
          </w:p>
        </w:tc>
      </w:tr>
      <w:tr w:rsidR="005610B6" w:rsidRPr="00114000" w:rsidTr="0075044F">
        <w:trPr>
          <w:trHeight w:val="450"/>
          <w:jc w:val="center"/>
        </w:trPr>
        <w:tc>
          <w:tcPr>
            <w:tcW w:w="8978" w:type="dxa"/>
          </w:tcPr>
          <w:p w:rsidR="00517D09" w:rsidRDefault="00F712AA" w:rsidP="00F712AA">
            <w:pPr>
              <w:spacing w:after="0"/>
              <w:jc w:val="both"/>
            </w:pPr>
            <w:r>
              <w:t xml:space="preserve"> La señora Comisionada Presidencial Contra la Discriminación y el Racismo contra los Pueblos Indígenas en Guatemala, Mirian Josefina Domínguez </w:t>
            </w:r>
            <w:r w:rsidR="001E3D58">
              <w:t xml:space="preserve">presentó </w:t>
            </w:r>
            <w:r w:rsidR="003166F5">
              <w:t xml:space="preserve">la visión y base legal de la </w:t>
            </w:r>
            <w:r w:rsidR="001533CC">
              <w:t>institución</w:t>
            </w:r>
            <w:r w:rsidR="00BE6CFA">
              <w:t>, además de pres</w:t>
            </w:r>
            <w:r w:rsidR="001533CC">
              <w:t>entar la oferta programática actual y el presupues</w:t>
            </w:r>
            <w:r>
              <w:t xml:space="preserve">to aprobado para el año 2017. </w:t>
            </w:r>
          </w:p>
          <w:p w:rsidR="00F712AA" w:rsidRDefault="00F712AA" w:rsidP="00F712AA">
            <w:pPr>
              <w:spacing w:after="0"/>
              <w:jc w:val="both"/>
            </w:pPr>
            <w:r>
              <w:t xml:space="preserve">Mostró la priorización programática y la proyección de beneficiarios </w:t>
            </w:r>
            <w:r w:rsidR="00FD1000">
              <w:t>programa</w:t>
            </w:r>
            <w:r>
              <w:t xml:space="preserve"> y las acciones específicas</w:t>
            </w:r>
            <w:r w:rsidR="00BA2F09">
              <w:t xml:space="preserve"> de CODISRA, dentro de su programa 52</w:t>
            </w:r>
            <w:r w:rsidR="00FD1000">
              <w:t xml:space="preserve">. </w:t>
            </w:r>
          </w:p>
          <w:p w:rsidR="00FD1000" w:rsidRPr="00FD1000" w:rsidRDefault="00FD1000" w:rsidP="00FD1000">
            <w:pPr>
              <w:spacing w:after="0"/>
              <w:jc w:val="both"/>
            </w:pPr>
            <w:r w:rsidRPr="00FD1000">
              <w:rPr>
                <w:bCs/>
              </w:rPr>
              <w:t xml:space="preserve">Evidenció que Guatemala es un país diverso cultural y lingüísticamente; sin embargo, aún persisten brechas desfavorables entre los pueblos indígenas y no indígenas en cuanto al acceso a servicios públicos básicos. </w:t>
            </w:r>
          </w:p>
          <w:p w:rsidR="00FD1000" w:rsidRPr="00FD1000" w:rsidRDefault="00FD1000" w:rsidP="00FD1000">
            <w:pPr>
              <w:spacing w:after="0"/>
              <w:jc w:val="both"/>
            </w:pPr>
            <w:r w:rsidRPr="00FD1000">
              <w:rPr>
                <w:bCs/>
              </w:rPr>
              <w:t xml:space="preserve">Las estadísticas nacionales en salud, educación, desarrollo, infraestructura, salario, entre otras, </w:t>
            </w:r>
            <w:r w:rsidRPr="00FD1000">
              <w:rPr>
                <w:bCs/>
              </w:rPr>
              <w:lastRenderedPageBreak/>
              <w:t xml:space="preserve">demuestran claramente una manifestación de la discriminación y el racismo hacia los pueblos indígenas, a pesar de la aprobación y existencia de instrumentos nacionales e internacionales en materia de derechos de los pueblos indígenas.   </w:t>
            </w:r>
          </w:p>
          <w:p w:rsidR="00FD1000" w:rsidRPr="00FD1000" w:rsidRDefault="00FD1000" w:rsidP="00FD1000">
            <w:pPr>
              <w:spacing w:after="0"/>
              <w:jc w:val="both"/>
            </w:pPr>
            <w:r w:rsidRPr="00FD1000">
              <w:rPr>
                <w:bCs/>
              </w:rPr>
              <w:t xml:space="preserve">El Racismo y la Discriminación Racial operan como un mecanismo  generador y reproductor de desigualdades y exclusiones económicas, sociales y políticas a favor de un grupo determinado. </w:t>
            </w:r>
          </w:p>
          <w:p w:rsidR="00FD1000" w:rsidRPr="00FD1000" w:rsidRDefault="00FD1000" w:rsidP="00F712AA">
            <w:pPr>
              <w:spacing w:after="0"/>
              <w:jc w:val="both"/>
            </w:pPr>
          </w:p>
          <w:p w:rsidR="00FD1000" w:rsidRPr="00FD1000" w:rsidRDefault="00FD1000" w:rsidP="00FD1000">
            <w:pPr>
              <w:spacing w:after="0"/>
              <w:jc w:val="both"/>
              <w:rPr>
                <w:bCs/>
              </w:rPr>
            </w:pPr>
            <w:r w:rsidRPr="00FD1000">
              <w:rPr>
                <w:bCs/>
              </w:rPr>
              <w:t>Presentó las proyecciones multianuales de CODISRA de las cuales se ex</w:t>
            </w:r>
            <w:r w:rsidR="00612573">
              <w:rPr>
                <w:bCs/>
              </w:rPr>
              <w:t>trajo la tabla y grá</w:t>
            </w:r>
            <w:r w:rsidRPr="00FD1000">
              <w:rPr>
                <w:bCs/>
              </w:rPr>
              <w:t xml:space="preserve">fica que se muestra a continuación. </w:t>
            </w:r>
          </w:p>
          <w:p w:rsidR="00FD1000" w:rsidRPr="00114000" w:rsidRDefault="00FD1000" w:rsidP="00FD1000">
            <w:pPr>
              <w:spacing w:after="0"/>
              <w:jc w:val="both"/>
            </w:pPr>
          </w:p>
        </w:tc>
      </w:tr>
    </w:tbl>
    <w:p w:rsidR="005610B6" w:rsidRPr="00114000" w:rsidRDefault="005610B6" w:rsidP="005610B6">
      <w:pPr>
        <w:spacing w:after="0" w:line="240" w:lineRule="auto"/>
        <w:rPr>
          <w:sz w:val="8"/>
          <w:szCs w:val="24"/>
        </w:rPr>
      </w:pPr>
    </w:p>
    <w:p w:rsidR="005610B6" w:rsidRPr="009316AF" w:rsidRDefault="005610B6" w:rsidP="005610B6">
      <w:pPr>
        <w:spacing w:after="0" w:line="276" w:lineRule="auto"/>
        <w:rPr>
          <w:b/>
          <w:sz w:val="28"/>
          <w:szCs w:val="24"/>
        </w:rPr>
      </w:pPr>
      <w:r w:rsidRPr="009316AF">
        <w:rPr>
          <w:b/>
          <w:sz w:val="28"/>
          <w:szCs w:val="24"/>
        </w:rPr>
        <w:t xml:space="preserve">PRESUPUESTO ACTUAL Y PROYECTADO </w:t>
      </w:r>
      <w:r w:rsidR="008428E8">
        <w:rPr>
          <w:b/>
          <w:sz w:val="28"/>
          <w:szCs w:val="24"/>
        </w:rPr>
        <w:t>DE CODISRA</w:t>
      </w:r>
    </w:p>
    <w:tbl>
      <w:tblPr>
        <w:tblStyle w:val="Tablaconcuadrcula"/>
        <w:tblW w:w="0" w:type="auto"/>
        <w:tblLook w:val="04A0" w:firstRow="1" w:lastRow="0" w:firstColumn="1" w:lastColumn="0" w:noHBand="0" w:noVBand="1"/>
      </w:tblPr>
      <w:tblGrid>
        <w:gridCol w:w="1722"/>
        <w:gridCol w:w="1203"/>
        <w:gridCol w:w="1225"/>
        <w:gridCol w:w="1226"/>
        <w:gridCol w:w="1226"/>
        <w:gridCol w:w="1226"/>
        <w:gridCol w:w="1226"/>
      </w:tblGrid>
      <w:tr w:rsidR="001533CC" w:rsidRPr="001533CC" w:rsidTr="0075044F">
        <w:tc>
          <w:tcPr>
            <w:tcW w:w="1809" w:type="dxa"/>
            <w:shd w:val="clear" w:color="auto" w:fill="B8CCE4" w:themeFill="accent1" w:themeFillTint="66"/>
          </w:tcPr>
          <w:p w:rsidR="005610B6" w:rsidRPr="001533CC" w:rsidRDefault="005610B6" w:rsidP="0075044F">
            <w:pPr>
              <w:spacing w:after="0" w:line="240" w:lineRule="auto"/>
              <w:jc w:val="center"/>
              <w:rPr>
                <w:b/>
                <w:szCs w:val="24"/>
              </w:rPr>
            </w:pPr>
            <w:r w:rsidRPr="001533CC">
              <w:rPr>
                <w:b/>
                <w:szCs w:val="24"/>
              </w:rPr>
              <w:t xml:space="preserve">Año </w:t>
            </w:r>
          </w:p>
        </w:tc>
        <w:tc>
          <w:tcPr>
            <w:tcW w:w="1091" w:type="dxa"/>
            <w:shd w:val="clear" w:color="auto" w:fill="B8CCE4" w:themeFill="accent1" w:themeFillTint="66"/>
          </w:tcPr>
          <w:p w:rsidR="005610B6" w:rsidRPr="001533CC" w:rsidRDefault="005610B6" w:rsidP="0075044F">
            <w:pPr>
              <w:spacing w:after="0" w:line="240" w:lineRule="auto"/>
              <w:jc w:val="center"/>
              <w:rPr>
                <w:b/>
                <w:szCs w:val="24"/>
              </w:rPr>
            </w:pPr>
            <w:r w:rsidRPr="001533CC">
              <w:rPr>
                <w:b/>
                <w:szCs w:val="24"/>
              </w:rPr>
              <w:t>2017</w:t>
            </w:r>
          </w:p>
        </w:tc>
        <w:tc>
          <w:tcPr>
            <w:tcW w:w="1230" w:type="dxa"/>
            <w:shd w:val="clear" w:color="auto" w:fill="B8CCE4" w:themeFill="accent1" w:themeFillTint="66"/>
          </w:tcPr>
          <w:p w:rsidR="005610B6" w:rsidRPr="001533CC" w:rsidRDefault="005610B6" w:rsidP="0075044F">
            <w:pPr>
              <w:spacing w:after="0" w:line="240" w:lineRule="auto"/>
              <w:jc w:val="center"/>
              <w:rPr>
                <w:b/>
                <w:szCs w:val="24"/>
              </w:rPr>
            </w:pPr>
            <w:r w:rsidRPr="001533CC">
              <w:rPr>
                <w:b/>
                <w:szCs w:val="24"/>
              </w:rPr>
              <w:t>2018</w:t>
            </w:r>
          </w:p>
        </w:tc>
        <w:tc>
          <w:tcPr>
            <w:tcW w:w="1231" w:type="dxa"/>
            <w:shd w:val="clear" w:color="auto" w:fill="B8CCE4" w:themeFill="accent1" w:themeFillTint="66"/>
          </w:tcPr>
          <w:p w:rsidR="005610B6" w:rsidRPr="001533CC" w:rsidRDefault="005610B6" w:rsidP="0075044F">
            <w:pPr>
              <w:spacing w:after="0" w:line="240" w:lineRule="auto"/>
              <w:jc w:val="center"/>
              <w:rPr>
                <w:b/>
                <w:szCs w:val="24"/>
              </w:rPr>
            </w:pPr>
            <w:r w:rsidRPr="001533CC">
              <w:rPr>
                <w:b/>
                <w:szCs w:val="24"/>
              </w:rPr>
              <w:t>2019</w:t>
            </w:r>
          </w:p>
        </w:tc>
        <w:tc>
          <w:tcPr>
            <w:tcW w:w="1231" w:type="dxa"/>
            <w:shd w:val="clear" w:color="auto" w:fill="B8CCE4" w:themeFill="accent1" w:themeFillTint="66"/>
          </w:tcPr>
          <w:p w:rsidR="005610B6" w:rsidRPr="001533CC" w:rsidRDefault="005610B6" w:rsidP="0075044F">
            <w:pPr>
              <w:spacing w:after="0" w:line="240" w:lineRule="auto"/>
              <w:jc w:val="center"/>
              <w:rPr>
                <w:b/>
                <w:szCs w:val="24"/>
              </w:rPr>
            </w:pPr>
            <w:r w:rsidRPr="001533CC">
              <w:rPr>
                <w:b/>
                <w:szCs w:val="24"/>
              </w:rPr>
              <w:t>2020</w:t>
            </w:r>
          </w:p>
        </w:tc>
        <w:tc>
          <w:tcPr>
            <w:tcW w:w="1231" w:type="dxa"/>
            <w:shd w:val="clear" w:color="auto" w:fill="B8CCE4" w:themeFill="accent1" w:themeFillTint="66"/>
          </w:tcPr>
          <w:p w:rsidR="005610B6" w:rsidRPr="001533CC" w:rsidRDefault="005610B6" w:rsidP="0075044F">
            <w:pPr>
              <w:spacing w:after="0" w:line="240" w:lineRule="auto"/>
              <w:jc w:val="center"/>
              <w:rPr>
                <w:b/>
                <w:szCs w:val="24"/>
              </w:rPr>
            </w:pPr>
            <w:r w:rsidRPr="001533CC">
              <w:rPr>
                <w:b/>
                <w:szCs w:val="24"/>
              </w:rPr>
              <w:t>2021</w:t>
            </w:r>
          </w:p>
        </w:tc>
        <w:tc>
          <w:tcPr>
            <w:tcW w:w="1231" w:type="dxa"/>
            <w:shd w:val="clear" w:color="auto" w:fill="B8CCE4" w:themeFill="accent1" w:themeFillTint="66"/>
          </w:tcPr>
          <w:p w:rsidR="005610B6" w:rsidRPr="001533CC" w:rsidRDefault="005610B6" w:rsidP="0075044F">
            <w:pPr>
              <w:spacing w:after="0" w:line="240" w:lineRule="auto"/>
              <w:jc w:val="center"/>
              <w:rPr>
                <w:b/>
                <w:szCs w:val="24"/>
              </w:rPr>
            </w:pPr>
            <w:r w:rsidRPr="001533CC">
              <w:rPr>
                <w:b/>
                <w:szCs w:val="24"/>
              </w:rPr>
              <w:t>2022</w:t>
            </w:r>
          </w:p>
        </w:tc>
      </w:tr>
      <w:tr w:rsidR="001533CC" w:rsidRPr="001533CC" w:rsidTr="001533CC">
        <w:trPr>
          <w:trHeight w:val="306"/>
        </w:trPr>
        <w:tc>
          <w:tcPr>
            <w:tcW w:w="1809" w:type="dxa"/>
            <w:shd w:val="clear" w:color="auto" w:fill="B8CCE4" w:themeFill="accent1" w:themeFillTint="66"/>
          </w:tcPr>
          <w:p w:rsidR="001533CC" w:rsidRPr="001533CC" w:rsidRDefault="001533CC" w:rsidP="0075044F">
            <w:pPr>
              <w:spacing w:after="0" w:line="240" w:lineRule="auto"/>
              <w:jc w:val="center"/>
              <w:rPr>
                <w:b/>
                <w:szCs w:val="24"/>
              </w:rPr>
            </w:pPr>
            <w:r w:rsidRPr="001533CC">
              <w:rPr>
                <w:b/>
                <w:szCs w:val="24"/>
              </w:rPr>
              <w:t>Presupuesto en quetzales</w:t>
            </w:r>
          </w:p>
        </w:tc>
        <w:tc>
          <w:tcPr>
            <w:tcW w:w="109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Q.10,500,000</w:t>
            </w:r>
          </w:p>
        </w:tc>
        <w:tc>
          <w:tcPr>
            <w:tcW w:w="1230"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Q.10,500,000</w:t>
            </w:r>
          </w:p>
        </w:tc>
        <w:tc>
          <w:tcPr>
            <w:tcW w:w="123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Q.10,743,000</w:t>
            </w:r>
          </w:p>
        </w:tc>
        <w:tc>
          <w:tcPr>
            <w:tcW w:w="123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Q.11,014,000</w:t>
            </w:r>
          </w:p>
        </w:tc>
        <w:tc>
          <w:tcPr>
            <w:tcW w:w="123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Q.11,293,000</w:t>
            </w:r>
          </w:p>
        </w:tc>
        <w:tc>
          <w:tcPr>
            <w:tcW w:w="123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Q.11,293,000</w:t>
            </w:r>
          </w:p>
        </w:tc>
      </w:tr>
      <w:tr w:rsidR="001533CC" w:rsidRPr="001533CC" w:rsidTr="001533CC">
        <w:trPr>
          <w:trHeight w:val="376"/>
        </w:trPr>
        <w:tc>
          <w:tcPr>
            <w:tcW w:w="1809" w:type="dxa"/>
            <w:shd w:val="clear" w:color="auto" w:fill="B8CCE4" w:themeFill="accent1" w:themeFillTint="66"/>
          </w:tcPr>
          <w:p w:rsidR="001533CC" w:rsidRPr="001533CC" w:rsidRDefault="001533CC" w:rsidP="0075044F">
            <w:pPr>
              <w:spacing w:after="0" w:line="240" w:lineRule="auto"/>
              <w:jc w:val="center"/>
              <w:rPr>
                <w:b/>
                <w:szCs w:val="24"/>
              </w:rPr>
            </w:pPr>
            <w:r w:rsidRPr="001533CC">
              <w:rPr>
                <w:b/>
                <w:szCs w:val="24"/>
              </w:rPr>
              <w:t xml:space="preserve">% de variación </w:t>
            </w:r>
          </w:p>
        </w:tc>
        <w:tc>
          <w:tcPr>
            <w:tcW w:w="109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N/A</w:t>
            </w:r>
          </w:p>
        </w:tc>
        <w:tc>
          <w:tcPr>
            <w:tcW w:w="1230"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0.00</w:t>
            </w:r>
          </w:p>
        </w:tc>
        <w:tc>
          <w:tcPr>
            <w:tcW w:w="123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2.31</w:t>
            </w:r>
          </w:p>
        </w:tc>
        <w:tc>
          <w:tcPr>
            <w:tcW w:w="123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2.52</w:t>
            </w:r>
          </w:p>
        </w:tc>
        <w:tc>
          <w:tcPr>
            <w:tcW w:w="123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2.53</w:t>
            </w:r>
          </w:p>
        </w:tc>
        <w:tc>
          <w:tcPr>
            <w:tcW w:w="1231" w:type="dxa"/>
            <w:vAlign w:val="center"/>
          </w:tcPr>
          <w:p w:rsidR="001533CC" w:rsidRPr="001533CC" w:rsidRDefault="001533CC" w:rsidP="001533CC">
            <w:pPr>
              <w:jc w:val="center"/>
              <w:rPr>
                <w:rFonts w:ascii="Calibri" w:hAnsi="Calibri"/>
                <w:color w:val="000000"/>
                <w:sz w:val="18"/>
              </w:rPr>
            </w:pPr>
            <w:r w:rsidRPr="001533CC">
              <w:rPr>
                <w:rFonts w:ascii="Calibri" w:hAnsi="Calibri"/>
                <w:color w:val="000000"/>
                <w:sz w:val="18"/>
              </w:rPr>
              <w:t>0.00</w:t>
            </w:r>
          </w:p>
        </w:tc>
      </w:tr>
    </w:tbl>
    <w:p w:rsidR="005610B6" w:rsidRPr="007B736B" w:rsidRDefault="005610B6" w:rsidP="005610B6">
      <w:pPr>
        <w:spacing w:after="0" w:line="240" w:lineRule="auto"/>
        <w:jc w:val="center"/>
        <w:rPr>
          <w:b/>
          <w:sz w:val="12"/>
          <w:szCs w:val="24"/>
        </w:rPr>
      </w:pPr>
    </w:p>
    <w:p w:rsidR="005610B6" w:rsidRDefault="005610B6" w:rsidP="005610B6">
      <w:pPr>
        <w:jc w:val="center"/>
      </w:pPr>
      <w:r>
        <w:rPr>
          <w:noProof/>
          <w:lang w:eastAsia="es-GT"/>
        </w:rPr>
        <mc:AlternateContent>
          <mc:Choice Requires="wps">
            <w:drawing>
              <wp:anchor distT="0" distB="0" distL="114300" distR="114300" simplePos="0" relativeHeight="251661312" behindDoc="0" locked="0" layoutInCell="1" allowOverlap="1" wp14:anchorId="30DFEE67" wp14:editId="19C9A94E">
                <wp:simplePos x="0" y="0"/>
                <wp:positionH relativeFrom="column">
                  <wp:posOffset>230050</wp:posOffset>
                </wp:positionH>
                <wp:positionV relativeFrom="paragraph">
                  <wp:posOffset>192489</wp:posOffset>
                </wp:positionV>
                <wp:extent cx="5186045" cy="3057099"/>
                <wp:effectExtent l="0" t="0" r="14605" b="10160"/>
                <wp:wrapNone/>
                <wp:docPr id="2" name="2 Rectángulo redondeado"/>
                <wp:cNvGraphicFramePr/>
                <a:graphic xmlns:a="http://schemas.openxmlformats.org/drawingml/2006/main">
                  <a:graphicData uri="http://schemas.microsoft.com/office/word/2010/wordprocessingShape">
                    <wps:wsp>
                      <wps:cNvSpPr/>
                      <wps:spPr>
                        <a:xfrm>
                          <a:off x="0" y="0"/>
                          <a:ext cx="5186045" cy="305709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044F" w:rsidRDefault="00733FAB" w:rsidP="005610B6">
                            <w:pPr>
                              <w:jc w:val="center"/>
                            </w:pPr>
                            <w:r>
                              <w:rPr>
                                <w:noProof/>
                                <w:lang w:eastAsia="es-GT"/>
                              </w:rPr>
                              <w:drawing>
                                <wp:inline distT="0" distB="0" distL="0" distR="0" wp14:anchorId="105EB7FC" wp14:editId="4B20DADE">
                                  <wp:extent cx="4701653" cy="2736376"/>
                                  <wp:effectExtent l="0" t="0" r="22860" b="260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DFEE67" id="2 Rectángulo redondeado" o:spid="_x0000_s1026" style="position:absolute;left:0;text-align:left;margin-left:18.1pt;margin-top:15.15pt;width:408.35pt;height:240.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" fillcolor="#4f81bd [3204]" strokecolor="#243f60 [1604]" strokeweight="2pt">
                <v:textbox>
                  <w:txbxContent>
                    <w:p w:rsidR="0075044F" w:rsidRDefault="00733FAB" w:rsidP="005610B6">
                      <w:pPr>
                        <w:jc w:val="center"/>
                      </w:pPr>
                      <w:r>
                        <w:rPr>
                          <w:noProof/>
                          <w:lang w:eastAsia="es-GT"/>
                        </w:rPr>
                        <w:drawing>
                          <wp:inline distT="0" distB="0" distL="0" distR="0" wp14:anchorId="105EB7FC" wp14:editId="4B20DADE">
                            <wp:extent cx="4701653" cy="2736376"/>
                            <wp:effectExtent l="0" t="0" r="22860" b="2603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roundrect>
            </w:pict>
          </mc:Fallback>
        </mc:AlternateContent>
      </w:r>
      <w:r>
        <w:t>Gráfica  No.2: presupuesto actual y proyectado del 2018-2022</w:t>
      </w: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cente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Default="005610B6" w:rsidP="005610B6">
      <w:pPr>
        <w:spacing w:after="0"/>
        <w:jc w:val="right"/>
        <w:rPr>
          <w:sz w:val="2"/>
        </w:rPr>
      </w:pPr>
    </w:p>
    <w:p w:rsidR="005610B6" w:rsidRPr="007B736B" w:rsidRDefault="005610B6" w:rsidP="005610B6">
      <w:pPr>
        <w:jc w:val="right"/>
        <w:rPr>
          <w:sz w:val="2"/>
        </w:rPr>
      </w:pPr>
    </w:p>
    <w:p w:rsidR="00612573" w:rsidRDefault="00612573" w:rsidP="005610B6">
      <w:pPr>
        <w:jc w:val="right"/>
      </w:pPr>
    </w:p>
    <w:p w:rsidR="005610B6" w:rsidRDefault="005610B6" w:rsidP="005610B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5610B6" w:rsidRPr="009316AF" w:rsidTr="0075044F">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t>PRINCIPALES PROGRAMAS</w:t>
            </w:r>
          </w:p>
        </w:tc>
      </w:tr>
      <w:tr w:rsidR="005610B6" w:rsidTr="0075044F">
        <w:trPr>
          <w:trHeight w:val="805"/>
        </w:trPr>
        <w:tc>
          <w:tcPr>
            <w:tcW w:w="8978" w:type="dxa"/>
          </w:tcPr>
          <w:p w:rsidR="005610B6" w:rsidRDefault="005610B6" w:rsidP="00612573">
            <w:pPr>
              <w:pStyle w:val="Prrafodelista"/>
              <w:numPr>
                <w:ilvl w:val="0"/>
                <w:numId w:val="1"/>
              </w:numPr>
              <w:spacing w:before="240"/>
              <w:jc w:val="both"/>
            </w:pPr>
            <w:r>
              <w:t xml:space="preserve"> </w:t>
            </w:r>
            <w:r w:rsidR="00733FAB" w:rsidRPr="00733FAB">
              <w:rPr>
                <w:lang w:val="es-ES"/>
              </w:rPr>
              <w:t>Acciones contra la Discriminación y el Racismo contra los Pueblos Indígenas en Guatemala</w:t>
            </w:r>
            <w:r w:rsidR="00733FAB">
              <w:rPr>
                <w:lang w:val="es-ES"/>
              </w:rPr>
              <w:t xml:space="preserve">. </w:t>
            </w:r>
          </w:p>
        </w:tc>
      </w:tr>
    </w:tbl>
    <w:p w:rsidR="005610B6" w:rsidRPr="007B736B" w:rsidRDefault="005610B6" w:rsidP="005610B6">
      <w:pPr>
        <w:spacing w:after="0"/>
        <w:rPr>
          <w:sz w:val="6"/>
        </w:rPr>
      </w:pPr>
    </w:p>
    <w:tbl>
      <w:tblPr>
        <w:tblStyle w:val="Tablaconcuadrcula"/>
        <w:tblW w:w="0" w:type="auto"/>
        <w:tblLook w:val="04A0" w:firstRow="1" w:lastRow="0" w:firstColumn="1" w:lastColumn="0" w:noHBand="0" w:noVBand="1"/>
      </w:tblPr>
      <w:tblGrid>
        <w:gridCol w:w="8978"/>
      </w:tblGrid>
      <w:tr w:rsidR="005610B6" w:rsidRPr="009316AF" w:rsidTr="0075044F">
        <w:tc>
          <w:tcPr>
            <w:tcW w:w="8978" w:type="dxa"/>
            <w:shd w:val="clear" w:color="auto" w:fill="B8CCE4" w:themeFill="accent1" w:themeFillTint="66"/>
          </w:tcPr>
          <w:p w:rsidR="005610B6" w:rsidRPr="009316AF" w:rsidRDefault="005610B6" w:rsidP="0075044F">
            <w:pPr>
              <w:spacing w:after="0" w:line="240" w:lineRule="auto"/>
              <w:jc w:val="center"/>
              <w:rPr>
                <w:b/>
                <w:sz w:val="28"/>
                <w:szCs w:val="24"/>
              </w:rPr>
            </w:pPr>
            <w:r w:rsidRPr="009316AF">
              <w:rPr>
                <w:b/>
                <w:sz w:val="28"/>
                <w:szCs w:val="24"/>
              </w:rPr>
              <w:lastRenderedPageBreak/>
              <w:t xml:space="preserve">PRIORIDADES </w:t>
            </w:r>
          </w:p>
        </w:tc>
      </w:tr>
      <w:tr w:rsidR="005610B6" w:rsidTr="0075044F">
        <w:trPr>
          <w:trHeight w:val="856"/>
        </w:trPr>
        <w:tc>
          <w:tcPr>
            <w:tcW w:w="8978" w:type="dxa"/>
          </w:tcPr>
          <w:p w:rsidR="00733FAB" w:rsidRDefault="00733FAB" w:rsidP="00C12C85">
            <w:pPr>
              <w:pStyle w:val="Prrafodelista"/>
              <w:ind w:left="284"/>
              <w:jc w:val="both"/>
            </w:pPr>
            <w:r>
              <w:t xml:space="preserve">Fortalecer el programa de Acciones contra la Discriminación y el Racismo contra los Pueblos Indígenas en Guatemala, teniendo el siguiente impacto en los indicadores sociales. </w:t>
            </w:r>
          </w:p>
          <w:p w:rsidR="00733FAB" w:rsidRDefault="00733FAB" w:rsidP="00C12C85">
            <w:pPr>
              <w:pStyle w:val="Prrafodelista"/>
              <w:ind w:left="284"/>
              <w:jc w:val="both"/>
            </w:pPr>
          </w:p>
          <w:p w:rsidR="00733FAB" w:rsidRPr="00733FAB" w:rsidRDefault="00733FAB" w:rsidP="00C12C85">
            <w:pPr>
              <w:pStyle w:val="Prrafodelista"/>
              <w:numPr>
                <w:ilvl w:val="0"/>
                <w:numId w:val="1"/>
              </w:numPr>
              <w:jc w:val="both"/>
            </w:pPr>
            <w:r w:rsidRPr="00733FAB">
              <w:t>Disminución de los actos de racismo y discrimina</w:t>
            </w:r>
            <w:r w:rsidR="00BA2F09">
              <w:t>ción racial contra los pueblos Mayas, Garífunas y X</w:t>
            </w:r>
            <w:r w:rsidRPr="00733FAB">
              <w:t xml:space="preserve">inkas. </w:t>
            </w:r>
          </w:p>
          <w:p w:rsidR="005610B6" w:rsidRDefault="00733FAB" w:rsidP="00C12C85">
            <w:pPr>
              <w:pStyle w:val="Prrafodelista"/>
              <w:numPr>
                <w:ilvl w:val="0"/>
                <w:numId w:val="1"/>
              </w:numPr>
              <w:jc w:val="both"/>
            </w:pPr>
            <w:r w:rsidRPr="00733FAB">
              <w:t xml:space="preserve">Cerrar las brechas de desigualdad entre la población indígena y la población no indígena, para superar la pobreza y pobreza extrema. </w:t>
            </w:r>
          </w:p>
        </w:tc>
      </w:tr>
    </w:tbl>
    <w:p w:rsidR="003F3101" w:rsidRPr="0033105E" w:rsidRDefault="003F3101" w:rsidP="002A1871">
      <w:pPr>
        <w:spacing w:after="0"/>
        <w:jc w:val="center"/>
        <w:rPr>
          <w:sz w:val="8"/>
        </w:rPr>
      </w:pPr>
    </w:p>
    <w:tbl>
      <w:tblPr>
        <w:tblStyle w:val="Tablaconcuadrcula"/>
        <w:tblW w:w="0" w:type="auto"/>
        <w:tblLook w:val="04A0" w:firstRow="1" w:lastRow="0" w:firstColumn="1" w:lastColumn="0" w:noHBand="0" w:noVBand="1"/>
      </w:tblPr>
      <w:tblGrid>
        <w:gridCol w:w="8978"/>
      </w:tblGrid>
      <w:tr w:rsidR="0093780D" w:rsidRPr="003750B8" w:rsidTr="00D235E8">
        <w:tc>
          <w:tcPr>
            <w:tcW w:w="8978" w:type="dxa"/>
            <w:shd w:val="clear" w:color="auto" w:fill="B8CCE4" w:themeFill="accent1" w:themeFillTint="66"/>
          </w:tcPr>
          <w:p w:rsidR="0093780D" w:rsidRPr="003750B8" w:rsidRDefault="003F3101" w:rsidP="002A1871">
            <w:pPr>
              <w:spacing w:after="0" w:line="240" w:lineRule="auto"/>
              <w:jc w:val="center"/>
              <w:rPr>
                <w:b/>
                <w:sz w:val="32"/>
                <w:szCs w:val="24"/>
              </w:rPr>
            </w:pPr>
            <w:r>
              <w:br w:type="page"/>
            </w:r>
            <w:r w:rsidR="0093780D">
              <w:rPr>
                <w:b/>
                <w:sz w:val="32"/>
                <w:szCs w:val="24"/>
              </w:rPr>
              <w:t xml:space="preserve">APORTES Y RETROALIMENTACIÓN </w:t>
            </w:r>
          </w:p>
        </w:tc>
      </w:tr>
      <w:tr w:rsidR="0093780D" w:rsidTr="00D235E8">
        <w:trPr>
          <w:trHeight w:val="856"/>
        </w:trPr>
        <w:tc>
          <w:tcPr>
            <w:tcW w:w="8978" w:type="dxa"/>
          </w:tcPr>
          <w:p w:rsidR="00C57535" w:rsidRPr="00612573" w:rsidRDefault="00F712AA" w:rsidP="00C12C85">
            <w:pPr>
              <w:jc w:val="both"/>
              <w:rPr>
                <w:i/>
              </w:rPr>
            </w:pPr>
            <w:r w:rsidRPr="00612573">
              <w:rPr>
                <w:i/>
              </w:rPr>
              <w:t>Comentario</w:t>
            </w:r>
            <w:r w:rsidR="00C12C85" w:rsidRPr="00612573">
              <w:rPr>
                <w:i/>
              </w:rPr>
              <w:t xml:space="preserve"> </w:t>
            </w:r>
            <w:r w:rsidR="00BA2F09" w:rsidRPr="00612573">
              <w:rPr>
                <w:i/>
              </w:rPr>
              <w:t>realizado por la</w:t>
            </w:r>
            <w:r w:rsidRPr="00612573">
              <w:rPr>
                <w:i/>
              </w:rPr>
              <w:t xml:space="preserve"> </w:t>
            </w:r>
            <w:r w:rsidR="00BA2F09" w:rsidRPr="00612573">
              <w:rPr>
                <w:i/>
              </w:rPr>
              <w:t xml:space="preserve">señora Comisionada Presidencial Contra la Discriminación y el Racismo Contra los Pueblos Indígenas en Guatemala Mirian Josefina Domínguez. </w:t>
            </w:r>
          </w:p>
          <w:p w:rsidR="00F00E2C" w:rsidRDefault="00BA2F09" w:rsidP="00612573">
            <w:pPr>
              <w:jc w:val="both"/>
            </w:pPr>
            <w:r w:rsidRPr="00612573">
              <w:rPr>
                <w:i/>
              </w:rPr>
              <w:t>Para la comisión presidencial contra la discriminación y racismo en Guatemala este espacio es de trascendencia es fundamental porque visibilizaron la situación actual de la Comisión Presidencial que está lejos de ir mejorando,  mientras persista</w:t>
            </w:r>
            <w:r w:rsidR="00612573">
              <w:rPr>
                <w:i/>
              </w:rPr>
              <w:t>n</w:t>
            </w:r>
            <w:r w:rsidRPr="00612573">
              <w:rPr>
                <w:i/>
              </w:rPr>
              <w:t xml:space="preserve"> esas brechas de desigualdad Guatemala no va a avanzar es nece</w:t>
            </w:r>
            <w:r w:rsidR="00612573">
              <w:rPr>
                <w:i/>
              </w:rPr>
              <w:t xml:space="preserve">sario un cambio de mentalidad, </w:t>
            </w:r>
            <w:r w:rsidRPr="00612573">
              <w:rPr>
                <w:i/>
              </w:rPr>
              <w:t>es la sensibilidad que se debe tener y por el otro lado es que también agradecemos el espacio y la iniciativa por parte del Ministerio de Finanzas de hacer este diálogo porque yo creo que es fundamental, actualmente la comisión cuenta con un presupuesto de Q,10.5 millones, pero se espera que para los próximos años  la Comisión tenga un mejor presupuesto tomando en cuenta que en Guatemala existe el 40% de población indígena, según el último censo</w:t>
            </w:r>
            <w:r w:rsidR="00612573">
              <w:rPr>
                <w:i/>
              </w:rPr>
              <w:t>, a</w:t>
            </w:r>
            <w:r w:rsidRPr="00612573">
              <w:rPr>
                <w:i/>
              </w:rPr>
              <w:t>sí que es importante para la institución y para el país, combatir esa discriminación y racismo, es tarea de todas y de todos, no únicamente de una institución es necesarios que todos seamos aliados  para enfrentar este flagelo que hoy por hoy atenta derechos individuales y derechos colectivos de los pueblos Mayas Garifunas e Xinkas.</w:t>
            </w:r>
            <w:r>
              <w:t xml:space="preserve">  </w:t>
            </w:r>
          </w:p>
        </w:tc>
      </w:tr>
    </w:tbl>
    <w:p w:rsidR="0093780D" w:rsidRDefault="0093780D" w:rsidP="00906836">
      <w:pPr>
        <w:jc w:val="center"/>
      </w:pPr>
    </w:p>
    <w:sectPr w:rsidR="0093780D">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A15" w:rsidRDefault="00BD0A15" w:rsidP="00CD5D89">
      <w:pPr>
        <w:spacing w:after="0" w:line="240" w:lineRule="auto"/>
      </w:pPr>
      <w:r>
        <w:separator/>
      </w:r>
    </w:p>
  </w:endnote>
  <w:endnote w:type="continuationSeparator" w:id="0">
    <w:p w:rsidR="00BD0A15" w:rsidRDefault="00BD0A15" w:rsidP="00CD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89" w:rsidRDefault="00CD5D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89" w:rsidRDefault="00CD5D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89" w:rsidRDefault="00CD5D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A15" w:rsidRDefault="00BD0A15" w:rsidP="00CD5D89">
      <w:pPr>
        <w:spacing w:after="0" w:line="240" w:lineRule="auto"/>
      </w:pPr>
      <w:r>
        <w:separator/>
      </w:r>
    </w:p>
  </w:footnote>
  <w:footnote w:type="continuationSeparator" w:id="0">
    <w:p w:rsidR="00BD0A15" w:rsidRDefault="00BD0A15" w:rsidP="00CD5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89" w:rsidRDefault="00CD5D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89" w:rsidRDefault="00CD5D89">
    <w:pPr>
      <w:pStyle w:val="Encabezado"/>
    </w:pPr>
    <w:r>
      <w:rPr>
        <w:noProof/>
        <w:lang w:eastAsia="es-GT"/>
      </w:rPr>
      <w:drawing>
        <wp:inline distT="0" distB="0" distL="0" distR="0" wp14:anchorId="3A17B796" wp14:editId="5AF31AA3">
          <wp:extent cx="1779270" cy="835025"/>
          <wp:effectExtent l="0" t="0" r="0" b="317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779270" cy="8350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89" w:rsidRDefault="00CD5D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BEE61EF"/>
    <w:multiLevelType w:val="hybridMultilevel"/>
    <w:tmpl w:val="BEA2CD1C"/>
    <w:lvl w:ilvl="0" w:tplc="4A98203A">
      <w:start w:val="1"/>
      <w:numFmt w:val="bullet"/>
      <w:lvlText w:val="•"/>
      <w:lvlJc w:val="left"/>
      <w:pPr>
        <w:tabs>
          <w:tab w:val="num" w:pos="720"/>
        </w:tabs>
        <w:ind w:left="720" w:hanging="360"/>
      </w:pPr>
      <w:rPr>
        <w:rFonts w:ascii="Arial" w:hAnsi="Arial" w:hint="default"/>
      </w:rPr>
    </w:lvl>
    <w:lvl w:ilvl="1" w:tplc="A4B2BA3C" w:tentative="1">
      <w:start w:val="1"/>
      <w:numFmt w:val="bullet"/>
      <w:lvlText w:val="•"/>
      <w:lvlJc w:val="left"/>
      <w:pPr>
        <w:tabs>
          <w:tab w:val="num" w:pos="1440"/>
        </w:tabs>
        <w:ind w:left="1440" w:hanging="360"/>
      </w:pPr>
      <w:rPr>
        <w:rFonts w:ascii="Arial" w:hAnsi="Arial" w:hint="default"/>
      </w:rPr>
    </w:lvl>
    <w:lvl w:ilvl="2" w:tplc="4710C7B2" w:tentative="1">
      <w:start w:val="1"/>
      <w:numFmt w:val="bullet"/>
      <w:lvlText w:val="•"/>
      <w:lvlJc w:val="left"/>
      <w:pPr>
        <w:tabs>
          <w:tab w:val="num" w:pos="2160"/>
        </w:tabs>
        <w:ind w:left="2160" w:hanging="360"/>
      </w:pPr>
      <w:rPr>
        <w:rFonts w:ascii="Arial" w:hAnsi="Arial" w:hint="default"/>
      </w:rPr>
    </w:lvl>
    <w:lvl w:ilvl="3" w:tplc="9B78F4EA" w:tentative="1">
      <w:start w:val="1"/>
      <w:numFmt w:val="bullet"/>
      <w:lvlText w:val="•"/>
      <w:lvlJc w:val="left"/>
      <w:pPr>
        <w:tabs>
          <w:tab w:val="num" w:pos="2880"/>
        </w:tabs>
        <w:ind w:left="2880" w:hanging="360"/>
      </w:pPr>
      <w:rPr>
        <w:rFonts w:ascii="Arial" w:hAnsi="Arial" w:hint="default"/>
      </w:rPr>
    </w:lvl>
    <w:lvl w:ilvl="4" w:tplc="46F452B2" w:tentative="1">
      <w:start w:val="1"/>
      <w:numFmt w:val="bullet"/>
      <w:lvlText w:val="•"/>
      <w:lvlJc w:val="left"/>
      <w:pPr>
        <w:tabs>
          <w:tab w:val="num" w:pos="3600"/>
        </w:tabs>
        <w:ind w:left="3600" w:hanging="360"/>
      </w:pPr>
      <w:rPr>
        <w:rFonts w:ascii="Arial" w:hAnsi="Arial" w:hint="default"/>
      </w:rPr>
    </w:lvl>
    <w:lvl w:ilvl="5" w:tplc="D41E4022" w:tentative="1">
      <w:start w:val="1"/>
      <w:numFmt w:val="bullet"/>
      <w:lvlText w:val="•"/>
      <w:lvlJc w:val="left"/>
      <w:pPr>
        <w:tabs>
          <w:tab w:val="num" w:pos="4320"/>
        </w:tabs>
        <w:ind w:left="4320" w:hanging="360"/>
      </w:pPr>
      <w:rPr>
        <w:rFonts w:ascii="Arial" w:hAnsi="Arial" w:hint="default"/>
      </w:rPr>
    </w:lvl>
    <w:lvl w:ilvl="6" w:tplc="D06402C2" w:tentative="1">
      <w:start w:val="1"/>
      <w:numFmt w:val="bullet"/>
      <w:lvlText w:val="•"/>
      <w:lvlJc w:val="left"/>
      <w:pPr>
        <w:tabs>
          <w:tab w:val="num" w:pos="5040"/>
        </w:tabs>
        <w:ind w:left="5040" w:hanging="360"/>
      </w:pPr>
      <w:rPr>
        <w:rFonts w:ascii="Arial" w:hAnsi="Arial" w:hint="default"/>
      </w:rPr>
    </w:lvl>
    <w:lvl w:ilvl="7" w:tplc="33B29C96" w:tentative="1">
      <w:start w:val="1"/>
      <w:numFmt w:val="bullet"/>
      <w:lvlText w:val="•"/>
      <w:lvlJc w:val="left"/>
      <w:pPr>
        <w:tabs>
          <w:tab w:val="num" w:pos="5760"/>
        </w:tabs>
        <w:ind w:left="5760" w:hanging="360"/>
      </w:pPr>
      <w:rPr>
        <w:rFonts w:ascii="Arial" w:hAnsi="Arial" w:hint="default"/>
      </w:rPr>
    </w:lvl>
    <w:lvl w:ilvl="8" w:tplc="970C500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45308"/>
    <w:multiLevelType w:val="hybridMultilevel"/>
    <w:tmpl w:val="21DEBAE8"/>
    <w:lvl w:ilvl="0" w:tplc="01440CE6">
      <w:start w:val="1"/>
      <w:numFmt w:val="bullet"/>
      <w:lvlText w:val="•"/>
      <w:lvlJc w:val="left"/>
      <w:pPr>
        <w:tabs>
          <w:tab w:val="num" w:pos="720"/>
        </w:tabs>
        <w:ind w:left="720" w:hanging="360"/>
      </w:pPr>
      <w:rPr>
        <w:rFonts w:ascii="Times New Roman" w:hAnsi="Times New Roman" w:hint="default"/>
      </w:rPr>
    </w:lvl>
    <w:lvl w:ilvl="1" w:tplc="1188E312" w:tentative="1">
      <w:start w:val="1"/>
      <w:numFmt w:val="bullet"/>
      <w:lvlText w:val="•"/>
      <w:lvlJc w:val="left"/>
      <w:pPr>
        <w:tabs>
          <w:tab w:val="num" w:pos="1440"/>
        </w:tabs>
        <w:ind w:left="1440" w:hanging="360"/>
      </w:pPr>
      <w:rPr>
        <w:rFonts w:ascii="Times New Roman" w:hAnsi="Times New Roman" w:hint="default"/>
      </w:rPr>
    </w:lvl>
    <w:lvl w:ilvl="2" w:tplc="DF8453E8" w:tentative="1">
      <w:start w:val="1"/>
      <w:numFmt w:val="bullet"/>
      <w:lvlText w:val="•"/>
      <w:lvlJc w:val="left"/>
      <w:pPr>
        <w:tabs>
          <w:tab w:val="num" w:pos="2160"/>
        </w:tabs>
        <w:ind w:left="2160" w:hanging="360"/>
      </w:pPr>
      <w:rPr>
        <w:rFonts w:ascii="Times New Roman" w:hAnsi="Times New Roman" w:hint="default"/>
      </w:rPr>
    </w:lvl>
    <w:lvl w:ilvl="3" w:tplc="6BCCF498" w:tentative="1">
      <w:start w:val="1"/>
      <w:numFmt w:val="bullet"/>
      <w:lvlText w:val="•"/>
      <w:lvlJc w:val="left"/>
      <w:pPr>
        <w:tabs>
          <w:tab w:val="num" w:pos="2880"/>
        </w:tabs>
        <w:ind w:left="2880" w:hanging="360"/>
      </w:pPr>
      <w:rPr>
        <w:rFonts w:ascii="Times New Roman" w:hAnsi="Times New Roman" w:hint="default"/>
      </w:rPr>
    </w:lvl>
    <w:lvl w:ilvl="4" w:tplc="15ACBB42" w:tentative="1">
      <w:start w:val="1"/>
      <w:numFmt w:val="bullet"/>
      <w:lvlText w:val="•"/>
      <w:lvlJc w:val="left"/>
      <w:pPr>
        <w:tabs>
          <w:tab w:val="num" w:pos="3600"/>
        </w:tabs>
        <w:ind w:left="3600" w:hanging="360"/>
      </w:pPr>
      <w:rPr>
        <w:rFonts w:ascii="Times New Roman" w:hAnsi="Times New Roman" w:hint="default"/>
      </w:rPr>
    </w:lvl>
    <w:lvl w:ilvl="5" w:tplc="64EE91E0" w:tentative="1">
      <w:start w:val="1"/>
      <w:numFmt w:val="bullet"/>
      <w:lvlText w:val="•"/>
      <w:lvlJc w:val="left"/>
      <w:pPr>
        <w:tabs>
          <w:tab w:val="num" w:pos="4320"/>
        </w:tabs>
        <w:ind w:left="4320" w:hanging="360"/>
      </w:pPr>
      <w:rPr>
        <w:rFonts w:ascii="Times New Roman" w:hAnsi="Times New Roman" w:hint="default"/>
      </w:rPr>
    </w:lvl>
    <w:lvl w:ilvl="6" w:tplc="A368510E" w:tentative="1">
      <w:start w:val="1"/>
      <w:numFmt w:val="bullet"/>
      <w:lvlText w:val="•"/>
      <w:lvlJc w:val="left"/>
      <w:pPr>
        <w:tabs>
          <w:tab w:val="num" w:pos="5040"/>
        </w:tabs>
        <w:ind w:left="5040" w:hanging="360"/>
      </w:pPr>
      <w:rPr>
        <w:rFonts w:ascii="Times New Roman" w:hAnsi="Times New Roman" w:hint="default"/>
      </w:rPr>
    </w:lvl>
    <w:lvl w:ilvl="7" w:tplc="165C38FE" w:tentative="1">
      <w:start w:val="1"/>
      <w:numFmt w:val="bullet"/>
      <w:lvlText w:val="•"/>
      <w:lvlJc w:val="left"/>
      <w:pPr>
        <w:tabs>
          <w:tab w:val="num" w:pos="5760"/>
        </w:tabs>
        <w:ind w:left="5760" w:hanging="360"/>
      </w:pPr>
      <w:rPr>
        <w:rFonts w:ascii="Times New Roman" w:hAnsi="Times New Roman" w:hint="default"/>
      </w:rPr>
    </w:lvl>
    <w:lvl w:ilvl="8" w:tplc="E82EA9D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536B1"/>
    <w:multiLevelType w:val="hybridMultilevel"/>
    <w:tmpl w:val="B978C922"/>
    <w:lvl w:ilvl="0" w:tplc="B9FEB612">
      <w:start w:val="1"/>
      <w:numFmt w:val="bullet"/>
      <w:lvlText w:val="•"/>
      <w:lvlJc w:val="left"/>
      <w:pPr>
        <w:tabs>
          <w:tab w:val="num" w:pos="720"/>
        </w:tabs>
        <w:ind w:left="720" w:hanging="360"/>
      </w:pPr>
      <w:rPr>
        <w:rFonts w:ascii="Arial" w:hAnsi="Arial" w:hint="default"/>
      </w:rPr>
    </w:lvl>
    <w:lvl w:ilvl="1" w:tplc="64EADB7E" w:tentative="1">
      <w:start w:val="1"/>
      <w:numFmt w:val="bullet"/>
      <w:lvlText w:val="•"/>
      <w:lvlJc w:val="left"/>
      <w:pPr>
        <w:tabs>
          <w:tab w:val="num" w:pos="1440"/>
        </w:tabs>
        <w:ind w:left="1440" w:hanging="360"/>
      </w:pPr>
      <w:rPr>
        <w:rFonts w:ascii="Arial" w:hAnsi="Arial" w:hint="default"/>
      </w:rPr>
    </w:lvl>
    <w:lvl w:ilvl="2" w:tplc="F00EF542" w:tentative="1">
      <w:start w:val="1"/>
      <w:numFmt w:val="bullet"/>
      <w:lvlText w:val="•"/>
      <w:lvlJc w:val="left"/>
      <w:pPr>
        <w:tabs>
          <w:tab w:val="num" w:pos="2160"/>
        </w:tabs>
        <w:ind w:left="2160" w:hanging="360"/>
      </w:pPr>
      <w:rPr>
        <w:rFonts w:ascii="Arial" w:hAnsi="Arial" w:hint="default"/>
      </w:rPr>
    </w:lvl>
    <w:lvl w:ilvl="3" w:tplc="9C3C2BE2" w:tentative="1">
      <w:start w:val="1"/>
      <w:numFmt w:val="bullet"/>
      <w:lvlText w:val="•"/>
      <w:lvlJc w:val="left"/>
      <w:pPr>
        <w:tabs>
          <w:tab w:val="num" w:pos="2880"/>
        </w:tabs>
        <w:ind w:left="2880" w:hanging="360"/>
      </w:pPr>
      <w:rPr>
        <w:rFonts w:ascii="Arial" w:hAnsi="Arial" w:hint="default"/>
      </w:rPr>
    </w:lvl>
    <w:lvl w:ilvl="4" w:tplc="D9808414" w:tentative="1">
      <w:start w:val="1"/>
      <w:numFmt w:val="bullet"/>
      <w:lvlText w:val="•"/>
      <w:lvlJc w:val="left"/>
      <w:pPr>
        <w:tabs>
          <w:tab w:val="num" w:pos="3600"/>
        </w:tabs>
        <w:ind w:left="3600" w:hanging="360"/>
      </w:pPr>
      <w:rPr>
        <w:rFonts w:ascii="Arial" w:hAnsi="Arial" w:hint="default"/>
      </w:rPr>
    </w:lvl>
    <w:lvl w:ilvl="5" w:tplc="74CE85DC" w:tentative="1">
      <w:start w:val="1"/>
      <w:numFmt w:val="bullet"/>
      <w:lvlText w:val="•"/>
      <w:lvlJc w:val="left"/>
      <w:pPr>
        <w:tabs>
          <w:tab w:val="num" w:pos="4320"/>
        </w:tabs>
        <w:ind w:left="4320" w:hanging="360"/>
      </w:pPr>
      <w:rPr>
        <w:rFonts w:ascii="Arial" w:hAnsi="Arial" w:hint="default"/>
      </w:rPr>
    </w:lvl>
    <w:lvl w:ilvl="6" w:tplc="D8E69DCC" w:tentative="1">
      <w:start w:val="1"/>
      <w:numFmt w:val="bullet"/>
      <w:lvlText w:val="•"/>
      <w:lvlJc w:val="left"/>
      <w:pPr>
        <w:tabs>
          <w:tab w:val="num" w:pos="5040"/>
        </w:tabs>
        <w:ind w:left="5040" w:hanging="360"/>
      </w:pPr>
      <w:rPr>
        <w:rFonts w:ascii="Arial" w:hAnsi="Arial" w:hint="default"/>
      </w:rPr>
    </w:lvl>
    <w:lvl w:ilvl="7" w:tplc="35B6000A" w:tentative="1">
      <w:start w:val="1"/>
      <w:numFmt w:val="bullet"/>
      <w:lvlText w:val="•"/>
      <w:lvlJc w:val="left"/>
      <w:pPr>
        <w:tabs>
          <w:tab w:val="num" w:pos="5760"/>
        </w:tabs>
        <w:ind w:left="5760" w:hanging="360"/>
      </w:pPr>
      <w:rPr>
        <w:rFonts w:ascii="Arial" w:hAnsi="Arial" w:hint="default"/>
      </w:rPr>
    </w:lvl>
    <w:lvl w:ilvl="8" w:tplc="FB3A75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300CC"/>
    <w:multiLevelType w:val="hybridMultilevel"/>
    <w:tmpl w:val="663A39BE"/>
    <w:lvl w:ilvl="0" w:tplc="A96E5D16">
      <w:start w:val="1"/>
      <w:numFmt w:val="bullet"/>
      <w:lvlText w:val="•"/>
      <w:lvlJc w:val="left"/>
      <w:pPr>
        <w:tabs>
          <w:tab w:val="num" w:pos="720"/>
        </w:tabs>
        <w:ind w:left="720" w:hanging="360"/>
      </w:pPr>
      <w:rPr>
        <w:rFonts w:ascii="Arial" w:hAnsi="Arial" w:hint="default"/>
      </w:rPr>
    </w:lvl>
    <w:lvl w:ilvl="1" w:tplc="9B4EA0D6" w:tentative="1">
      <w:start w:val="1"/>
      <w:numFmt w:val="bullet"/>
      <w:lvlText w:val="•"/>
      <w:lvlJc w:val="left"/>
      <w:pPr>
        <w:tabs>
          <w:tab w:val="num" w:pos="1440"/>
        </w:tabs>
        <w:ind w:left="1440" w:hanging="360"/>
      </w:pPr>
      <w:rPr>
        <w:rFonts w:ascii="Arial" w:hAnsi="Arial" w:hint="default"/>
      </w:rPr>
    </w:lvl>
    <w:lvl w:ilvl="2" w:tplc="D3760398" w:tentative="1">
      <w:start w:val="1"/>
      <w:numFmt w:val="bullet"/>
      <w:lvlText w:val="•"/>
      <w:lvlJc w:val="left"/>
      <w:pPr>
        <w:tabs>
          <w:tab w:val="num" w:pos="2160"/>
        </w:tabs>
        <w:ind w:left="2160" w:hanging="360"/>
      </w:pPr>
      <w:rPr>
        <w:rFonts w:ascii="Arial" w:hAnsi="Arial" w:hint="default"/>
      </w:rPr>
    </w:lvl>
    <w:lvl w:ilvl="3" w:tplc="1AF20A96" w:tentative="1">
      <w:start w:val="1"/>
      <w:numFmt w:val="bullet"/>
      <w:lvlText w:val="•"/>
      <w:lvlJc w:val="left"/>
      <w:pPr>
        <w:tabs>
          <w:tab w:val="num" w:pos="2880"/>
        </w:tabs>
        <w:ind w:left="2880" w:hanging="360"/>
      </w:pPr>
      <w:rPr>
        <w:rFonts w:ascii="Arial" w:hAnsi="Arial" w:hint="default"/>
      </w:rPr>
    </w:lvl>
    <w:lvl w:ilvl="4" w:tplc="8E84C6B0" w:tentative="1">
      <w:start w:val="1"/>
      <w:numFmt w:val="bullet"/>
      <w:lvlText w:val="•"/>
      <w:lvlJc w:val="left"/>
      <w:pPr>
        <w:tabs>
          <w:tab w:val="num" w:pos="3600"/>
        </w:tabs>
        <w:ind w:left="3600" w:hanging="360"/>
      </w:pPr>
      <w:rPr>
        <w:rFonts w:ascii="Arial" w:hAnsi="Arial" w:hint="default"/>
      </w:rPr>
    </w:lvl>
    <w:lvl w:ilvl="5" w:tplc="CE0A13B6" w:tentative="1">
      <w:start w:val="1"/>
      <w:numFmt w:val="bullet"/>
      <w:lvlText w:val="•"/>
      <w:lvlJc w:val="left"/>
      <w:pPr>
        <w:tabs>
          <w:tab w:val="num" w:pos="4320"/>
        </w:tabs>
        <w:ind w:left="4320" w:hanging="360"/>
      </w:pPr>
      <w:rPr>
        <w:rFonts w:ascii="Arial" w:hAnsi="Arial" w:hint="default"/>
      </w:rPr>
    </w:lvl>
    <w:lvl w:ilvl="6" w:tplc="8D825A90" w:tentative="1">
      <w:start w:val="1"/>
      <w:numFmt w:val="bullet"/>
      <w:lvlText w:val="•"/>
      <w:lvlJc w:val="left"/>
      <w:pPr>
        <w:tabs>
          <w:tab w:val="num" w:pos="5040"/>
        </w:tabs>
        <w:ind w:left="5040" w:hanging="360"/>
      </w:pPr>
      <w:rPr>
        <w:rFonts w:ascii="Arial" w:hAnsi="Arial" w:hint="default"/>
      </w:rPr>
    </w:lvl>
    <w:lvl w:ilvl="7" w:tplc="AE4E835E" w:tentative="1">
      <w:start w:val="1"/>
      <w:numFmt w:val="bullet"/>
      <w:lvlText w:val="•"/>
      <w:lvlJc w:val="left"/>
      <w:pPr>
        <w:tabs>
          <w:tab w:val="num" w:pos="5760"/>
        </w:tabs>
        <w:ind w:left="5760" w:hanging="360"/>
      </w:pPr>
      <w:rPr>
        <w:rFonts w:ascii="Arial" w:hAnsi="Arial" w:hint="default"/>
      </w:rPr>
    </w:lvl>
    <w:lvl w:ilvl="8" w:tplc="408EF9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797BDE"/>
    <w:multiLevelType w:val="hybridMultilevel"/>
    <w:tmpl w:val="A52ABAE8"/>
    <w:lvl w:ilvl="0" w:tplc="D9CC25AC">
      <w:start w:val="1"/>
      <w:numFmt w:val="bullet"/>
      <w:lvlText w:val="•"/>
      <w:lvlJc w:val="left"/>
      <w:pPr>
        <w:tabs>
          <w:tab w:val="num" w:pos="720"/>
        </w:tabs>
        <w:ind w:left="720" w:hanging="360"/>
      </w:pPr>
      <w:rPr>
        <w:rFonts w:ascii="Arial" w:hAnsi="Arial" w:hint="default"/>
      </w:rPr>
    </w:lvl>
    <w:lvl w:ilvl="1" w:tplc="A974749E" w:tentative="1">
      <w:start w:val="1"/>
      <w:numFmt w:val="bullet"/>
      <w:lvlText w:val="•"/>
      <w:lvlJc w:val="left"/>
      <w:pPr>
        <w:tabs>
          <w:tab w:val="num" w:pos="1440"/>
        </w:tabs>
        <w:ind w:left="1440" w:hanging="360"/>
      </w:pPr>
      <w:rPr>
        <w:rFonts w:ascii="Arial" w:hAnsi="Arial" w:hint="default"/>
      </w:rPr>
    </w:lvl>
    <w:lvl w:ilvl="2" w:tplc="7100AEF8" w:tentative="1">
      <w:start w:val="1"/>
      <w:numFmt w:val="bullet"/>
      <w:lvlText w:val="•"/>
      <w:lvlJc w:val="left"/>
      <w:pPr>
        <w:tabs>
          <w:tab w:val="num" w:pos="2160"/>
        </w:tabs>
        <w:ind w:left="2160" w:hanging="360"/>
      </w:pPr>
      <w:rPr>
        <w:rFonts w:ascii="Arial" w:hAnsi="Arial" w:hint="default"/>
      </w:rPr>
    </w:lvl>
    <w:lvl w:ilvl="3" w:tplc="D70EDA4C" w:tentative="1">
      <w:start w:val="1"/>
      <w:numFmt w:val="bullet"/>
      <w:lvlText w:val="•"/>
      <w:lvlJc w:val="left"/>
      <w:pPr>
        <w:tabs>
          <w:tab w:val="num" w:pos="2880"/>
        </w:tabs>
        <w:ind w:left="2880" w:hanging="360"/>
      </w:pPr>
      <w:rPr>
        <w:rFonts w:ascii="Arial" w:hAnsi="Arial" w:hint="default"/>
      </w:rPr>
    </w:lvl>
    <w:lvl w:ilvl="4" w:tplc="223A6834" w:tentative="1">
      <w:start w:val="1"/>
      <w:numFmt w:val="bullet"/>
      <w:lvlText w:val="•"/>
      <w:lvlJc w:val="left"/>
      <w:pPr>
        <w:tabs>
          <w:tab w:val="num" w:pos="3600"/>
        </w:tabs>
        <w:ind w:left="3600" w:hanging="360"/>
      </w:pPr>
      <w:rPr>
        <w:rFonts w:ascii="Arial" w:hAnsi="Arial" w:hint="default"/>
      </w:rPr>
    </w:lvl>
    <w:lvl w:ilvl="5" w:tplc="1A8A6606" w:tentative="1">
      <w:start w:val="1"/>
      <w:numFmt w:val="bullet"/>
      <w:lvlText w:val="•"/>
      <w:lvlJc w:val="left"/>
      <w:pPr>
        <w:tabs>
          <w:tab w:val="num" w:pos="4320"/>
        </w:tabs>
        <w:ind w:left="4320" w:hanging="360"/>
      </w:pPr>
      <w:rPr>
        <w:rFonts w:ascii="Arial" w:hAnsi="Arial" w:hint="default"/>
      </w:rPr>
    </w:lvl>
    <w:lvl w:ilvl="6" w:tplc="4C4EC47A" w:tentative="1">
      <w:start w:val="1"/>
      <w:numFmt w:val="bullet"/>
      <w:lvlText w:val="•"/>
      <w:lvlJc w:val="left"/>
      <w:pPr>
        <w:tabs>
          <w:tab w:val="num" w:pos="5040"/>
        </w:tabs>
        <w:ind w:left="5040" w:hanging="360"/>
      </w:pPr>
      <w:rPr>
        <w:rFonts w:ascii="Arial" w:hAnsi="Arial" w:hint="default"/>
      </w:rPr>
    </w:lvl>
    <w:lvl w:ilvl="7" w:tplc="15967B4C" w:tentative="1">
      <w:start w:val="1"/>
      <w:numFmt w:val="bullet"/>
      <w:lvlText w:val="•"/>
      <w:lvlJc w:val="left"/>
      <w:pPr>
        <w:tabs>
          <w:tab w:val="num" w:pos="5760"/>
        </w:tabs>
        <w:ind w:left="5760" w:hanging="360"/>
      </w:pPr>
      <w:rPr>
        <w:rFonts w:ascii="Arial" w:hAnsi="Arial" w:hint="default"/>
      </w:rPr>
    </w:lvl>
    <w:lvl w:ilvl="8" w:tplc="A7EC80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2569EF"/>
    <w:multiLevelType w:val="hybridMultilevel"/>
    <w:tmpl w:val="4B58DC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88444E9"/>
    <w:multiLevelType w:val="hybridMultilevel"/>
    <w:tmpl w:val="E7263ACC"/>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10" w15:restartNumberingAfterBreak="0">
    <w:nsid w:val="4CC734D4"/>
    <w:multiLevelType w:val="hybridMultilevel"/>
    <w:tmpl w:val="9A063DFA"/>
    <w:lvl w:ilvl="0" w:tplc="F5F2F326">
      <w:start w:val="1"/>
      <w:numFmt w:val="decimal"/>
      <w:lvlText w:val="%1."/>
      <w:lvlJc w:val="left"/>
      <w:pPr>
        <w:ind w:left="502"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59CB7C52"/>
    <w:multiLevelType w:val="hybridMultilevel"/>
    <w:tmpl w:val="95209B32"/>
    <w:lvl w:ilvl="0" w:tplc="58A0690A">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3" w15:restartNumberingAfterBreak="0">
    <w:nsid w:val="6ABD355B"/>
    <w:multiLevelType w:val="hybridMultilevel"/>
    <w:tmpl w:val="6756BC2A"/>
    <w:lvl w:ilvl="0" w:tplc="176610AE">
      <w:start w:val="1"/>
      <w:numFmt w:val="bullet"/>
      <w:lvlText w:val="•"/>
      <w:lvlJc w:val="left"/>
      <w:pPr>
        <w:tabs>
          <w:tab w:val="num" w:pos="720"/>
        </w:tabs>
        <w:ind w:left="720" w:hanging="360"/>
      </w:pPr>
      <w:rPr>
        <w:rFonts w:ascii="Arial" w:hAnsi="Arial" w:hint="default"/>
      </w:rPr>
    </w:lvl>
    <w:lvl w:ilvl="1" w:tplc="53228F98" w:tentative="1">
      <w:start w:val="1"/>
      <w:numFmt w:val="bullet"/>
      <w:lvlText w:val="•"/>
      <w:lvlJc w:val="left"/>
      <w:pPr>
        <w:tabs>
          <w:tab w:val="num" w:pos="1440"/>
        </w:tabs>
        <w:ind w:left="1440" w:hanging="360"/>
      </w:pPr>
      <w:rPr>
        <w:rFonts w:ascii="Arial" w:hAnsi="Arial" w:hint="default"/>
      </w:rPr>
    </w:lvl>
    <w:lvl w:ilvl="2" w:tplc="54B29A82" w:tentative="1">
      <w:start w:val="1"/>
      <w:numFmt w:val="bullet"/>
      <w:lvlText w:val="•"/>
      <w:lvlJc w:val="left"/>
      <w:pPr>
        <w:tabs>
          <w:tab w:val="num" w:pos="2160"/>
        </w:tabs>
        <w:ind w:left="2160" w:hanging="360"/>
      </w:pPr>
      <w:rPr>
        <w:rFonts w:ascii="Arial" w:hAnsi="Arial" w:hint="default"/>
      </w:rPr>
    </w:lvl>
    <w:lvl w:ilvl="3" w:tplc="EEF61ACC" w:tentative="1">
      <w:start w:val="1"/>
      <w:numFmt w:val="bullet"/>
      <w:lvlText w:val="•"/>
      <w:lvlJc w:val="left"/>
      <w:pPr>
        <w:tabs>
          <w:tab w:val="num" w:pos="2880"/>
        </w:tabs>
        <w:ind w:left="2880" w:hanging="360"/>
      </w:pPr>
      <w:rPr>
        <w:rFonts w:ascii="Arial" w:hAnsi="Arial" w:hint="default"/>
      </w:rPr>
    </w:lvl>
    <w:lvl w:ilvl="4" w:tplc="7C0681DC" w:tentative="1">
      <w:start w:val="1"/>
      <w:numFmt w:val="bullet"/>
      <w:lvlText w:val="•"/>
      <w:lvlJc w:val="left"/>
      <w:pPr>
        <w:tabs>
          <w:tab w:val="num" w:pos="3600"/>
        </w:tabs>
        <w:ind w:left="3600" w:hanging="360"/>
      </w:pPr>
      <w:rPr>
        <w:rFonts w:ascii="Arial" w:hAnsi="Arial" w:hint="default"/>
      </w:rPr>
    </w:lvl>
    <w:lvl w:ilvl="5" w:tplc="6FC2F85A" w:tentative="1">
      <w:start w:val="1"/>
      <w:numFmt w:val="bullet"/>
      <w:lvlText w:val="•"/>
      <w:lvlJc w:val="left"/>
      <w:pPr>
        <w:tabs>
          <w:tab w:val="num" w:pos="4320"/>
        </w:tabs>
        <w:ind w:left="4320" w:hanging="360"/>
      </w:pPr>
      <w:rPr>
        <w:rFonts w:ascii="Arial" w:hAnsi="Arial" w:hint="default"/>
      </w:rPr>
    </w:lvl>
    <w:lvl w:ilvl="6" w:tplc="5448E05C" w:tentative="1">
      <w:start w:val="1"/>
      <w:numFmt w:val="bullet"/>
      <w:lvlText w:val="•"/>
      <w:lvlJc w:val="left"/>
      <w:pPr>
        <w:tabs>
          <w:tab w:val="num" w:pos="5040"/>
        </w:tabs>
        <w:ind w:left="5040" w:hanging="360"/>
      </w:pPr>
      <w:rPr>
        <w:rFonts w:ascii="Arial" w:hAnsi="Arial" w:hint="default"/>
      </w:rPr>
    </w:lvl>
    <w:lvl w:ilvl="7" w:tplc="D0B8E39C" w:tentative="1">
      <w:start w:val="1"/>
      <w:numFmt w:val="bullet"/>
      <w:lvlText w:val="•"/>
      <w:lvlJc w:val="left"/>
      <w:pPr>
        <w:tabs>
          <w:tab w:val="num" w:pos="5760"/>
        </w:tabs>
        <w:ind w:left="5760" w:hanging="360"/>
      </w:pPr>
      <w:rPr>
        <w:rFonts w:ascii="Arial" w:hAnsi="Arial" w:hint="default"/>
      </w:rPr>
    </w:lvl>
    <w:lvl w:ilvl="8" w:tplc="8E1094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FD015E"/>
    <w:multiLevelType w:val="hybridMultilevel"/>
    <w:tmpl w:val="2550D062"/>
    <w:lvl w:ilvl="0" w:tplc="100A0001">
      <w:start w:val="1"/>
      <w:numFmt w:val="bullet"/>
      <w:lvlText w:val=""/>
      <w:lvlJc w:val="left"/>
      <w:pPr>
        <w:ind w:left="1494" w:hanging="360"/>
      </w:pPr>
      <w:rPr>
        <w:rFonts w:ascii="Symbol" w:hAnsi="Symbol" w:hint="default"/>
      </w:rPr>
    </w:lvl>
    <w:lvl w:ilvl="1" w:tplc="100A0003" w:tentative="1">
      <w:start w:val="1"/>
      <w:numFmt w:val="bullet"/>
      <w:lvlText w:val="o"/>
      <w:lvlJc w:val="left"/>
      <w:pPr>
        <w:ind w:left="2214" w:hanging="360"/>
      </w:pPr>
      <w:rPr>
        <w:rFonts w:ascii="Courier New" w:hAnsi="Courier New" w:cs="Courier New" w:hint="default"/>
      </w:rPr>
    </w:lvl>
    <w:lvl w:ilvl="2" w:tplc="100A0005" w:tentative="1">
      <w:start w:val="1"/>
      <w:numFmt w:val="bullet"/>
      <w:lvlText w:val=""/>
      <w:lvlJc w:val="left"/>
      <w:pPr>
        <w:ind w:left="2934" w:hanging="360"/>
      </w:pPr>
      <w:rPr>
        <w:rFonts w:ascii="Wingdings" w:hAnsi="Wingdings" w:hint="default"/>
      </w:rPr>
    </w:lvl>
    <w:lvl w:ilvl="3" w:tplc="100A0001" w:tentative="1">
      <w:start w:val="1"/>
      <w:numFmt w:val="bullet"/>
      <w:lvlText w:val=""/>
      <w:lvlJc w:val="left"/>
      <w:pPr>
        <w:ind w:left="3654" w:hanging="360"/>
      </w:pPr>
      <w:rPr>
        <w:rFonts w:ascii="Symbol" w:hAnsi="Symbol" w:hint="default"/>
      </w:rPr>
    </w:lvl>
    <w:lvl w:ilvl="4" w:tplc="100A0003" w:tentative="1">
      <w:start w:val="1"/>
      <w:numFmt w:val="bullet"/>
      <w:lvlText w:val="o"/>
      <w:lvlJc w:val="left"/>
      <w:pPr>
        <w:ind w:left="4374" w:hanging="360"/>
      </w:pPr>
      <w:rPr>
        <w:rFonts w:ascii="Courier New" w:hAnsi="Courier New" w:cs="Courier New" w:hint="default"/>
      </w:rPr>
    </w:lvl>
    <w:lvl w:ilvl="5" w:tplc="100A0005" w:tentative="1">
      <w:start w:val="1"/>
      <w:numFmt w:val="bullet"/>
      <w:lvlText w:val=""/>
      <w:lvlJc w:val="left"/>
      <w:pPr>
        <w:ind w:left="5094" w:hanging="360"/>
      </w:pPr>
      <w:rPr>
        <w:rFonts w:ascii="Wingdings" w:hAnsi="Wingdings" w:hint="default"/>
      </w:rPr>
    </w:lvl>
    <w:lvl w:ilvl="6" w:tplc="100A0001" w:tentative="1">
      <w:start w:val="1"/>
      <w:numFmt w:val="bullet"/>
      <w:lvlText w:val=""/>
      <w:lvlJc w:val="left"/>
      <w:pPr>
        <w:ind w:left="5814" w:hanging="360"/>
      </w:pPr>
      <w:rPr>
        <w:rFonts w:ascii="Symbol" w:hAnsi="Symbol" w:hint="default"/>
      </w:rPr>
    </w:lvl>
    <w:lvl w:ilvl="7" w:tplc="100A0003" w:tentative="1">
      <w:start w:val="1"/>
      <w:numFmt w:val="bullet"/>
      <w:lvlText w:val="o"/>
      <w:lvlJc w:val="left"/>
      <w:pPr>
        <w:ind w:left="6534" w:hanging="360"/>
      </w:pPr>
      <w:rPr>
        <w:rFonts w:ascii="Courier New" w:hAnsi="Courier New" w:cs="Courier New" w:hint="default"/>
      </w:rPr>
    </w:lvl>
    <w:lvl w:ilvl="8" w:tplc="100A0005" w:tentative="1">
      <w:start w:val="1"/>
      <w:numFmt w:val="bullet"/>
      <w:lvlText w:val=""/>
      <w:lvlJc w:val="left"/>
      <w:pPr>
        <w:ind w:left="7254" w:hanging="360"/>
      </w:pPr>
      <w:rPr>
        <w:rFonts w:ascii="Wingdings" w:hAnsi="Wingdings" w:hint="default"/>
      </w:rPr>
    </w:lvl>
  </w:abstractNum>
  <w:abstractNum w:abstractNumId="15" w15:restartNumberingAfterBreak="0">
    <w:nsid w:val="6DAA70B0"/>
    <w:multiLevelType w:val="hybridMultilevel"/>
    <w:tmpl w:val="9B34BC84"/>
    <w:lvl w:ilvl="0" w:tplc="B3B6DE20">
      <w:start w:val="1"/>
      <w:numFmt w:val="bullet"/>
      <w:lvlText w:val="•"/>
      <w:lvlJc w:val="left"/>
      <w:pPr>
        <w:tabs>
          <w:tab w:val="num" w:pos="720"/>
        </w:tabs>
        <w:ind w:left="720" w:hanging="360"/>
      </w:pPr>
      <w:rPr>
        <w:rFonts w:ascii="Arial" w:hAnsi="Arial" w:hint="default"/>
      </w:rPr>
    </w:lvl>
    <w:lvl w:ilvl="1" w:tplc="211A4E52" w:tentative="1">
      <w:start w:val="1"/>
      <w:numFmt w:val="bullet"/>
      <w:lvlText w:val="•"/>
      <w:lvlJc w:val="left"/>
      <w:pPr>
        <w:tabs>
          <w:tab w:val="num" w:pos="1440"/>
        </w:tabs>
        <w:ind w:left="1440" w:hanging="360"/>
      </w:pPr>
      <w:rPr>
        <w:rFonts w:ascii="Arial" w:hAnsi="Arial" w:hint="default"/>
      </w:rPr>
    </w:lvl>
    <w:lvl w:ilvl="2" w:tplc="F98E4212" w:tentative="1">
      <w:start w:val="1"/>
      <w:numFmt w:val="bullet"/>
      <w:lvlText w:val="•"/>
      <w:lvlJc w:val="left"/>
      <w:pPr>
        <w:tabs>
          <w:tab w:val="num" w:pos="2160"/>
        </w:tabs>
        <w:ind w:left="2160" w:hanging="360"/>
      </w:pPr>
      <w:rPr>
        <w:rFonts w:ascii="Arial" w:hAnsi="Arial" w:hint="default"/>
      </w:rPr>
    </w:lvl>
    <w:lvl w:ilvl="3" w:tplc="0B900AF0" w:tentative="1">
      <w:start w:val="1"/>
      <w:numFmt w:val="bullet"/>
      <w:lvlText w:val="•"/>
      <w:lvlJc w:val="left"/>
      <w:pPr>
        <w:tabs>
          <w:tab w:val="num" w:pos="2880"/>
        </w:tabs>
        <w:ind w:left="2880" w:hanging="360"/>
      </w:pPr>
      <w:rPr>
        <w:rFonts w:ascii="Arial" w:hAnsi="Arial" w:hint="default"/>
      </w:rPr>
    </w:lvl>
    <w:lvl w:ilvl="4" w:tplc="1272ECDC" w:tentative="1">
      <w:start w:val="1"/>
      <w:numFmt w:val="bullet"/>
      <w:lvlText w:val="•"/>
      <w:lvlJc w:val="left"/>
      <w:pPr>
        <w:tabs>
          <w:tab w:val="num" w:pos="3600"/>
        </w:tabs>
        <w:ind w:left="3600" w:hanging="360"/>
      </w:pPr>
      <w:rPr>
        <w:rFonts w:ascii="Arial" w:hAnsi="Arial" w:hint="default"/>
      </w:rPr>
    </w:lvl>
    <w:lvl w:ilvl="5" w:tplc="6B0C4610" w:tentative="1">
      <w:start w:val="1"/>
      <w:numFmt w:val="bullet"/>
      <w:lvlText w:val="•"/>
      <w:lvlJc w:val="left"/>
      <w:pPr>
        <w:tabs>
          <w:tab w:val="num" w:pos="4320"/>
        </w:tabs>
        <w:ind w:left="4320" w:hanging="360"/>
      </w:pPr>
      <w:rPr>
        <w:rFonts w:ascii="Arial" w:hAnsi="Arial" w:hint="default"/>
      </w:rPr>
    </w:lvl>
    <w:lvl w:ilvl="6" w:tplc="33244BE4" w:tentative="1">
      <w:start w:val="1"/>
      <w:numFmt w:val="bullet"/>
      <w:lvlText w:val="•"/>
      <w:lvlJc w:val="left"/>
      <w:pPr>
        <w:tabs>
          <w:tab w:val="num" w:pos="5040"/>
        </w:tabs>
        <w:ind w:left="5040" w:hanging="360"/>
      </w:pPr>
      <w:rPr>
        <w:rFonts w:ascii="Arial" w:hAnsi="Arial" w:hint="default"/>
      </w:rPr>
    </w:lvl>
    <w:lvl w:ilvl="7" w:tplc="D7545CCE" w:tentative="1">
      <w:start w:val="1"/>
      <w:numFmt w:val="bullet"/>
      <w:lvlText w:val="•"/>
      <w:lvlJc w:val="left"/>
      <w:pPr>
        <w:tabs>
          <w:tab w:val="num" w:pos="5760"/>
        </w:tabs>
        <w:ind w:left="5760" w:hanging="360"/>
      </w:pPr>
      <w:rPr>
        <w:rFonts w:ascii="Arial" w:hAnsi="Arial" w:hint="default"/>
      </w:rPr>
    </w:lvl>
    <w:lvl w:ilvl="8" w:tplc="BFC0C0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0D38E5"/>
    <w:multiLevelType w:val="hybridMultilevel"/>
    <w:tmpl w:val="0CDCD96A"/>
    <w:lvl w:ilvl="0" w:tplc="96026E46">
      <w:start w:val="1"/>
      <w:numFmt w:val="decimal"/>
      <w:lvlText w:val="%1."/>
      <w:lvlJc w:val="left"/>
      <w:pPr>
        <w:ind w:left="786" w:hanging="360"/>
      </w:pPr>
      <w:rPr>
        <w:rFonts w:hint="default"/>
      </w:rPr>
    </w:lvl>
    <w:lvl w:ilvl="1" w:tplc="100A0019" w:tentative="1">
      <w:start w:val="1"/>
      <w:numFmt w:val="lowerLetter"/>
      <w:lvlText w:val="%2."/>
      <w:lvlJc w:val="left"/>
      <w:pPr>
        <w:ind w:left="1506" w:hanging="360"/>
      </w:pPr>
    </w:lvl>
    <w:lvl w:ilvl="2" w:tplc="100A001B" w:tentative="1">
      <w:start w:val="1"/>
      <w:numFmt w:val="lowerRoman"/>
      <w:lvlText w:val="%3."/>
      <w:lvlJc w:val="right"/>
      <w:pPr>
        <w:ind w:left="2226" w:hanging="180"/>
      </w:pPr>
    </w:lvl>
    <w:lvl w:ilvl="3" w:tplc="100A000F" w:tentative="1">
      <w:start w:val="1"/>
      <w:numFmt w:val="decimal"/>
      <w:lvlText w:val="%4."/>
      <w:lvlJc w:val="left"/>
      <w:pPr>
        <w:ind w:left="2946" w:hanging="360"/>
      </w:pPr>
    </w:lvl>
    <w:lvl w:ilvl="4" w:tplc="100A0019" w:tentative="1">
      <w:start w:val="1"/>
      <w:numFmt w:val="lowerLetter"/>
      <w:lvlText w:val="%5."/>
      <w:lvlJc w:val="left"/>
      <w:pPr>
        <w:ind w:left="3666" w:hanging="360"/>
      </w:pPr>
    </w:lvl>
    <w:lvl w:ilvl="5" w:tplc="100A001B" w:tentative="1">
      <w:start w:val="1"/>
      <w:numFmt w:val="lowerRoman"/>
      <w:lvlText w:val="%6."/>
      <w:lvlJc w:val="right"/>
      <w:pPr>
        <w:ind w:left="4386" w:hanging="180"/>
      </w:pPr>
    </w:lvl>
    <w:lvl w:ilvl="6" w:tplc="100A000F" w:tentative="1">
      <w:start w:val="1"/>
      <w:numFmt w:val="decimal"/>
      <w:lvlText w:val="%7."/>
      <w:lvlJc w:val="left"/>
      <w:pPr>
        <w:ind w:left="5106" w:hanging="360"/>
      </w:pPr>
    </w:lvl>
    <w:lvl w:ilvl="7" w:tplc="100A0019" w:tentative="1">
      <w:start w:val="1"/>
      <w:numFmt w:val="lowerLetter"/>
      <w:lvlText w:val="%8."/>
      <w:lvlJc w:val="left"/>
      <w:pPr>
        <w:ind w:left="5826" w:hanging="360"/>
      </w:pPr>
    </w:lvl>
    <w:lvl w:ilvl="8" w:tplc="100A001B" w:tentative="1">
      <w:start w:val="1"/>
      <w:numFmt w:val="lowerRoman"/>
      <w:lvlText w:val="%9."/>
      <w:lvlJc w:val="right"/>
      <w:pPr>
        <w:ind w:left="6546" w:hanging="180"/>
      </w:pPr>
    </w:lvl>
  </w:abstractNum>
  <w:abstractNum w:abstractNumId="17" w15:restartNumberingAfterBreak="0">
    <w:nsid w:val="766A0455"/>
    <w:multiLevelType w:val="hybridMultilevel"/>
    <w:tmpl w:val="C8749328"/>
    <w:lvl w:ilvl="0" w:tplc="ECB20C28">
      <w:start w:val="1"/>
      <w:numFmt w:val="bullet"/>
      <w:lvlText w:val="•"/>
      <w:lvlJc w:val="left"/>
      <w:pPr>
        <w:tabs>
          <w:tab w:val="num" w:pos="720"/>
        </w:tabs>
        <w:ind w:left="720" w:hanging="360"/>
      </w:pPr>
      <w:rPr>
        <w:rFonts w:ascii="Arial" w:hAnsi="Arial" w:hint="default"/>
      </w:rPr>
    </w:lvl>
    <w:lvl w:ilvl="1" w:tplc="DB6654B2" w:tentative="1">
      <w:start w:val="1"/>
      <w:numFmt w:val="bullet"/>
      <w:lvlText w:val="•"/>
      <w:lvlJc w:val="left"/>
      <w:pPr>
        <w:tabs>
          <w:tab w:val="num" w:pos="1440"/>
        </w:tabs>
        <w:ind w:left="1440" w:hanging="360"/>
      </w:pPr>
      <w:rPr>
        <w:rFonts w:ascii="Arial" w:hAnsi="Arial" w:hint="default"/>
      </w:rPr>
    </w:lvl>
    <w:lvl w:ilvl="2" w:tplc="A05C8D42" w:tentative="1">
      <w:start w:val="1"/>
      <w:numFmt w:val="bullet"/>
      <w:lvlText w:val="•"/>
      <w:lvlJc w:val="left"/>
      <w:pPr>
        <w:tabs>
          <w:tab w:val="num" w:pos="2160"/>
        </w:tabs>
        <w:ind w:left="2160" w:hanging="360"/>
      </w:pPr>
      <w:rPr>
        <w:rFonts w:ascii="Arial" w:hAnsi="Arial" w:hint="default"/>
      </w:rPr>
    </w:lvl>
    <w:lvl w:ilvl="3" w:tplc="BB2AAEF8" w:tentative="1">
      <w:start w:val="1"/>
      <w:numFmt w:val="bullet"/>
      <w:lvlText w:val="•"/>
      <w:lvlJc w:val="left"/>
      <w:pPr>
        <w:tabs>
          <w:tab w:val="num" w:pos="2880"/>
        </w:tabs>
        <w:ind w:left="2880" w:hanging="360"/>
      </w:pPr>
      <w:rPr>
        <w:rFonts w:ascii="Arial" w:hAnsi="Arial" w:hint="default"/>
      </w:rPr>
    </w:lvl>
    <w:lvl w:ilvl="4" w:tplc="D12AF746" w:tentative="1">
      <w:start w:val="1"/>
      <w:numFmt w:val="bullet"/>
      <w:lvlText w:val="•"/>
      <w:lvlJc w:val="left"/>
      <w:pPr>
        <w:tabs>
          <w:tab w:val="num" w:pos="3600"/>
        </w:tabs>
        <w:ind w:left="3600" w:hanging="360"/>
      </w:pPr>
      <w:rPr>
        <w:rFonts w:ascii="Arial" w:hAnsi="Arial" w:hint="default"/>
      </w:rPr>
    </w:lvl>
    <w:lvl w:ilvl="5" w:tplc="DF50A03E" w:tentative="1">
      <w:start w:val="1"/>
      <w:numFmt w:val="bullet"/>
      <w:lvlText w:val="•"/>
      <w:lvlJc w:val="left"/>
      <w:pPr>
        <w:tabs>
          <w:tab w:val="num" w:pos="4320"/>
        </w:tabs>
        <w:ind w:left="4320" w:hanging="360"/>
      </w:pPr>
      <w:rPr>
        <w:rFonts w:ascii="Arial" w:hAnsi="Arial" w:hint="default"/>
      </w:rPr>
    </w:lvl>
    <w:lvl w:ilvl="6" w:tplc="012A21A4" w:tentative="1">
      <w:start w:val="1"/>
      <w:numFmt w:val="bullet"/>
      <w:lvlText w:val="•"/>
      <w:lvlJc w:val="left"/>
      <w:pPr>
        <w:tabs>
          <w:tab w:val="num" w:pos="5040"/>
        </w:tabs>
        <w:ind w:left="5040" w:hanging="360"/>
      </w:pPr>
      <w:rPr>
        <w:rFonts w:ascii="Arial" w:hAnsi="Arial" w:hint="default"/>
      </w:rPr>
    </w:lvl>
    <w:lvl w:ilvl="7" w:tplc="EB20DF04" w:tentative="1">
      <w:start w:val="1"/>
      <w:numFmt w:val="bullet"/>
      <w:lvlText w:val="•"/>
      <w:lvlJc w:val="left"/>
      <w:pPr>
        <w:tabs>
          <w:tab w:val="num" w:pos="5760"/>
        </w:tabs>
        <w:ind w:left="5760" w:hanging="360"/>
      </w:pPr>
      <w:rPr>
        <w:rFonts w:ascii="Arial" w:hAnsi="Arial" w:hint="default"/>
      </w:rPr>
    </w:lvl>
    <w:lvl w:ilvl="8" w:tplc="362EF9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A710BCF"/>
    <w:multiLevelType w:val="hybridMultilevel"/>
    <w:tmpl w:val="4AE0FBAA"/>
    <w:lvl w:ilvl="0" w:tplc="610A164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7E794B39"/>
    <w:multiLevelType w:val="hybridMultilevel"/>
    <w:tmpl w:val="3C04F696"/>
    <w:lvl w:ilvl="0" w:tplc="651A05A6">
      <w:start w:val="1"/>
      <w:numFmt w:val="bullet"/>
      <w:lvlText w:val="•"/>
      <w:lvlJc w:val="left"/>
      <w:pPr>
        <w:tabs>
          <w:tab w:val="num" w:pos="720"/>
        </w:tabs>
        <w:ind w:left="720" w:hanging="360"/>
      </w:pPr>
      <w:rPr>
        <w:rFonts w:ascii="Times New Roman" w:hAnsi="Times New Roman" w:hint="default"/>
      </w:rPr>
    </w:lvl>
    <w:lvl w:ilvl="1" w:tplc="2B1AF72A" w:tentative="1">
      <w:start w:val="1"/>
      <w:numFmt w:val="bullet"/>
      <w:lvlText w:val="•"/>
      <w:lvlJc w:val="left"/>
      <w:pPr>
        <w:tabs>
          <w:tab w:val="num" w:pos="1440"/>
        </w:tabs>
        <w:ind w:left="1440" w:hanging="360"/>
      </w:pPr>
      <w:rPr>
        <w:rFonts w:ascii="Times New Roman" w:hAnsi="Times New Roman" w:hint="default"/>
      </w:rPr>
    </w:lvl>
    <w:lvl w:ilvl="2" w:tplc="92A447D4" w:tentative="1">
      <w:start w:val="1"/>
      <w:numFmt w:val="bullet"/>
      <w:lvlText w:val="•"/>
      <w:lvlJc w:val="left"/>
      <w:pPr>
        <w:tabs>
          <w:tab w:val="num" w:pos="2160"/>
        </w:tabs>
        <w:ind w:left="2160" w:hanging="360"/>
      </w:pPr>
      <w:rPr>
        <w:rFonts w:ascii="Times New Roman" w:hAnsi="Times New Roman" w:hint="default"/>
      </w:rPr>
    </w:lvl>
    <w:lvl w:ilvl="3" w:tplc="1B1EC38A" w:tentative="1">
      <w:start w:val="1"/>
      <w:numFmt w:val="bullet"/>
      <w:lvlText w:val="•"/>
      <w:lvlJc w:val="left"/>
      <w:pPr>
        <w:tabs>
          <w:tab w:val="num" w:pos="2880"/>
        </w:tabs>
        <w:ind w:left="2880" w:hanging="360"/>
      </w:pPr>
      <w:rPr>
        <w:rFonts w:ascii="Times New Roman" w:hAnsi="Times New Roman" w:hint="default"/>
      </w:rPr>
    </w:lvl>
    <w:lvl w:ilvl="4" w:tplc="2CBA4E44" w:tentative="1">
      <w:start w:val="1"/>
      <w:numFmt w:val="bullet"/>
      <w:lvlText w:val="•"/>
      <w:lvlJc w:val="left"/>
      <w:pPr>
        <w:tabs>
          <w:tab w:val="num" w:pos="3600"/>
        </w:tabs>
        <w:ind w:left="3600" w:hanging="360"/>
      </w:pPr>
      <w:rPr>
        <w:rFonts w:ascii="Times New Roman" w:hAnsi="Times New Roman" w:hint="default"/>
      </w:rPr>
    </w:lvl>
    <w:lvl w:ilvl="5" w:tplc="EA1E3F14" w:tentative="1">
      <w:start w:val="1"/>
      <w:numFmt w:val="bullet"/>
      <w:lvlText w:val="•"/>
      <w:lvlJc w:val="left"/>
      <w:pPr>
        <w:tabs>
          <w:tab w:val="num" w:pos="4320"/>
        </w:tabs>
        <w:ind w:left="4320" w:hanging="360"/>
      </w:pPr>
      <w:rPr>
        <w:rFonts w:ascii="Times New Roman" w:hAnsi="Times New Roman" w:hint="default"/>
      </w:rPr>
    </w:lvl>
    <w:lvl w:ilvl="6" w:tplc="375AC340" w:tentative="1">
      <w:start w:val="1"/>
      <w:numFmt w:val="bullet"/>
      <w:lvlText w:val="•"/>
      <w:lvlJc w:val="left"/>
      <w:pPr>
        <w:tabs>
          <w:tab w:val="num" w:pos="5040"/>
        </w:tabs>
        <w:ind w:left="5040" w:hanging="360"/>
      </w:pPr>
      <w:rPr>
        <w:rFonts w:ascii="Times New Roman" w:hAnsi="Times New Roman" w:hint="default"/>
      </w:rPr>
    </w:lvl>
    <w:lvl w:ilvl="7" w:tplc="F76A2318" w:tentative="1">
      <w:start w:val="1"/>
      <w:numFmt w:val="bullet"/>
      <w:lvlText w:val="•"/>
      <w:lvlJc w:val="left"/>
      <w:pPr>
        <w:tabs>
          <w:tab w:val="num" w:pos="5760"/>
        </w:tabs>
        <w:ind w:left="5760" w:hanging="360"/>
      </w:pPr>
      <w:rPr>
        <w:rFonts w:ascii="Times New Roman" w:hAnsi="Times New Roman" w:hint="default"/>
      </w:rPr>
    </w:lvl>
    <w:lvl w:ilvl="8" w:tplc="D5CC826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12"/>
  </w:num>
  <w:num w:numId="4">
    <w:abstractNumId w:val="8"/>
  </w:num>
  <w:num w:numId="5">
    <w:abstractNumId w:val="6"/>
  </w:num>
  <w:num w:numId="6">
    <w:abstractNumId w:val="2"/>
  </w:num>
  <w:num w:numId="7">
    <w:abstractNumId w:val="19"/>
  </w:num>
  <w:num w:numId="8">
    <w:abstractNumId w:val="13"/>
  </w:num>
  <w:num w:numId="9">
    <w:abstractNumId w:val="1"/>
  </w:num>
  <w:num w:numId="10">
    <w:abstractNumId w:val="3"/>
  </w:num>
  <w:num w:numId="11">
    <w:abstractNumId w:val="5"/>
  </w:num>
  <w:num w:numId="12">
    <w:abstractNumId w:val="17"/>
  </w:num>
  <w:num w:numId="13">
    <w:abstractNumId w:val="4"/>
  </w:num>
  <w:num w:numId="14">
    <w:abstractNumId w:val="15"/>
  </w:num>
  <w:num w:numId="15">
    <w:abstractNumId w:val="10"/>
  </w:num>
  <w:num w:numId="16">
    <w:abstractNumId w:val="18"/>
  </w:num>
  <w:num w:numId="17">
    <w:abstractNumId w:val="11"/>
  </w:num>
  <w:num w:numId="18">
    <w:abstractNumId w:val="9"/>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07CA7"/>
    <w:rsid w:val="000167C9"/>
    <w:rsid w:val="00026352"/>
    <w:rsid w:val="0006296D"/>
    <w:rsid w:val="00071451"/>
    <w:rsid w:val="00076C94"/>
    <w:rsid w:val="00077A54"/>
    <w:rsid w:val="00083E62"/>
    <w:rsid w:val="000911CB"/>
    <w:rsid w:val="00091219"/>
    <w:rsid w:val="000E040D"/>
    <w:rsid w:val="000E3161"/>
    <w:rsid w:val="000F31CE"/>
    <w:rsid w:val="00102EC7"/>
    <w:rsid w:val="001037DB"/>
    <w:rsid w:val="00114000"/>
    <w:rsid w:val="00133F9C"/>
    <w:rsid w:val="0013525E"/>
    <w:rsid w:val="00146824"/>
    <w:rsid w:val="001533CC"/>
    <w:rsid w:val="0015670C"/>
    <w:rsid w:val="00167D5D"/>
    <w:rsid w:val="00193825"/>
    <w:rsid w:val="001943E8"/>
    <w:rsid w:val="001E3D58"/>
    <w:rsid w:val="001E7CC0"/>
    <w:rsid w:val="002048D4"/>
    <w:rsid w:val="00207041"/>
    <w:rsid w:val="0022326E"/>
    <w:rsid w:val="00225BCD"/>
    <w:rsid w:val="00235DBE"/>
    <w:rsid w:val="0025386F"/>
    <w:rsid w:val="00254A75"/>
    <w:rsid w:val="0028336B"/>
    <w:rsid w:val="0029279C"/>
    <w:rsid w:val="002A1871"/>
    <w:rsid w:val="002A36D8"/>
    <w:rsid w:val="002A78C2"/>
    <w:rsid w:val="002C103F"/>
    <w:rsid w:val="002F0205"/>
    <w:rsid w:val="002F5AE0"/>
    <w:rsid w:val="003040EB"/>
    <w:rsid w:val="003166F5"/>
    <w:rsid w:val="00316D7E"/>
    <w:rsid w:val="00322787"/>
    <w:rsid w:val="0033105E"/>
    <w:rsid w:val="00343118"/>
    <w:rsid w:val="00357915"/>
    <w:rsid w:val="00364170"/>
    <w:rsid w:val="00371048"/>
    <w:rsid w:val="003750B8"/>
    <w:rsid w:val="003921E7"/>
    <w:rsid w:val="0039666C"/>
    <w:rsid w:val="003B103C"/>
    <w:rsid w:val="003B7776"/>
    <w:rsid w:val="003C233E"/>
    <w:rsid w:val="003C6F50"/>
    <w:rsid w:val="003D158E"/>
    <w:rsid w:val="003D2E02"/>
    <w:rsid w:val="003D7265"/>
    <w:rsid w:val="003D74E4"/>
    <w:rsid w:val="003E1512"/>
    <w:rsid w:val="003E3239"/>
    <w:rsid w:val="003E5615"/>
    <w:rsid w:val="003E6C78"/>
    <w:rsid w:val="003F3101"/>
    <w:rsid w:val="00413155"/>
    <w:rsid w:val="004271C1"/>
    <w:rsid w:val="00456F10"/>
    <w:rsid w:val="00460D04"/>
    <w:rsid w:val="004A4DDC"/>
    <w:rsid w:val="004C6DE1"/>
    <w:rsid w:val="004D3F76"/>
    <w:rsid w:val="004D48DA"/>
    <w:rsid w:val="004D5952"/>
    <w:rsid w:val="004D677A"/>
    <w:rsid w:val="004D7798"/>
    <w:rsid w:val="0050297F"/>
    <w:rsid w:val="00505488"/>
    <w:rsid w:val="005057C4"/>
    <w:rsid w:val="00517D09"/>
    <w:rsid w:val="00545E1B"/>
    <w:rsid w:val="00556501"/>
    <w:rsid w:val="00557DCC"/>
    <w:rsid w:val="005610B6"/>
    <w:rsid w:val="005633FF"/>
    <w:rsid w:val="005A4B4B"/>
    <w:rsid w:val="005C114D"/>
    <w:rsid w:val="005C4A01"/>
    <w:rsid w:val="005D1E6B"/>
    <w:rsid w:val="005E18C3"/>
    <w:rsid w:val="005F2605"/>
    <w:rsid w:val="005F41D0"/>
    <w:rsid w:val="006056A1"/>
    <w:rsid w:val="006113FE"/>
    <w:rsid w:val="00612573"/>
    <w:rsid w:val="0062340A"/>
    <w:rsid w:val="00623AF1"/>
    <w:rsid w:val="006325A0"/>
    <w:rsid w:val="00632E2E"/>
    <w:rsid w:val="00667B61"/>
    <w:rsid w:val="006A52D1"/>
    <w:rsid w:val="006D43F3"/>
    <w:rsid w:val="007012C5"/>
    <w:rsid w:val="00702871"/>
    <w:rsid w:val="007048B6"/>
    <w:rsid w:val="0072590A"/>
    <w:rsid w:val="00733FAB"/>
    <w:rsid w:val="00746C49"/>
    <w:rsid w:val="0075044F"/>
    <w:rsid w:val="007615CA"/>
    <w:rsid w:val="00767517"/>
    <w:rsid w:val="00767ADB"/>
    <w:rsid w:val="0077525B"/>
    <w:rsid w:val="007A794A"/>
    <w:rsid w:val="007B736B"/>
    <w:rsid w:val="007B7618"/>
    <w:rsid w:val="007C10F4"/>
    <w:rsid w:val="007C64EB"/>
    <w:rsid w:val="007E28A4"/>
    <w:rsid w:val="007F23BE"/>
    <w:rsid w:val="007F3B0E"/>
    <w:rsid w:val="007F7F20"/>
    <w:rsid w:val="008029A8"/>
    <w:rsid w:val="008178C3"/>
    <w:rsid w:val="008428E8"/>
    <w:rsid w:val="00847225"/>
    <w:rsid w:val="0085279A"/>
    <w:rsid w:val="00855676"/>
    <w:rsid w:val="0088485F"/>
    <w:rsid w:val="008A6259"/>
    <w:rsid w:val="008C2E3C"/>
    <w:rsid w:val="008E309A"/>
    <w:rsid w:val="008F1AA9"/>
    <w:rsid w:val="008F4723"/>
    <w:rsid w:val="008F5F11"/>
    <w:rsid w:val="009002C0"/>
    <w:rsid w:val="00906836"/>
    <w:rsid w:val="009316AF"/>
    <w:rsid w:val="0093780D"/>
    <w:rsid w:val="00955A0C"/>
    <w:rsid w:val="00964E44"/>
    <w:rsid w:val="009C0F16"/>
    <w:rsid w:val="009D11AA"/>
    <w:rsid w:val="009E3AF8"/>
    <w:rsid w:val="00A05FD8"/>
    <w:rsid w:val="00A20FAF"/>
    <w:rsid w:val="00A37C13"/>
    <w:rsid w:val="00A53CE1"/>
    <w:rsid w:val="00A80020"/>
    <w:rsid w:val="00A8115D"/>
    <w:rsid w:val="00A83910"/>
    <w:rsid w:val="00AA2232"/>
    <w:rsid w:val="00AD015A"/>
    <w:rsid w:val="00AD051C"/>
    <w:rsid w:val="00B141B9"/>
    <w:rsid w:val="00B157D0"/>
    <w:rsid w:val="00B16136"/>
    <w:rsid w:val="00B45B4F"/>
    <w:rsid w:val="00B66EDB"/>
    <w:rsid w:val="00B72D5A"/>
    <w:rsid w:val="00B9108C"/>
    <w:rsid w:val="00BA2F09"/>
    <w:rsid w:val="00BB7996"/>
    <w:rsid w:val="00BC576A"/>
    <w:rsid w:val="00BD0A15"/>
    <w:rsid w:val="00BD5651"/>
    <w:rsid w:val="00BE6CFA"/>
    <w:rsid w:val="00C12C85"/>
    <w:rsid w:val="00C469C0"/>
    <w:rsid w:val="00C54BD4"/>
    <w:rsid w:val="00C57535"/>
    <w:rsid w:val="00C66669"/>
    <w:rsid w:val="00C671E3"/>
    <w:rsid w:val="00CA4C76"/>
    <w:rsid w:val="00CC3E38"/>
    <w:rsid w:val="00CD2838"/>
    <w:rsid w:val="00CD2B7D"/>
    <w:rsid w:val="00CD5D89"/>
    <w:rsid w:val="00CE622A"/>
    <w:rsid w:val="00CF6C1A"/>
    <w:rsid w:val="00D00B5B"/>
    <w:rsid w:val="00D06BA1"/>
    <w:rsid w:val="00D12064"/>
    <w:rsid w:val="00D17054"/>
    <w:rsid w:val="00D21A00"/>
    <w:rsid w:val="00D235E8"/>
    <w:rsid w:val="00D26FF9"/>
    <w:rsid w:val="00D30D8E"/>
    <w:rsid w:val="00D3237B"/>
    <w:rsid w:val="00D42C50"/>
    <w:rsid w:val="00D5016C"/>
    <w:rsid w:val="00D617C6"/>
    <w:rsid w:val="00D92828"/>
    <w:rsid w:val="00D92B8B"/>
    <w:rsid w:val="00DA2721"/>
    <w:rsid w:val="00DA53D6"/>
    <w:rsid w:val="00DC4BCC"/>
    <w:rsid w:val="00DC55A0"/>
    <w:rsid w:val="00DE3671"/>
    <w:rsid w:val="00E043D8"/>
    <w:rsid w:val="00E13B82"/>
    <w:rsid w:val="00E30613"/>
    <w:rsid w:val="00E327E7"/>
    <w:rsid w:val="00E56883"/>
    <w:rsid w:val="00E61EAA"/>
    <w:rsid w:val="00E72C50"/>
    <w:rsid w:val="00E830FD"/>
    <w:rsid w:val="00E870B9"/>
    <w:rsid w:val="00E94F3B"/>
    <w:rsid w:val="00E95B19"/>
    <w:rsid w:val="00EB7C06"/>
    <w:rsid w:val="00EC4DFA"/>
    <w:rsid w:val="00ED6583"/>
    <w:rsid w:val="00ED74A7"/>
    <w:rsid w:val="00EF681D"/>
    <w:rsid w:val="00EF7E45"/>
    <w:rsid w:val="00F00E2C"/>
    <w:rsid w:val="00F01FAB"/>
    <w:rsid w:val="00F13B75"/>
    <w:rsid w:val="00F14A36"/>
    <w:rsid w:val="00F16E12"/>
    <w:rsid w:val="00F2476B"/>
    <w:rsid w:val="00F267F8"/>
    <w:rsid w:val="00F34BBF"/>
    <w:rsid w:val="00F433DF"/>
    <w:rsid w:val="00F4439A"/>
    <w:rsid w:val="00F712AA"/>
    <w:rsid w:val="00F95A93"/>
    <w:rsid w:val="00FB1F8D"/>
    <w:rsid w:val="00FD0EFD"/>
    <w:rsid w:val="00FD1000"/>
    <w:rsid w:val="00FD489A"/>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13E00-761D-4B0A-89A5-F0DE6F9C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NormalWeb">
    <w:name w:val="Normal (Web)"/>
    <w:basedOn w:val="Normal"/>
    <w:uiPriority w:val="99"/>
    <w:semiHidden/>
    <w:unhideWhenUsed/>
    <w:rsid w:val="00007CA7"/>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ED6583"/>
    <w:rPr>
      <w:sz w:val="16"/>
      <w:szCs w:val="16"/>
    </w:rPr>
  </w:style>
  <w:style w:type="paragraph" w:styleId="Textocomentario">
    <w:name w:val="annotation text"/>
    <w:basedOn w:val="Normal"/>
    <w:link w:val="TextocomentarioCar"/>
    <w:uiPriority w:val="99"/>
    <w:semiHidden/>
    <w:unhideWhenUsed/>
    <w:rsid w:val="00ED6583"/>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ED6583"/>
    <w:rPr>
      <w:sz w:val="20"/>
      <w:szCs w:val="20"/>
    </w:rPr>
  </w:style>
  <w:style w:type="paragraph" w:styleId="Encabezado">
    <w:name w:val="header"/>
    <w:basedOn w:val="Normal"/>
    <w:link w:val="EncabezadoCar"/>
    <w:uiPriority w:val="99"/>
    <w:unhideWhenUsed/>
    <w:rsid w:val="00CD5D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D89"/>
  </w:style>
  <w:style w:type="paragraph" w:styleId="Piedepgina">
    <w:name w:val="footer"/>
    <w:basedOn w:val="Normal"/>
    <w:link w:val="PiedepginaCar"/>
    <w:uiPriority w:val="99"/>
    <w:unhideWhenUsed/>
    <w:rsid w:val="00CD5D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895">
      <w:bodyDiv w:val="1"/>
      <w:marLeft w:val="0"/>
      <w:marRight w:val="0"/>
      <w:marTop w:val="0"/>
      <w:marBottom w:val="0"/>
      <w:divBdr>
        <w:top w:val="none" w:sz="0" w:space="0" w:color="auto"/>
        <w:left w:val="none" w:sz="0" w:space="0" w:color="auto"/>
        <w:bottom w:val="none" w:sz="0" w:space="0" w:color="auto"/>
        <w:right w:val="none" w:sz="0" w:space="0" w:color="auto"/>
      </w:divBdr>
      <w:divsChild>
        <w:div w:id="928348677">
          <w:marLeft w:val="446"/>
          <w:marRight w:val="0"/>
          <w:marTop w:val="0"/>
          <w:marBottom w:val="0"/>
          <w:divBdr>
            <w:top w:val="none" w:sz="0" w:space="0" w:color="auto"/>
            <w:left w:val="none" w:sz="0" w:space="0" w:color="auto"/>
            <w:bottom w:val="none" w:sz="0" w:space="0" w:color="auto"/>
            <w:right w:val="none" w:sz="0" w:space="0" w:color="auto"/>
          </w:divBdr>
        </w:div>
        <w:div w:id="1577281890">
          <w:marLeft w:val="446"/>
          <w:marRight w:val="0"/>
          <w:marTop w:val="0"/>
          <w:marBottom w:val="0"/>
          <w:divBdr>
            <w:top w:val="none" w:sz="0" w:space="0" w:color="auto"/>
            <w:left w:val="none" w:sz="0" w:space="0" w:color="auto"/>
            <w:bottom w:val="none" w:sz="0" w:space="0" w:color="auto"/>
            <w:right w:val="none" w:sz="0" w:space="0" w:color="auto"/>
          </w:divBdr>
        </w:div>
      </w:divsChild>
    </w:div>
    <w:div w:id="128591350">
      <w:bodyDiv w:val="1"/>
      <w:marLeft w:val="0"/>
      <w:marRight w:val="0"/>
      <w:marTop w:val="0"/>
      <w:marBottom w:val="0"/>
      <w:divBdr>
        <w:top w:val="none" w:sz="0" w:space="0" w:color="auto"/>
        <w:left w:val="none" w:sz="0" w:space="0" w:color="auto"/>
        <w:bottom w:val="none" w:sz="0" w:space="0" w:color="auto"/>
        <w:right w:val="none" w:sz="0" w:space="0" w:color="auto"/>
      </w:divBdr>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315183171">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425079633">
      <w:bodyDiv w:val="1"/>
      <w:marLeft w:val="0"/>
      <w:marRight w:val="0"/>
      <w:marTop w:val="0"/>
      <w:marBottom w:val="0"/>
      <w:divBdr>
        <w:top w:val="none" w:sz="0" w:space="0" w:color="auto"/>
        <w:left w:val="none" w:sz="0" w:space="0" w:color="auto"/>
        <w:bottom w:val="none" w:sz="0" w:space="0" w:color="auto"/>
        <w:right w:val="none" w:sz="0" w:space="0" w:color="auto"/>
      </w:divBdr>
      <w:divsChild>
        <w:div w:id="792208457">
          <w:marLeft w:val="547"/>
          <w:marRight w:val="0"/>
          <w:marTop w:val="0"/>
          <w:marBottom w:val="0"/>
          <w:divBdr>
            <w:top w:val="none" w:sz="0" w:space="0" w:color="auto"/>
            <w:left w:val="none" w:sz="0" w:space="0" w:color="auto"/>
            <w:bottom w:val="none" w:sz="0" w:space="0" w:color="auto"/>
            <w:right w:val="none" w:sz="0" w:space="0" w:color="auto"/>
          </w:divBdr>
        </w:div>
      </w:divsChild>
    </w:div>
    <w:div w:id="535897806">
      <w:bodyDiv w:val="1"/>
      <w:marLeft w:val="0"/>
      <w:marRight w:val="0"/>
      <w:marTop w:val="0"/>
      <w:marBottom w:val="0"/>
      <w:divBdr>
        <w:top w:val="none" w:sz="0" w:space="0" w:color="auto"/>
        <w:left w:val="none" w:sz="0" w:space="0" w:color="auto"/>
        <w:bottom w:val="none" w:sz="0" w:space="0" w:color="auto"/>
        <w:right w:val="none" w:sz="0" w:space="0" w:color="auto"/>
      </w:divBdr>
      <w:divsChild>
        <w:div w:id="1934508531">
          <w:marLeft w:val="547"/>
          <w:marRight w:val="0"/>
          <w:marTop w:val="144"/>
          <w:marBottom w:val="0"/>
          <w:divBdr>
            <w:top w:val="none" w:sz="0" w:space="0" w:color="auto"/>
            <w:left w:val="none" w:sz="0" w:space="0" w:color="auto"/>
            <w:bottom w:val="none" w:sz="0" w:space="0" w:color="auto"/>
            <w:right w:val="none" w:sz="0" w:space="0" w:color="auto"/>
          </w:divBdr>
        </w:div>
      </w:divsChild>
    </w:div>
    <w:div w:id="63317450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31731659">
      <w:bodyDiv w:val="1"/>
      <w:marLeft w:val="0"/>
      <w:marRight w:val="0"/>
      <w:marTop w:val="0"/>
      <w:marBottom w:val="0"/>
      <w:divBdr>
        <w:top w:val="none" w:sz="0" w:space="0" w:color="auto"/>
        <w:left w:val="none" w:sz="0" w:space="0" w:color="auto"/>
        <w:bottom w:val="none" w:sz="0" w:space="0" w:color="auto"/>
        <w:right w:val="none" w:sz="0" w:space="0" w:color="auto"/>
      </w:divBdr>
      <w:divsChild>
        <w:div w:id="1549223255">
          <w:marLeft w:val="547"/>
          <w:marRight w:val="0"/>
          <w:marTop w:val="0"/>
          <w:marBottom w:val="0"/>
          <w:divBdr>
            <w:top w:val="none" w:sz="0" w:space="0" w:color="auto"/>
            <w:left w:val="none" w:sz="0" w:space="0" w:color="auto"/>
            <w:bottom w:val="none" w:sz="0" w:space="0" w:color="auto"/>
            <w:right w:val="none" w:sz="0" w:space="0" w:color="auto"/>
          </w:divBdr>
        </w:div>
      </w:divsChild>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774712416">
      <w:bodyDiv w:val="1"/>
      <w:marLeft w:val="0"/>
      <w:marRight w:val="0"/>
      <w:marTop w:val="0"/>
      <w:marBottom w:val="0"/>
      <w:divBdr>
        <w:top w:val="none" w:sz="0" w:space="0" w:color="auto"/>
        <w:left w:val="none" w:sz="0" w:space="0" w:color="auto"/>
        <w:bottom w:val="none" w:sz="0" w:space="0" w:color="auto"/>
        <w:right w:val="none" w:sz="0" w:space="0" w:color="auto"/>
      </w:divBdr>
      <w:divsChild>
        <w:div w:id="1096445160">
          <w:marLeft w:val="547"/>
          <w:marRight w:val="0"/>
          <w:marTop w:val="0"/>
          <w:marBottom w:val="0"/>
          <w:divBdr>
            <w:top w:val="none" w:sz="0" w:space="0" w:color="auto"/>
            <w:left w:val="none" w:sz="0" w:space="0" w:color="auto"/>
            <w:bottom w:val="none" w:sz="0" w:space="0" w:color="auto"/>
            <w:right w:val="none" w:sz="0" w:space="0" w:color="auto"/>
          </w:divBdr>
        </w:div>
      </w:divsChild>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843206426">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384480372">
      <w:bodyDiv w:val="1"/>
      <w:marLeft w:val="0"/>
      <w:marRight w:val="0"/>
      <w:marTop w:val="0"/>
      <w:marBottom w:val="0"/>
      <w:divBdr>
        <w:top w:val="none" w:sz="0" w:space="0" w:color="auto"/>
        <w:left w:val="none" w:sz="0" w:space="0" w:color="auto"/>
        <w:bottom w:val="none" w:sz="0" w:space="0" w:color="auto"/>
        <w:right w:val="none" w:sz="0" w:space="0" w:color="auto"/>
      </w:divBdr>
      <w:divsChild>
        <w:div w:id="337998391">
          <w:marLeft w:val="547"/>
          <w:marRight w:val="0"/>
          <w:marTop w:val="0"/>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39815926">
      <w:bodyDiv w:val="1"/>
      <w:marLeft w:val="0"/>
      <w:marRight w:val="0"/>
      <w:marTop w:val="0"/>
      <w:marBottom w:val="0"/>
      <w:divBdr>
        <w:top w:val="none" w:sz="0" w:space="0" w:color="auto"/>
        <w:left w:val="none" w:sz="0" w:space="0" w:color="auto"/>
        <w:bottom w:val="none" w:sz="0" w:space="0" w:color="auto"/>
        <w:right w:val="none" w:sz="0" w:space="0" w:color="auto"/>
      </w:divBdr>
    </w:div>
    <w:div w:id="1777555089">
      <w:bodyDiv w:val="1"/>
      <w:marLeft w:val="0"/>
      <w:marRight w:val="0"/>
      <w:marTop w:val="0"/>
      <w:marBottom w:val="0"/>
      <w:divBdr>
        <w:top w:val="none" w:sz="0" w:space="0" w:color="auto"/>
        <w:left w:val="none" w:sz="0" w:space="0" w:color="auto"/>
        <w:bottom w:val="none" w:sz="0" w:space="0" w:color="auto"/>
        <w:right w:val="none" w:sz="0" w:space="0" w:color="auto"/>
      </w:divBdr>
      <w:divsChild>
        <w:div w:id="2122258329">
          <w:marLeft w:val="547"/>
          <w:marRight w:val="0"/>
          <w:marTop w:val="96"/>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834450605">
      <w:bodyDiv w:val="1"/>
      <w:marLeft w:val="0"/>
      <w:marRight w:val="0"/>
      <w:marTop w:val="0"/>
      <w:marBottom w:val="0"/>
      <w:divBdr>
        <w:top w:val="none" w:sz="0" w:space="0" w:color="auto"/>
        <w:left w:val="none" w:sz="0" w:space="0" w:color="auto"/>
        <w:bottom w:val="none" w:sz="0" w:space="0" w:color="auto"/>
        <w:right w:val="none" w:sz="0" w:space="0" w:color="auto"/>
      </w:divBdr>
      <w:divsChild>
        <w:div w:id="301497419">
          <w:marLeft w:val="547"/>
          <w:marRight w:val="0"/>
          <w:marTop w:val="144"/>
          <w:marBottom w:val="0"/>
          <w:divBdr>
            <w:top w:val="none" w:sz="0" w:space="0" w:color="auto"/>
            <w:left w:val="none" w:sz="0" w:space="0" w:color="auto"/>
            <w:bottom w:val="none" w:sz="0" w:space="0" w:color="auto"/>
            <w:right w:val="none" w:sz="0" w:space="0" w:color="auto"/>
          </w:divBdr>
        </w:div>
      </w:divsChild>
    </w:div>
    <w:div w:id="2040397958">
      <w:bodyDiv w:val="1"/>
      <w:marLeft w:val="0"/>
      <w:marRight w:val="0"/>
      <w:marTop w:val="0"/>
      <w:marBottom w:val="0"/>
      <w:divBdr>
        <w:top w:val="none" w:sz="0" w:space="0" w:color="auto"/>
        <w:left w:val="none" w:sz="0" w:space="0" w:color="auto"/>
        <w:bottom w:val="none" w:sz="0" w:space="0" w:color="auto"/>
        <w:right w:val="none" w:sz="0" w:space="0" w:color="auto"/>
      </w:divBdr>
      <w:divsChild>
        <w:div w:id="369838101">
          <w:marLeft w:val="547"/>
          <w:marRight w:val="0"/>
          <w:marTop w:val="144"/>
          <w:marBottom w:val="0"/>
          <w:divBdr>
            <w:top w:val="none" w:sz="0" w:space="0" w:color="auto"/>
            <w:left w:val="none" w:sz="0" w:space="0" w:color="auto"/>
            <w:bottom w:val="none" w:sz="0" w:space="0" w:color="auto"/>
            <w:right w:val="none" w:sz="0" w:space="0" w:color="auto"/>
          </w:divBdr>
        </w:div>
      </w:divsChild>
    </w:div>
    <w:div w:id="2076194784">
      <w:bodyDiv w:val="1"/>
      <w:marLeft w:val="0"/>
      <w:marRight w:val="0"/>
      <w:marTop w:val="0"/>
      <w:marBottom w:val="0"/>
      <w:divBdr>
        <w:top w:val="none" w:sz="0" w:space="0" w:color="auto"/>
        <w:left w:val="none" w:sz="0" w:space="0" w:color="auto"/>
        <w:bottom w:val="none" w:sz="0" w:space="0" w:color="auto"/>
        <w:right w:val="none" w:sz="0" w:space="0" w:color="auto"/>
      </w:divBdr>
      <w:divsChild>
        <w:div w:id="1243642609">
          <w:marLeft w:val="446"/>
          <w:marRight w:val="0"/>
          <w:marTop w:val="0"/>
          <w:marBottom w:val="0"/>
          <w:divBdr>
            <w:top w:val="none" w:sz="0" w:space="0" w:color="auto"/>
            <w:left w:val="none" w:sz="0" w:space="0" w:color="auto"/>
            <w:bottom w:val="none" w:sz="0" w:space="0" w:color="auto"/>
            <w:right w:val="none" w:sz="0" w:space="0" w:color="auto"/>
          </w:divBdr>
        </w:div>
        <w:div w:id="1661539755">
          <w:marLeft w:val="446"/>
          <w:marRight w:val="0"/>
          <w:marTop w:val="0"/>
          <w:marBottom w:val="0"/>
          <w:divBdr>
            <w:top w:val="none" w:sz="0" w:space="0" w:color="auto"/>
            <w:left w:val="none" w:sz="0" w:space="0" w:color="auto"/>
            <w:bottom w:val="none" w:sz="0" w:space="0" w:color="auto"/>
            <w:right w:val="none" w:sz="0" w:space="0" w:color="auto"/>
          </w:divBdr>
        </w:div>
        <w:div w:id="1508180529">
          <w:marLeft w:val="446"/>
          <w:marRight w:val="0"/>
          <w:marTop w:val="0"/>
          <w:marBottom w:val="0"/>
          <w:divBdr>
            <w:top w:val="none" w:sz="0" w:space="0" w:color="auto"/>
            <w:left w:val="none" w:sz="0" w:space="0" w:color="auto"/>
            <w:bottom w:val="none" w:sz="0" w:space="0" w:color="auto"/>
            <w:right w:val="none" w:sz="0" w:space="0" w:color="auto"/>
          </w:divBdr>
        </w:div>
        <w:div w:id="1173910358">
          <w:marLeft w:val="446"/>
          <w:marRight w:val="0"/>
          <w:marTop w:val="0"/>
          <w:marBottom w:val="0"/>
          <w:divBdr>
            <w:top w:val="none" w:sz="0" w:space="0" w:color="auto"/>
            <w:left w:val="none" w:sz="0" w:space="0" w:color="auto"/>
            <w:bottom w:val="none" w:sz="0" w:space="0" w:color="auto"/>
            <w:right w:val="none" w:sz="0" w:space="0" w:color="auto"/>
          </w:divBdr>
        </w:div>
        <w:div w:id="187112350">
          <w:marLeft w:val="446"/>
          <w:marRight w:val="0"/>
          <w:marTop w:val="0"/>
          <w:marBottom w:val="0"/>
          <w:divBdr>
            <w:top w:val="none" w:sz="0" w:space="0" w:color="auto"/>
            <w:left w:val="none" w:sz="0" w:space="0" w:color="auto"/>
            <w:bottom w:val="none" w:sz="0" w:space="0" w:color="auto"/>
            <w:right w:val="none" w:sz="0" w:space="0" w:color="auto"/>
          </w:divBdr>
        </w:div>
        <w:div w:id="919676527">
          <w:marLeft w:val="446"/>
          <w:marRight w:val="0"/>
          <w:marTop w:val="0"/>
          <w:marBottom w:val="0"/>
          <w:divBdr>
            <w:top w:val="none" w:sz="0" w:space="0" w:color="auto"/>
            <w:left w:val="none" w:sz="0" w:space="0" w:color="auto"/>
            <w:bottom w:val="none" w:sz="0" w:space="0" w:color="auto"/>
            <w:right w:val="none" w:sz="0" w:space="0" w:color="auto"/>
          </w:divBdr>
        </w:div>
      </w:divsChild>
    </w:div>
    <w:div w:id="2132741652">
      <w:bodyDiv w:val="1"/>
      <w:marLeft w:val="0"/>
      <w:marRight w:val="0"/>
      <w:marTop w:val="0"/>
      <w:marBottom w:val="0"/>
      <w:divBdr>
        <w:top w:val="none" w:sz="0" w:space="0" w:color="auto"/>
        <w:left w:val="none" w:sz="0" w:space="0" w:color="auto"/>
        <w:bottom w:val="none" w:sz="0" w:space="0" w:color="auto"/>
        <w:right w:val="none" w:sz="0" w:space="0" w:color="auto"/>
      </w:divBdr>
      <w:divsChild>
        <w:div w:id="198426468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CODISRA</a:t>
            </a:r>
          </a:p>
        </c:rich>
      </c:tx>
      <c:overlay val="0"/>
    </c:title>
    <c:autoTitleDeleted val="0"/>
    <c:plotArea>
      <c:layout/>
      <c:barChart>
        <c:barDir val="col"/>
        <c:grouping val="clustered"/>
        <c:varyColors val="0"/>
        <c:ser>
          <c:idx val="0"/>
          <c:order val="0"/>
          <c:tx>
            <c:strRef>
              <c:f>codisra!$D$9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codisra!$B$3:$G$3</c:f>
              <c:strCache>
                <c:ptCount val="6"/>
                <c:pt idx="0">
                  <c:v>Prespuesto  aprobado 2017</c:v>
                </c:pt>
                <c:pt idx="1">
                  <c:v>Solicitado 2018</c:v>
                </c:pt>
                <c:pt idx="2">
                  <c:v>Solicitado 2019</c:v>
                </c:pt>
                <c:pt idx="3">
                  <c:v>Solicitado 2020</c:v>
                </c:pt>
                <c:pt idx="4">
                  <c:v>Solicitado 2021</c:v>
                </c:pt>
                <c:pt idx="5">
                  <c:v>Solicitado 2022</c:v>
                </c:pt>
              </c:strCache>
            </c:strRef>
          </c:cat>
          <c:val>
            <c:numRef>
              <c:f>codisra!$B$4:$G$4</c:f>
              <c:numCache>
                <c:formatCode>_("Q"* #,##0_);_("Q"* \(#,##0\);_("Q"* "-"??_);_(@_)</c:formatCode>
                <c:ptCount val="6"/>
                <c:pt idx="0">
                  <c:v>10500000</c:v>
                </c:pt>
                <c:pt idx="1">
                  <c:v>10500000</c:v>
                </c:pt>
                <c:pt idx="2">
                  <c:v>10743000</c:v>
                </c:pt>
                <c:pt idx="3">
                  <c:v>11014000</c:v>
                </c:pt>
                <c:pt idx="4">
                  <c:v>11293000</c:v>
                </c:pt>
                <c:pt idx="5">
                  <c:v>11293000</c:v>
                </c:pt>
              </c:numCache>
            </c:numRef>
          </c:val>
          <c:extLst>
            <c:ext xmlns:c16="http://schemas.microsoft.com/office/drawing/2014/chart" uri="{C3380CC4-5D6E-409C-BE32-E72D297353CC}">
              <c16:uniqueId val="{00000000-03C2-44D7-82A3-C893CAA52CEA}"/>
            </c:ext>
          </c:extLst>
        </c:ser>
        <c:dLbls>
          <c:showLegendKey val="0"/>
          <c:showVal val="0"/>
          <c:showCatName val="0"/>
          <c:showSerName val="0"/>
          <c:showPercent val="0"/>
          <c:showBubbleSize val="0"/>
        </c:dLbls>
        <c:gapWidth val="75"/>
        <c:overlap val="-25"/>
        <c:axId val="75947392"/>
        <c:axId val="79099008"/>
      </c:barChart>
      <c:catAx>
        <c:axId val="75947392"/>
        <c:scaling>
          <c:orientation val="minMax"/>
        </c:scaling>
        <c:delete val="0"/>
        <c:axPos val="b"/>
        <c:numFmt formatCode="General" sourceLinked="0"/>
        <c:majorTickMark val="none"/>
        <c:minorTickMark val="none"/>
        <c:tickLblPos val="nextTo"/>
        <c:crossAx val="79099008"/>
        <c:crosses val="autoZero"/>
        <c:auto val="1"/>
        <c:lblAlgn val="ctr"/>
        <c:lblOffset val="100"/>
        <c:noMultiLvlLbl val="0"/>
      </c:catAx>
      <c:valAx>
        <c:axId val="79099008"/>
        <c:scaling>
          <c:orientation val="minMax"/>
        </c:scaling>
        <c:delete val="0"/>
        <c:axPos val="l"/>
        <c:majorGridlines/>
        <c:numFmt formatCode="_(&quot;Q&quot;* #,##0_);_(&quot;Q&quot;* \(#,##0\);_(&quot;Q&quot;* &quot;-&quot;??_);_(@_)" sourceLinked="1"/>
        <c:majorTickMark val="none"/>
        <c:minorTickMark val="none"/>
        <c:tickLblPos val="nextTo"/>
        <c:spPr>
          <a:ln w="9525">
            <a:noFill/>
          </a:ln>
        </c:spPr>
        <c:crossAx val="759473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1CBA5-DE6A-4ADE-B1F2-E1999850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2017-06-23T16:23:00Z</dcterms:created>
  <dcterms:modified xsi:type="dcterms:W3CDTF">2017-06-23T16:23:00Z</dcterms:modified>
</cp:coreProperties>
</file>