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3"/>
        </w:rPr>
      </w:pPr>
    </w:p>
    <w:p>
      <w:pPr>
        <w:pStyle w:val="BodyText"/>
        <w:ind w:left="1315"/>
        <w:rPr>
          <w:rFonts w:ascii="Times New Roman"/>
          <w:sz w:val="20"/>
        </w:rPr>
      </w:pPr>
      <w:r>
        <w:rPr>
          <w:rFonts w:ascii="Times New Roman"/>
          <w:sz w:val="20"/>
        </w:rPr>
        <w:drawing>
          <wp:inline distT="0" distB="0" distL="0" distR="0">
            <wp:extent cx="2301781" cy="720471"/>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301781" cy="720471"/>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after="1"/>
        <w:rPr>
          <w:rFonts w:ascii="Times New Roman"/>
          <w:sz w:val="26"/>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42"/>
        <w:gridCol w:w="6696"/>
      </w:tblGrid>
      <w:tr>
        <w:trPr>
          <w:trHeight w:val="2317" w:hRule="atLeast"/>
        </w:trPr>
        <w:tc>
          <w:tcPr>
            <w:tcW w:w="3642" w:type="dxa"/>
            <w:tcBorders>
              <w:right w:val="single" w:sz="18" w:space="0" w:color="808080"/>
            </w:tcBorders>
          </w:tcPr>
          <w:p>
            <w:pPr>
              <w:pStyle w:val="TableParagraph"/>
              <w:spacing w:before="217"/>
              <w:ind w:left="230"/>
              <w:rPr>
                <w:sz w:val="76"/>
              </w:rPr>
            </w:pPr>
            <w:r>
              <w:rPr>
                <w:sz w:val="76"/>
              </w:rPr>
              <w:t>Informe Preliminar</w:t>
            </w:r>
          </w:p>
        </w:tc>
        <w:tc>
          <w:tcPr>
            <w:tcW w:w="6696" w:type="dxa"/>
            <w:tcBorders>
              <w:left w:val="single" w:sz="18" w:space="0" w:color="808080"/>
            </w:tcBorders>
          </w:tcPr>
          <w:p>
            <w:pPr>
              <w:pStyle w:val="TableParagraph"/>
              <w:spacing w:before="261"/>
              <w:ind w:left="1867"/>
              <w:rPr>
                <w:sz w:val="144"/>
              </w:rPr>
            </w:pPr>
            <w:r>
              <w:rPr>
                <w:sz w:val="144"/>
              </w:rPr>
              <w:t>2021</w:t>
            </w:r>
          </w:p>
        </w:tc>
      </w:tr>
      <w:tr>
        <w:trPr>
          <w:trHeight w:val="4648" w:hRule="atLeast"/>
        </w:trPr>
        <w:tc>
          <w:tcPr>
            <w:tcW w:w="3642" w:type="dxa"/>
            <w:tcBorders>
              <w:bottom w:val="single" w:sz="18" w:space="0" w:color="808080"/>
              <w:right w:val="single" w:sz="18" w:space="0" w:color="808080"/>
            </w:tcBorders>
          </w:tcPr>
          <w:p>
            <w:pPr>
              <w:pStyle w:val="TableParagraph"/>
              <w:tabs>
                <w:tab w:pos="1559" w:val="left" w:leader="none"/>
              </w:tabs>
              <w:spacing w:line="276" w:lineRule="auto" w:before="187"/>
              <w:ind w:left="230" w:right="190"/>
              <w:jc w:val="both"/>
              <w:rPr>
                <w:b/>
                <w:sz w:val="36"/>
              </w:rPr>
            </w:pPr>
            <w:r>
              <w:rPr>
                <w:b/>
                <w:sz w:val="36"/>
              </w:rPr>
              <w:t>Acerca del “Proyecto de</w:t>
              <w:tab/>
            </w:r>
            <w:r>
              <w:rPr>
                <w:b/>
                <w:spacing w:val="-3"/>
                <w:sz w:val="36"/>
              </w:rPr>
              <w:t>Presupuesto </w:t>
            </w:r>
            <w:r>
              <w:rPr>
                <w:b/>
                <w:sz w:val="36"/>
              </w:rPr>
              <w:t>General de Ingresos y Egresos del Estado para el Ejercicio Fiscal         2021,        </w:t>
            </w:r>
            <w:r>
              <w:rPr>
                <w:b/>
                <w:spacing w:val="-12"/>
                <w:sz w:val="36"/>
              </w:rPr>
              <w:t>y</w:t>
            </w:r>
          </w:p>
          <w:p>
            <w:pPr>
              <w:pStyle w:val="TableParagraph"/>
              <w:tabs>
                <w:tab w:pos="2581" w:val="left" w:leader="none"/>
              </w:tabs>
              <w:spacing w:line="436" w:lineRule="exact"/>
              <w:ind w:left="230"/>
              <w:rPr>
                <w:b/>
                <w:sz w:val="36"/>
              </w:rPr>
            </w:pPr>
            <w:r>
              <w:rPr>
                <w:b/>
                <w:sz w:val="36"/>
              </w:rPr>
              <w:t>Multianual</w:t>
              <w:tab/>
              <w:t>2021-</w:t>
            </w:r>
          </w:p>
          <w:p>
            <w:pPr>
              <w:pStyle w:val="TableParagraph"/>
              <w:spacing w:before="70"/>
              <w:ind w:left="230"/>
              <w:rPr>
                <w:b/>
                <w:sz w:val="36"/>
              </w:rPr>
            </w:pPr>
            <w:r>
              <w:rPr>
                <w:b/>
                <w:sz w:val="36"/>
              </w:rPr>
              <w:t>2025”</w:t>
            </w:r>
          </w:p>
        </w:tc>
        <w:tc>
          <w:tcPr>
            <w:tcW w:w="6696" w:type="dxa"/>
            <w:tcBorders>
              <w:left w:val="single" w:sz="18" w:space="0" w:color="808080"/>
              <w:bottom w:val="single" w:sz="18" w:space="0" w:color="808080"/>
            </w:tcBorders>
          </w:tcPr>
          <w:p>
            <w:pPr>
              <w:pStyle w:val="TableParagraph"/>
              <w:rPr>
                <w:rFonts w:ascii="Times New Roman"/>
                <w:sz w:val="20"/>
              </w:rPr>
            </w:pPr>
          </w:p>
          <w:p>
            <w:pPr>
              <w:pStyle w:val="TableParagraph"/>
              <w:spacing w:before="7"/>
              <w:rPr>
                <w:rFonts w:ascii="Times New Roman"/>
                <w:sz w:val="14"/>
              </w:rPr>
            </w:pPr>
          </w:p>
          <w:p>
            <w:pPr>
              <w:pStyle w:val="TableParagraph"/>
              <w:ind w:left="204"/>
              <w:rPr>
                <w:rFonts w:ascii="Times New Roman"/>
                <w:sz w:val="20"/>
              </w:rPr>
            </w:pPr>
            <w:r>
              <w:rPr>
                <w:rFonts w:ascii="Times New Roman"/>
                <w:sz w:val="20"/>
              </w:rPr>
              <w:drawing>
                <wp:inline distT="0" distB="0" distL="0" distR="0">
                  <wp:extent cx="3980146" cy="2502503"/>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3980146" cy="2502503"/>
                          </a:xfrm>
                          <a:prstGeom prst="rect">
                            <a:avLst/>
                          </a:prstGeom>
                        </pic:spPr>
                      </pic:pic>
                    </a:graphicData>
                  </a:graphic>
                </wp:inline>
              </w:drawing>
            </w:r>
            <w:r>
              <w:rPr>
                <w:rFonts w:ascii="Times New Roman"/>
                <w:sz w:val="20"/>
              </w:rPr>
            </w:r>
          </w:p>
        </w:tc>
      </w:tr>
    </w:tbl>
    <w:p>
      <w:pPr>
        <w:pStyle w:val="BodyText"/>
        <w:rPr>
          <w:rFonts w:ascii="Times New Roman"/>
          <w:sz w:val="20"/>
        </w:rPr>
      </w:pPr>
    </w:p>
    <w:p>
      <w:pPr>
        <w:pStyle w:val="BodyText"/>
        <w:rPr>
          <w:rFonts w:ascii="Times New Roman"/>
          <w:sz w:val="20"/>
        </w:rPr>
      </w:pPr>
    </w:p>
    <w:p>
      <w:pPr>
        <w:pStyle w:val="BodyText"/>
        <w:spacing w:before="8"/>
        <w:rPr>
          <w:rFonts w:ascii="Times New Roman"/>
        </w:rPr>
      </w:pPr>
    </w:p>
    <w:p>
      <w:pPr>
        <w:spacing w:before="18"/>
        <w:ind w:left="2542" w:right="3205" w:firstLine="0"/>
        <w:jc w:val="center"/>
        <w:rPr>
          <w:b/>
          <w:sz w:val="40"/>
        </w:rPr>
      </w:pPr>
      <w:r>
        <w:rPr>
          <w:b/>
          <w:color w:val="538DD3"/>
          <w:sz w:val="40"/>
        </w:rPr>
        <w:t>Dirección de Transparencia Fiscal Ministerio de Finanzas Públicas Guatemala, 2-Agosto-2020</w:t>
      </w:r>
    </w:p>
    <w:p>
      <w:pPr>
        <w:spacing w:after="0"/>
        <w:jc w:val="center"/>
        <w:rPr>
          <w:sz w:val="40"/>
        </w:rPr>
        <w:sectPr>
          <w:type w:val="continuous"/>
          <w:pgSz w:w="11910" w:h="16840"/>
          <w:pgMar w:top="1580" w:bottom="280" w:left="660" w:right="0"/>
        </w:sectPr>
      </w:pPr>
    </w:p>
    <w:p>
      <w:pPr>
        <w:pStyle w:val="BodyText"/>
        <w:rPr>
          <w:b/>
          <w:sz w:val="20"/>
        </w:rPr>
      </w:pPr>
    </w:p>
    <w:p>
      <w:pPr>
        <w:pStyle w:val="BodyText"/>
        <w:rPr>
          <w:b/>
          <w:sz w:val="20"/>
        </w:rPr>
      </w:pPr>
    </w:p>
    <w:p>
      <w:pPr>
        <w:pStyle w:val="BodyText"/>
        <w:rPr>
          <w:b/>
          <w:sz w:val="20"/>
        </w:rPr>
      </w:pPr>
    </w:p>
    <w:p>
      <w:pPr>
        <w:pStyle w:val="BodyText"/>
        <w:spacing w:before="11"/>
        <w:rPr>
          <w:b/>
        </w:rPr>
      </w:pPr>
    </w:p>
    <w:p>
      <w:pPr>
        <w:spacing w:before="37"/>
        <w:ind w:left="2542" w:right="3197" w:firstLine="0"/>
        <w:jc w:val="center"/>
        <w:rPr>
          <w:b/>
          <w:sz w:val="32"/>
        </w:rPr>
      </w:pPr>
      <w:bookmarkStart w:name="Índice" w:id="1"/>
      <w:bookmarkEnd w:id="1"/>
      <w:r>
        <w:rPr/>
      </w:r>
      <w:r>
        <w:rPr>
          <w:b/>
          <w:sz w:val="32"/>
        </w:rPr>
        <w:t>Índice</w:t>
      </w:r>
    </w:p>
    <w:sdt>
      <w:sdtPr>
        <w:docPartObj>
          <w:docPartGallery w:val="Table of Contents"/>
          <w:docPartUnique/>
        </w:docPartObj>
      </w:sdtPr>
      <w:sdtEndPr/>
      <w:sdtContent>
        <w:p>
          <w:pPr>
            <w:pStyle w:val="TOC1"/>
            <w:tabs>
              <w:tab w:pos="8500" w:val="right" w:leader="dot"/>
            </w:tabs>
            <w:spacing w:before="770"/>
            <w:ind w:left="0" w:right="1701" w:firstLine="0"/>
          </w:pPr>
          <w:hyperlink w:history="true" w:anchor="_bookmark0">
            <w:r>
              <w:rPr/>
              <w:t>Introducción</w:t>
              <w:tab/>
              <w:t>3</w:t>
            </w:r>
          </w:hyperlink>
        </w:p>
        <w:p>
          <w:pPr>
            <w:pStyle w:val="TOC1"/>
            <w:numPr>
              <w:ilvl w:val="0"/>
              <w:numId w:val="1"/>
            </w:numPr>
            <w:tabs>
              <w:tab w:pos="226" w:val="left" w:leader="none"/>
              <w:tab w:pos="8500" w:val="right" w:leader="dot"/>
            </w:tabs>
            <w:spacing w:line="240" w:lineRule="auto" w:before="241" w:after="0"/>
            <w:ind w:left="1265" w:right="1701" w:hanging="1266"/>
            <w:jc w:val="right"/>
          </w:pPr>
          <w:hyperlink w:history="true" w:anchor="_bookmark1">
            <w:r>
              <w:rPr/>
              <w:t>Principales supuestos en el contexto de</w:t>
            </w:r>
            <w:r>
              <w:rPr>
                <w:spacing w:val="-6"/>
              </w:rPr>
              <w:t> </w:t>
            </w:r>
            <w:r>
              <w:rPr/>
              <w:t>mediano</w:t>
            </w:r>
            <w:r>
              <w:rPr>
                <w:spacing w:val="-3"/>
              </w:rPr>
              <w:t> </w:t>
            </w:r>
            <w:r>
              <w:rPr/>
              <w:t>plazo</w:t>
              <w:tab/>
              <w:t>5</w:t>
            </w:r>
          </w:hyperlink>
        </w:p>
        <w:p>
          <w:pPr>
            <w:pStyle w:val="TOC1"/>
            <w:tabs>
              <w:tab w:pos="8279" w:val="right" w:leader="dot"/>
            </w:tabs>
            <w:ind w:left="0" w:right="1701" w:firstLine="0"/>
          </w:pPr>
          <w:hyperlink w:history="true" w:anchor="_bookmark2">
            <w:r>
              <w:rPr/>
              <w:t>A</w:t>
            </w:r>
            <w:r>
              <w:rPr>
                <w:spacing w:val="-2"/>
              </w:rPr>
              <w:t> </w:t>
            </w:r>
            <w:r>
              <w:rPr/>
              <w:t>nivel global</w:t>
              <w:tab/>
              <w:t>5</w:t>
            </w:r>
          </w:hyperlink>
        </w:p>
        <w:p>
          <w:pPr>
            <w:pStyle w:val="TOC1"/>
            <w:tabs>
              <w:tab w:pos="8279" w:val="right" w:leader="dot"/>
            </w:tabs>
            <w:spacing w:before="241"/>
            <w:ind w:left="0" w:right="1701" w:firstLine="0"/>
          </w:pPr>
          <w:hyperlink w:history="true" w:anchor="_bookmark3">
            <w:r>
              <w:rPr/>
              <w:t>A</w:t>
            </w:r>
            <w:r>
              <w:rPr>
                <w:spacing w:val="-2"/>
              </w:rPr>
              <w:t> </w:t>
            </w:r>
            <w:r>
              <w:rPr/>
              <w:t>nivel específico</w:t>
              <w:tab/>
              <w:t>6</w:t>
            </w:r>
          </w:hyperlink>
        </w:p>
        <w:p>
          <w:pPr>
            <w:pStyle w:val="TOC1"/>
            <w:numPr>
              <w:ilvl w:val="0"/>
              <w:numId w:val="1"/>
            </w:numPr>
            <w:tabs>
              <w:tab w:pos="226" w:val="left" w:leader="none"/>
              <w:tab w:pos="8500" w:val="right" w:leader="dot"/>
            </w:tabs>
            <w:spacing w:line="240" w:lineRule="auto" w:before="245" w:after="0"/>
            <w:ind w:left="1265" w:right="1701" w:hanging="1266"/>
            <w:jc w:val="right"/>
          </w:pPr>
          <w:hyperlink w:history="true" w:anchor="_bookmark4">
            <w:r>
              <w:rPr/>
              <w:t>Estrategia</w:t>
            </w:r>
            <w:r>
              <w:rPr>
                <w:spacing w:val="-3"/>
              </w:rPr>
              <w:t> </w:t>
            </w:r>
            <w:r>
              <w:rPr/>
              <w:t>y</w:t>
            </w:r>
            <w:r>
              <w:rPr>
                <w:spacing w:val="-2"/>
              </w:rPr>
              <w:t> </w:t>
            </w:r>
            <w:r>
              <w:rPr/>
              <w:t>Metodología</w:t>
              <w:tab/>
              <w:t>7</w:t>
            </w:r>
          </w:hyperlink>
        </w:p>
        <w:p>
          <w:pPr>
            <w:pStyle w:val="TOC1"/>
            <w:numPr>
              <w:ilvl w:val="0"/>
              <w:numId w:val="1"/>
            </w:numPr>
            <w:tabs>
              <w:tab w:pos="226" w:val="left" w:leader="none"/>
              <w:tab w:pos="8499" w:val="right" w:leader="dot"/>
            </w:tabs>
            <w:spacing w:line="240" w:lineRule="auto" w:before="240" w:after="0"/>
            <w:ind w:left="1265" w:right="1703" w:hanging="1266"/>
            <w:jc w:val="right"/>
          </w:pPr>
          <w:hyperlink w:history="true" w:anchor="_bookmark5">
            <w:r>
              <w:rPr/>
              <w:t>Estimaciones</w:t>
            </w:r>
            <w:r>
              <w:rPr>
                <w:spacing w:val="-2"/>
              </w:rPr>
              <w:t> </w:t>
            </w:r>
            <w:r>
              <w:rPr/>
              <w:t>Macroeconómicas</w:t>
              <w:tab/>
              <w:t>10</w:t>
            </w:r>
          </w:hyperlink>
        </w:p>
        <w:p>
          <w:pPr>
            <w:pStyle w:val="TOC1"/>
            <w:numPr>
              <w:ilvl w:val="1"/>
              <w:numId w:val="1"/>
            </w:numPr>
            <w:tabs>
              <w:tab w:pos="327" w:val="left" w:leader="none"/>
              <w:tab w:pos="8277" w:val="right" w:leader="dot"/>
            </w:tabs>
            <w:spacing w:line="240" w:lineRule="auto" w:before="241" w:after="0"/>
            <w:ind w:left="1587" w:right="1703" w:hanging="1588"/>
            <w:jc w:val="right"/>
          </w:pPr>
          <w:hyperlink w:history="true" w:anchor="_bookmark6">
            <w:r>
              <w:rPr/>
              <w:t>Crecimiento</w:t>
            </w:r>
            <w:r>
              <w:rPr>
                <w:spacing w:val="-4"/>
              </w:rPr>
              <w:t> </w:t>
            </w:r>
            <w:r>
              <w:rPr/>
              <w:t>del PIB</w:t>
              <w:tab/>
              <w:t>10</w:t>
            </w:r>
          </w:hyperlink>
        </w:p>
        <w:p>
          <w:pPr>
            <w:pStyle w:val="TOC1"/>
            <w:numPr>
              <w:ilvl w:val="1"/>
              <w:numId w:val="1"/>
            </w:numPr>
            <w:tabs>
              <w:tab w:pos="327" w:val="left" w:leader="none"/>
              <w:tab w:pos="8277" w:val="right" w:leader="dot"/>
            </w:tabs>
            <w:spacing w:line="240" w:lineRule="auto" w:before="240" w:after="0"/>
            <w:ind w:left="1587" w:right="1703" w:hanging="1588"/>
            <w:jc w:val="right"/>
          </w:pPr>
          <w:hyperlink w:history="true" w:anchor="_bookmark7">
            <w:r>
              <w:rPr/>
              <w:t>Importaciones y</w:t>
            </w:r>
            <w:r>
              <w:rPr>
                <w:spacing w:val="-4"/>
              </w:rPr>
              <w:t> </w:t>
            </w:r>
            <w:r>
              <w:rPr/>
              <w:t>Exportaciones</w:t>
            </w:r>
            <w:r>
              <w:rPr>
                <w:spacing w:val="-1"/>
              </w:rPr>
              <w:t> </w:t>
            </w:r>
            <w:r>
              <w:rPr/>
              <w:t>FOB</w:t>
              <w:tab/>
              <w:t>11</w:t>
            </w:r>
          </w:hyperlink>
        </w:p>
        <w:p>
          <w:pPr>
            <w:pStyle w:val="TOC1"/>
            <w:numPr>
              <w:ilvl w:val="1"/>
              <w:numId w:val="1"/>
            </w:numPr>
            <w:tabs>
              <w:tab w:pos="327" w:val="left" w:leader="none"/>
              <w:tab w:pos="8277" w:val="right" w:leader="dot"/>
            </w:tabs>
            <w:spacing w:line="240" w:lineRule="auto" w:before="240" w:after="0"/>
            <w:ind w:left="1587" w:right="1703" w:hanging="1588"/>
            <w:jc w:val="right"/>
          </w:pPr>
          <w:hyperlink w:history="true" w:anchor="_bookmark8">
            <w:r>
              <w:rPr/>
              <w:t>Inflación</w:t>
              <w:tab/>
              <w:t>13</w:t>
            </w:r>
          </w:hyperlink>
        </w:p>
        <w:p>
          <w:pPr>
            <w:pStyle w:val="TOC1"/>
            <w:numPr>
              <w:ilvl w:val="1"/>
              <w:numId w:val="1"/>
            </w:numPr>
            <w:tabs>
              <w:tab w:pos="327" w:val="left" w:leader="none"/>
              <w:tab w:pos="8277" w:val="right" w:leader="dot"/>
            </w:tabs>
            <w:spacing w:line="240" w:lineRule="auto" w:before="241" w:after="0"/>
            <w:ind w:left="1587" w:right="1703" w:hanging="1588"/>
            <w:jc w:val="right"/>
          </w:pPr>
          <w:hyperlink w:history="true" w:anchor="_bookmark9">
            <w:r>
              <w:rPr/>
              <w:t>Tasa</w:t>
            </w:r>
            <w:r>
              <w:rPr>
                <w:spacing w:val="-4"/>
              </w:rPr>
              <w:t> </w:t>
            </w:r>
            <w:r>
              <w:rPr/>
              <w:t>de</w:t>
            </w:r>
            <w:r>
              <w:rPr>
                <w:spacing w:val="-2"/>
              </w:rPr>
              <w:t> </w:t>
            </w:r>
            <w:r>
              <w:rPr/>
              <w:t>interés</w:t>
              <w:tab/>
              <w:t>13</w:t>
            </w:r>
          </w:hyperlink>
        </w:p>
        <w:p>
          <w:pPr>
            <w:pStyle w:val="TOC1"/>
            <w:numPr>
              <w:ilvl w:val="1"/>
              <w:numId w:val="1"/>
            </w:numPr>
            <w:tabs>
              <w:tab w:pos="327" w:val="left" w:leader="none"/>
              <w:tab w:pos="8277" w:val="right" w:leader="dot"/>
            </w:tabs>
            <w:spacing w:line="240" w:lineRule="auto" w:before="240" w:after="0"/>
            <w:ind w:left="1587" w:right="1703" w:hanging="1588"/>
            <w:jc w:val="right"/>
          </w:pPr>
          <w:hyperlink w:history="true" w:anchor="_bookmark10">
            <w:r>
              <w:rPr/>
              <w:t>Déficit</w:t>
            </w:r>
            <w:r>
              <w:rPr>
                <w:spacing w:val="-5"/>
              </w:rPr>
              <w:t> </w:t>
            </w:r>
            <w:r>
              <w:rPr/>
              <w:t>Fiscal</w:t>
              <w:tab/>
              <w:t>14</w:t>
            </w:r>
          </w:hyperlink>
        </w:p>
        <w:p>
          <w:pPr>
            <w:pStyle w:val="TOC1"/>
            <w:numPr>
              <w:ilvl w:val="1"/>
              <w:numId w:val="1"/>
            </w:numPr>
            <w:tabs>
              <w:tab w:pos="327" w:val="left" w:leader="none"/>
              <w:tab w:pos="8277" w:val="right" w:leader="dot"/>
            </w:tabs>
            <w:spacing w:line="240" w:lineRule="auto" w:before="240" w:after="0"/>
            <w:ind w:left="1587" w:right="1703" w:hanging="1588"/>
            <w:jc w:val="right"/>
          </w:pPr>
          <w:hyperlink w:history="true" w:anchor="_bookmark11">
            <w:r>
              <w:rPr/>
              <w:t>Deuda</w:t>
            </w:r>
            <w:r>
              <w:rPr>
                <w:spacing w:val="-3"/>
              </w:rPr>
              <w:t> </w:t>
            </w:r>
            <w:r>
              <w:rPr/>
              <w:t>Pública</w:t>
              <w:tab/>
              <w:t>14</w:t>
            </w:r>
          </w:hyperlink>
        </w:p>
        <w:p>
          <w:pPr>
            <w:pStyle w:val="TOC1"/>
            <w:numPr>
              <w:ilvl w:val="0"/>
              <w:numId w:val="2"/>
            </w:numPr>
            <w:tabs>
              <w:tab w:pos="216" w:val="left" w:leader="none"/>
              <w:tab w:pos="8499" w:val="right" w:leader="dot"/>
            </w:tabs>
            <w:spacing w:line="240" w:lineRule="auto" w:before="241" w:after="0"/>
            <w:ind w:left="1255" w:right="1703" w:hanging="1256"/>
            <w:jc w:val="right"/>
          </w:pPr>
          <w:hyperlink w:history="true" w:anchor="_bookmark12">
            <w:r>
              <w:rPr/>
              <w:t>Proyecto de Presupuesto 2021 y</w:t>
            </w:r>
            <w:r>
              <w:rPr>
                <w:spacing w:val="-10"/>
              </w:rPr>
              <w:t> </w:t>
            </w:r>
            <w:r>
              <w:rPr/>
              <w:t>Multianual</w:t>
            </w:r>
            <w:r>
              <w:rPr>
                <w:spacing w:val="-1"/>
              </w:rPr>
              <w:t> </w:t>
            </w:r>
            <w:r>
              <w:rPr/>
              <w:t>2021-2025</w:t>
              <w:tab/>
              <w:t>15</w:t>
            </w:r>
          </w:hyperlink>
        </w:p>
        <w:p>
          <w:pPr>
            <w:pStyle w:val="TOC1"/>
            <w:numPr>
              <w:ilvl w:val="1"/>
              <w:numId w:val="2"/>
            </w:numPr>
            <w:tabs>
              <w:tab w:pos="327" w:val="left" w:leader="none"/>
              <w:tab w:pos="8277" w:val="right" w:leader="dot"/>
            </w:tabs>
            <w:spacing w:line="240" w:lineRule="auto" w:before="240" w:after="0"/>
            <w:ind w:left="1587" w:right="1703" w:hanging="1588"/>
            <w:jc w:val="right"/>
          </w:pPr>
          <w:hyperlink w:history="true" w:anchor="_bookmark13">
            <w:r>
              <w:rPr/>
              <w:t>Gestión por</w:t>
            </w:r>
            <w:r>
              <w:rPr>
                <w:spacing w:val="-6"/>
              </w:rPr>
              <w:t> </w:t>
            </w:r>
            <w:r>
              <w:rPr/>
              <w:t>Resultados</w:t>
            </w:r>
            <w:r>
              <w:rPr>
                <w:spacing w:val="-2"/>
              </w:rPr>
              <w:t> </w:t>
            </w:r>
            <w:r>
              <w:rPr/>
              <w:t>(GpR)</w:t>
              <w:tab/>
              <w:t>15</w:t>
            </w:r>
          </w:hyperlink>
        </w:p>
        <w:p>
          <w:pPr>
            <w:pStyle w:val="TOC1"/>
            <w:numPr>
              <w:ilvl w:val="1"/>
              <w:numId w:val="2"/>
            </w:numPr>
            <w:tabs>
              <w:tab w:pos="327" w:val="left" w:leader="none"/>
              <w:tab w:pos="8277" w:val="right" w:leader="dot"/>
            </w:tabs>
            <w:spacing w:line="240" w:lineRule="auto" w:before="241" w:after="0"/>
            <w:ind w:left="1587" w:right="1703" w:hanging="1588"/>
            <w:jc w:val="right"/>
          </w:pPr>
          <w:hyperlink w:history="true" w:anchor="_bookmark14">
            <w:r>
              <w:rPr/>
              <w:t>Metas de Recaudación y</w:t>
            </w:r>
            <w:r>
              <w:rPr>
                <w:spacing w:val="-10"/>
              </w:rPr>
              <w:t> </w:t>
            </w:r>
            <w:r>
              <w:rPr/>
              <w:t>Carga</w:t>
            </w:r>
            <w:r>
              <w:rPr>
                <w:spacing w:val="-2"/>
              </w:rPr>
              <w:t> </w:t>
            </w:r>
            <w:r>
              <w:rPr/>
              <w:t>Tributaria</w:t>
              <w:tab/>
              <w:t>17</w:t>
            </w:r>
          </w:hyperlink>
        </w:p>
        <w:p>
          <w:pPr>
            <w:pStyle w:val="TOC1"/>
            <w:numPr>
              <w:ilvl w:val="1"/>
              <w:numId w:val="2"/>
            </w:numPr>
            <w:tabs>
              <w:tab w:pos="327" w:val="left" w:leader="none"/>
              <w:tab w:pos="8277" w:val="right" w:leader="dot"/>
            </w:tabs>
            <w:spacing w:line="240" w:lineRule="auto" w:before="240" w:after="0"/>
            <w:ind w:left="1587" w:right="1703" w:hanging="1588"/>
            <w:jc w:val="right"/>
          </w:pPr>
          <w:hyperlink w:history="true" w:anchor="_bookmark15">
            <w:r>
              <w:rPr/>
              <w:t>Acerca de los Techos Indicativos</w:t>
            </w:r>
            <w:r>
              <w:rPr>
                <w:spacing w:val="-11"/>
              </w:rPr>
              <w:t> </w:t>
            </w:r>
            <w:r>
              <w:rPr/>
              <w:t>de</w:t>
            </w:r>
            <w:r>
              <w:rPr>
                <w:spacing w:val="-3"/>
              </w:rPr>
              <w:t> </w:t>
            </w:r>
            <w:r>
              <w:rPr/>
              <w:t>Gasto</w:t>
              <w:tab/>
              <w:t>18</w:t>
            </w:r>
          </w:hyperlink>
        </w:p>
        <w:p>
          <w:pPr>
            <w:pStyle w:val="TOC1"/>
            <w:tabs>
              <w:tab w:pos="8499" w:val="right" w:leader="dot"/>
            </w:tabs>
            <w:spacing w:before="241"/>
            <w:ind w:left="0" w:firstLine="0"/>
          </w:pPr>
          <w:hyperlink w:history="true" w:anchor="_bookmark16">
            <w:r>
              <w:rPr/>
              <w:t>Glosario</w:t>
              <w:tab/>
              <w:t>20</w:t>
            </w:r>
          </w:hyperlink>
        </w:p>
        <w:p>
          <w:pPr>
            <w:pStyle w:val="TOC2"/>
            <w:tabs>
              <w:tab w:pos="8499" w:val="right" w:leader="dot"/>
            </w:tabs>
            <w:rPr>
              <w:b w:val="0"/>
              <w:i w:val="0"/>
              <w:sz w:val="22"/>
            </w:rPr>
          </w:pPr>
          <w:r>
            <w:rPr/>
            <w:pict>
              <v:shape style="position:absolute;margin-left:531.919678pt;margin-top:75.997696pt;width:27.9pt;height:45.95pt;mso-position-horizontal-relative:page;mso-position-vertical-relative:paragraph;z-index:251658240" type="#_x0000_t202" filled="false" stroked="false">
                <v:textbox inset="0,0,0,0" style="layout-flow:vertical;mso-layout-flow-alt:bottom-to-top">
                  <w:txbxContent>
                    <w:p>
                      <w:pPr>
                        <w:spacing w:before="21"/>
                        <w:ind w:left="20" w:right="0" w:firstLine="0"/>
                        <w:jc w:val="left"/>
                        <w:rPr>
                          <w:rFonts w:ascii="Cambria" w:hAnsi="Cambria"/>
                          <w:sz w:val="44"/>
                        </w:rPr>
                      </w:pPr>
                      <w:r>
                        <w:rPr>
                          <w:rFonts w:ascii="Cambria" w:hAnsi="Cambria"/>
                          <w:sz w:val="22"/>
                        </w:rPr>
                        <w:t>Página</w:t>
                      </w:r>
                      <w:r>
                        <w:rPr>
                          <w:rFonts w:ascii="Cambria" w:hAnsi="Cambria"/>
                          <w:sz w:val="44"/>
                        </w:rPr>
                        <w:t>2</w:t>
                      </w:r>
                    </w:p>
                  </w:txbxContent>
                </v:textbox>
                <w10:wrap type="none"/>
              </v:shape>
            </w:pict>
          </w:r>
          <w:hyperlink w:history="true" w:anchor="_bookmark17">
            <w:r>
              <w:rPr>
                <w:i w:val="0"/>
                <w:sz w:val="22"/>
              </w:rPr>
              <w:t>ANEXO</w:t>
              <w:tab/>
            </w:r>
            <w:r>
              <w:rPr>
                <w:b w:val="0"/>
                <w:i w:val="0"/>
                <w:sz w:val="22"/>
              </w:rPr>
              <w:t>21</w:t>
            </w:r>
          </w:hyperlink>
        </w:p>
      </w:sdtContent>
    </w:sdt>
    <w:p>
      <w:pPr>
        <w:spacing w:after="0"/>
        <w:rPr>
          <w:sz w:val="22"/>
        </w:rPr>
        <w:sectPr>
          <w:headerReference w:type="default" r:id="rId7"/>
          <w:footerReference w:type="default" r:id="rId8"/>
          <w:pgSz w:w="11910" w:h="16840"/>
          <w:pgMar w:header="1045" w:footer="872" w:top="2280" w:bottom="1060" w:left="660" w:right="0"/>
        </w:sectPr>
      </w:pPr>
    </w:p>
    <w:p>
      <w:pPr>
        <w:pStyle w:val="BodyText"/>
        <w:spacing w:before="7"/>
        <w:rPr>
          <w:sz w:val="19"/>
        </w:rPr>
      </w:pPr>
    </w:p>
    <w:p>
      <w:pPr>
        <w:pStyle w:val="Heading1"/>
        <w:ind w:left="2542" w:right="3200" w:firstLine="0"/>
        <w:jc w:val="center"/>
      </w:pPr>
      <w:bookmarkStart w:name="Introducción" w:id="2"/>
      <w:bookmarkEnd w:id="2"/>
      <w:r>
        <w:rPr>
          <w:b w:val="0"/>
        </w:rPr>
      </w:r>
      <w:bookmarkStart w:name="_bookmark0" w:id="3"/>
      <w:bookmarkEnd w:id="3"/>
      <w:r>
        <w:rPr>
          <w:b w:val="0"/>
        </w:rPr>
      </w:r>
      <w:r>
        <w:rPr/>
        <w:t>Introducción</w:t>
      </w:r>
    </w:p>
    <w:p>
      <w:pPr>
        <w:pStyle w:val="BodyText"/>
        <w:spacing w:before="1"/>
        <w:rPr>
          <w:b/>
          <w:sz w:val="23"/>
        </w:rPr>
      </w:pPr>
    </w:p>
    <w:p>
      <w:pPr>
        <w:pStyle w:val="BodyText"/>
        <w:spacing w:line="276" w:lineRule="auto"/>
        <w:ind w:left="1039" w:right="1698"/>
        <w:jc w:val="both"/>
      </w:pPr>
      <w:r>
        <w:rPr/>
        <w:t>El Ministerio de Finanzas Públicas (MINFIN) como parte de las acciones que realiza </w:t>
      </w:r>
      <w:r>
        <w:rPr>
          <w:spacing w:val="2"/>
        </w:rPr>
        <w:t>en </w:t>
      </w:r>
      <w:r>
        <w:rPr/>
        <w:t>el marco de la transparencia fiscal, pone a disposición de las personas el presente documento denominado </w:t>
      </w:r>
      <w:r>
        <w:rPr>
          <w:b/>
        </w:rPr>
        <w:t>“Informe Preliminar 2021”, </w:t>
      </w:r>
      <w:r>
        <w:rPr/>
        <w:t>el cual persigue informar de forma general y oportuna, acerca de las proyecciones macroeconómicas y fiscales, así como de las estimaciones preliminares de ingresos y egresos sobre las que se sustenta el Proyecto de Presupuesto General de Ingresos y Egresos del Estado para el Ejercicio Fiscal 2021 que será sometido a consideración del Congreso de la República de Guatemala, a más tardar </w:t>
      </w:r>
      <w:r>
        <w:rPr>
          <w:spacing w:val="2"/>
        </w:rPr>
        <w:t>el </w:t>
      </w:r>
      <w:r>
        <w:rPr/>
        <w:t>2 de septiembre de 2020, conforme lo establece la Constitución Política de la República de Guatemala en el artículo 171, literal</w:t>
      </w:r>
      <w:r>
        <w:rPr>
          <w:spacing w:val="-17"/>
        </w:rPr>
        <w:t> </w:t>
      </w:r>
      <w:r>
        <w:rPr/>
        <w:t>b).</w:t>
      </w:r>
    </w:p>
    <w:p>
      <w:pPr>
        <w:pStyle w:val="BodyText"/>
        <w:spacing w:line="276" w:lineRule="auto" w:before="204"/>
        <w:ind w:left="1039" w:right="1698"/>
        <w:jc w:val="both"/>
      </w:pPr>
      <w:r>
        <w:rPr/>
        <w:t>Con dicho documento se persigue incentivar </w:t>
      </w:r>
      <w:r>
        <w:rPr>
          <w:spacing w:val="2"/>
        </w:rPr>
        <w:t>el </w:t>
      </w:r>
      <w:r>
        <w:rPr/>
        <w:t>interés de las personas sobre el análisis y discusión de la propuesta de presupuesto para el próximo ejercicio fiscal. Este análisis es importante especialmente por la coyuntura económica que atraviesa </w:t>
      </w:r>
      <w:r>
        <w:rPr>
          <w:spacing w:val="2"/>
        </w:rPr>
        <w:t>el </w:t>
      </w:r>
      <w:r>
        <w:rPr/>
        <w:t>país con motivo de la pandemia del COVID-19 y sus efectos en </w:t>
      </w:r>
      <w:r>
        <w:rPr>
          <w:spacing w:val="2"/>
        </w:rPr>
        <w:t>el </w:t>
      </w:r>
      <w:r>
        <w:rPr/>
        <w:t>desempeño de la gestión pública y la prestación de los servicios públicos.</w:t>
      </w:r>
    </w:p>
    <w:p>
      <w:pPr>
        <w:pStyle w:val="BodyText"/>
        <w:spacing w:line="276" w:lineRule="auto" w:before="197"/>
        <w:ind w:left="1039" w:right="1696"/>
        <w:jc w:val="both"/>
      </w:pPr>
      <w:r>
        <w:rPr/>
        <w:t>El MINFIN en el proceso de formulación presupuestaria multianual 2021-2025, ha impulsado acciones metodológicas y participativas como los Talleres de Presupuesto Abierto, los cuales en concordancia con las medidas sanitarias del distanciamiento social, fueron realizados en forma virtual a través de su página web institucional. En total se realizaron 6 talleres de presupuesto abierto y 3 foros públicos, y en cada evento se obtuvo diversos comentarios y preguntas que fueron respondidas por autoridades de cada entidad de forma verbal algunas, y las que no fueron posibles por el tiempo, se respondieron por escrito. Con ello se ha propiciado que los ciudadanos conozcan las proyecciones fiscales con las que se programan los recursos para el próximo ejercicio fiscal, a fin de brindar la prestación de los servicios públicos en beneficio de los ciudadanos.</w:t>
      </w:r>
    </w:p>
    <w:p>
      <w:pPr>
        <w:pStyle w:val="BodyText"/>
        <w:spacing w:line="276" w:lineRule="auto" w:before="203"/>
        <w:ind w:left="1039" w:right="1696"/>
        <w:jc w:val="both"/>
      </w:pPr>
      <w:r>
        <w:rPr/>
        <w:pict>
          <v:shape style="position:absolute;margin-left:531.919678pt;margin-top:122.159836pt;width:27.9pt;height:45.95pt;mso-position-horizontal-relative:page;mso-position-vertical-relative:paragraph;z-index:251659264" type="#_x0000_t202" filled="false" stroked="false">
            <v:textbox inset="0,0,0,0" style="layout-flow:vertical;mso-layout-flow-alt:bottom-to-top">
              <w:txbxContent>
                <w:p>
                  <w:pPr>
                    <w:spacing w:before="21"/>
                    <w:ind w:left="20" w:right="0" w:firstLine="0"/>
                    <w:jc w:val="left"/>
                    <w:rPr>
                      <w:rFonts w:ascii="Cambria" w:hAnsi="Cambria"/>
                      <w:sz w:val="44"/>
                    </w:rPr>
                  </w:pPr>
                  <w:r>
                    <w:rPr>
                      <w:rFonts w:ascii="Cambria" w:hAnsi="Cambria"/>
                      <w:sz w:val="22"/>
                    </w:rPr>
                    <w:t>Página</w:t>
                  </w:r>
                  <w:r>
                    <w:rPr>
                      <w:rFonts w:ascii="Cambria" w:hAnsi="Cambria"/>
                      <w:sz w:val="44"/>
                    </w:rPr>
                    <w:t>3</w:t>
                  </w:r>
                </w:p>
              </w:txbxContent>
            </v:textbox>
            <w10:wrap type="none"/>
          </v:shape>
        </w:pict>
      </w:r>
      <w:r>
        <w:rPr/>
        <w:t>Asimismo, es importante hacer notar que, si bien los techos presupuestarios constituyen una parte fundamental del Informe Preliminar 2021, los mismos a la fecha de emisión del presente documento, aún se encuentran en su fase de revisión y análisis, toda vez que ante la incertidumbre que deriva de la Pandemia del Covid-19, aún es prematuro presentar cifras que pueden ser modificadas durante el mes de agosto de 2020. No obstante, los techos presupuestarios se están definiendo en un contexto de recuperación macroeconómica, recuperación de la capacidad fiscal y financiera del Estado, fortalecimiento de la funcionalidad institucional, así como en un</w:t>
      </w:r>
    </w:p>
    <w:p>
      <w:pPr>
        <w:spacing w:after="0" w:line="276" w:lineRule="auto"/>
        <w:jc w:val="both"/>
        <w:sectPr>
          <w:pgSz w:w="11910" w:h="16840"/>
          <w:pgMar w:header="1045" w:footer="872" w:top="2280" w:bottom="1060" w:left="660" w:right="0"/>
        </w:sectPr>
      </w:pPr>
    </w:p>
    <w:p>
      <w:pPr>
        <w:pStyle w:val="BodyText"/>
        <w:spacing w:before="6"/>
        <w:rPr>
          <w:sz w:val="12"/>
        </w:rPr>
      </w:pPr>
      <w:r>
        <w:rPr/>
        <w:pict>
          <v:shape style="position:absolute;margin-left:531.919678pt;margin-top:722.834045pt;width:27.9pt;height:45.95pt;mso-position-horizontal-relative:page;mso-position-vertical-relative:page;z-index:251660288" type="#_x0000_t202" filled="false" stroked="false">
            <v:textbox inset="0,0,0,0" style="layout-flow:vertical;mso-layout-flow-alt:bottom-to-top">
              <w:txbxContent>
                <w:p>
                  <w:pPr>
                    <w:spacing w:before="21"/>
                    <w:ind w:left="20" w:right="0" w:firstLine="0"/>
                    <w:jc w:val="left"/>
                    <w:rPr>
                      <w:rFonts w:ascii="Cambria" w:hAnsi="Cambria"/>
                      <w:sz w:val="44"/>
                    </w:rPr>
                  </w:pPr>
                  <w:r>
                    <w:rPr>
                      <w:rFonts w:ascii="Cambria" w:hAnsi="Cambria"/>
                      <w:sz w:val="22"/>
                    </w:rPr>
                    <w:t>Página</w:t>
                  </w:r>
                  <w:r>
                    <w:rPr>
                      <w:rFonts w:ascii="Cambria" w:hAnsi="Cambria"/>
                      <w:sz w:val="44"/>
                    </w:rPr>
                    <w:t>4</w:t>
                  </w:r>
                </w:p>
              </w:txbxContent>
            </v:textbox>
            <w10:wrap type="none"/>
          </v:shape>
        </w:pict>
      </w:r>
    </w:p>
    <w:p>
      <w:pPr>
        <w:pStyle w:val="BodyText"/>
        <w:spacing w:line="276" w:lineRule="auto" w:before="51"/>
        <w:ind w:left="1039" w:right="1701"/>
        <w:jc w:val="both"/>
      </w:pPr>
      <w:r>
        <w:rPr/>
        <w:t>marco de sostenibilidad del endeudamiento público y de propuesta de la reactivación económica del país luego de los efectos adversos de la pandemia a nivel mundial.</w:t>
      </w:r>
    </w:p>
    <w:p>
      <w:pPr>
        <w:pStyle w:val="BodyText"/>
        <w:spacing w:line="276" w:lineRule="auto" w:before="200"/>
        <w:ind w:left="1039" w:right="1696"/>
        <w:jc w:val="both"/>
      </w:pPr>
      <w:r>
        <w:rPr/>
        <w:t>Al concluir la etapa de formulación presupuestaria, será enviado el “Proyecto de Presupuesto General de Ingresos y Egresos del Estado para el Ejercicio Fiscal 2021” al Congreso de la República de Guatemala, el cual podrá ser consultado en la página del MINFIN, en el vínculo siguiente:</w:t>
      </w:r>
    </w:p>
    <w:p>
      <w:pPr>
        <w:spacing w:before="203"/>
        <w:ind w:left="1798" w:right="0" w:firstLine="0"/>
        <w:jc w:val="left"/>
        <w:rPr>
          <w:b/>
          <w:sz w:val="24"/>
        </w:rPr>
      </w:pPr>
      <w:hyperlink r:id="rId9">
        <w:r>
          <w:rPr>
            <w:b/>
            <w:color w:val="538DD3"/>
            <w:sz w:val="24"/>
          </w:rPr>
          <w:t>http://www.minfin.gob.gt/index.php/proyecto-de-presupuesto</w:t>
        </w:r>
      </w:hyperlink>
    </w:p>
    <w:p>
      <w:pPr>
        <w:pStyle w:val="BodyText"/>
        <w:spacing w:before="8"/>
        <w:rPr>
          <w:b/>
          <w:sz w:val="19"/>
        </w:rPr>
      </w:pPr>
    </w:p>
    <w:p>
      <w:pPr>
        <w:pStyle w:val="BodyText"/>
        <w:spacing w:line="276" w:lineRule="auto"/>
        <w:ind w:left="1039" w:right="1702"/>
        <w:jc w:val="both"/>
      </w:pPr>
      <w:r>
        <w:rPr/>
        <w:t>Durante los meses de septiembre a noviembre de 2020, el Congreso de la República de Guatemala realizará el análisis y discusión del proyecto de presupuesto, el cual podrá ser aprobado, improbado o modificado conforme a la facultad constitucional que le asiste a ese Organismo del Estado, de conformidad con la Constitución Política de la República de Guatemala</w:t>
      </w:r>
    </w:p>
    <w:p>
      <w:pPr>
        <w:spacing w:after="0" w:line="276" w:lineRule="auto"/>
        <w:jc w:val="both"/>
        <w:sectPr>
          <w:pgSz w:w="11910" w:h="16840"/>
          <w:pgMar w:header="1045" w:footer="872" w:top="2280" w:bottom="1060" w:left="660" w:right="0"/>
        </w:sectPr>
      </w:pPr>
    </w:p>
    <w:p>
      <w:pPr>
        <w:pStyle w:val="BodyText"/>
        <w:spacing w:before="7"/>
        <w:rPr>
          <w:sz w:val="19"/>
        </w:rPr>
      </w:pPr>
    </w:p>
    <w:p>
      <w:pPr>
        <w:pStyle w:val="Heading1"/>
        <w:numPr>
          <w:ilvl w:val="0"/>
          <w:numId w:val="3"/>
        </w:numPr>
        <w:tabs>
          <w:tab w:pos="1329" w:val="left" w:leader="none"/>
        </w:tabs>
        <w:spacing w:line="240" w:lineRule="auto" w:before="42" w:after="0"/>
        <w:ind w:left="1328" w:right="0" w:hanging="290"/>
        <w:jc w:val="left"/>
      </w:pPr>
      <w:bookmarkStart w:name="1) Principales supuestos en el contexto " w:id="4"/>
      <w:bookmarkEnd w:id="4"/>
      <w:r>
        <w:rPr>
          <w:b w:val="0"/>
        </w:rPr>
      </w:r>
      <w:bookmarkStart w:name="_bookmark1" w:id="5"/>
      <w:bookmarkEnd w:id="5"/>
      <w:r>
        <w:rPr>
          <w:b w:val="0"/>
        </w:rPr>
      </w:r>
      <w:bookmarkStart w:name="_bookmark1" w:id="6"/>
      <w:bookmarkEnd w:id="6"/>
      <w:r>
        <w:rPr/>
        <w:t>P</w:t>
      </w:r>
      <w:r>
        <w:rPr/>
        <w:t>rincipales supuestos en el contexto de mediano</w:t>
      </w:r>
      <w:r>
        <w:rPr>
          <w:spacing w:val="7"/>
        </w:rPr>
        <w:t> </w:t>
      </w:r>
      <w:r>
        <w:rPr/>
        <w:t>plazo</w:t>
      </w:r>
    </w:p>
    <w:p>
      <w:pPr>
        <w:pStyle w:val="BodyText"/>
        <w:spacing w:before="1"/>
        <w:rPr>
          <w:b/>
          <w:sz w:val="23"/>
        </w:rPr>
      </w:pPr>
    </w:p>
    <w:p>
      <w:pPr>
        <w:pStyle w:val="BodyText"/>
        <w:spacing w:line="278" w:lineRule="auto"/>
        <w:ind w:left="1039" w:right="1701"/>
        <w:jc w:val="both"/>
      </w:pPr>
      <w:r>
        <w:rPr/>
        <w:t>Las estimaciones del presupuesto multianual 2021-2025 como instrumento técnico de política estratégica de mediano plazo para optimizar el uso de los recursos públicos, se desarrolla bajo los supuestos siguientes:</w:t>
      </w:r>
    </w:p>
    <w:p>
      <w:pPr>
        <w:pStyle w:val="BodyText"/>
      </w:pPr>
    </w:p>
    <w:p>
      <w:pPr>
        <w:pStyle w:val="BodyText"/>
      </w:pPr>
    </w:p>
    <w:p>
      <w:pPr>
        <w:pStyle w:val="BodyText"/>
        <w:spacing w:before="1"/>
        <w:rPr>
          <w:sz w:val="19"/>
        </w:rPr>
      </w:pPr>
    </w:p>
    <w:p>
      <w:pPr>
        <w:spacing w:before="0"/>
        <w:ind w:left="1039" w:right="0" w:firstLine="0"/>
        <w:jc w:val="both"/>
        <w:rPr>
          <w:b/>
          <w:sz w:val="24"/>
        </w:rPr>
      </w:pPr>
      <w:bookmarkStart w:name="A nivel global" w:id="7"/>
      <w:bookmarkEnd w:id="7"/>
      <w:r>
        <w:rPr/>
      </w:r>
      <w:bookmarkStart w:name="_bookmark2" w:id="8"/>
      <w:bookmarkEnd w:id="8"/>
      <w:r>
        <w:rPr/>
      </w:r>
      <w:r>
        <w:rPr>
          <w:b/>
          <w:sz w:val="24"/>
        </w:rPr>
        <w:t>A nivel global</w:t>
      </w:r>
    </w:p>
    <w:p>
      <w:pPr>
        <w:pStyle w:val="BodyText"/>
        <w:rPr>
          <w:b/>
        </w:rPr>
      </w:pPr>
    </w:p>
    <w:p>
      <w:pPr>
        <w:pStyle w:val="ListParagraph"/>
        <w:numPr>
          <w:ilvl w:val="1"/>
          <w:numId w:val="3"/>
        </w:numPr>
        <w:tabs>
          <w:tab w:pos="1746" w:val="left" w:leader="none"/>
        </w:tabs>
        <w:spacing w:line="276" w:lineRule="auto" w:before="150" w:after="0"/>
        <w:ind w:left="1760" w:right="1696" w:hanging="360"/>
        <w:jc w:val="both"/>
        <w:rPr>
          <w:sz w:val="24"/>
        </w:rPr>
      </w:pPr>
      <w:r>
        <w:rPr>
          <w:sz w:val="24"/>
        </w:rPr>
        <w:t>De acuerdo a las proyecciones del Fondo Monetario Internacional (FMI), las perspectivas de la economía mundial, según indica en el Boletín “Al Día” a julio de 2020, el crecimiento mundial se pronostica en -4.9% y para 2021 se proyecta en 5.4%. Esto porque la pandemia del Covid-19 ha tenido un impacto mayor  del esperado y la recuperación se considera que será</w:t>
      </w:r>
      <w:r>
        <w:rPr>
          <w:spacing w:val="-10"/>
          <w:sz w:val="24"/>
        </w:rPr>
        <w:t> </w:t>
      </w:r>
      <w:r>
        <w:rPr>
          <w:sz w:val="24"/>
        </w:rPr>
        <w:t>gradual.</w:t>
      </w:r>
    </w:p>
    <w:p>
      <w:pPr>
        <w:pStyle w:val="ListParagraph"/>
        <w:numPr>
          <w:ilvl w:val="1"/>
          <w:numId w:val="3"/>
        </w:numPr>
        <w:tabs>
          <w:tab w:pos="1746" w:val="left" w:leader="none"/>
        </w:tabs>
        <w:spacing w:line="276" w:lineRule="auto" w:before="0" w:after="0"/>
        <w:ind w:left="1760" w:right="1707" w:hanging="360"/>
        <w:jc w:val="both"/>
        <w:rPr>
          <w:sz w:val="24"/>
        </w:rPr>
      </w:pPr>
      <w:r>
        <w:rPr>
          <w:sz w:val="24"/>
        </w:rPr>
        <w:t>Las economías sufrirán a medida que continúe </w:t>
      </w:r>
      <w:r>
        <w:rPr>
          <w:spacing w:val="2"/>
          <w:sz w:val="24"/>
        </w:rPr>
        <w:t>el </w:t>
      </w:r>
      <w:r>
        <w:rPr>
          <w:sz w:val="24"/>
        </w:rPr>
        <w:t>confinamiento y decrezca la productividad de los países, siendo importante generar medidas de seguridad e higiene para contrarrestar mayores</w:t>
      </w:r>
      <w:r>
        <w:rPr>
          <w:spacing w:val="-8"/>
          <w:sz w:val="24"/>
        </w:rPr>
        <w:t> </w:t>
      </w:r>
      <w:r>
        <w:rPr>
          <w:sz w:val="24"/>
        </w:rPr>
        <w:t>contagios.</w:t>
      </w:r>
    </w:p>
    <w:p>
      <w:pPr>
        <w:pStyle w:val="ListParagraph"/>
        <w:numPr>
          <w:ilvl w:val="1"/>
          <w:numId w:val="3"/>
        </w:numPr>
        <w:tabs>
          <w:tab w:pos="1746" w:val="left" w:leader="none"/>
        </w:tabs>
        <w:spacing w:line="276" w:lineRule="auto" w:before="0" w:after="0"/>
        <w:ind w:left="1760" w:right="1700" w:hanging="360"/>
        <w:jc w:val="both"/>
        <w:rPr>
          <w:sz w:val="24"/>
        </w:rPr>
      </w:pPr>
      <w:r>
        <w:rPr>
          <w:sz w:val="24"/>
        </w:rPr>
        <w:t>El consumo y la producción han disminuido de forma pronunciada. Esto por la combinación de diversas medidas como </w:t>
      </w:r>
      <w:r>
        <w:rPr>
          <w:spacing w:val="2"/>
          <w:sz w:val="24"/>
        </w:rPr>
        <w:t>el </w:t>
      </w:r>
      <w:r>
        <w:rPr>
          <w:sz w:val="24"/>
        </w:rPr>
        <w:t>distanciamiento social voluntario, confinamientos necesarios, sistemas sanitarios afectados por </w:t>
      </w:r>
      <w:r>
        <w:rPr>
          <w:spacing w:val="2"/>
          <w:sz w:val="24"/>
        </w:rPr>
        <w:t>el </w:t>
      </w:r>
      <w:r>
        <w:rPr>
          <w:sz w:val="24"/>
        </w:rPr>
        <w:t>número de contagios, pérdidas en los ingresos, caída de la demanda, interrupciones en los suministros.</w:t>
      </w:r>
    </w:p>
    <w:p>
      <w:pPr>
        <w:pStyle w:val="ListParagraph"/>
        <w:numPr>
          <w:ilvl w:val="1"/>
          <w:numId w:val="3"/>
        </w:numPr>
        <w:tabs>
          <w:tab w:pos="1746" w:val="left" w:leader="none"/>
        </w:tabs>
        <w:spacing w:line="276" w:lineRule="auto" w:before="0" w:after="0"/>
        <w:ind w:left="1760" w:right="1703" w:hanging="360"/>
        <w:jc w:val="both"/>
        <w:rPr>
          <w:sz w:val="24"/>
        </w:rPr>
      </w:pPr>
      <w:r>
        <w:rPr>
          <w:sz w:val="24"/>
        </w:rPr>
        <w:t>En </w:t>
      </w:r>
      <w:r>
        <w:rPr>
          <w:spacing w:val="2"/>
          <w:sz w:val="24"/>
        </w:rPr>
        <w:t>el </w:t>
      </w:r>
      <w:r>
        <w:rPr>
          <w:sz w:val="24"/>
        </w:rPr>
        <w:t>mercado laboral, según la Organización Internacional del Trabajo (OIT), se han perdido alrededor de 130 millones de empleos a tiempo completo durante el primer trimestre de 2020 y se considera que al final del año podría llegar a 300 millones a nivel mundial. En el sector informal se estima que 2,000 millones de personas en el sector se han visto seriamente</w:t>
      </w:r>
      <w:r>
        <w:rPr>
          <w:spacing w:val="-16"/>
          <w:sz w:val="24"/>
        </w:rPr>
        <w:t> </w:t>
      </w:r>
      <w:r>
        <w:rPr>
          <w:sz w:val="24"/>
        </w:rPr>
        <w:t>afectadas.</w:t>
      </w:r>
    </w:p>
    <w:p>
      <w:pPr>
        <w:pStyle w:val="ListParagraph"/>
        <w:numPr>
          <w:ilvl w:val="1"/>
          <w:numId w:val="3"/>
        </w:numPr>
        <w:tabs>
          <w:tab w:pos="1746" w:val="left" w:leader="none"/>
        </w:tabs>
        <w:spacing w:line="278" w:lineRule="auto" w:before="0" w:after="0"/>
        <w:ind w:left="1760" w:right="1702" w:hanging="360"/>
        <w:jc w:val="both"/>
        <w:rPr>
          <w:sz w:val="24"/>
        </w:rPr>
      </w:pPr>
      <w:r>
        <w:rPr>
          <w:sz w:val="24"/>
        </w:rPr>
        <w:t>La disminución de los ingresos per cápita podría llevar a millones de personas a la pobreza y pobreza</w:t>
      </w:r>
      <w:r>
        <w:rPr>
          <w:spacing w:val="-4"/>
          <w:sz w:val="24"/>
        </w:rPr>
        <w:t> </w:t>
      </w:r>
      <w:r>
        <w:rPr>
          <w:sz w:val="24"/>
        </w:rPr>
        <w:t>extrema.</w:t>
      </w:r>
    </w:p>
    <w:p>
      <w:pPr>
        <w:pStyle w:val="ListParagraph"/>
        <w:numPr>
          <w:ilvl w:val="1"/>
          <w:numId w:val="3"/>
        </w:numPr>
        <w:tabs>
          <w:tab w:pos="1746" w:val="left" w:leader="none"/>
        </w:tabs>
        <w:spacing w:line="276" w:lineRule="auto" w:before="0" w:after="0"/>
        <w:ind w:left="1760" w:right="1701" w:hanging="360"/>
        <w:jc w:val="both"/>
        <w:rPr>
          <w:sz w:val="24"/>
        </w:rPr>
      </w:pPr>
      <w:r>
        <w:rPr/>
        <w:pict>
          <v:shape style="position:absolute;margin-left:531.919678pt;margin-top:97.589844pt;width:27.9pt;height:45.95pt;mso-position-horizontal-relative:page;mso-position-vertical-relative:paragraph;z-index:251661312" type="#_x0000_t202" filled="false" stroked="false">
            <v:textbox inset="0,0,0,0" style="layout-flow:vertical;mso-layout-flow-alt:bottom-to-top">
              <w:txbxContent>
                <w:p>
                  <w:pPr>
                    <w:spacing w:before="21"/>
                    <w:ind w:left="20" w:right="0" w:firstLine="0"/>
                    <w:jc w:val="left"/>
                    <w:rPr>
                      <w:rFonts w:ascii="Cambria" w:hAnsi="Cambria"/>
                      <w:sz w:val="44"/>
                    </w:rPr>
                  </w:pPr>
                  <w:r>
                    <w:rPr>
                      <w:rFonts w:ascii="Cambria" w:hAnsi="Cambria"/>
                      <w:sz w:val="22"/>
                    </w:rPr>
                    <w:t>Página</w:t>
                  </w:r>
                  <w:r>
                    <w:rPr>
                      <w:rFonts w:ascii="Cambria" w:hAnsi="Cambria"/>
                      <w:sz w:val="44"/>
                    </w:rPr>
                    <w:t>5</w:t>
                  </w:r>
                </w:p>
              </w:txbxContent>
            </v:textbox>
            <w10:wrap type="none"/>
          </v:shape>
        </w:pict>
      </w:r>
      <w:r>
        <w:rPr>
          <w:sz w:val="24"/>
        </w:rPr>
        <w:t>Se estima que el crecimiento de las economías avanzadas podría alcanzar </w:t>
      </w:r>
      <w:r>
        <w:rPr>
          <w:spacing w:val="2"/>
          <w:sz w:val="24"/>
        </w:rPr>
        <w:t>en </w:t>
      </w:r>
      <w:r>
        <w:rPr>
          <w:sz w:val="24"/>
        </w:rPr>
        <w:t>el período 2020-2021, -8.0% y 4.8%, respectivamente. En </w:t>
      </w:r>
      <w:r>
        <w:rPr>
          <w:spacing w:val="2"/>
          <w:sz w:val="24"/>
        </w:rPr>
        <w:t>el </w:t>
      </w:r>
      <w:r>
        <w:rPr>
          <w:sz w:val="24"/>
        </w:rPr>
        <w:t>grupo de las economías de mercados emergentes y en desarrollo, se considera un crecimiento de -3.0% en 2020 y 5.9% en 2021. Estas proyecciones a la baja surgen principalmente por la contracción del segundo semestre 2020 para el cual no se tienen datos completos, además del alto nivel de incertidumbre a nivel</w:t>
      </w:r>
      <w:r>
        <w:rPr>
          <w:spacing w:val="-5"/>
          <w:sz w:val="24"/>
        </w:rPr>
        <w:t> </w:t>
      </w:r>
      <w:r>
        <w:rPr>
          <w:sz w:val="24"/>
        </w:rPr>
        <w:t>mundial.</w:t>
      </w:r>
    </w:p>
    <w:p>
      <w:pPr>
        <w:spacing w:after="0" w:line="276" w:lineRule="auto"/>
        <w:jc w:val="both"/>
        <w:rPr>
          <w:sz w:val="24"/>
        </w:rPr>
        <w:sectPr>
          <w:pgSz w:w="11910" w:h="16840"/>
          <w:pgMar w:header="1045" w:footer="872" w:top="2280" w:bottom="1060" w:left="660" w:right="0"/>
        </w:sectPr>
      </w:pPr>
    </w:p>
    <w:p>
      <w:pPr>
        <w:pStyle w:val="BodyText"/>
        <w:spacing w:before="7"/>
        <w:rPr>
          <w:sz w:val="9"/>
        </w:rPr>
      </w:pPr>
    </w:p>
    <w:p>
      <w:pPr>
        <w:pStyle w:val="ListParagraph"/>
        <w:numPr>
          <w:ilvl w:val="1"/>
          <w:numId w:val="3"/>
        </w:numPr>
        <w:tabs>
          <w:tab w:pos="1746" w:val="left" w:leader="none"/>
        </w:tabs>
        <w:spacing w:line="276" w:lineRule="auto" w:before="87" w:after="0"/>
        <w:ind w:left="1760" w:right="1709" w:hanging="360"/>
        <w:jc w:val="both"/>
        <w:rPr>
          <w:sz w:val="24"/>
        </w:rPr>
      </w:pPr>
      <w:r>
        <w:rPr>
          <w:sz w:val="24"/>
        </w:rPr>
        <w:t>El crecimiento económico seguirá siendo heterogéneo entre los distintos países y regiones, como uno de los efectos de la pandemia del</w:t>
      </w:r>
      <w:r>
        <w:rPr>
          <w:spacing w:val="-11"/>
          <w:sz w:val="24"/>
        </w:rPr>
        <w:t> </w:t>
      </w:r>
      <w:r>
        <w:rPr>
          <w:sz w:val="24"/>
        </w:rPr>
        <w:t>Covid-19.</w:t>
      </w:r>
    </w:p>
    <w:p>
      <w:pPr>
        <w:pStyle w:val="ListParagraph"/>
        <w:numPr>
          <w:ilvl w:val="1"/>
          <w:numId w:val="3"/>
        </w:numPr>
        <w:tabs>
          <w:tab w:pos="1746" w:val="left" w:leader="none"/>
        </w:tabs>
        <w:spacing w:line="276" w:lineRule="auto" w:before="3" w:after="0"/>
        <w:ind w:left="1760" w:right="1696" w:hanging="360"/>
        <w:jc w:val="both"/>
        <w:rPr>
          <w:sz w:val="24"/>
        </w:rPr>
      </w:pPr>
      <w:r>
        <w:rPr>
          <w:sz w:val="24"/>
        </w:rPr>
        <w:t>El comercio mundial en 2019 creció únicamente 0.9% como efecto de las tensiones comerciales entre Estados Unidos y la República Popular China; luego en 2020 la pandemia ha afectado las perspectivas económicas de forma significativa, toda vez que </w:t>
      </w:r>
      <w:r>
        <w:rPr>
          <w:spacing w:val="2"/>
          <w:sz w:val="24"/>
        </w:rPr>
        <w:t>el </w:t>
      </w:r>
      <w:r>
        <w:rPr>
          <w:sz w:val="24"/>
        </w:rPr>
        <w:t>volumen del comercio mundial se proyecta de forma negativa (-11.9), y para 2021 se espera una recuperación positiva</w:t>
      </w:r>
      <w:r>
        <w:rPr>
          <w:spacing w:val="-31"/>
          <w:sz w:val="24"/>
        </w:rPr>
        <w:t> </w:t>
      </w:r>
      <w:r>
        <w:rPr>
          <w:sz w:val="24"/>
        </w:rPr>
        <w:t>(8.0%).</w:t>
      </w:r>
    </w:p>
    <w:p>
      <w:pPr>
        <w:pStyle w:val="ListParagraph"/>
        <w:numPr>
          <w:ilvl w:val="1"/>
          <w:numId w:val="3"/>
        </w:numPr>
        <w:tabs>
          <w:tab w:pos="1746" w:val="left" w:leader="none"/>
        </w:tabs>
        <w:spacing w:line="278" w:lineRule="auto" w:before="0" w:after="0"/>
        <w:ind w:left="1760" w:right="1700" w:hanging="360"/>
        <w:jc w:val="both"/>
        <w:rPr>
          <w:sz w:val="24"/>
        </w:rPr>
      </w:pPr>
      <w:r>
        <w:rPr>
          <w:sz w:val="24"/>
        </w:rPr>
        <w:t>Respecto de los mercados internacionales, los índices accionarios presentaron entre marzo y abril de 2020, una fuerte volatilidad derivado también de la pandemia.</w:t>
      </w:r>
    </w:p>
    <w:p>
      <w:pPr>
        <w:pStyle w:val="ListParagraph"/>
        <w:numPr>
          <w:ilvl w:val="1"/>
          <w:numId w:val="3"/>
        </w:numPr>
        <w:tabs>
          <w:tab w:pos="1746" w:val="left" w:leader="none"/>
        </w:tabs>
        <w:spacing w:line="276" w:lineRule="auto" w:before="0" w:after="0"/>
        <w:ind w:left="1760" w:right="1702" w:hanging="360"/>
        <w:jc w:val="both"/>
        <w:rPr>
          <w:sz w:val="24"/>
        </w:rPr>
      </w:pPr>
      <w:r>
        <w:rPr>
          <w:sz w:val="24"/>
        </w:rPr>
        <w:t>La oferta del petróleo también ha tenido una baja significativa </w:t>
      </w:r>
      <w:r>
        <w:rPr>
          <w:spacing w:val="2"/>
          <w:sz w:val="24"/>
        </w:rPr>
        <w:t>en el </w:t>
      </w:r>
      <w:r>
        <w:rPr>
          <w:sz w:val="24"/>
        </w:rPr>
        <w:t>precio internacional, como consecuencia de la propagación del Coronavirus y las medidas adoptadas por los países para su</w:t>
      </w:r>
      <w:r>
        <w:rPr>
          <w:spacing w:val="-2"/>
          <w:sz w:val="24"/>
        </w:rPr>
        <w:t> </w:t>
      </w:r>
      <w:r>
        <w:rPr>
          <w:sz w:val="24"/>
        </w:rPr>
        <w:t>contención.</w:t>
      </w:r>
    </w:p>
    <w:p>
      <w:pPr>
        <w:pStyle w:val="ListParagraph"/>
        <w:numPr>
          <w:ilvl w:val="1"/>
          <w:numId w:val="3"/>
        </w:numPr>
        <w:tabs>
          <w:tab w:pos="1746" w:val="left" w:leader="none"/>
        </w:tabs>
        <w:spacing w:line="240" w:lineRule="auto" w:before="0" w:after="0"/>
        <w:ind w:left="1745" w:right="0" w:hanging="346"/>
        <w:jc w:val="both"/>
        <w:rPr>
          <w:sz w:val="24"/>
        </w:rPr>
      </w:pPr>
      <w:r>
        <w:rPr>
          <w:sz w:val="24"/>
        </w:rPr>
        <w:t>A nivel mundial se plantean distintos riesgos que derivan de la crisis</w:t>
      </w:r>
      <w:r>
        <w:rPr>
          <w:spacing w:val="-26"/>
          <w:sz w:val="24"/>
        </w:rPr>
        <w:t> </w:t>
      </w:r>
      <w:r>
        <w:rPr>
          <w:sz w:val="24"/>
        </w:rPr>
        <w:t>sanitaria:</w:t>
      </w:r>
    </w:p>
    <w:p>
      <w:pPr>
        <w:pStyle w:val="ListParagraph"/>
        <w:numPr>
          <w:ilvl w:val="2"/>
          <w:numId w:val="3"/>
        </w:numPr>
        <w:tabs>
          <w:tab w:pos="2457" w:val="left" w:leader="none"/>
        </w:tabs>
        <w:spacing w:line="268" w:lineRule="auto" w:before="35" w:after="0"/>
        <w:ind w:left="2480" w:right="1696" w:hanging="361"/>
        <w:jc w:val="both"/>
        <w:rPr>
          <w:sz w:val="24"/>
        </w:rPr>
      </w:pPr>
      <w:r>
        <w:rPr>
          <w:sz w:val="24"/>
        </w:rPr>
        <w:t>Al surgir nuevos rebrotes del Coronavirus, los países asumirían nuevas medidas de contención con implicaciones</w:t>
      </w:r>
      <w:r>
        <w:rPr>
          <w:spacing w:val="-5"/>
          <w:sz w:val="24"/>
        </w:rPr>
        <w:t> </w:t>
      </w:r>
      <w:r>
        <w:rPr>
          <w:sz w:val="24"/>
        </w:rPr>
        <w:t>económicas.</w:t>
      </w:r>
    </w:p>
    <w:p>
      <w:pPr>
        <w:pStyle w:val="ListParagraph"/>
        <w:numPr>
          <w:ilvl w:val="2"/>
          <w:numId w:val="3"/>
        </w:numPr>
        <w:tabs>
          <w:tab w:pos="2457" w:val="left" w:leader="none"/>
        </w:tabs>
        <w:spacing w:line="240" w:lineRule="auto" w:before="8" w:after="0"/>
        <w:ind w:left="2456" w:right="0" w:hanging="337"/>
        <w:jc w:val="both"/>
        <w:rPr>
          <w:sz w:val="24"/>
        </w:rPr>
      </w:pPr>
      <w:r>
        <w:rPr>
          <w:sz w:val="24"/>
        </w:rPr>
        <w:t>De cerrar más empresas, se incrementaría la tasa de</w:t>
      </w:r>
      <w:r>
        <w:rPr>
          <w:spacing w:val="-15"/>
          <w:sz w:val="24"/>
        </w:rPr>
        <w:t> </w:t>
      </w:r>
      <w:r>
        <w:rPr>
          <w:sz w:val="24"/>
        </w:rPr>
        <w:t>desempleo.</w:t>
      </w:r>
    </w:p>
    <w:p>
      <w:pPr>
        <w:pStyle w:val="ListParagraph"/>
        <w:numPr>
          <w:ilvl w:val="2"/>
          <w:numId w:val="3"/>
        </w:numPr>
        <w:tabs>
          <w:tab w:pos="2457" w:val="left" w:leader="none"/>
        </w:tabs>
        <w:spacing w:line="271" w:lineRule="auto" w:before="36" w:after="0"/>
        <w:ind w:left="2480" w:right="1701" w:hanging="361"/>
        <w:jc w:val="both"/>
        <w:rPr>
          <w:sz w:val="24"/>
        </w:rPr>
      </w:pPr>
      <w:r>
        <w:rPr>
          <w:sz w:val="24"/>
        </w:rPr>
        <w:t>Si se endurecen las medidas financieras, el sector financiero sería más vulnerable.</w:t>
      </w:r>
    </w:p>
    <w:p>
      <w:pPr>
        <w:pStyle w:val="ListParagraph"/>
        <w:numPr>
          <w:ilvl w:val="2"/>
          <w:numId w:val="3"/>
        </w:numPr>
        <w:tabs>
          <w:tab w:pos="2457" w:val="left" w:leader="none"/>
        </w:tabs>
        <w:spacing w:line="268" w:lineRule="auto" w:before="7" w:after="0"/>
        <w:ind w:left="2480" w:right="1702" w:hanging="361"/>
        <w:jc w:val="both"/>
        <w:rPr>
          <w:sz w:val="24"/>
        </w:rPr>
      </w:pPr>
      <w:r>
        <w:rPr>
          <w:sz w:val="24"/>
        </w:rPr>
        <w:t>En </w:t>
      </w:r>
      <w:r>
        <w:rPr>
          <w:spacing w:val="2"/>
          <w:sz w:val="24"/>
        </w:rPr>
        <w:t>el </w:t>
      </w:r>
      <w:r>
        <w:rPr>
          <w:sz w:val="24"/>
        </w:rPr>
        <w:t>comercio mundial siguen destacando las tensiones entre los gobiernos de los Estados Unidos y la República Popular</w:t>
      </w:r>
      <w:r>
        <w:rPr>
          <w:spacing w:val="-6"/>
          <w:sz w:val="24"/>
        </w:rPr>
        <w:t> </w:t>
      </w:r>
      <w:r>
        <w:rPr>
          <w:sz w:val="24"/>
        </w:rPr>
        <w:t>China.</w:t>
      </w:r>
    </w:p>
    <w:p>
      <w:pPr>
        <w:pStyle w:val="ListParagraph"/>
        <w:numPr>
          <w:ilvl w:val="2"/>
          <w:numId w:val="3"/>
        </w:numPr>
        <w:tabs>
          <w:tab w:pos="2457" w:val="left" w:leader="none"/>
        </w:tabs>
        <w:spacing w:line="273" w:lineRule="auto" w:before="8" w:after="0"/>
        <w:ind w:left="2480" w:right="1699" w:hanging="361"/>
        <w:jc w:val="both"/>
        <w:rPr>
          <w:sz w:val="24"/>
        </w:rPr>
      </w:pPr>
      <w:r>
        <w:rPr>
          <w:sz w:val="24"/>
        </w:rPr>
        <w:t>Y en la parte geopolítica, también podrían continuar las tensiones y deterioro de las relaciones entre la Organización de Países Productores de Petróleo (OPEP) y otros</w:t>
      </w:r>
      <w:r>
        <w:rPr>
          <w:spacing w:val="1"/>
          <w:sz w:val="24"/>
        </w:rPr>
        <w:t> </w:t>
      </w:r>
      <w:r>
        <w:rPr>
          <w:sz w:val="24"/>
        </w:rPr>
        <w:t>productores.</w:t>
      </w:r>
    </w:p>
    <w:p>
      <w:pPr>
        <w:pStyle w:val="BodyText"/>
      </w:pPr>
    </w:p>
    <w:p>
      <w:pPr>
        <w:pStyle w:val="BodyText"/>
      </w:pPr>
    </w:p>
    <w:p>
      <w:pPr>
        <w:pStyle w:val="BodyText"/>
        <w:spacing w:before="12"/>
        <w:rPr>
          <w:sz w:val="19"/>
        </w:rPr>
      </w:pPr>
    </w:p>
    <w:p>
      <w:pPr>
        <w:spacing w:before="0"/>
        <w:ind w:left="1039" w:right="0" w:firstLine="0"/>
        <w:jc w:val="both"/>
        <w:rPr>
          <w:b/>
          <w:sz w:val="24"/>
        </w:rPr>
      </w:pPr>
      <w:bookmarkStart w:name="A nivel específico" w:id="9"/>
      <w:bookmarkEnd w:id="9"/>
      <w:r>
        <w:rPr/>
      </w:r>
      <w:bookmarkStart w:name="_bookmark3" w:id="10"/>
      <w:bookmarkEnd w:id="10"/>
      <w:r>
        <w:rPr/>
      </w:r>
      <w:r>
        <w:rPr>
          <w:b/>
          <w:sz w:val="24"/>
        </w:rPr>
        <w:t>A nivel específico</w:t>
      </w:r>
    </w:p>
    <w:p>
      <w:pPr>
        <w:pStyle w:val="ListParagraph"/>
        <w:numPr>
          <w:ilvl w:val="1"/>
          <w:numId w:val="3"/>
        </w:numPr>
        <w:tabs>
          <w:tab w:pos="1746" w:val="left" w:leader="none"/>
        </w:tabs>
        <w:spacing w:line="276" w:lineRule="auto" w:before="100" w:after="0"/>
        <w:ind w:left="1760" w:right="1678" w:hanging="360"/>
        <w:jc w:val="both"/>
        <w:rPr>
          <w:sz w:val="24"/>
        </w:rPr>
      </w:pPr>
      <w:r>
        <w:rPr>
          <w:sz w:val="24"/>
        </w:rPr>
        <w:t>La economía guatemalteca creció 3.8% en 2019; sin embargo, en 2020 derivado de la crisis sanitaria, </w:t>
      </w:r>
      <w:r>
        <w:rPr>
          <w:spacing w:val="2"/>
          <w:sz w:val="24"/>
        </w:rPr>
        <w:t>el </w:t>
      </w:r>
      <w:r>
        <w:rPr>
          <w:sz w:val="24"/>
        </w:rPr>
        <w:t>crecimiento se considera que será negativo entre -1.5% y -3.5%. Para 2021 se estima que podría ser favorable el  crecimiento económico y se proyecta por el Banco de Guatemala entre 2.0% y</w:t>
      </w:r>
      <w:r>
        <w:rPr>
          <w:spacing w:val="-13"/>
          <w:sz w:val="24"/>
        </w:rPr>
        <w:t> </w:t>
      </w:r>
      <w:r>
        <w:rPr>
          <w:sz w:val="24"/>
        </w:rPr>
        <w:t>4.0%.</w:t>
      </w:r>
    </w:p>
    <w:p>
      <w:pPr>
        <w:pStyle w:val="ListParagraph"/>
        <w:numPr>
          <w:ilvl w:val="1"/>
          <w:numId w:val="3"/>
        </w:numPr>
        <w:tabs>
          <w:tab w:pos="1746" w:val="left" w:leader="none"/>
        </w:tabs>
        <w:spacing w:line="276" w:lineRule="auto" w:before="2" w:after="0"/>
        <w:ind w:left="1760" w:right="1681" w:hanging="360"/>
        <w:jc w:val="both"/>
        <w:rPr>
          <w:sz w:val="24"/>
        </w:rPr>
      </w:pPr>
      <w:r>
        <w:rPr>
          <w:sz w:val="24"/>
        </w:rPr>
        <w:t>En las remesas familiares se estima una caída (-6.5%) en 2020 y una recuperación para 2021</w:t>
      </w:r>
      <w:r>
        <w:rPr>
          <w:spacing w:val="-1"/>
          <w:sz w:val="24"/>
        </w:rPr>
        <w:t> </w:t>
      </w:r>
      <w:r>
        <w:rPr>
          <w:sz w:val="24"/>
        </w:rPr>
        <w:t>(10.0%).</w:t>
      </w:r>
    </w:p>
    <w:p>
      <w:pPr>
        <w:pStyle w:val="ListParagraph"/>
        <w:numPr>
          <w:ilvl w:val="1"/>
          <w:numId w:val="3"/>
        </w:numPr>
        <w:tabs>
          <w:tab w:pos="1746" w:val="left" w:leader="none"/>
        </w:tabs>
        <w:spacing w:line="276" w:lineRule="auto" w:before="3" w:after="0"/>
        <w:ind w:left="1760" w:right="1686" w:hanging="360"/>
        <w:jc w:val="both"/>
        <w:rPr>
          <w:sz w:val="24"/>
        </w:rPr>
      </w:pPr>
      <w:r>
        <w:rPr/>
        <w:pict>
          <v:shape style="position:absolute;margin-left:531.919678pt;margin-top:31.739841pt;width:27.9pt;height:45.95pt;mso-position-horizontal-relative:page;mso-position-vertical-relative:paragraph;z-index:251662336" type="#_x0000_t202" filled="false" stroked="false">
            <v:textbox inset="0,0,0,0" style="layout-flow:vertical;mso-layout-flow-alt:bottom-to-top">
              <w:txbxContent>
                <w:p>
                  <w:pPr>
                    <w:spacing w:before="21"/>
                    <w:ind w:left="20" w:right="0" w:firstLine="0"/>
                    <w:jc w:val="left"/>
                    <w:rPr>
                      <w:rFonts w:ascii="Cambria" w:hAnsi="Cambria"/>
                      <w:sz w:val="44"/>
                    </w:rPr>
                  </w:pPr>
                  <w:r>
                    <w:rPr>
                      <w:rFonts w:ascii="Cambria" w:hAnsi="Cambria"/>
                      <w:sz w:val="22"/>
                    </w:rPr>
                    <w:t>Página</w:t>
                  </w:r>
                  <w:r>
                    <w:rPr>
                      <w:rFonts w:ascii="Cambria" w:hAnsi="Cambria"/>
                      <w:sz w:val="44"/>
                    </w:rPr>
                    <w:t>6</w:t>
                  </w:r>
                </w:p>
              </w:txbxContent>
            </v:textbox>
            <w10:wrap type="none"/>
          </v:shape>
        </w:pict>
      </w:r>
      <w:r>
        <w:rPr>
          <w:sz w:val="24"/>
        </w:rPr>
        <w:t>La inflación a mayo de 2020 se observó en 1.8%, y al final del año se estima que podría situarse por debajo de la meta considerada por la Junta Monetaria (4.0%).</w:t>
      </w:r>
    </w:p>
    <w:p>
      <w:pPr>
        <w:spacing w:after="0" w:line="276" w:lineRule="auto"/>
        <w:jc w:val="both"/>
        <w:rPr>
          <w:sz w:val="24"/>
        </w:rPr>
        <w:sectPr>
          <w:pgSz w:w="11910" w:h="16840"/>
          <w:pgMar w:header="1045" w:footer="872" w:top="2280" w:bottom="1060" w:left="660" w:right="0"/>
        </w:sectPr>
      </w:pPr>
    </w:p>
    <w:p>
      <w:pPr>
        <w:pStyle w:val="BodyText"/>
        <w:spacing w:before="7"/>
        <w:rPr>
          <w:sz w:val="9"/>
        </w:rPr>
      </w:pPr>
      <w:r>
        <w:rPr/>
        <w:pict>
          <v:shape style="position:absolute;margin-left:531.919678pt;margin-top:722.834045pt;width:27.9pt;height:45.95pt;mso-position-horizontal-relative:page;mso-position-vertical-relative:page;z-index:251665408" type="#_x0000_t202" filled="false" stroked="false">
            <v:textbox inset="0,0,0,0" style="layout-flow:vertical;mso-layout-flow-alt:bottom-to-top">
              <w:txbxContent>
                <w:p>
                  <w:pPr>
                    <w:spacing w:before="21"/>
                    <w:ind w:left="20" w:right="0" w:firstLine="0"/>
                    <w:jc w:val="left"/>
                    <w:rPr>
                      <w:rFonts w:ascii="Cambria" w:hAnsi="Cambria"/>
                      <w:sz w:val="44"/>
                    </w:rPr>
                  </w:pPr>
                  <w:r>
                    <w:rPr>
                      <w:rFonts w:ascii="Cambria" w:hAnsi="Cambria"/>
                      <w:sz w:val="22"/>
                    </w:rPr>
                    <w:t>Página</w:t>
                  </w:r>
                  <w:r>
                    <w:rPr>
                      <w:rFonts w:ascii="Cambria" w:hAnsi="Cambria"/>
                      <w:sz w:val="44"/>
                    </w:rPr>
                    <w:t>7</w:t>
                  </w:r>
                </w:p>
              </w:txbxContent>
            </v:textbox>
            <w10:wrap type="none"/>
          </v:shape>
        </w:pict>
      </w:r>
    </w:p>
    <w:p>
      <w:pPr>
        <w:pStyle w:val="ListParagraph"/>
        <w:numPr>
          <w:ilvl w:val="1"/>
          <w:numId w:val="3"/>
        </w:numPr>
        <w:tabs>
          <w:tab w:pos="1746" w:val="left" w:leader="none"/>
        </w:tabs>
        <w:spacing w:line="276" w:lineRule="auto" w:before="87" w:after="0"/>
        <w:ind w:left="1760" w:right="1683" w:hanging="360"/>
        <w:jc w:val="left"/>
        <w:rPr>
          <w:sz w:val="24"/>
        </w:rPr>
      </w:pPr>
      <w:r>
        <w:rPr>
          <w:sz w:val="24"/>
        </w:rPr>
        <w:t>De forma general se propone consolidar la disciplina fiscal y el equilibrio macroeconómico.</w:t>
      </w:r>
    </w:p>
    <w:p>
      <w:pPr>
        <w:pStyle w:val="ListParagraph"/>
        <w:numPr>
          <w:ilvl w:val="1"/>
          <w:numId w:val="3"/>
        </w:numPr>
        <w:tabs>
          <w:tab w:pos="1746" w:val="left" w:leader="none"/>
        </w:tabs>
        <w:spacing w:line="276" w:lineRule="auto" w:before="3" w:after="0"/>
        <w:ind w:left="1760" w:right="1681" w:hanging="360"/>
        <w:jc w:val="left"/>
        <w:rPr>
          <w:sz w:val="24"/>
        </w:rPr>
      </w:pPr>
      <w:r>
        <w:rPr>
          <w:sz w:val="24"/>
        </w:rPr>
        <w:t>Brindar certeza presupuestaria y financiera a las entidades de Gobierno para que ejecuten los programas y proyectos</w:t>
      </w:r>
      <w:r>
        <w:rPr>
          <w:spacing w:val="-6"/>
          <w:sz w:val="24"/>
        </w:rPr>
        <w:t> </w:t>
      </w:r>
      <w:r>
        <w:rPr>
          <w:sz w:val="24"/>
        </w:rPr>
        <w:t>programados.</w:t>
      </w:r>
    </w:p>
    <w:p>
      <w:pPr>
        <w:pStyle w:val="ListParagraph"/>
        <w:numPr>
          <w:ilvl w:val="1"/>
          <w:numId w:val="3"/>
        </w:numPr>
        <w:tabs>
          <w:tab w:pos="1746" w:val="left" w:leader="none"/>
        </w:tabs>
        <w:spacing w:line="276" w:lineRule="auto" w:before="0" w:after="0"/>
        <w:ind w:left="1760" w:right="1694" w:hanging="360"/>
        <w:jc w:val="left"/>
        <w:rPr>
          <w:sz w:val="24"/>
        </w:rPr>
      </w:pPr>
      <w:r>
        <w:rPr>
          <w:sz w:val="24"/>
        </w:rPr>
        <w:t>Proveer sostenibilidad financiera al logro de los resultados finales que beneficien a los</w:t>
      </w:r>
      <w:r>
        <w:rPr>
          <w:spacing w:val="-1"/>
          <w:sz w:val="24"/>
        </w:rPr>
        <w:t> </w:t>
      </w:r>
      <w:r>
        <w:rPr>
          <w:sz w:val="24"/>
        </w:rPr>
        <w:t>ciudadanos.</w:t>
      </w:r>
    </w:p>
    <w:p>
      <w:pPr>
        <w:pStyle w:val="ListParagraph"/>
        <w:numPr>
          <w:ilvl w:val="1"/>
          <w:numId w:val="3"/>
        </w:numPr>
        <w:tabs>
          <w:tab w:pos="1746" w:val="left" w:leader="none"/>
        </w:tabs>
        <w:spacing w:line="276" w:lineRule="auto" w:before="0" w:after="0"/>
        <w:ind w:left="1760" w:right="1688" w:hanging="360"/>
        <w:jc w:val="left"/>
        <w:rPr>
          <w:sz w:val="24"/>
        </w:rPr>
      </w:pPr>
      <w:r>
        <w:rPr>
          <w:sz w:val="24"/>
        </w:rPr>
        <w:t>Enmarcar las elecciones de política y de gasto público sobre la base de la capacidad real de financiamiento por parte del</w:t>
      </w:r>
      <w:r>
        <w:rPr>
          <w:spacing w:val="-5"/>
          <w:sz w:val="24"/>
        </w:rPr>
        <w:t> </w:t>
      </w:r>
      <w:r>
        <w:rPr>
          <w:sz w:val="24"/>
        </w:rPr>
        <w:t>Estado.</w:t>
      </w:r>
    </w:p>
    <w:p>
      <w:pPr>
        <w:pStyle w:val="ListParagraph"/>
        <w:numPr>
          <w:ilvl w:val="1"/>
          <w:numId w:val="3"/>
        </w:numPr>
        <w:tabs>
          <w:tab w:pos="1746" w:val="left" w:leader="none"/>
        </w:tabs>
        <w:spacing w:line="276" w:lineRule="auto" w:before="0" w:after="0"/>
        <w:ind w:left="1760" w:right="1684" w:hanging="360"/>
        <w:jc w:val="left"/>
        <w:rPr>
          <w:sz w:val="24"/>
        </w:rPr>
      </w:pPr>
      <w:r>
        <w:rPr>
          <w:sz w:val="24"/>
        </w:rPr>
        <w:t>Fortalecer la vinculación plan-presupuesto y centrar los esfuerzos de presupuestación y gestión en el logro de</w:t>
      </w:r>
      <w:r>
        <w:rPr>
          <w:spacing w:val="-8"/>
          <w:sz w:val="24"/>
        </w:rPr>
        <w:t> </w:t>
      </w:r>
      <w:r>
        <w:rPr>
          <w:sz w:val="24"/>
        </w:rPr>
        <w:t>resultados.</w:t>
      </w:r>
    </w:p>
    <w:p>
      <w:pPr>
        <w:pStyle w:val="ListParagraph"/>
        <w:numPr>
          <w:ilvl w:val="1"/>
          <w:numId w:val="3"/>
        </w:numPr>
        <w:tabs>
          <w:tab w:pos="1746" w:val="left" w:leader="none"/>
        </w:tabs>
        <w:spacing w:line="292" w:lineRule="exact" w:before="0" w:after="0"/>
        <w:ind w:left="1745" w:right="0" w:hanging="346"/>
        <w:jc w:val="left"/>
        <w:rPr>
          <w:sz w:val="24"/>
        </w:rPr>
      </w:pPr>
      <w:r>
        <w:rPr>
          <w:sz w:val="24"/>
        </w:rPr>
        <w:t>Mejorar la rendición de</w:t>
      </w:r>
      <w:r>
        <w:rPr>
          <w:spacing w:val="-2"/>
          <w:sz w:val="24"/>
        </w:rPr>
        <w:t> </w:t>
      </w:r>
      <w:r>
        <w:rPr>
          <w:sz w:val="24"/>
        </w:rPr>
        <w:t>cuentas.</w:t>
      </w:r>
    </w:p>
    <w:p>
      <w:pPr>
        <w:pStyle w:val="ListParagraph"/>
        <w:numPr>
          <w:ilvl w:val="1"/>
          <w:numId w:val="3"/>
        </w:numPr>
        <w:tabs>
          <w:tab w:pos="1746" w:val="left" w:leader="none"/>
        </w:tabs>
        <w:spacing w:line="240" w:lineRule="auto" w:before="43" w:after="0"/>
        <w:ind w:left="1745" w:right="0" w:hanging="346"/>
        <w:jc w:val="left"/>
        <w:rPr>
          <w:sz w:val="24"/>
        </w:rPr>
      </w:pPr>
      <w:r>
        <w:rPr>
          <w:sz w:val="24"/>
        </w:rPr>
        <w:t>Impulsar la reactivación económica del</w:t>
      </w:r>
      <w:r>
        <w:rPr>
          <w:spacing w:val="-11"/>
          <w:sz w:val="24"/>
        </w:rPr>
        <w:t> </w:t>
      </w:r>
      <w:r>
        <w:rPr>
          <w:sz w:val="24"/>
        </w:rPr>
        <w:t>país.</w:t>
      </w:r>
    </w:p>
    <w:p>
      <w:pPr>
        <w:pStyle w:val="BodyText"/>
        <w:rPr>
          <w:sz w:val="28"/>
        </w:rPr>
      </w:pPr>
    </w:p>
    <w:p>
      <w:pPr>
        <w:pStyle w:val="BodyText"/>
        <w:spacing w:before="10"/>
        <w:rPr>
          <w:sz w:val="25"/>
        </w:rPr>
      </w:pPr>
    </w:p>
    <w:p>
      <w:pPr>
        <w:pStyle w:val="Heading1"/>
        <w:numPr>
          <w:ilvl w:val="0"/>
          <w:numId w:val="3"/>
        </w:numPr>
        <w:tabs>
          <w:tab w:pos="1329" w:val="left" w:leader="none"/>
        </w:tabs>
        <w:spacing w:line="240" w:lineRule="auto" w:before="0" w:after="0"/>
        <w:ind w:left="1328" w:right="0" w:hanging="290"/>
        <w:jc w:val="left"/>
      </w:pPr>
      <w:bookmarkStart w:name="2) Estrategia y Metodología" w:id="11"/>
      <w:bookmarkEnd w:id="11"/>
      <w:r>
        <w:rPr>
          <w:b w:val="0"/>
        </w:rPr>
      </w:r>
      <w:bookmarkStart w:name="_bookmark4" w:id="12"/>
      <w:bookmarkEnd w:id="12"/>
      <w:r>
        <w:rPr>
          <w:b w:val="0"/>
        </w:rPr>
      </w:r>
      <w:bookmarkStart w:name="_bookmark4" w:id="13"/>
      <w:bookmarkEnd w:id="13"/>
      <w:r>
        <w:rPr/>
        <w:t>E</w:t>
      </w:r>
      <w:r>
        <w:rPr/>
        <w:t>strategia y</w:t>
      </w:r>
      <w:r>
        <w:rPr>
          <w:spacing w:val="1"/>
        </w:rPr>
        <w:t> </w:t>
      </w:r>
      <w:r>
        <w:rPr/>
        <w:t>Metodología</w:t>
      </w:r>
    </w:p>
    <w:p>
      <w:pPr>
        <w:pStyle w:val="BodyText"/>
        <w:spacing w:before="7"/>
        <w:rPr>
          <w:b/>
          <w:sz w:val="23"/>
        </w:rPr>
      </w:pPr>
    </w:p>
    <w:p>
      <w:pPr>
        <w:pStyle w:val="BodyText"/>
        <w:spacing w:line="276" w:lineRule="auto"/>
        <w:ind w:left="1039" w:right="1697"/>
        <w:jc w:val="both"/>
      </w:pPr>
      <w:r>
        <w:rPr/>
        <w:t>En el proceso de formulación del Proyecto de Presupuesto General de Ingresos y Egresos del Estado para el Ejercicio Fiscal 2021 y Multianual 2021-2025, se continúa la estrategia de vinculación con el proceso de planificación contenido en el Plan Estratégico Institucional (PEI), Plan Operativo Multianual (POM) y el Plan Operativo Anual (POA).</w:t>
      </w:r>
    </w:p>
    <w:p>
      <w:pPr>
        <w:pStyle w:val="BodyText"/>
        <w:spacing w:before="6"/>
        <w:rPr>
          <w:sz w:val="18"/>
        </w:rPr>
      </w:pPr>
    </w:p>
    <w:p>
      <w:pPr>
        <w:spacing w:before="55"/>
        <w:ind w:left="2201" w:right="0" w:firstLine="0"/>
        <w:jc w:val="left"/>
        <w:rPr>
          <w:b/>
          <w:sz w:val="24"/>
        </w:rPr>
      </w:pPr>
      <w:r>
        <w:rPr>
          <w:b/>
          <w:color w:val="0C2861"/>
          <w:sz w:val="24"/>
        </w:rPr>
        <w:t>VINCULACIÓN PLANIFICACIÓN Y PRESUPUESTACION 2021-2025</w:t>
      </w:r>
    </w:p>
    <w:p>
      <w:pPr>
        <w:pStyle w:val="BodyText"/>
        <w:spacing w:before="6"/>
        <w:rPr>
          <w:b/>
          <w:sz w:val="26"/>
        </w:rPr>
      </w:pPr>
      <w:r>
        <w:rPr/>
        <w:pict>
          <v:group style="position:absolute;margin-left:179.276184pt;margin-top:18.166275pt;width:236.85pt;height:211.15pt;mso-position-horizontal-relative:page;mso-position-vertical-relative:paragraph;z-index:-251652096;mso-wrap-distance-left:0;mso-wrap-distance-right:0" coordorigin="3586,363" coordsize="4737,4223">
            <v:shape style="position:absolute;left:3585;top:363;width:4094;height:4223" type="#_x0000_t75" stroked="false">
              <v:imagedata r:id="rId10" o:title=""/>
            </v:shape>
            <v:shape style="position:absolute;left:5676;top:801;width:2641;height:416" coordorigin="5676,802" coordsize="2641,416" path="m8250,802l5744,802,5718,807,5696,822,5682,844,5676,871,5676,1149,5682,1176,5696,1198,5718,1212,5744,1218,8250,1218,8276,1212,8297,1198,8312,1176,8317,1149,8317,871,8312,844,8297,822,8276,807,8250,802xe" filled="true" fillcolor="#ffffff" stroked="false">
              <v:path arrowok="t"/>
              <v:fill opacity="59110f" type="solid"/>
            </v:shape>
            <v:shape style="position:absolute;left:5676;top:801;width:2641;height:416" coordorigin="5676,802" coordsize="2641,416" path="m5676,871l5682,844,5696,822,5718,807,5744,802,8250,802,8276,807,8297,822,8312,844,8317,871,8317,1149,8312,1176,8297,1198,8276,1212,8250,1218,5744,1218,5718,1212,5696,1198,5682,1176,5676,1149,5676,871xe" filled="false" stroked="true" strokeweight=".452299pt" strokecolor="#4aacc5">
              <v:path arrowok="t"/>
              <v:stroke dashstyle="solid"/>
            </v:shape>
            <v:shape style="position:absolute;left:5676;top:1272;width:2641;height:425" coordorigin="5676,1272" coordsize="2641,425" path="m8248,1272l5745,1272,5718,1278,5697,1293,5682,1315,5676,1343,5676,1626,5682,1654,5697,1676,5718,1692,5745,1697,8248,1697,8275,1692,8297,1676,8312,1654,8317,1626,8317,1343,8312,1315,8297,1293,8275,1278,8248,1272xe" filled="true" fillcolor="#ffffff" stroked="false">
              <v:path arrowok="t"/>
              <v:fill opacity="59110f" type="solid"/>
            </v:shape>
            <v:shape style="position:absolute;left:5676;top:1272;width:2641;height:425" coordorigin="5676,1272" coordsize="2641,425" path="m5676,1343l5682,1315,5697,1293,5718,1278,5745,1272,8248,1272,8275,1278,8297,1293,8312,1315,8317,1343,8317,1626,8312,1654,8297,1676,8275,1692,8248,1697,5745,1697,5718,1692,5697,1676,5682,1654,5676,1626,5676,1343xe" filled="false" stroked="true" strokeweight=".452286pt" strokecolor="#48cfad">
              <v:path arrowok="t"/>
              <v:stroke dashstyle="solid"/>
            </v:shape>
            <v:shape style="position:absolute;left:5676;top:1751;width:2641;height:425" coordorigin="5676,1751" coordsize="2641,425" path="m8248,1751l5745,1751,5718,1757,5697,1772,5682,1795,5676,1822,5676,2106,5682,2133,5697,2156,5718,2171,5745,2176,8248,2176,8275,2171,8297,2156,8312,2133,8317,2106,8317,1822,8312,1795,8297,1772,8275,1757,8248,1751xe" filled="true" fillcolor="#ffffff" stroked="false">
              <v:path arrowok="t"/>
              <v:fill opacity="59110f" type="solid"/>
            </v:shape>
            <v:shape style="position:absolute;left:5676;top:1751;width:2641;height:425" coordorigin="5676,1751" coordsize="2641,425" path="m5676,1822l5682,1795,5697,1772,5718,1757,5745,1751,8248,1751,8275,1757,8297,1772,8312,1795,8317,1822,8317,2106,8312,2133,8297,2156,8275,2171,8248,2176,5745,2176,5718,2171,5697,2156,5682,2133,5676,2106,5676,1822xe" filled="false" stroked="true" strokeweight=".452286pt" strokecolor="#46d771">
              <v:path arrowok="t"/>
              <v:stroke dashstyle="solid"/>
            </v:shape>
            <v:shape style="position:absolute;left:5676;top:2221;width:2641;height:425" coordorigin="5676,2222" coordsize="2641,425" path="m8248,2222l5745,2222,5718,2227,5697,2242,5682,2265,5676,2292,5676,2576,5682,2603,5697,2626,5718,2641,5745,2647,8248,2647,8275,2641,8297,2626,8312,2603,8317,2576,8317,2292,8312,2265,8297,2242,8275,2227,8248,2222xe" filled="true" fillcolor="#ffffff" stroked="false">
              <v:path arrowok="t"/>
              <v:fill opacity="59110f" type="solid"/>
            </v:shape>
            <v:shape style="position:absolute;left:5676;top:2221;width:2641;height:425" coordorigin="5676,2222" coordsize="2641,425" path="m5676,2292l5682,2265,5697,2242,5718,2227,5745,2222,8248,2222,8275,2227,8297,2242,8312,2265,8317,2292,8317,2576,8312,2603,8297,2626,8275,2641,8248,2647,5745,2647,5718,2641,5697,2626,5682,2603,5676,2576,5676,2292xe" filled="false" stroked="true" strokeweight=".452286pt" strokecolor="#5fe046">
              <v:path arrowok="t"/>
              <v:stroke dashstyle="solid"/>
            </v:shape>
            <v:shape style="position:absolute;left:5676;top:2700;width:2641;height:425" coordorigin="5676,2701" coordsize="2641,425" path="m8248,2701l5745,2701,5718,2706,5697,2722,5682,2744,5676,2772,5676,3055,5682,3083,5697,3105,5718,3120,5745,3126,8248,3126,8275,3120,8297,3105,8312,3083,8317,3055,8317,2772,8312,2744,8297,2722,8275,2706,8248,2701xe" filled="true" fillcolor="#ffffff" stroked="false">
              <v:path arrowok="t"/>
              <v:fill opacity="59110f" type="solid"/>
            </v:shape>
            <v:shape style="position:absolute;left:5676;top:2700;width:2641;height:425" coordorigin="5676,2701" coordsize="2641,425" path="m5676,2772l5682,2744,5697,2722,5718,2706,5745,2701,8248,2701,8275,2706,8297,2722,8312,2744,8317,2772,8317,3055,8312,3083,8297,3105,8275,3120,8248,3126,5745,3126,5718,3120,5697,3105,5682,3083,5676,3055,5676,2772xe" filled="false" stroked="true" strokeweight=".452286pt" strokecolor="#ace946">
              <v:path arrowok="t"/>
              <v:stroke dashstyle="solid"/>
            </v:shape>
            <v:shape style="position:absolute;left:5676;top:3180;width:2641;height:416" coordorigin="5676,3180" coordsize="2641,416" path="m8250,3180l5744,3180,5718,3186,5696,3200,5682,3222,5676,3249,5676,3527,5682,3554,5696,3576,5718,3591,5744,3596,8250,3596,8276,3591,8297,3576,8312,3554,8317,3527,8317,3249,8312,3222,8297,3200,8276,3186,8250,3180xe" filled="true" fillcolor="#ffffff" stroked="false">
              <v:path arrowok="t"/>
              <v:fill opacity="59110f" type="solid"/>
            </v:shape>
            <v:shape style="position:absolute;left:5676;top:3180;width:2641;height:416" coordorigin="5676,3180" coordsize="2641,416" path="m5676,3249l5682,3222,5696,3200,5718,3186,5744,3180,8250,3180,8276,3186,8297,3200,8312,3222,8317,3249,8317,3527,8312,3554,8297,3576,8276,3591,8250,3596,5744,3596,5718,3591,5696,3576,5682,3554,5676,3527,5676,3249xe" filled="false" stroked="true" strokeweight=".452299pt" strokecolor="#efe046">
              <v:path arrowok="t"/>
              <v:stroke dashstyle="solid"/>
            </v:shape>
            <v:shape style="position:absolute;left:5676;top:3650;width:2641;height:425" coordorigin="5676,3650" coordsize="2641,425" path="m8248,3650l5745,3650,5718,3656,5697,3671,5682,3694,5676,3721,5676,4005,5682,4032,5697,4055,5718,4070,5745,4075,8248,4075,8275,4070,8297,4055,8312,4032,8317,4005,8317,3721,8312,3694,8297,3671,8275,3656,8248,3650xe" filled="true" fillcolor="#ffffff" stroked="false">
              <v:path arrowok="t"/>
              <v:fill opacity="59110f" type="solid"/>
            </v:shape>
            <v:shape style="position:absolute;left:5676;top:3650;width:2641;height:425" coordorigin="5676,3650" coordsize="2641,425" path="m5676,3721l5682,3694,5697,3671,5718,3656,5745,3650,8248,3650,8275,3656,8297,3671,8312,3694,8317,3721,8317,4005,8312,4032,8297,4055,8275,4070,8248,4075,5745,4075,5718,4070,5697,4055,5682,4032,5676,4005,5676,3721xe" filled="false" stroked="true" strokeweight=".452286pt" strokecolor="#f79546">
              <v:path arrowok="t"/>
              <v:stroke dashstyle="solid"/>
            </v:shape>
            <v:shape style="position:absolute;left:3585;top:363;width:4737;height:4223" type="#_x0000_t202" filled="false" stroked="false">
              <v:textbox inset="0,0,0,0">
                <w:txbxContent>
                  <w:p>
                    <w:pPr>
                      <w:spacing w:line="240" w:lineRule="auto" w:before="0"/>
                      <w:rPr>
                        <w:b/>
                        <w:sz w:val="16"/>
                      </w:rPr>
                    </w:pPr>
                  </w:p>
                  <w:p>
                    <w:pPr>
                      <w:spacing w:line="240" w:lineRule="auto" w:before="0"/>
                      <w:rPr>
                        <w:b/>
                        <w:sz w:val="16"/>
                      </w:rPr>
                    </w:pPr>
                  </w:p>
                  <w:p>
                    <w:pPr>
                      <w:spacing w:before="134"/>
                      <w:ind w:left="2321" w:right="240" w:firstLine="0"/>
                      <w:jc w:val="center"/>
                      <w:rPr>
                        <w:b/>
                        <w:sz w:val="17"/>
                      </w:rPr>
                    </w:pPr>
                    <w:r>
                      <w:rPr>
                        <w:b/>
                        <w:sz w:val="17"/>
                      </w:rPr>
                      <w:t>PRIORIDADES NACIONALES</w:t>
                    </w:r>
                  </w:p>
                  <w:p>
                    <w:pPr>
                      <w:spacing w:line="240" w:lineRule="auto" w:before="6"/>
                      <w:rPr>
                        <w:b/>
                        <w:sz w:val="15"/>
                      </w:rPr>
                    </w:pPr>
                  </w:p>
                  <w:p>
                    <w:pPr>
                      <w:spacing w:line="220" w:lineRule="auto" w:before="0"/>
                      <w:ind w:left="2322" w:right="240" w:firstLine="0"/>
                      <w:jc w:val="center"/>
                      <w:rPr>
                        <w:b/>
                        <w:sz w:val="17"/>
                      </w:rPr>
                    </w:pPr>
                    <w:r>
                      <w:rPr>
                        <w:b/>
                        <w:w w:val="95"/>
                        <w:sz w:val="17"/>
                      </w:rPr>
                      <w:t>METAS ESTRATEGICAS DE </w:t>
                    </w:r>
                    <w:r>
                      <w:rPr>
                        <w:b/>
                        <w:sz w:val="17"/>
                      </w:rPr>
                      <w:t>DESARROLLO</w:t>
                    </w:r>
                  </w:p>
                  <w:p>
                    <w:pPr>
                      <w:spacing w:line="220" w:lineRule="auto" w:before="95"/>
                      <w:ind w:left="2337" w:right="240" w:firstLine="0"/>
                      <w:jc w:val="center"/>
                      <w:rPr>
                        <w:b/>
                        <w:sz w:val="17"/>
                      </w:rPr>
                    </w:pPr>
                    <w:r>
                      <w:rPr>
                        <w:b/>
                        <w:spacing w:val="-3"/>
                        <w:sz w:val="17"/>
                      </w:rPr>
                      <w:t>RESULTADOS</w:t>
                    </w:r>
                    <w:r>
                      <w:rPr>
                        <w:b/>
                        <w:spacing w:val="-21"/>
                        <w:sz w:val="17"/>
                      </w:rPr>
                      <w:t> </w:t>
                    </w:r>
                    <w:r>
                      <w:rPr>
                        <w:b/>
                        <w:spacing w:val="-3"/>
                        <w:sz w:val="17"/>
                      </w:rPr>
                      <w:t>ESTRATEGICOS</w:t>
                    </w:r>
                    <w:r>
                      <w:rPr>
                        <w:b/>
                        <w:spacing w:val="-20"/>
                        <w:sz w:val="17"/>
                      </w:rPr>
                      <w:t> </w:t>
                    </w:r>
                    <w:r>
                      <w:rPr>
                        <w:b/>
                        <w:sz w:val="17"/>
                      </w:rPr>
                      <w:t>DE DESARROLLO</w:t>
                    </w:r>
                  </w:p>
                  <w:p>
                    <w:pPr>
                      <w:spacing w:line="240" w:lineRule="auto" w:before="4"/>
                      <w:rPr>
                        <w:b/>
                        <w:sz w:val="14"/>
                      </w:rPr>
                    </w:pPr>
                  </w:p>
                  <w:p>
                    <w:pPr>
                      <w:spacing w:line="552" w:lineRule="auto" w:before="0"/>
                      <w:ind w:left="2222" w:right="128" w:firstLine="8"/>
                      <w:jc w:val="center"/>
                      <w:rPr>
                        <w:b/>
                        <w:sz w:val="17"/>
                      </w:rPr>
                    </w:pPr>
                    <w:r>
                      <w:rPr>
                        <w:b/>
                        <w:sz w:val="17"/>
                      </w:rPr>
                      <w:t>PROGRAMAS PRESUPUESTARIOS </w:t>
                    </w:r>
                    <w:r>
                      <w:rPr>
                        <w:b/>
                        <w:w w:val="95"/>
                        <w:sz w:val="17"/>
                      </w:rPr>
                      <w:t>ACTIVIDADES PRESUPUESTARIAS </w:t>
                    </w:r>
                    <w:r>
                      <w:rPr>
                        <w:b/>
                        <w:sz w:val="17"/>
                      </w:rPr>
                      <w:t>PRODUCTOS INSTITUCIONALES </w:t>
                    </w:r>
                    <w:r>
                      <w:rPr>
                        <w:b/>
                        <w:w w:val="95"/>
                        <w:sz w:val="17"/>
                      </w:rPr>
                      <w:t>ASIGNACIONES PRESUPUESTARIAS</w:t>
                    </w:r>
                  </w:p>
                </w:txbxContent>
              </v:textbox>
              <w10:wrap type="none"/>
            </v:shape>
            <w10:wrap type="topAndBottom"/>
          </v:group>
        </w:pict>
      </w:r>
    </w:p>
    <w:p>
      <w:pPr>
        <w:spacing w:after="0"/>
        <w:rPr>
          <w:sz w:val="26"/>
        </w:rPr>
        <w:sectPr>
          <w:pgSz w:w="11910" w:h="16840"/>
          <w:pgMar w:header="1045" w:footer="872" w:top="2280" w:bottom="1060" w:left="660" w:right="0"/>
        </w:sectPr>
      </w:pPr>
    </w:p>
    <w:p>
      <w:pPr>
        <w:pStyle w:val="BodyText"/>
        <w:spacing w:before="6"/>
        <w:rPr>
          <w:b/>
          <w:sz w:val="12"/>
        </w:rPr>
      </w:pPr>
    </w:p>
    <w:p>
      <w:pPr>
        <w:pStyle w:val="BodyText"/>
        <w:spacing w:line="276" w:lineRule="auto" w:before="51"/>
        <w:ind w:left="1039" w:right="1698"/>
        <w:jc w:val="both"/>
      </w:pPr>
      <w:r>
        <w:rPr/>
        <w:t>Para el efecto, las Normas para la Formulación Presupuestaria se trasladaron oportunamente a las instituciones públicas, a fin de orientar aspectos técnicos relacionados con la estimación de los ingresos y la asignación de los recursos, bajo el marco legal vigente y desde la perspectiva técnica y financiera factible para el período relacionado.</w:t>
      </w:r>
    </w:p>
    <w:p>
      <w:pPr>
        <w:pStyle w:val="BodyText"/>
        <w:spacing w:line="276" w:lineRule="auto" w:before="203"/>
        <w:ind w:left="1039" w:right="1698"/>
        <w:jc w:val="both"/>
      </w:pPr>
      <w:r>
        <w:rPr/>
        <w:t>La vinculación plan-presupuesto y su normativa constituyen parte de las herramientas técnicas que facilitan a las instituciones públicas la elaboración de sus anteproyectos de presupuesto. El objetivo es alcanzar los “Resultados Estratégicos” por medio de los cuales se realizarán diversas intervenciones a favor de los ciudadanos, en concordancia con las metas priorizadas en la Agenda de Desarrollo</w:t>
      </w:r>
      <w:r>
        <w:rPr>
          <w:spacing w:val="-4"/>
        </w:rPr>
        <w:t> </w:t>
      </w:r>
      <w:r>
        <w:rPr/>
        <w:t>Sostenible.</w:t>
      </w:r>
    </w:p>
    <w:p>
      <w:pPr>
        <w:pStyle w:val="BodyText"/>
        <w:spacing w:line="278" w:lineRule="auto" w:before="197"/>
        <w:ind w:left="1039" w:right="1696"/>
        <w:jc w:val="both"/>
      </w:pPr>
      <w:r>
        <w:rPr/>
        <w:t>Como parte de la metodología para la elaboración del proyecto de presupuesto del próximo año, se consideraron las actividades siguientes:</w:t>
      </w:r>
    </w:p>
    <w:p>
      <w:pPr>
        <w:pStyle w:val="ListParagraph"/>
        <w:numPr>
          <w:ilvl w:val="0"/>
          <w:numId w:val="4"/>
        </w:numPr>
        <w:tabs>
          <w:tab w:pos="1746" w:val="left" w:leader="none"/>
        </w:tabs>
        <w:spacing w:line="240" w:lineRule="auto" w:before="194" w:after="0"/>
        <w:ind w:left="1745" w:right="0" w:hanging="346"/>
        <w:jc w:val="left"/>
        <w:rPr>
          <w:sz w:val="24"/>
        </w:rPr>
      </w:pPr>
      <w:r>
        <w:rPr>
          <w:sz w:val="24"/>
        </w:rPr>
        <w:t>Proyecciones macroeconómicas por parte del Banco de Guatemala</w:t>
      </w:r>
      <w:r>
        <w:rPr>
          <w:spacing w:val="-5"/>
          <w:sz w:val="24"/>
        </w:rPr>
        <w:t> </w:t>
      </w:r>
      <w:r>
        <w:rPr>
          <w:sz w:val="24"/>
        </w:rPr>
        <w:t>(BANGUAT).</w:t>
      </w:r>
    </w:p>
    <w:p>
      <w:pPr>
        <w:pStyle w:val="ListParagraph"/>
        <w:numPr>
          <w:ilvl w:val="0"/>
          <w:numId w:val="4"/>
        </w:numPr>
        <w:tabs>
          <w:tab w:pos="1746" w:val="left" w:leader="none"/>
        </w:tabs>
        <w:spacing w:line="276" w:lineRule="auto" w:before="245" w:after="0"/>
        <w:ind w:left="1760" w:right="1700" w:hanging="360"/>
        <w:jc w:val="both"/>
        <w:rPr>
          <w:sz w:val="24"/>
        </w:rPr>
      </w:pPr>
      <w:r>
        <w:rPr>
          <w:sz w:val="24"/>
        </w:rPr>
        <w:t>Estimación de la meta de recaudación tributaria para 2021 por parte de la Superintendencia de Administración Tributaria</w:t>
      </w:r>
      <w:r>
        <w:rPr>
          <w:spacing w:val="-2"/>
          <w:sz w:val="24"/>
        </w:rPr>
        <w:t> </w:t>
      </w:r>
      <w:r>
        <w:rPr>
          <w:sz w:val="24"/>
        </w:rPr>
        <w:t>(SAT).</w:t>
      </w:r>
    </w:p>
    <w:p>
      <w:pPr>
        <w:pStyle w:val="ListParagraph"/>
        <w:numPr>
          <w:ilvl w:val="0"/>
          <w:numId w:val="4"/>
        </w:numPr>
        <w:tabs>
          <w:tab w:pos="1746" w:val="left" w:leader="none"/>
        </w:tabs>
        <w:spacing w:line="278" w:lineRule="auto" w:before="200" w:after="0"/>
        <w:ind w:left="1760" w:right="1700" w:hanging="360"/>
        <w:jc w:val="both"/>
        <w:rPr>
          <w:sz w:val="24"/>
        </w:rPr>
      </w:pPr>
      <w:r>
        <w:rPr>
          <w:sz w:val="24"/>
        </w:rPr>
        <w:t>Coordinación BANGUAT, SAT y MINFIN para el establecimiento de las metas fiscales.</w:t>
      </w:r>
    </w:p>
    <w:p>
      <w:pPr>
        <w:pStyle w:val="ListParagraph"/>
        <w:numPr>
          <w:ilvl w:val="0"/>
          <w:numId w:val="4"/>
        </w:numPr>
        <w:tabs>
          <w:tab w:pos="1746" w:val="left" w:leader="none"/>
        </w:tabs>
        <w:spacing w:line="240" w:lineRule="auto" w:before="194" w:after="0"/>
        <w:ind w:left="1745" w:right="0" w:hanging="346"/>
        <w:jc w:val="left"/>
        <w:rPr>
          <w:sz w:val="24"/>
        </w:rPr>
      </w:pPr>
      <w:r>
        <w:rPr>
          <w:sz w:val="24"/>
        </w:rPr>
        <w:t>Continuidad en el uso de la metodología de la Gestión por Resultados</w:t>
      </w:r>
      <w:r>
        <w:rPr>
          <w:spacing w:val="-5"/>
          <w:sz w:val="24"/>
        </w:rPr>
        <w:t> </w:t>
      </w:r>
      <w:r>
        <w:rPr>
          <w:sz w:val="24"/>
        </w:rPr>
        <w:t>(GpR).</w:t>
      </w:r>
    </w:p>
    <w:p>
      <w:pPr>
        <w:pStyle w:val="ListParagraph"/>
        <w:numPr>
          <w:ilvl w:val="0"/>
          <w:numId w:val="4"/>
        </w:numPr>
        <w:tabs>
          <w:tab w:pos="1746" w:val="left" w:leader="none"/>
        </w:tabs>
        <w:spacing w:line="240" w:lineRule="auto" w:before="245" w:after="0"/>
        <w:ind w:left="1745" w:right="0" w:hanging="346"/>
        <w:jc w:val="left"/>
        <w:rPr>
          <w:sz w:val="24"/>
        </w:rPr>
      </w:pPr>
      <w:r>
        <w:rPr>
          <w:sz w:val="24"/>
        </w:rPr>
        <w:t>Formulación presupuestaria con un horizonte multianual de cinco</w:t>
      </w:r>
      <w:r>
        <w:rPr>
          <w:spacing w:val="-16"/>
          <w:sz w:val="24"/>
        </w:rPr>
        <w:t> </w:t>
      </w:r>
      <w:r>
        <w:rPr>
          <w:sz w:val="24"/>
        </w:rPr>
        <w:t>años.</w:t>
      </w:r>
    </w:p>
    <w:p>
      <w:pPr>
        <w:pStyle w:val="ListParagraph"/>
        <w:numPr>
          <w:ilvl w:val="0"/>
          <w:numId w:val="4"/>
        </w:numPr>
        <w:tabs>
          <w:tab w:pos="1746" w:val="left" w:leader="none"/>
        </w:tabs>
        <w:spacing w:line="276" w:lineRule="auto" w:before="244" w:after="0"/>
        <w:ind w:left="1760" w:right="1710" w:hanging="360"/>
        <w:jc w:val="both"/>
        <w:rPr>
          <w:sz w:val="24"/>
        </w:rPr>
      </w:pPr>
      <w:r>
        <w:rPr>
          <w:sz w:val="24"/>
        </w:rPr>
        <w:t>Coordinación de las prioridades nacionales con los Objetivos de Desarrollo Sostenible</w:t>
      </w:r>
      <w:r>
        <w:rPr>
          <w:spacing w:val="-2"/>
          <w:sz w:val="24"/>
        </w:rPr>
        <w:t> </w:t>
      </w:r>
      <w:r>
        <w:rPr>
          <w:sz w:val="24"/>
        </w:rPr>
        <w:t>(ODS).</w:t>
      </w:r>
    </w:p>
    <w:p>
      <w:pPr>
        <w:pStyle w:val="ListParagraph"/>
        <w:numPr>
          <w:ilvl w:val="0"/>
          <w:numId w:val="4"/>
        </w:numPr>
        <w:tabs>
          <w:tab w:pos="1746" w:val="left" w:leader="none"/>
        </w:tabs>
        <w:spacing w:line="278" w:lineRule="auto" w:before="201" w:after="0"/>
        <w:ind w:left="1760" w:right="1701" w:hanging="360"/>
        <w:jc w:val="both"/>
        <w:rPr>
          <w:sz w:val="24"/>
        </w:rPr>
      </w:pPr>
      <w:r>
        <w:rPr>
          <w:sz w:val="24"/>
        </w:rPr>
        <w:t>Continuidad de mesas técnicas de trabajo con entidades de la administración central para revisión de los programas a los que se dará continuidad en el período 2021-2025.</w:t>
      </w:r>
    </w:p>
    <w:p>
      <w:pPr>
        <w:pStyle w:val="ListParagraph"/>
        <w:numPr>
          <w:ilvl w:val="0"/>
          <w:numId w:val="4"/>
        </w:numPr>
        <w:tabs>
          <w:tab w:pos="1746" w:val="left" w:leader="none"/>
        </w:tabs>
        <w:spacing w:line="278" w:lineRule="auto" w:before="190" w:after="0"/>
        <w:ind w:left="1760" w:right="1709" w:hanging="360"/>
        <w:jc w:val="both"/>
        <w:rPr>
          <w:sz w:val="24"/>
        </w:rPr>
      </w:pPr>
      <w:r>
        <w:rPr>
          <w:sz w:val="24"/>
        </w:rPr>
        <w:t>Coordinación técnica con centros de investigación y organismos internacionales.</w:t>
      </w:r>
    </w:p>
    <w:p>
      <w:pPr>
        <w:pStyle w:val="ListParagraph"/>
        <w:numPr>
          <w:ilvl w:val="0"/>
          <w:numId w:val="4"/>
        </w:numPr>
        <w:tabs>
          <w:tab w:pos="1746" w:val="left" w:leader="none"/>
        </w:tabs>
        <w:spacing w:line="240" w:lineRule="auto" w:before="194" w:after="0"/>
        <w:ind w:left="1745" w:right="0" w:hanging="346"/>
        <w:jc w:val="left"/>
        <w:rPr>
          <w:sz w:val="24"/>
        </w:rPr>
      </w:pPr>
      <w:r>
        <w:rPr>
          <w:sz w:val="24"/>
        </w:rPr>
        <w:t>Revisión del marco fiscal de mediano</w:t>
      </w:r>
      <w:r>
        <w:rPr>
          <w:spacing w:val="-17"/>
          <w:sz w:val="24"/>
        </w:rPr>
        <w:t> </w:t>
      </w:r>
      <w:r>
        <w:rPr>
          <w:sz w:val="24"/>
        </w:rPr>
        <w:t>plazo.</w:t>
      </w:r>
    </w:p>
    <w:p>
      <w:pPr>
        <w:pStyle w:val="ListParagraph"/>
        <w:numPr>
          <w:ilvl w:val="0"/>
          <w:numId w:val="4"/>
        </w:numPr>
        <w:tabs>
          <w:tab w:pos="1746" w:val="left" w:leader="none"/>
        </w:tabs>
        <w:spacing w:line="276" w:lineRule="auto" w:before="245" w:after="0"/>
        <w:ind w:left="1745" w:right="1695" w:hanging="360"/>
        <w:jc w:val="both"/>
        <w:rPr>
          <w:sz w:val="24"/>
        </w:rPr>
      </w:pPr>
      <w:r>
        <w:rPr/>
        <w:pict>
          <v:shape style="position:absolute;margin-left:531.919678pt;margin-top:35.679836pt;width:27.9pt;height:45.95pt;mso-position-horizontal-relative:page;mso-position-vertical-relative:paragraph;z-index:251666432" type="#_x0000_t202" filled="false" stroked="false">
            <v:textbox inset="0,0,0,0" style="layout-flow:vertical;mso-layout-flow-alt:bottom-to-top">
              <w:txbxContent>
                <w:p>
                  <w:pPr>
                    <w:spacing w:before="21"/>
                    <w:ind w:left="20" w:right="0" w:firstLine="0"/>
                    <w:jc w:val="left"/>
                    <w:rPr>
                      <w:rFonts w:ascii="Cambria" w:hAnsi="Cambria"/>
                      <w:sz w:val="44"/>
                    </w:rPr>
                  </w:pPr>
                  <w:r>
                    <w:rPr>
                      <w:rFonts w:ascii="Cambria" w:hAnsi="Cambria"/>
                      <w:sz w:val="22"/>
                    </w:rPr>
                    <w:t>Página</w:t>
                  </w:r>
                  <w:r>
                    <w:rPr>
                      <w:rFonts w:ascii="Cambria" w:hAnsi="Cambria"/>
                      <w:sz w:val="44"/>
                    </w:rPr>
                    <w:t>8</w:t>
                  </w:r>
                </w:p>
              </w:txbxContent>
            </v:textbox>
            <w10:wrap type="none"/>
          </v:shape>
        </w:pict>
      </w:r>
      <w:r>
        <w:rPr>
          <w:sz w:val="24"/>
        </w:rPr>
        <w:t>Discusión y formulación presupuestaria abierta 2021 y multianual 2021-2025, mediante la realización de Talleres de Presupuesto Abierto en forma virtual, </w:t>
      </w:r>
      <w:r>
        <w:rPr>
          <w:spacing w:val="2"/>
          <w:sz w:val="24"/>
        </w:rPr>
        <w:t>en </w:t>
      </w:r>
      <w:r>
        <w:rPr>
          <w:sz w:val="24"/>
        </w:rPr>
        <w:t>los que las entidades plantearon escenarios indicativos para el período, y en los que organizaciones de sociedad civil, ciudadanos y personas en</w:t>
      </w:r>
      <w:r>
        <w:rPr>
          <w:spacing w:val="13"/>
          <w:sz w:val="24"/>
        </w:rPr>
        <w:t> </w:t>
      </w:r>
      <w:r>
        <w:rPr>
          <w:sz w:val="24"/>
        </w:rPr>
        <w:t>general</w:t>
      </w:r>
    </w:p>
    <w:p>
      <w:pPr>
        <w:spacing w:after="0" w:line="276" w:lineRule="auto"/>
        <w:jc w:val="both"/>
        <w:rPr>
          <w:sz w:val="24"/>
        </w:rPr>
        <w:sectPr>
          <w:pgSz w:w="11910" w:h="16840"/>
          <w:pgMar w:header="1045" w:footer="872" w:top="2280" w:bottom="1060" w:left="660" w:right="0"/>
        </w:sectPr>
      </w:pPr>
    </w:p>
    <w:p>
      <w:pPr>
        <w:pStyle w:val="BodyText"/>
        <w:spacing w:before="6"/>
        <w:rPr>
          <w:sz w:val="12"/>
        </w:rPr>
      </w:pPr>
    </w:p>
    <w:p>
      <w:pPr>
        <w:spacing w:line="278" w:lineRule="auto" w:before="51"/>
        <w:ind w:left="1745" w:right="1701" w:firstLine="0"/>
        <w:jc w:val="both"/>
        <w:rPr>
          <w:sz w:val="24"/>
        </w:rPr>
      </w:pPr>
      <w:r>
        <w:rPr>
          <w:sz w:val="24"/>
        </w:rPr>
        <w:t>participaron brindando sus aportes u opiniones. Los talleres fueron realizados en el mes de julio de 2020 a través de la página del Minfin </w:t>
      </w:r>
      <w:hyperlink r:id="rId11">
        <w:r>
          <w:rPr>
            <w:color w:val="0000FF"/>
            <w:sz w:val="22"/>
            <w:u w:val="single" w:color="0000FF"/>
          </w:rPr>
          <w:t>https://presupuestoabierto.minfin.gob.gt/</w:t>
        </w:r>
      </w:hyperlink>
      <w:r>
        <w:rPr>
          <w:sz w:val="24"/>
        </w:rPr>
        <w:t>.</w:t>
      </w:r>
    </w:p>
    <w:p>
      <w:pPr>
        <w:pStyle w:val="BodyText"/>
        <w:rPr>
          <w:sz w:val="20"/>
        </w:rPr>
      </w:pPr>
    </w:p>
    <w:p>
      <w:pPr>
        <w:pStyle w:val="BodyText"/>
        <w:spacing w:before="4"/>
        <w:rPr>
          <w:sz w:val="19"/>
        </w:rPr>
      </w:pPr>
    </w:p>
    <w:p>
      <w:pPr>
        <w:spacing w:before="51"/>
        <w:ind w:left="2677" w:right="0" w:firstLine="0"/>
        <w:jc w:val="left"/>
        <w:rPr>
          <w:b/>
          <w:sz w:val="24"/>
        </w:rPr>
      </w:pPr>
      <w:r>
        <w:rPr/>
        <w:pict>
          <v:shape style="position:absolute;margin-left:531.919678pt;margin-top:523.379822pt;width:27.9pt;height:45.95pt;mso-position-horizontal-relative:page;mso-position-vertical-relative:paragraph;z-index:251669504" type="#_x0000_t202" filled="false" stroked="false">
            <v:textbox inset="0,0,0,0" style="layout-flow:vertical;mso-layout-flow-alt:bottom-to-top">
              <w:txbxContent>
                <w:p>
                  <w:pPr>
                    <w:spacing w:before="21"/>
                    <w:ind w:left="20" w:right="0" w:firstLine="0"/>
                    <w:jc w:val="left"/>
                    <w:rPr>
                      <w:rFonts w:ascii="Cambria" w:hAnsi="Cambria"/>
                      <w:sz w:val="44"/>
                    </w:rPr>
                  </w:pPr>
                  <w:r>
                    <w:rPr>
                      <w:rFonts w:ascii="Cambria" w:hAnsi="Cambria"/>
                      <w:sz w:val="22"/>
                    </w:rPr>
                    <w:t>Página</w:t>
                  </w:r>
                  <w:r>
                    <w:rPr>
                      <w:rFonts w:ascii="Cambria" w:hAnsi="Cambria"/>
                      <w:sz w:val="44"/>
                    </w:rPr>
                    <w:t>9</w:t>
                  </w:r>
                </w:p>
              </w:txbxContent>
            </v:textbox>
            <w10:wrap type="none"/>
          </v:shape>
        </w:pict>
      </w:r>
      <w:r>
        <w:rPr>
          <w:b/>
          <w:sz w:val="24"/>
        </w:rPr>
        <w:t>Talleres Virtuales de Presupuesto Abierto 2021-2025</w:t>
      </w:r>
    </w:p>
    <w:p>
      <w:pPr>
        <w:pStyle w:val="BodyText"/>
        <w:spacing w:before="6"/>
        <w:rPr>
          <w:b/>
          <w:sz w:val="16"/>
        </w:rPr>
      </w:pPr>
      <w:r>
        <w:rPr/>
        <w:drawing>
          <wp:anchor distT="0" distB="0" distL="0" distR="0" allowOverlap="1" layoutInCell="1" locked="0" behindDoc="0" simplePos="0" relativeHeight="9">
            <wp:simplePos x="0" y="0"/>
            <wp:positionH relativeFrom="page">
              <wp:posOffset>1081002</wp:posOffset>
            </wp:positionH>
            <wp:positionV relativeFrom="paragraph">
              <wp:posOffset>153135</wp:posOffset>
            </wp:positionV>
            <wp:extent cx="4968994" cy="3837146"/>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12" cstate="print"/>
                    <a:stretch>
                      <a:fillRect/>
                    </a:stretch>
                  </pic:blipFill>
                  <pic:spPr>
                    <a:xfrm>
                      <a:off x="0" y="0"/>
                      <a:ext cx="4968994" cy="3837146"/>
                    </a:xfrm>
                    <a:prstGeom prst="rect">
                      <a:avLst/>
                    </a:prstGeom>
                  </pic:spPr>
                </pic:pic>
              </a:graphicData>
            </a:graphic>
          </wp:anchor>
        </w:drawing>
      </w:r>
      <w:r>
        <w:rPr/>
        <w:pict>
          <v:group style="position:absolute;margin-left:153.889999pt;margin-top:330.517029pt;width:287.650pt;height:192.3pt;mso-position-horizontal-relative:page;mso-position-vertical-relative:paragraph;z-index:-251648000;mso-wrap-distance-left:0;mso-wrap-distance-right:0" coordorigin="3078,6610" coordsize="5753,3846">
            <v:shape style="position:absolute;left:3086;top:6616;width:5732;height:3825" type="#_x0000_t75" stroked="false">
              <v:imagedata r:id="rId13" o:title=""/>
            </v:shape>
            <v:rect style="position:absolute;left:3077;top:6610;width:10;height:10" filled="true" fillcolor="#000000" stroked="false">
              <v:fill type="solid"/>
            </v:rect>
            <v:rect style="position:absolute;left:3077;top:6610;width:10;height:10" filled="true" fillcolor="#000000" stroked="false">
              <v:fill type="solid"/>
            </v:rect>
            <v:line style="position:absolute" from="3087,6615" to="8821,6615" stroked="true" strokeweight=".48004pt" strokecolor="#000000">
              <v:stroke dashstyle="solid"/>
            </v:line>
            <v:rect style="position:absolute;left:8821;top:6610;width:10;height:10" filled="true" fillcolor="#000000" stroked="false">
              <v:fill type="solid"/>
            </v:rect>
            <v:rect style="position:absolute;left:8821;top:6610;width:10;height:10" filled="true" fillcolor="#000000" stroked="false">
              <v:fill type="solid"/>
            </v:rect>
            <v:line style="position:absolute" from="3083,6620" to="3083,10447" stroked="true" strokeweight=".48pt" strokecolor="#000000">
              <v:stroke dashstyle="solid"/>
            </v:line>
            <v:line style="position:absolute" from="8826,6620" to="8826,10447" stroked="true" strokeweight=".48001pt" strokecolor="#000000">
              <v:stroke dashstyle="solid"/>
            </v:line>
            <v:rect style="position:absolute;left:3077;top:10446;width:10;height:10" filled="true" fillcolor="#000000" stroked="false">
              <v:fill type="solid"/>
            </v:rect>
            <v:rect style="position:absolute;left:3077;top:10446;width:10;height:10" filled="true" fillcolor="#000000" stroked="false">
              <v:fill type="solid"/>
            </v:rect>
            <v:line style="position:absolute" from="3087,10451" to="8821,10451" stroked="true" strokeweight=".47998pt" strokecolor="#000000">
              <v:stroke dashstyle="solid"/>
            </v:line>
            <v:rect style="position:absolute;left:8821;top:10446;width:10;height:10" filled="true" fillcolor="#000000" stroked="false">
              <v:fill type="solid"/>
            </v:rect>
            <v:rect style="position:absolute;left:8821;top:10446;width:10;height:10" filled="true" fillcolor="#000000" stroked="false">
              <v:fill type="solid"/>
            </v:rect>
            <w10:wrap type="topAndBottom"/>
          </v:group>
        </w:pict>
      </w:r>
    </w:p>
    <w:p>
      <w:pPr>
        <w:pStyle w:val="BodyText"/>
        <w:spacing w:before="1"/>
        <w:rPr>
          <w:b/>
          <w:sz w:val="21"/>
        </w:rPr>
      </w:pPr>
    </w:p>
    <w:p>
      <w:pPr>
        <w:spacing w:before="1"/>
        <w:ind w:left="5371" w:right="0" w:firstLine="0"/>
        <w:jc w:val="left"/>
        <w:rPr>
          <w:b/>
          <w:sz w:val="20"/>
        </w:rPr>
      </w:pPr>
      <w:bookmarkStart w:name="Talleres de Presupuesto Abierto 2021 (Ju" w:id="14"/>
      <w:bookmarkEnd w:id="14"/>
      <w:r>
        <w:rPr/>
      </w:r>
      <w:r>
        <w:rPr>
          <w:b/>
          <w:sz w:val="20"/>
        </w:rPr>
        <w:t>Talleres de Presupuesto Abierto 2021 (Julio-2020).</w:t>
      </w:r>
    </w:p>
    <w:p>
      <w:pPr>
        <w:spacing w:after="0"/>
        <w:jc w:val="left"/>
        <w:rPr>
          <w:sz w:val="20"/>
        </w:rPr>
        <w:sectPr>
          <w:pgSz w:w="11910" w:h="16840"/>
          <w:pgMar w:header="1045" w:footer="872" w:top="2280" w:bottom="1060" w:left="660" w:right="0"/>
        </w:sectPr>
      </w:pPr>
    </w:p>
    <w:p>
      <w:pPr>
        <w:pStyle w:val="BodyText"/>
        <w:spacing w:before="3"/>
        <w:rPr>
          <w:b/>
          <w:sz w:val="13"/>
        </w:rPr>
      </w:pPr>
      <w:r>
        <w:rPr/>
        <w:pict>
          <v:shape style="position:absolute;margin-left:113.964294pt;margin-top:473.204529pt;width:11.8pt;height:46.05pt;mso-position-horizontal-relative:page;mso-position-vertical-relative:page;z-index:-254961664" type="#_x0000_t202" filled="false" stroked="false">
            <v:textbox inset="0,0,0,0" style="layout-flow:vertical;mso-layout-flow-alt:bottom-to-top">
              <w:txbxContent>
                <w:p>
                  <w:pPr>
                    <w:spacing w:line="217" w:lineRule="exact" w:before="0"/>
                    <w:ind w:left="20" w:right="0" w:firstLine="0"/>
                    <w:jc w:val="left"/>
                    <w:rPr>
                      <w:b/>
                      <w:sz w:val="19"/>
                    </w:rPr>
                  </w:pPr>
                  <w:r>
                    <w:rPr>
                      <w:b/>
                      <w:sz w:val="19"/>
                    </w:rPr>
                    <w:t>Porcentaje</w:t>
                  </w:r>
                </w:p>
              </w:txbxContent>
            </v:textbox>
            <w10:wrap type="none"/>
          </v:shape>
        </w:pict>
      </w:r>
      <w:r>
        <w:rPr/>
        <w:pict>
          <v:shape style="position:absolute;margin-left:531.919678pt;margin-top:710.579956pt;width:27.9pt;height:58.2pt;mso-position-horizontal-relative:page;mso-position-vertical-relative:page;z-index:251675648" type="#_x0000_t202" filled="false" stroked="false">
            <v:textbox inset="0,0,0,0" style="layout-flow:vertical;mso-layout-flow-alt:bottom-to-top">
              <w:txbxContent>
                <w:p>
                  <w:pPr>
                    <w:spacing w:before="21"/>
                    <w:ind w:left="20" w:right="0" w:firstLine="0"/>
                    <w:jc w:val="left"/>
                    <w:rPr>
                      <w:rFonts w:ascii="Cambria" w:hAnsi="Cambria"/>
                      <w:sz w:val="44"/>
                    </w:rPr>
                  </w:pPr>
                  <w:r>
                    <w:rPr>
                      <w:rFonts w:ascii="Cambria" w:hAnsi="Cambria"/>
                      <w:sz w:val="22"/>
                    </w:rPr>
                    <w:t>Página</w:t>
                  </w:r>
                  <w:r>
                    <w:rPr>
                      <w:rFonts w:ascii="Cambria" w:hAnsi="Cambria"/>
                      <w:sz w:val="44"/>
                    </w:rPr>
                    <w:t>10</w:t>
                  </w:r>
                </w:p>
              </w:txbxContent>
            </v:textbox>
            <w10:wrap type="none"/>
          </v:shape>
        </w:pict>
      </w:r>
    </w:p>
    <w:p>
      <w:pPr>
        <w:pStyle w:val="Heading1"/>
        <w:numPr>
          <w:ilvl w:val="0"/>
          <w:numId w:val="3"/>
        </w:numPr>
        <w:tabs>
          <w:tab w:pos="1329" w:val="left" w:leader="none"/>
        </w:tabs>
        <w:spacing w:line="240" w:lineRule="auto" w:before="42" w:after="0"/>
        <w:ind w:left="1328" w:right="0" w:hanging="290"/>
        <w:jc w:val="both"/>
      </w:pPr>
      <w:bookmarkStart w:name="3) Estimaciones Macroeconómicas" w:id="15"/>
      <w:bookmarkEnd w:id="15"/>
      <w:r>
        <w:rPr>
          <w:b w:val="0"/>
        </w:rPr>
      </w:r>
      <w:bookmarkStart w:name="_bookmark5" w:id="16"/>
      <w:bookmarkEnd w:id="16"/>
      <w:r>
        <w:rPr>
          <w:b w:val="0"/>
        </w:rPr>
      </w:r>
      <w:bookmarkStart w:name="_bookmark5" w:id="17"/>
      <w:bookmarkEnd w:id="17"/>
      <w:r>
        <w:rPr/>
        <w:t>E</w:t>
      </w:r>
      <w:r>
        <w:rPr/>
        <w:t>stimaciones</w:t>
      </w:r>
      <w:r>
        <w:rPr>
          <w:spacing w:val="2"/>
        </w:rPr>
        <w:t> </w:t>
      </w:r>
      <w:r>
        <w:rPr/>
        <w:t>Macroeconómicas</w:t>
      </w:r>
    </w:p>
    <w:p>
      <w:pPr>
        <w:pStyle w:val="BodyText"/>
        <w:spacing w:before="1"/>
        <w:rPr>
          <w:b/>
          <w:sz w:val="23"/>
        </w:rPr>
      </w:pPr>
    </w:p>
    <w:p>
      <w:pPr>
        <w:pStyle w:val="BodyText"/>
        <w:spacing w:before="1"/>
        <w:ind w:left="1039"/>
        <w:jc w:val="both"/>
      </w:pPr>
      <w:r>
        <w:rPr/>
        <w:t>A continuación, el escenario macroeconómico para el período 2021-2025:</w:t>
      </w:r>
    </w:p>
    <w:p>
      <w:pPr>
        <w:pStyle w:val="BodyText"/>
      </w:pPr>
    </w:p>
    <w:p>
      <w:pPr>
        <w:pStyle w:val="BodyText"/>
      </w:pPr>
    </w:p>
    <w:p>
      <w:pPr>
        <w:pStyle w:val="BodyText"/>
        <w:spacing w:before="10"/>
        <w:rPr>
          <w:sz w:val="18"/>
        </w:rPr>
      </w:pPr>
    </w:p>
    <w:p>
      <w:pPr>
        <w:pStyle w:val="ListParagraph"/>
        <w:numPr>
          <w:ilvl w:val="1"/>
          <w:numId w:val="5"/>
        </w:numPr>
        <w:tabs>
          <w:tab w:pos="1401" w:val="left" w:leader="none"/>
        </w:tabs>
        <w:spacing w:line="240" w:lineRule="auto" w:before="0" w:after="0"/>
        <w:ind w:left="1400" w:right="0" w:hanging="362"/>
        <w:jc w:val="both"/>
        <w:rPr>
          <w:b/>
          <w:sz w:val="24"/>
        </w:rPr>
      </w:pPr>
      <w:bookmarkStart w:name="3.1 Crecimiento del PIB" w:id="18"/>
      <w:bookmarkEnd w:id="18"/>
      <w:r>
        <w:rPr/>
      </w:r>
      <w:bookmarkStart w:name="_bookmark6" w:id="19"/>
      <w:bookmarkEnd w:id="19"/>
      <w:r>
        <w:rPr/>
      </w:r>
      <w:bookmarkStart w:name="_bookmark6" w:id="20"/>
      <w:bookmarkEnd w:id="20"/>
      <w:r>
        <w:rPr>
          <w:b/>
          <w:sz w:val="24"/>
        </w:rPr>
        <w:t>C</w:t>
      </w:r>
      <w:r>
        <w:rPr>
          <w:b/>
          <w:sz w:val="24"/>
        </w:rPr>
        <w:t>recimiento del</w:t>
      </w:r>
      <w:r>
        <w:rPr>
          <w:b/>
          <w:spacing w:val="-4"/>
          <w:sz w:val="24"/>
        </w:rPr>
        <w:t> </w:t>
      </w:r>
      <w:r>
        <w:rPr>
          <w:b/>
          <w:sz w:val="24"/>
        </w:rPr>
        <w:t>PIB</w:t>
      </w:r>
    </w:p>
    <w:p>
      <w:pPr>
        <w:pStyle w:val="BodyText"/>
        <w:spacing w:before="106"/>
        <w:ind w:left="1039" w:right="1696"/>
        <w:jc w:val="both"/>
      </w:pPr>
      <w:r>
        <w:rPr/>
        <w:t>De acuerdo a las estimaciones del Banco de Guatemala al mes de julio de 2020, el crecimiento interanual del Producto Interno Bruto (PIB) generado por las distintas actividades económicas como la agricultura, ganadería, pesca, silvicultura, minería, industria manufacturera, de alimentos, de calzado, y otras actividades, se estima que en 2021, luego de la crisis generada por la pandemia del Covid-19, podría empezar a recuperarse, estimándose un crecimiento entre 2.0% y 4.0%.</w:t>
      </w:r>
    </w:p>
    <w:p>
      <w:pPr>
        <w:pStyle w:val="BodyText"/>
      </w:pPr>
    </w:p>
    <w:p>
      <w:pPr>
        <w:pStyle w:val="BodyText"/>
        <w:spacing w:before="3"/>
      </w:pPr>
    </w:p>
    <w:p>
      <w:pPr>
        <w:spacing w:before="1"/>
        <w:ind w:left="2542" w:right="3198" w:firstLine="0"/>
        <w:jc w:val="center"/>
        <w:rPr>
          <w:b/>
          <w:sz w:val="24"/>
        </w:rPr>
      </w:pPr>
      <w:r>
        <w:rPr/>
        <w:pict>
          <v:group style="position:absolute;margin-left:87.968842pt;margin-top:27.387247pt;width:419.3pt;height:320.350pt;mso-position-horizontal-relative:page;mso-position-vertical-relative:paragraph;z-index:-254962688" coordorigin="1759,548" coordsize="8386,6407">
            <v:shape style="position:absolute;left:4274;top:2119;width:5061;height:2365" type="#_x0000_t75" stroked="false">
              <v:imagedata r:id="rId14" o:title=""/>
            </v:shape>
            <v:shape style="position:absolute;left:4439;top:3062;width:360;height:1063" type="#_x0000_t75" stroked="false">
              <v:imagedata r:id="rId15" o:title=""/>
            </v:shape>
            <v:shape style="position:absolute;left:5382;top:2014;width:360;height:1228" type="#_x0000_t75" stroked="false">
              <v:imagedata r:id="rId16" o:title=""/>
            </v:shape>
            <v:shape style="position:absolute;left:6326;top:1790;width:360;height:1452" type="#_x0000_t75" stroked="false">
              <v:imagedata r:id="rId17" o:title=""/>
            </v:shape>
            <v:shape style="position:absolute;left:7269;top:1760;width:360;height:1482" type="#_x0000_t75" stroked="false">
              <v:imagedata r:id="rId18" o:title=""/>
            </v:shape>
            <v:shape style="position:absolute;left:8212;top:1835;width:360;height:1407" type="#_x0000_t75" stroked="false">
              <v:imagedata r:id="rId19" o:title=""/>
            </v:shape>
            <v:shape style="position:absolute;left:9156;top:1790;width:360;height:1452" type="#_x0000_t75" stroked="false">
              <v:imagedata r:id="rId17" o:title=""/>
            </v:shape>
            <v:shape style="position:absolute;left:4619;top:3062;width:345;height:719" type="#_x0000_t75" stroked="false">
              <v:imagedata r:id="rId20" o:title=""/>
            </v:shape>
            <v:shape style="position:absolute;left:5562;top:1655;width:345;height:1587" type="#_x0000_t75" stroked="false">
              <v:imagedata r:id="rId21" o:title=""/>
            </v:shape>
            <v:shape style="position:absolute;left:6505;top:1445;width:345;height:1797" type="#_x0000_t75" stroked="false">
              <v:imagedata r:id="rId22" o:title=""/>
            </v:shape>
            <v:shape style="position:absolute;left:7449;top:1400;width:345;height:1842" type="#_x0000_t75" stroked="false">
              <v:imagedata r:id="rId23" o:title=""/>
            </v:shape>
            <v:shape style="position:absolute;left:8392;top:1475;width:345;height:1767" type="#_x0000_t75" stroked="false">
              <v:imagedata r:id="rId24" o:title=""/>
            </v:shape>
            <v:shape style="position:absolute;left:9335;top:1445;width:345;height:1797" type="#_x0000_t75" stroked="false">
              <v:imagedata r:id="rId22" o:title=""/>
            </v:shape>
            <v:shape style="position:absolute;left:4319;top:2119;width:4957;height:2261" type="#_x0000_t75" stroked="false">
              <v:imagedata r:id="rId25" o:title=""/>
            </v:shape>
            <v:shape style="position:absolute;left:4484;top:3077;width:255;height:958" type="#_x0000_t75" stroked="false">
              <v:imagedata r:id="rId26" o:title=""/>
            </v:shape>
            <v:shape style="position:absolute;left:5427;top:2029;width:255;height:1123" type="#_x0000_t75" stroked="false">
              <v:imagedata r:id="rId27" o:title=""/>
            </v:shape>
            <v:shape style="position:absolute;left:6371;top:1805;width:255;height:1348" type="#_x0000_t75" stroked="false">
              <v:imagedata r:id="rId28" o:title=""/>
            </v:shape>
            <v:shape style="position:absolute;left:7314;top:1775;width:255;height:1378" type="#_x0000_t75" stroked="false">
              <v:imagedata r:id="rId29" o:title=""/>
            </v:shape>
            <v:shape style="position:absolute;left:8257;top:1850;width:255;height:1303" type="#_x0000_t75" stroked="false">
              <v:imagedata r:id="rId30" o:title=""/>
            </v:shape>
            <v:shape style="position:absolute;left:9201;top:1805;width:255;height:1348" type="#_x0000_t75" stroked="false">
              <v:imagedata r:id="rId31" o:title=""/>
            </v:shape>
            <v:shape style="position:absolute;left:4664;top:3077;width:240;height:614" type="#_x0000_t75" stroked="false">
              <v:imagedata r:id="rId32" o:title=""/>
            </v:shape>
            <v:shape style="position:absolute;left:5607;top:1670;width:240;height:1482" type="#_x0000_t75" stroked="false">
              <v:imagedata r:id="rId33" o:title=""/>
            </v:shape>
            <v:shape style="position:absolute;left:6550;top:1460;width:240;height:1692" type="#_x0000_t75" stroked="false">
              <v:imagedata r:id="rId34" o:title=""/>
            </v:shape>
            <v:shape style="position:absolute;left:7494;top:1415;width:240;height:1737" type="#_x0000_t75" stroked="false">
              <v:imagedata r:id="rId35" o:title=""/>
            </v:shape>
            <v:shape style="position:absolute;left:8437;top:1490;width:240;height:1662" type="#_x0000_t75" stroked="false">
              <v:imagedata r:id="rId36" o:title=""/>
            </v:shape>
            <v:shape style="position:absolute;left:9380;top:1460;width:240;height:1692" type="#_x0000_t75" stroked="false">
              <v:imagedata r:id="rId34" o:title=""/>
            </v:shape>
            <v:shape style="position:absolute;left:3840;top:1730;width:360;height:1512" type="#_x0000_t75" stroked="false">
              <v:imagedata r:id="rId37" o:title=""/>
            </v:shape>
            <v:shape style="position:absolute;left:3885;top:1745;width:255;height:1407" type="#_x0000_t75" stroked="false">
              <v:imagedata r:id="rId38" o:title=""/>
            </v:shape>
            <v:shape style="position:absolute;left:2163;top:4918;width:135;height:135" type="#_x0000_t75" stroked="false">
              <v:imagedata r:id="rId39" o:title=""/>
            </v:shape>
            <v:shape style="position:absolute;left:2163;top:5232;width:135;height:120" type="#_x0000_t75" stroked="false">
              <v:imagedata r:id="rId40" o:title=""/>
            </v:shape>
            <v:shape style="position:absolute;left:2163;top:5546;width:135;height:120" type="#_x0000_t75" stroked="false">
              <v:imagedata r:id="rId41" o:title=""/>
            </v:shape>
            <v:shape style="position:absolute;left:2163;top:5861;width:135;height:120" type="#_x0000_t75" stroked="false">
              <v:imagedata r:id="rId42" o:title=""/>
            </v:shape>
            <v:rect style="position:absolute;left:1781;top:570;width:8341;height:6362" filled="false" stroked="true" strokeweight="2.245453pt" strokecolor="#f79546">
              <v:stroke dashstyle="solid"/>
            </v:rect>
            <v:shape style="position:absolute;left:3570;top:795;width:4776;height:361" type="#_x0000_t202" filled="false" stroked="false">
              <v:textbox inset="0,0,0,0">
                <w:txbxContent>
                  <w:p>
                    <w:pPr>
                      <w:spacing w:line="360" w:lineRule="exact" w:before="0"/>
                      <w:ind w:left="0" w:right="0" w:firstLine="0"/>
                      <w:jc w:val="left"/>
                      <w:rPr>
                        <w:b/>
                        <w:sz w:val="36"/>
                      </w:rPr>
                    </w:pPr>
                    <w:r>
                      <w:rPr>
                        <w:b/>
                        <w:spacing w:val="-6"/>
                        <w:sz w:val="36"/>
                      </w:rPr>
                      <w:t>Tasa </w:t>
                    </w:r>
                    <w:r>
                      <w:rPr>
                        <w:b/>
                        <w:sz w:val="36"/>
                      </w:rPr>
                      <w:t>de Crecimiento del PIB real</w:t>
                    </w:r>
                  </w:p>
                </w:txbxContent>
              </v:textbox>
              <w10:wrap type="none"/>
            </v:shape>
            <v:shape style="position:absolute;left:2779;top:1280;width:345;height:3376" type="#_x0000_t202" filled="false" stroked="false">
              <v:textbox inset="0,0,0,0">
                <w:txbxContent>
                  <w:p>
                    <w:pPr>
                      <w:spacing w:line="197" w:lineRule="exact" w:before="0"/>
                      <w:ind w:left="60" w:right="0" w:firstLine="0"/>
                      <w:jc w:val="left"/>
                      <w:rPr>
                        <w:b/>
                        <w:sz w:val="19"/>
                      </w:rPr>
                    </w:pPr>
                    <w:r>
                      <w:rPr>
                        <w:b/>
                        <w:spacing w:val="4"/>
                        <w:w w:val="105"/>
                        <w:sz w:val="19"/>
                      </w:rPr>
                      <w:t>5.0</w:t>
                    </w:r>
                  </w:p>
                  <w:p>
                    <w:pPr>
                      <w:spacing w:before="121"/>
                      <w:ind w:left="60" w:right="0" w:firstLine="0"/>
                      <w:jc w:val="left"/>
                      <w:rPr>
                        <w:b/>
                        <w:sz w:val="19"/>
                      </w:rPr>
                    </w:pPr>
                    <w:r>
                      <w:rPr>
                        <w:b/>
                        <w:spacing w:val="4"/>
                        <w:w w:val="105"/>
                        <w:sz w:val="19"/>
                      </w:rPr>
                      <w:t>4.0</w:t>
                    </w:r>
                  </w:p>
                  <w:p>
                    <w:pPr>
                      <w:spacing w:before="122"/>
                      <w:ind w:left="60" w:right="0" w:firstLine="0"/>
                      <w:jc w:val="left"/>
                      <w:rPr>
                        <w:b/>
                        <w:sz w:val="19"/>
                      </w:rPr>
                    </w:pPr>
                    <w:r>
                      <w:rPr>
                        <w:b/>
                        <w:spacing w:val="4"/>
                        <w:w w:val="105"/>
                        <w:sz w:val="19"/>
                      </w:rPr>
                      <w:t>3.0</w:t>
                    </w:r>
                  </w:p>
                  <w:p>
                    <w:pPr>
                      <w:spacing w:before="121"/>
                      <w:ind w:left="60" w:right="0" w:firstLine="0"/>
                      <w:jc w:val="left"/>
                      <w:rPr>
                        <w:b/>
                        <w:sz w:val="19"/>
                      </w:rPr>
                    </w:pPr>
                    <w:r>
                      <w:rPr>
                        <w:b/>
                        <w:spacing w:val="4"/>
                        <w:w w:val="105"/>
                        <w:sz w:val="19"/>
                      </w:rPr>
                      <w:t>2.0</w:t>
                    </w:r>
                  </w:p>
                  <w:p>
                    <w:pPr>
                      <w:spacing w:before="122"/>
                      <w:ind w:left="60" w:right="0" w:firstLine="0"/>
                      <w:jc w:val="left"/>
                      <w:rPr>
                        <w:b/>
                        <w:sz w:val="19"/>
                      </w:rPr>
                    </w:pPr>
                    <w:r>
                      <w:rPr>
                        <w:b/>
                        <w:spacing w:val="4"/>
                        <w:w w:val="105"/>
                        <w:sz w:val="19"/>
                      </w:rPr>
                      <w:t>1.0</w:t>
                    </w:r>
                  </w:p>
                  <w:p>
                    <w:pPr>
                      <w:spacing w:before="121"/>
                      <w:ind w:left="60" w:right="0" w:firstLine="0"/>
                      <w:jc w:val="left"/>
                      <w:rPr>
                        <w:b/>
                        <w:sz w:val="19"/>
                      </w:rPr>
                    </w:pPr>
                    <w:r>
                      <w:rPr>
                        <w:b/>
                        <w:spacing w:val="4"/>
                        <w:w w:val="105"/>
                        <w:sz w:val="19"/>
                      </w:rPr>
                      <w:t>0.0</w:t>
                    </w:r>
                  </w:p>
                  <w:p>
                    <w:pPr>
                      <w:spacing w:before="122"/>
                      <w:ind w:left="0" w:right="0" w:firstLine="0"/>
                      <w:jc w:val="left"/>
                      <w:rPr>
                        <w:b/>
                        <w:sz w:val="19"/>
                      </w:rPr>
                    </w:pPr>
                    <w:r>
                      <w:rPr>
                        <w:b/>
                        <w:spacing w:val="3"/>
                        <w:w w:val="105"/>
                        <w:sz w:val="19"/>
                      </w:rPr>
                      <w:t>-1.0</w:t>
                    </w:r>
                  </w:p>
                  <w:p>
                    <w:pPr>
                      <w:spacing w:before="121"/>
                      <w:ind w:left="0" w:right="0" w:firstLine="0"/>
                      <w:jc w:val="left"/>
                      <w:rPr>
                        <w:b/>
                        <w:sz w:val="19"/>
                      </w:rPr>
                    </w:pPr>
                    <w:r>
                      <w:rPr>
                        <w:b/>
                        <w:spacing w:val="3"/>
                        <w:w w:val="105"/>
                        <w:sz w:val="19"/>
                      </w:rPr>
                      <w:t>-2.0</w:t>
                    </w:r>
                  </w:p>
                  <w:p>
                    <w:pPr>
                      <w:spacing w:before="122"/>
                      <w:ind w:left="0" w:right="0" w:firstLine="0"/>
                      <w:jc w:val="left"/>
                      <w:rPr>
                        <w:b/>
                        <w:sz w:val="19"/>
                      </w:rPr>
                    </w:pPr>
                    <w:r>
                      <w:rPr>
                        <w:b/>
                        <w:spacing w:val="3"/>
                        <w:w w:val="105"/>
                        <w:sz w:val="19"/>
                      </w:rPr>
                      <w:t>-3.0</w:t>
                    </w:r>
                  </w:p>
                  <w:p>
                    <w:pPr>
                      <w:spacing w:line="230" w:lineRule="exact" w:before="121"/>
                      <w:ind w:left="0" w:right="0" w:firstLine="0"/>
                      <w:jc w:val="left"/>
                      <w:rPr>
                        <w:b/>
                        <w:sz w:val="19"/>
                      </w:rPr>
                    </w:pPr>
                    <w:r>
                      <w:rPr>
                        <w:b/>
                        <w:spacing w:val="3"/>
                        <w:w w:val="105"/>
                        <w:sz w:val="19"/>
                      </w:rPr>
                      <w:t>-4.0</w:t>
                    </w:r>
                  </w:p>
                </w:txbxContent>
              </v:textbox>
              <w10:wrap type="none"/>
            </v:shape>
            <v:shape style="position:absolute;left:1918;top:6640;width:2817;height:211" type="#_x0000_t202" filled="false" stroked="false">
              <v:textbox inset="0,0,0,0">
                <w:txbxContent>
                  <w:p>
                    <w:pPr>
                      <w:spacing w:line="210" w:lineRule="exact" w:before="0"/>
                      <w:ind w:left="0" w:right="0" w:firstLine="0"/>
                      <w:jc w:val="left"/>
                      <w:rPr>
                        <w:b/>
                        <w:sz w:val="21"/>
                      </w:rPr>
                    </w:pPr>
                    <w:r>
                      <w:rPr>
                        <w:b/>
                        <w:sz w:val="21"/>
                      </w:rPr>
                      <w:t>Fuente: Proyecciones BANGUAT</w:t>
                    </w:r>
                  </w:p>
                </w:txbxContent>
              </v:textbox>
              <w10:wrap type="none"/>
            </v:shape>
            <w10:wrap type="none"/>
          </v:group>
        </w:pict>
      </w:r>
      <w:r>
        <w:rPr>
          <w:b/>
          <w:sz w:val="24"/>
        </w:rPr>
        <w:t>Gráfica No. 1</w:t>
      </w:r>
    </w:p>
    <w:p>
      <w:pPr>
        <w:pStyle w:val="BodyText"/>
        <w:rPr>
          <w:b/>
          <w:sz w:val="20"/>
        </w:rPr>
      </w:pPr>
    </w:p>
    <w:p>
      <w:pPr>
        <w:pStyle w:val="BodyText"/>
        <w:rPr>
          <w:b/>
          <w:sz w:val="20"/>
        </w:rPr>
      </w:pPr>
    </w:p>
    <w:p>
      <w:pPr>
        <w:pStyle w:val="BodyText"/>
        <w:rPr>
          <w:b/>
          <w:sz w:val="20"/>
        </w:rPr>
      </w:pPr>
    </w:p>
    <w:p>
      <w:pPr>
        <w:pStyle w:val="BodyText"/>
        <w:spacing w:before="12"/>
        <w:rPr>
          <w:b/>
          <w:sz w:val="26"/>
        </w:rPr>
      </w:pPr>
    </w:p>
    <w:tbl>
      <w:tblPr>
        <w:tblW w:w="0" w:type="auto"/>
        <w:jc w:val="left"/>
        <w:tblInd w:w="1458"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1183"/>
        <w:gridCol w:w="943"/>
        <w:gridCol w:w="943"/>
        <w:gridCol w:w="943"/>
        <w:gridCol w:w="943"/>
        <w:gridCol w:w="943"/>
        <w:gridCol w:w="943"/>
        <w:gridCol w:w="943"/>
      </w:tblGrid>
      <w:tr>
        <w:trPr>
          <w:trHeight w:val="329" w:hRule="atLeast"/>
        </w:trPr>
        <w:tc>
          <w:tcPr>
            <w:tcW w:w="1183" w:type="dxa"/>
            <w:vMerge w:val="restart"/>
            <w:tcBorders>
              <w:top w:val="nil"/>
              <w:left w:val="nil"/>
            </w:tcBorders>
          </w:tcPr>
          <w:p>
            <w:pPr>
              <w:pStyle w:val="TableParagraph"/>
              <w:rPr>
                <w:rFonts w:ascii="Times New Roman"/>
                <w:sz w:val="22"/>
              </w:rPr>
            </w:pPr>
          </w:p>
        </w:tc>
        <w:tc>
          <w:tcPr>
            <w:tcW w:w="6601" w:type="dxa"/>
            <w:gridSpan w:val="7"/>
            <w:tcBorders>
              <w:right w:val="nil"/>
            </w:tcBorders>
          </w:tcPr>
          <w:p>
            <w:pPr>
              <w:pStyle w:val="TableParagraph"/>
              <w:rPr>
                <w:rFonts w:ascii="Times New Roman"/>
                <w:sz w:val="22"/>
              </w:rPr>
            </w:pPr>
          </w:p>
        </w:tc>
      </w:tr>
      <w:tr>
        <w:trPr>
          <w:trHeight w:val="344" w:hRule="atLeast"/>
        </w:trPr>
        <w:tc>
          <w:tcPr>
            <w:tcW w:w="1183" w:type="dxa"/>
            <w:vMerge/>
            <w:tcBorders>
              <w:top w:val="nil"/>
              <w:left w:val="nil"/>
            </w:tcBorders>
          </w:tcPr>
          <w:p>
            <w:pPr>
              <w:rPr>
                <w:sz w:val="2"/>
                <w:szCs w:val="2"/>
              </w:rPr>
            </w:pPr>
          </w:p>
        </w:tc>
        <w:tc>
          <w:tcPr>
            <w:tcW w:w="6601" w:type="dxa"/>
            <w:gridSpan w:val="7"/>
            <w:tcBorders>
              <w:right w:val="nil"/>
            </w:tcBorders>
          </w:tcPr>
          <w:p>
            <w:pPr>
              <w:pStyle w:val="TableParagraph"/>
              <w:rPr>
                <w:rFonts w:ascii="Times New Roman"/>
                <w:sz w:val="22"/>
              </w:rPr>
            </w:pPr>
          </w:p>
        </w:tc>
      </w:tr>
      <w:tr>
        <w:trPr>
          <w:trHeight w:val="344" w:hRule="atLeast"/>
        </w:trPr>
        <w:tc>
          <w:tcPr>
            <w:tcW w:w="1183" w:type="dxa"/>
            <w:vMerge/>
            <w:tcBorders>
              <w:top w:val="nil"/>
              <w:left w:val="nil"/>
            </w:tcBorders>
          </w:tcPr>
          <w:p>
            <w:pPr>
              <w:rPr>
                <w:sz w:val="2"/>
                <w:szCs w:val="2"/>
              </w:rPr>
            </w:pPr>
          </w:p>
        </w:tc>
        <w:tc>
          <w:tcPr>
            <w:tcW w:w="6601" w:type="dxa"/>
            <w:gridSpan w:val="7"/>
            <w:tcBorders>
              <w:right w:val="nil"/>
            </w:tcBorders>
          </w:tcPr>
          <w:p>
            <w:pPr>
              <w:pStyle w:val="TableParagraph"/>
              <w:rPr>
                <w:rFonts w:ascii="Times New Roman"/>
                <w:sz w:val="22"/>
              </w:rPr>
            </w:pPr>
          </w:p>
        </w:tc>
      </w:tr>
      <w:tr>
        <w:trPr>
          <w:trHeight w:val="329" w:hRule="atLeast"/>
        </w:trPr>
        <w:tc>
          <w:tcPr>
            <w:tcW w:w="1183" w:type="dxa"/>
            <w:vMerge/>
            <w:tcBorders>
              <w:top w:val="nil"/>
              <w:left w:val="nil"/>
            </w:tcBorders>
          </w:tcPr>
          <w:p>
            <w:pPr>
              <w:rPr>
                <w:sz w:val="2"/>
                <w:szCs w:val="2"/>
              </w:rPr>
            </w:pPr>
          </w:p>
        </w:tc>
        <w:tc>
          <w:tcPr>
            <w:tcW w:w="6601" w:type="dxa"/>
            <w:gridSpan w:val="7"/>
            <w:tcBorders>
              <w:right w:val="nil"/>
            </w:tcBorders>
          </w:tcPr>
          <w:p>
            <w:pPr>
              <w:pStyle w:val="TableParagraph"/>
              <w:rPr>
                <w:rFonts w:ascii="Times New Roman"/>
                <w:sz w:val="22"/>
              </w:rPr>
            </w:pPr>
          </w:p>
        </w:tc>
      </w:tr>
      <w:tr>
        <w:trPr>
          <w:trHeight w:val="344" w:hRule="atLeast"/>
        </w:trPr>
        <w:tc>
          <w:tcPr>
            <w:tcW w:w="1183" w:type="dxa"/>
            <w:vMerge/>
            <w:tcBorders>
              <w:top w:val="nil"/>
              <w:left w:val="nil"/>
            </w:tcBorders>
          </w:tcPr>
          <w:p>
            <w:pPr>
              <w:rPr>
                <w:sz w:val="2"/>
                <w:szCs w:val="2"/>
              </w:rPr>
            </w:pPr>
          </w:p>
        </w:tc>
        <w:tc>
          <w:tcPr>
            <w:tcW w:w="6601" w:type="dxa"/>
            <w:gridSpan w:val="7"/>
            <w:tcBorders>
              <w:right w:val="nil"/>
            </w:tcBorders>
          </w:tcPr>
          <w:p>
            <w:pPr>
              <w:pStyle w:val="TableParagraph"/>
              <w:rPr>
                <w:rFonts w:ascii="Times New Roman"/>
                <w:sz w:val="22"/>
              </w:rPr>
            </w:pPr>
          </w:p>
        </w:tc>
      </w:tr>
      <w:tr>
        <w:trPr>
          <w:trHeight w:val="329" w:hRule="atLeast"/>
        </w:trPr>
        <w:tc>
          <w:tcPr>
            <w:tcW w:w="1183" w:type="dxa"/>
            <w:vMerge/>
            <w:tcBorders>
              <w:top w:val="nil"/>
              <w:left w:val="nil"/>
            </w:tcBorders>
          </w:tcPr>
          <w:p>
            <w:pPr>
              <w:rPr>
                <w:sz w:val="2"/>
                <w:szCs w:val="2"/>
              </w:rPr>
            </w:pPr>
          </w:p>
        </w:tc>
        <w:tc>
          <w:tcPr>
            <w:tcW w:w="6601" w:type="dxa"/>
            <w:gridSpan w:val="7"/>
            <w:tcBorders>
              <w:right w:val="nil"/>
            </w:tcBorders>
          </w:tcPr>
          <w:p>
            <w:pPr>
              <w:pStyle w:val="TableParagraph"/>
              <w:rPr>
                <w:rFonts w:ascii="Times New Roman"/>
                <w:sz w:val="22"/>
              </w:rPr>
            </w:pPr>
          </w:p>
        </w:tc>
      </w:tr>
      <w:tr>
        <w:trPr>
          <w:trHeight w:val="344" w:hRule="atLeast"/>
        </w:trPr>
        <w:tc>
          <w:tcPr>
            <w:tcW w:w="1183" w:type="dxa"/>
            <w:vMerge/>
            <w:tcBorders>
              <w:top w:val="nil"/>
              <w:left w:val="nil"/>
            </w:tcBorders>
          </w:tcPr>
          <w:p>
            <w:pPr>
              <w:rPr>
                <w:sz w:val="2"/>
                <w:szCs w:val="2"/>
              </w:rPr>
            </w:pPr>
          </w:p>
        </w:tc>
        <w:tc>
          <w:tcPr>
            <w:tcW w:w="6601" w:type="dxa"/>
            <w:gridSpan w:val="7"/>
            <w:tcBorders>
              <w:right w:val="nil"/>
            </w:tcBorders>
          </w:tcPr>
          <w:p>
            <w:pPr>
              <w:pStyle w:val="TableParagraph"/>
              <w:rPr>
                <w:rFonts w:ascii="Times New Roman"/>
                <w:sz w:val="22"/>
              </w:rPr>
            </w:pPr>
          </w:p>
        </w:tc>
      </w:tr>
      <w:tr>
        <w:trPr>
          <w:trHeight w:val="329" w:hRule="atLeast"/>
        </w:trPr>
        <w:tc>
          <w:tcPr>
            <w:tcW w:w="1183" w:type="dxa"/>
            <w:vMerge/>
            <w:tcBorders>
              <w:top w:val="nil"/>
              <w:left w:val="nil"/>
            </w:tcBorders>
          </w:tcPr>
          <w:p>
            <w:pPr>
              <w:rPr>
                <w:sz w:val="2"/>
                <w:szCs w:val="2"/>
              </w:rPr>
            </w:pPr>
          </w:p>
        </w:tc>
        <w:tc>
          <w:tcPr>
            <w:tcW w:w="6601" w:type="dxa"/>
            <w:gridSpan w:val="7"/>
            <w:tcBorders>
              <w:right w:val="nil"/>
            </w:tcBorders>
          </w:tcPr>
          <w:p>
            <w:pPr>
              <w:pStyle w:val="TableParagraph"/>
              <w:rPr>
                <w:rFonts w:ascii="Times New Roman"/>
                <w:sz w:val="22"/>
              </w:rPr>
            </w:pPr>
          </w:p>
        </w:tc>
      </w:tr>
      <w:tr>
        <w:trPr>
          <w:trHeight w:val="344" w:hRule="atLeast"/>
        </w:trPr>
        <w:tc>
          <w:tcPr>
            <w:tcW w:w="1183" w:type="dxa"/>
            <w:vMerge/>
            <w:tcBorders>
              <w:top w:val="nil"/>
              <w:left w:val="nil"/>
            </w:tcBorders>
          </w:tcPr>
          <w:p>
            <w:pPr>
              <w:rPr>
                <w:sz w:val="2"/>
                <w:szCs w:val="2"/>
              </w:rPr>
            </w:pPr>
          </w:p>
        </w:tc>
        <w:tc>
          <w:tcPr>
            <w:tcW w:w="6601" w:type="dxa"/>
            <w:gridSpan w:val="7"/>
            <w:tcBorders>
              <w:right w:val="nil"/>
            </w:tcBorders>
          </w:tcPr>
          <w:p>
            <w:pPr>
              <w:pStyle w:val="TableParagraph"/>
              <w:rPr>
                <w:rFonts w:ascii="Times New Roman"/>
                <w:sz w:val="22"/>
              </w:rPr>
            </w:pPr>
          </w:p>
        </w:tc>
      </w:tr>
      <w:tr>
        <w:trPr>
          <w:trHeight w:val="284" w:hRule="atLeast"/>
        </w:trPr>
        <w:tc>
          <w:tcPr>
            <w:tcW w:w="1183" w:type="dxa"/>
            <w:vMerge/>
            <w:tcBorders>
              <w:top w:val="nil"/>
              <w:left w:val="nil"/>
            </w:tcBorders>
          </w:tcPr>
          <w:p>
            <w:pPr>
              <w:rPr>
                <w:sz w:val="2"/>
                <w:szCs w:val="2"/>
              </w:rPr>
            </w:pPr>
          </w:p>
        </w:tc>
        <w:tc>
          <w:tcPr>
            <w:tcW w:w="943" w:type="dxa"/>
          </w:tcPr>
          <w:p>
            <w:pPr>
              <w:pStyle w:val="TableParagraph"/>
              <w:spacing w:line="229" w:lineRule="exact" w:before="35"/>
              <w:ind w:left="218" w:right="218"/>
              <w:jc w:val="center"/>
              <w:rPr>
                <w:b/>
                <w:sz w:val="19"/>
              </w:rPr>
            </w:pPr>
            <w:r>
              <w:rPr>
                <w:b/>
                <w:w w:val="105"/>
                <w:sz w:val="19"/>
              </w:rPr>
              <w:t>2019</w:t>
            </w:r>
          </w:p>
        </w:tc>
        <w:tc>
          <w:tcPr>
            <w:tcW w:w="943" w:type="dxa"/>
          </w:tcPr>
          <w:p>
            <w:pPr>
              <w:pStyle w:val="TableParagraph"/>
              <w:spacing w:line="229" w:lineRule="exact" w:before="35"/>
              <w:ind w:left="255"/>
              <w:rPr>
                <w:b/>
                <w:sz w:val="19"/>
              </w:rPr>
            </w:pPr>
            <w:r>
              <w:rPr>
                <w:b/>
                <w:w w:val="105"/>
                <w:sz w:val="19"/>
              </w:rPr>
              <w:t>2020</w:t>
            </w:r>
          </w:p>
        </w:tc>
        <w:tc>
          <w:tcPr>
            <w:tcW w:w="943" w:type="dxa"/>
          </w:tcPr>
          <w:p>
            <w:pPr>
              <w:pStyle w:val="TableParagraph"/>
              <w:spacing w:line="229" w:lineRule="exact" w:before="35"/>
              <w:ind w:left="226" w:right="218"/>
              <w:jc w:val="center"/>
              <w:rPr>
                <w:b/>
                <w:sz w:val="19"/>
              </w:rPr>
            </w:pPr>
            <w:r>
              <w:rPr>
                <w:b/>
                <w:w w:val="105"/>
                <w:sz w:val="19"/>
              </w:rPr>
              <w:t>2021</w:t>
            </w:r>
          </w:p>
        </w:tc>
        <w:tc>
          <w:tcPr>
            <w:tcW w:w="943" w:type="dxa"/>
          </w:tcPr>
          <w:p>
            <w:pPr>
              <w:pStyle w:val="TableParagraph"/>
              <w:spacing w:line="229" w:lineRule="exact" w:before="35"/>
              <w:ind w:left="230" w:right="218"/>
              <w:jc w:val="center"/>
              <w:rPr>
                <w:b/>
                <w:sz w:val="19"/>
              </w:rPr>
            </w:pPr>
            <w:r>
              <w:rPr>
                <w:b/>
                <w:w w:val="105"/>
                <w:sz w:val="19"/>
              </w:rPr>
              <w:t>2022</w:t>
            </w:r>
          </w:p>
        </w:tc>
        <w:tc>
          <w:tcPr>
            <w:tcW w:w="943" w:type="dxa"/>
          </w:tcPr>
          <w:p>
            <w:pPr>
              <w:pStyle w:val="TableParagraph"/>
              <w:spacing w:line="229" w:lineRule="exact" w:before="35"/>
              <w:ind w:left="231" w:right="218"/>
              <w:jc w:val="center"/>
              <w:rPr>
                <w:b/>
                <w:sz w:val="19"/>
              </w:rPr>
            </w:pPr>
            <w:r>
              <w:rPr>
                <w:b/>
                <w:w w:val="105"/>
                <w:sz w:val="19"/>
              </w:rPr>
              <w:t>2023</w:t>
            </w:r>
          </w:p>
        </w:tc>
        <w:tc>
          <w:tcPr>
            <w:tcW w:w="943" w:type="dxa"/>
          </w:tcPr>
          <w:p>
            <w:pPr>
              <w:pStyle w:val="TableParagraph"/>
              <w:spacing w:line="229" w:lineRule="exact" w:before="35"/>
              <w:ind w:left="234" w:right="218"/>
              <w:jc w:val="center"/>
              <w:rPr>
                <w:b/>
                <w:sz w:val="19"/>
              </w:rPr>
            </w:pPr>
            <w:r>
              <w:rPr>
                <w:b/>
                <w:w w:val="105"/>
                <w:sz w:val="19"/>
              </w:rPr>
              <w:t>2024</w:t>
            </w:r>
          </w:p>
        </w:tc>
        <w:tc>
          <w:tcPr>
            <w:tcW w:w="943" w:type="dxa"/>
          </w:tcPr>
          <w:p>
            <w:pPr>
              <w:pStyle w:val="TableParagraph"/>
              <w:spacing w:line="229" w:lineRule="exact" w:before="35"/>
              <w:ind w:left="238" w:right="218"/>
              <w:jc w:val="center"/>
              <w:rPr>
                <w:b/>
                <w:sz w:val="19"/>
              </w:rPr>
            </w:pPr>
            <w:r>
              <w:rPr>
                <w:b/>
                <w:w w:val="105"/>
                <w:sz w:val="19"/>
              </w:rPr>
              <w:t>2025</w:t>
            </w:r>
          </w:p>
        </w:tc>
      </w:tr>
      <w:tr>
        <w:trPr>
          <w:trHeight w:val="299" w:hRule="atLeast"/>
        </w:trPr>
        <w:tc>
          <w:tcPr>
            <w:tcW w:w="1183" w:type="dxa"/>
          </w:tcPr>
          <w:p>
            <w:pPr>
              <w:pStyle w:val="TableParagraph"/>
              <w:spacing w:before="41"/>
              <w:ind w:left="244"/>
              <w:rPr>
                <w:b/>
                <w:sz w:val="19"/>
              </w:rPr>
            </w:pPr>
            <w:r>
              <w:rPr>
                <w:b/>
                <w:w w:val="105"/>
                <w:sz w:val="19"/>
              </w:rPr>
              <w:t>Bajo</w:t>
            </w:r>
          </w:p>
        </w:tc>
        <w:tc>
          <w:tcPr>
            <w:tcW w:w="943" w:type="dxa"/>
          </w:tcPr>
          <w:p>
            <w:pPr>
              <w:pStyle w:val="TableParagraph"/>
              <w:rPr>
                <w:rFonts w:ascii="Times New Roman"/>
                <w:sz w:val="22"/>
              </w:rPr>
            </w:pPr>
          </w:p>
        </w:tc>
        <w:tc>
          <w:tcPr>
            <w:tcW w:w="943" w:type="dxa"/>
          </w:tcPr>
          <w:p>
            <w:pPr>
              <w:pStyle w:val="TableParagraph"/>
              <w:spacing w:before="46"/>
              <w:ind w:left="304"/>
              <w:rPr>
                <w:b/>
                <w:sz w:val="19"/>
              </w:rPr>
            </w:pPr>
            <w:r>
              <w:rPr>
                <w:b/>
                <w:w w:val="105"/>
                <w:sz w:val="19"/>
              </w:rPr>
              <w:t>-3.5</w:t>
            </w:r>
          </w:p>
        </w:tc>
        <w:tc>
          <w:tcPr>
            <w:tcW w:w="943" w:type="dxa"/>
          </w:tcPr>
          <w:p>
            <w:pPr>
              <w:pStyle w:val="TableParagraph"/>
              <w:spacing w:before="46"/>
              <w:ind w:left="225" w:right="218"/>
              <w:jc w:val="center"/>
              <w:rPr>
                <w:b/>
                <w:sz w:val="19"/>
              </w:rPr>
            </w:pPr>
            <w:r>
              <w:rPr>
                <w:b/>
                <w:w w:val="105"/>
                <w:sz w:val="19"/>
              </w:rPr>
              <w:t>2.0</w:t>
            </w:r>
          </w:p>
        </w:tc>
        <w:tc>
          <w:tcPr>
            <w:tcW w:w="943" w:type="dxa"/>
          </w:tcPr>
          <w:p>
            <w:pPr>
              <w:pStyle w:val="TableParagraph"/>
              <w:spacing w:before="46"/>
              <w:ind w:left="228" w:right="218"/>
              <w:jc w:val="center"/>
              <w:rPr>
                <w:b/>
                <w:sz w:val="19"/>
              </w:rPr>
            </w:pPr>
            <w:r>
              <w:rPr>
                <w:b/>
                <w:w w:val="105"/>
                <w:sz w:val="19"/>
              </w:rPr>
              <w:t>2.6</w:t>
            </w:r>
          </w:p>
        </w:tc>
        <w:tc>
          <w:tcPr>
            <w:tcW w:w="943" w:type="dxa"/>
          </w:tcPr>
          <w:p>
            <w:pPr>
              <w:pStyle w:val="TableParagraph"/>
              <w:spacing w:before="46"/>
              <w:ind w:left="232" w:right="218"/>
              <w:jc w:val="center"/>
              <w:rPr>
                <w:b/>
                <w:sz w:val="19"/>
              </w:rPr>
            </w:pPr>
            <w:r>
              <w:rPr>
                <w:b/>
                <w:w w:val="105"/>
                <w:sz w:val="19"/>
              </w:rPr>
              <w:t>2.7</w:t>
            </w:r>
          </w:p>
        </w:tc>
        <w:tc>
          <w:tcPr>
            <w:tcW w:w="943" w:type="dxa"/>
          </w:tcPr>
          <w:p>
            <w:pPr>
              <w:pStyle w:val="TableParagraph"/>
              <w:spacing w:before="46"/>
              <w:ind w:left="236" w:right="218"/>
              <w:jc w:val="center"/>
              <w:rPr>
                <w:b/>
                <w:sz w:val="19"/>
              </w:rPr>
            </w:pPr>
            <w:r>
              <w:rPr>
                <w:b/>
                <w:w w:val="105"/>
                <w:sz w:val="19"/>
              </w:rPr>
              <w:t>2.5</w:t>
            </w:r>
          </w:p>
        </w:tc>
        <w:tc>
          <w:tcPr>
            <w:tcW w:w="943" w:type="dxa"/>
          </w:tcPr>
          <w:p>
            <w:pPr>
              <w:pStyle w:val="TableParagraph"/>
              <w:spacing w:before="46"/>
              <w:ind w:left="239" w:right="218"/>
              <w:jc w:val="center"/>
              <w:rPr>
                <w:b/>
                <w:sz w:val="19"/>
              </w:rPr>
            </w:pPr>
            <w:r>
              <w:rPr>
                <w:b/>
                <w:w w:val="105"/>
                <w:sz w:val="19"/>
              </w:rPr>
              <w:t>2.6</w:t>
            </w:r>
          </w:p>
        </w:tc>
      </w:tr>
      <w:tr>
        <w:trPr>
          <w:trHeight w:val="299" w:hRule="atLeast"/>
        </w:trPr>
        <w:tc>
          <w:tcPr>
            <w:tcW w:w="1183" w:type="dxa"/>
          </w:tcPr>
          <w:p>
            <w:pPr>
              <w:pStyle w:val="TableParagraph"/>
              <w:spacing w:before="38"/>
              <w:ind w:left="239"/>
              <w:rPr>
                <w:b/>
                <w:sz w:val="19"/>
              </w:rPr>
            </w:pPr>
            <w:r>
              <w:rPr>
                <w:b/>
                <w:w w:val="105"/>
                <w:sz w:val="19"/>
              </w:rPr>
              <w:t>Medio</w:t>
            </w:r>
          </w:p>
        </w:tc>
        <w:tc>
          <w:tcPr>
            <w:tcW w:w="943" w:type="dxa"/>
          </w:tcPr>
          <w:p>
            <w:pPr>
              <w:pStyle w:val="TableParagraph"/>
              <w:rPr>
                <w:rFonts w:ascii="Times New Roman"/>
                <w:sz w:val="22"/>
              </w:rPr>
            </w:pPr>
          </w:p>
        </w:tc>
        <w:tc>
          <w:tcPr>
            <w:tcW w:w="943" w:type="dxa"/>
          </w:tcPr>
          <w:p>
            <w:pPr>
              <w:pStyle w:val="TableParagraph"/>
              <w:spacing w:before="43"/>
              <w:ind w:left="304"/>
              <w:rPr>
                <w:b/>
                <w:sz w:val="19"/>
              </w:rPr>
            </w:pPr>
            <w:r>
              <w:rPr>
                <w:b/>
                <w:w w:val="105"/>
                <w:sz w:val="19"/>
              </w:rPr>
              <w:t>-2.5</w:t>
            </w:r>
          </w:p>
        </w:tc>
        <w:tc>
          <w:tcPr>
            <w:tcW w:w="943" w:type="dxa"/>
          </w:tcPr>
          <w:p>
            <w:pPr>
              <w:pStyle w:val="TableParagraph"/>
              <w:spacing w:before="43"/>
              <w:ind w:left="225" w:right="218"/>
              <w:jc w:val="center"/>
              <w:rPr>
                <w:b/>
                <w:sz w:val="19"/>
              </w:rPr>
            </w:pPr>
            <w:r>
              <w:rPr>
                <w:b/>
                <w:w w:val="105"/>
                <w:sz w:val="19"/>
              </w:rPr>
              <w:t>3.0</w:t>
            </w:r>
          </w:p>
        </w:tc>
        <w:tc>
          <w:tcPr>
            <w:tcW w:w="943" w:type="dxa"/>
          </w:tcPr>
          <w:p>
            <w:pPr>
              <w:pStyle w:val="TableParagraph"/>
              <w:spacing w:before="43"/>
              <w:ind w:left="228" w:right="218"/>
              <w:jc w:val="center"/>
              <w:rPr>
                <w:b/>
                <w:sz w:val="19"/>
              </w:rPr>
            </w:pPr>
            <w:r>
              <w:rPr>
                <w:b/>
                <w:w w:val="105"/>
                <w:sz w:val="19"/>
              </w:rPr>
              <w:t>3.6</w:t>
            </w:r>
          </w:p>
        </w:tc>
        <w:tc>
          <w:tcPr>
            <w:tcW w:w="943" w:type="dxa"/>
          </w:tcPr>
          <w:p>
            <w:pPr>
              <w:pStyle w:val="TableParagraph"/>
              <w:spacing w:before="43"/>
              <w:ind w:left="232" w:right="218"/>
              <w:jc w:val="center"/>
              <w:rPr>
                <w:b/>
                <w:sz w:val="19"/>
              </w:rPr>
            </w:pPr>
            <w:r>
              <w:rPr>
                <w:b/>
                <w:w w:val="105"/>
                <w:sz w:val="19"/>
              </w:rPr>
              <w:t>3.7</w:t>
            </w:r>
          </w:p>
        </w:tc>
        <w:tc>
          <w:tcPr>
            <w:tcW w:w="943" w:type="dxa"/>
          </w:tcPr>
          <w:p>
            <w:pPr>
              <w:pStyle w:val="TableParagraph"/>
              <w:spacing w:before="43"/>
              <w:ind w:left="236" w:right="218"/>
              <w:jc w:val="center"/>
              <w:rPr>
                <w:b/>
                <w:sz w:val="19"/>
              </w:rPr>
            </w:pPr>
            <w:r>
              <w:rPr>
                <w:b/>
                <w:w w:val="105"/>
                <w:sz w:val="19"/>
              </w:rPr>
              <w:t>3.5</w:t>
            </w:r>
          </w:p>
        </w:tc>
        <w:tc>
          <w:tcPr>
            <w:tcW w:w="943" w:type="dxa"/>
          </w:tcPr>
          <w:p>
            <w:pPr>
              <w:pStyle w:val="TableParagraph"/>
              <w:spacing w:before="43"/>
              <w:ind w:left="239" w:right="218"/>
              <w:jc w:val="center"/>
              <w:rPr>
                <w:b/>
                <w:sz w:val="19"/>
              </w:rPr>
            </w:pPr>
            <w:r>
              <w:rPr>
                <w:b/>
                <w:w w:val="105"/>
                <w:sz w:val="19"/>
              </w:rPr>
              <w:t>3.6</w:t>
            </w:r>
          </w:p>
        </w:tc>
      </w:tr>
      <w:tr>
        <w:trPr>
          <w:trHeight w:val="299" w:hRule="atLeast"/>
        </w:trPr>
        <w:tc>
          <w:tcPr>
            <w:tcW w:w="1183" w:type="dxa"/>
          </w:tcPr>
          <w:p>
            <w:pPr>
              <w:pStyle w:val="TableParagraph"/>
              <w:spacing w:before="35"/>
              <w:ind w:left="233"/>
              <w:rPr>
                <w:b/>
                <w:sz w:val="19"/>
              </w:rPr>
            </w:pPr>
            <w:r>
              <w:rPr>
                <w:b/>
                <w:w w:val="105"/>
                <w:sz w:val="19"/>
              </w:rPr>
              <w:t>Alto</w:t>
            </w:r>
          </w:p>
        </w:tc>
        <w:tc>
          <w:tcPr>
            <w:tcW w:w="943" w:type="dxa"/>
          </w:tcPr>
          <w:p>
            <w:pPr>
              <w:pStyle w:val="TableParagraph"/>
              <w:rPr>
                <w:rFonts w:ascii="Times New Roman"/>
                <w:sz w:val="22"/>
              </w:rPr>
            </w:pPr>
          </w:p>
        </w:tc>
        <w:tc>
          <w:tcPr>
            <w:tcW w:w="943" w:type="dxa"/>
          </w:tcPr>
          <w:p>
            <w:pPr>
              <w:pStyle w:val="TableParagraph"/>
              <w:spacing w:before="40"/>
              <w:ind w:left="304"/>
              <w:rPr>
                <w:b/>
                <w:sz w:val="19"/>
              </w:rPr>
            </w:pPr>
            <w:r>
              <w:rPr>
                <w:b/>
                <w:w w:val="105"/>
                <w:sz w:val="19"/>
              </w:rPr>
              <w:t>-1.5</w:t>
            </w:r>
          </w:p>
        </w:tc>
        <w:tc>
          <w:tcPr>
            <w:tcW w:w="943" w:type="dxa"/>
          </w:tcPr>
          <w:p>
            <w:pPr>
              <w:pStyle w:val="TableParagraph"/>
              <w:spacing w:before="40"/>
              <w:ind w:left="225" w:right="218"/>
              <w:jc w:val="center"/>
              <w:rPr>
                <w:b/>
                <w:sz w:val="19"/>
              </w:rPr>
            </w:pPr>
            <w:r>
              <w:rPr>
                <w:b/>
                <w:w w:val="105"/>
                <w:sz w:val="19"/>
              </w:rPr>
              <w:t>4.0</w:t>
            </w:r>
          </w:p>
        </w:tc>
        <w:tc>
          <w:tcPr>
            <w:tcW w:w="943" w:type="dxa"/>
          </w:tcPr>
          <w:p>
            <w:pPr>
              <w:pStyle w:val="TableParagraph"/>
              <w:spacing w:before="40"/>
              <w:ind w:left="228" w:right="218"/>
              <w:jc w:val="center"/>
              <w:rPr>
                <w:b/>
                <w:sz w:val="19"/>
              </w:rPr>
            </w:pPr>
            <w:r>
              <w:rPr>
                <w:b/>
                <w:w w:val="105"/>
                <w:sz w:val="19"/>
              </w:rPr>
              <w:t>4.6</w:t>
            </w:r>
          </w:p>
        </w:tc>
        <w:tc>
          <w:tcPr>
            <w:tcW w:w="943" w:type="dxa"/>
          </w:tcPr>
          <w:p>
            <w:pPr>
              <w:pStyle w:val="TableParagraph"/>
              <w:spacing w:before="40"/>
              <w:ind w:left="232" w:right="218"/>
              <w:jc w:val="center"/>
              <w:rPr>
                <w:b/>
                <w:sz w:val="19"/>
              </w:rPr>
            </w:pPr>
            <w:r>
              <w:rPr>
                <w:b/>
                <w:w w:val="105"/>
                <w:sz w:val="19"/>
              </w:rPr>
              <w:t>4.7</w:t>
            </w:r>
          </w:p>
        </w:tc>
        <w:tc>
          <w:tcPr>
            <w:tcW w:w="943" w:type="dxa"/>
          </w:tcPr>
          <w:p>
            <w:pPr>
              <w:pStyle w:val="TableParagraph"/>
              <w:spacing w:before="40"/>
              <w:ind w:left="236" w:right="218"/>
              <w:jc w:val="center"/>
              <w:rPr>
                <w:b/>
                <w:sz w:val="19"/>
              </w:rPr>
            </w:pPr>
            <w:r>
              <w:rPr>
                <w:b/>
                <w:w w:val="105"/>
                <w:sz w:val="19"/>
              </w:rPr>
              <w:t>4.5</w:t>
            </w:r>
          </w:p>
        </w:tc>
        <w:tc>
          <w:tcPr>
            <w:tcW w:w="943" w:type="dxa"/>
          </w:tcPr>
          <w:p>
            <w:pPr>
              <w:pStyle w:val="TableParagraph"/>
              <w:spacing w:before="40"/>
              <w:ind w:left="239" w:right="218"/>
              <w:jc w:val="center"/>
              <w:rPr>
                <w:b/>
                <w:sz w:val="19"/>
              </w:rPr>
            </w:pPr>
            <w:r>
              <w:rPr>
                <w:b/>
                <w:w w:val="105"/>
                <w:sz w:val="19"/>
              </w:rPr>
              <w:t>4.6</w:t>
            </w:r>
          </w:p>
        </w:tc>
      </w:tr>
      <w:tr>
        <w:trPr>
          <w:trHeight w:val="299" w:hRule="atLeast"/>
        </w:trPr>
        <w:tc>
          <w:tcPr>
            <w:tcW w:w="1183" w:type="dxa"/>
          </w:tcPr>
          <w:p>
            <w:pPr>
              <w:pStyle w:val="TableParagraph"/>
              <w:spacing w:before="33"/>
              <w:ind w:left="240"/>
              <w:rPr>
                <w:b/>
                <w:sz w:val="19"/>
              </w:rPr>
            </w:pPr>
            <w:r>
              <w:rPr>
                <w:b/>
                <w:w w:val="105"/>
                <w:sz w:val="19"/>
              </w:rPr>
              <w:t>Observado</w:t>
            </w:r>
          </w:p>
        </w:tc>
        <w:tc>
          <w:tcPr>
            <w:tcW w:w="943" w:type="dxa"/>
          </w:tcPr>
          <w:p>
            <w:pPr>
              <w:pStyle w:val="TableParagraph"/>
              <w:spacing w:before="38"/>
              <w:ind w:left="218" w:right="218"/>
              <w:jc w:val="center"/>
              <w:rPr>
                <w:b/>
                <w:sz w:val="19"/>
              </w:rPr>
            </w:pPr>
            <w:r>
              <w:rPr>
                <w:b/>
                <w:w w:val="105"/>
                <w:sz w:val="19"/>
              </w:rPr>
              <w:t>3.8</w:t>
            </w:r>
          </w:p>
        </w:tc>
        <w:tc>
          <w:tcPr>
            <w:tcW w:w="943" w:type="dxa"/>
          </w:tcPr>
          <w:p>
            <w:pPr>
              <w:pStyle w:val="TableParagraph"/>
              <w:rPr>
                <w:rFonts w:ascii="Times New Roman"/>
                <w:sz w:val="22"/>
              </w:rPr>
            </w:pPr>
          </w:p>
        </w:tc>
        <w:tc>
          <w:tcPr>
            <w:tcW w:w="943" w:type="dxa"/>
          </w:tcPr>
          <w:p>
            <w:pPr>
              <w:pStyle w:val="TableParagraph"/>
              <w:rPr>
                <w:rFonts w:ascii="Times New Roman"/>
                <w:sz w:val="22"/>
              </w:rPr>
            </w:pPr>
          </w:p>
        </w:tc>
        <w:tc>
          <w:tcPr>
            <w:tcW w:w="943" w:type="dxa"/>
          </w:tcPr>
          <w:p>
            <w:pPr>
              <w:pStyle w:val="TableParagraph"/>
              <w:rPr>
                <w:rFonts w:ascii="Times New Roman"/>
                <w:sz w:val="22"/>
              </w:rPr>
            </w:pPr>
          </w:p>
        </w:tc>
        <w:tc>
          <w:tcPr>
            <w:tcW w:w="943" w:type="dxa"/>
          </w:tcPr>
          <w:p>
            <w:pPr>
              <w:pStyle w:val="TableParagraph"/>
              <w:rPr>
                <w:rFonts w:ascii="Times New Roman"/>
                <w:sz w:val="22"/>
              </w:rPr>
            </w:pPr>
          </w:p>
        </w:tc>
        <w:tc>
          <w:tcPr>
            <w:tcW w:w="943" w:type="dxa"/>
          </w:tcPr>
          <w:p>
            <w:pPr>
              <w:pStyle w:val="TableParagraph"/>
              <w:rPr>
                <w:rFonts w:ascii="Times New Roman"/>
                <w:sz w:val="22"/>
              </w:rPr>
            </w:pPr>
          </w:p>
        </w:tc>
        <w:tc>
          <w:tcPr>
            <w:tcW w:w="943" w:type="dxa"/>
          </w:tcPr>
          <w:p>
            <w:pPr>
              <w:pStyle w:val="TableParagraph"/>
              <w:rPr>
                <w:rFonts w:ascii="Times New Roman"/>
                <w:sz w:val="22"/>
              </w:rPr>
            </w:pPr>
          </w:p>
        </w:tc>
      </w:tr>
    </w:tbl>
    <w:p>
      <w:pPr>
        <w:spacing w:after="0"/>
        <w:rPr>
          <w:rFonts w:ascii="Times New Roman"/>
          <w:sz w:val="22"/>
        </w:rPr>
        <w:sectPr>
          <w:pgSz w:w="11910" w:h="16840"/>
          <w:pgMar w:header="1045" w:footer="872" w:top="2280" w:bottom="1060" w:left="66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0"/>
        </w:rPr>
      </w:pPr>
    </w:p>
    <w:p>
      <w:pPr>
        <w:spacing w:line="273" w:lineRule="auto" w:before="56"/>
        <w:ind w:left="1039" w:right="1706" w:firstLine="0"/>
        <w:jc w:val="left"/>
        <w:rPr>
          <w:sz w:val="22"/>
        </w:rPr>
      </w:pPr>
      <w:r>
        <w:rPr>
          <w:sz w:val="22"/>
        </w:rPr>
        <w:t>El BANGUAT en sus proyecciones del PIB nominal y real, muestra escenarios bajo, medio y alto para el período en cuestión.</w:t>
      </w:r>
    </w:p>
    <w:p>
      <w:pPr>
        <w:pStyle w:val="BodyText"/>
        <w:spacing w:before="9"/>
        <w:rPr>
          <w:sz w:val="25"/>
        </w:rPr>
      </w:pPr>
    </w:p>
    <w:p>
      <w:pPr>
        <w:spacing w:before="1"/>
        <w:ind w:left="2542" w:right="3193" w:firstLine="0"/>
        <w:jc w:val="center"/>
        <w:rPr>
          <w:b/>
          <w:sz w:val="24"/>
        </w:rPr>
      </w:pPr>
      <w:r>
        <w:rPr>
          <w:b/>
          <w:sz w:val="24"/>
        </w:rPr>
        <w:t>Tabla No. 1</w:t>
      </w:r>
    </w:p>
    <w:p>
      <w:pPr>
        <w:pStyle w:val="BodyText"/>
        <w:spacing w:before="4"/>
        <w:rPr>
          <w:b/>
          <w:sz w:val="16"/>
        </w:rPr>
      </w:pPr>
    </w:p>
    <w:p>
      <w:pPr>
        <w:spacing w:line="261" w:lineRule="auto" w:before="65"/>
        <w:ind w:left="4443" w:right="5100" w:firstLine="0"/>
        <w:jc w:val="center"/>
        <w:rPr>
          <w:b/>
          <w:sz w:val="18"/>
        </w:rPr>
      </w:pPr>
      <w:r>
        <w:rPr>
          <w:b/>
          <w:sz w:val="18"/>
        </w:rPr>
        <w:t>PIB Real y PIB Nominal (2019-2025)</w:t>
      </w:r>
    </w:p>
    <w:tbl>
      <w:tblPr>
        <w:tblW w:w="0" w:type="auto"/>
        <w:jc w:val="left"/>
        <w:tblInd w:w="10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0"/>
        <w:gridCol w:w="1466"/>
        <w:gridCol w:w="855"/>
        <w:gridCol w:w="777"/>
        <w:gridCol w:w="777"/>
        <w:gridCol w:w="777"/>
        <w:gridCol w:w="776"/>
        <w:gridCol w:w="841"/>
        <w:gridCol w:w="776"/>
        <w:gridCol w:w="773"/>
      </w:tblGrid>
      <w:tr>
        <w:trPr>
          <w:trHeight w:val="229" w:hRule="atLeast"/>
        </w:trPr>
        <w:tc>
          <w:tcPr>
            <w:tcW w:w="2136" w:type="dxa"/>
            <w:gridSpan w:val="2"/>
            <w:tcBorders>
              <w:left w:val="single" w:sz="4" w:space="0" w:color="000000"/>
              <w:bottom w:val="single" w:sz="4" w:space="0" w:color="000000"/>
              <w:right w:val="single" w:sz="4" w:space="0" w:color="000000"/>
            </w:tcBorders>
            <w:shd w:val="clear" w:color="auto" w:fill="FBD4B4"/>
          </w:tcPr>
          <w:p>
            <w:pPr>
              <w:pStyle w:val="TableParagraph"/>
              <w:spacing w:line="210" w:lineRule="exact"/>
              <w:ind w:left="706"/>
              <w:rPr>
                <w:b/>
                <w:sz w:val="18"/>
              </w:rPr>
            </w:pPr>
            <w:r>
              <w:rPr>
                <w:b/>
                <w:sz w:val="18"/>
              </w:rPr>
              <w:t>Escenario</w:t>
            </w:r>
          </w:p>
        </w:tc>
        <w:tc>
          <w:tcPr>
            <w:tcW w:w="855" w:type="dxa"/>
            <w:tcBorders>
              <w:left w:val="single" w:sz="4" w:space="0" w:color="000000"/>
              <w:bottom w:val="single" w:sz="4" w:space="0" w:color="000000"/>
              <w:right w:val="single" w:sz="4" w:space="0" w:color="000000"/>
            </w:tcBorders>
            <w:shd w:val="clear" w:color="auto" w:fill="FBD4B4"/>
          </w:tcPr>
          <w:p>
            <w:pPr>
              <w:pStyle w:val="TableParagraph"/>
              <w:spacing w:line="210" w:lineRule="exact"/>
              <w:ind w:left="80" w:right="73"/>
              <w:jc w:val="center"/>
              <w:rPr>
                <w:b/>
                <w:sz w:val="18"/>
              </w:rPr>
            </w:pPr>
            <w:r>
              <w:rPr>
                <w:b/>
                <w:sz w:val="18"/>
              </w:rPr>
              <w:t>Q / %</w:t>
            </w:r>
          </w:p>
        </w:tc>
        <w:tc>
          <w:tcPr>
            <w:tcW w:w="777" w:type="dxa"/>
            <w:tcBorders>
              <w:left w:val="single" w:sz="4" w:space="0" w:color="000000"/>
              <w:bottom w:val="single" w:sz="4" w:space="0" w:color="000000"/>
              <w:right w:val="single" w:sz="4" w:space="0" w:color="000000"/>
            </w:tcBorders>
            <w:shd w:val="clear" w:color="auto" w:fill="FBD4B4"/>
          </w:tcPr>
          <w:p>
            <w:pPr>
              <w:pStyle w:val="TableParagraph"/>
              <w:spacing w:line="210" w:lineRule="exact"/>
              <w:ind w:left="207"/>
              <w:rPr>
                <w:b/>
                <w:sz w:val="18"/>
              </w:rPr>
            </w:pPr>
            <w:r>
              <w:rPr>
                <w:b/>
                <w:sz w:val="18"/>
              </w:rPr>
              <w:t>2019</w:t>
            </w:r>
          </w:p>
        </w:tc>
        <w:tc>
          <w:tcPr>
            <w:tcW w:w="777" w:type="dxa"/>
            <w:tcBorders>
              <w:left w:val="single" w:sz="4" w:space="0" w:color="000000"/>
              <w:bottom w:val="single" w:sz="4" w:space="0" w:color="000000"/>
              <w:right w:val="single" w:sz="4" w:space="0" w:color="000000"/>
            </w:tcBorders>
            <w:shd w:val="clear" w:color="auto" w:fill="FBD4B4"/>
          </w:tcPr>
          <w:p>
            <w:pPr>
              <w:pStyle w:val="TableParagraph"/>
              <w:spacing w:line="210" w:lineRule="exact"/>
              <w:ind w:left="206"/>
              <w:rPr>
                <w:b/>
                <w:sz w:val="18"/>
              </w:rPr>
            </w:pPr>
            <w:r>
              <w:rPr>
                <w:b/>
                <w:sz w:val="18"/>
              </w:rPr>
              <w:t>2020</w:t>
            </w:r>
          </w:p>
        </w:tc>
        <w:tc>
          <w:tcPr>
            <w:tcW w:w="777" w:type="dxa"/>
            <w:tcBorders>
              <w:left w:val="single" w:sz="4" w:space="0" w:color="000000"/>
              <w:bottom w:val="single" w:sz="4" w:space="0" w:color="000000"/>
              <w:right w:val="single" w:sz="4" w:space="0" w:color="000000"/>
            </w:tcBorders>
            <w:shd w:val="clear" w:color="auto" w:fill="FBD4B4"/>
          </w:tcPr>
          <w:p>
            <w:pPr>
              <w:pStyle w:val="TableParagraph"/>
              <w:spacing w:line="210" w:lineRule="exact"/>
              <w:ind w:left="205"/>
              <w:rPr>
                <w:b/>
                <w:sz w:val="18"/>
              </w:rPr>
            </w:pPr>
            <w:r>
              <w:rPr>
                <w:b/>
                <w:sz w:val="18"/>
              </w:rPr>
              <w:t>2021</w:t>
            </w:r>
          </w:p>
        </w:tc>
        <w:tc>
          <w:tcPr>
            <w:tcW w:w="776" w:type="dxa"/>
            <w:tcBorders>
              <w:left w:val="single" w:sz="4" w:space="0" w:color="000000"/>
              <w:bottom w:val="single" w:sz="4" w:space="0" w:color="000000"/>
              <w:right w:val="single" w:sz="4" w:space="0" w:color="000000"/>
            </w:tcBorders>
            <w:shd w:val="clear" w:color="auto" w:fill="FBD4B4"/>
          </w:tcPr>
          <w:p>
            <w:pPr>
              <w:pStyle w:val="TableParagraph"/>
              <w:spacing w:line="210" w:lineRule="exact"/>
              <w:ind w:left="205"/>
              <w:rPr>
                <w:b/>
                <w:sz w:val="18"/>
              </w:rPr>
            </w:pPr>
            <w:r>
              <w:rPr>
                <w:b/>
                <w:sz w:val="18"/>
              </w:rPr>
              <w:t>2022</w:t>
            </w:r>
          </w:p>
        </w:tc>
        <w:tc>
          <w:tcPr>
            <w:tcW w:w="841" w:type="dxa"/>
            <w:tcBorders>
              <w:left w:val="single" w:sz="4" w:space="0" w:color="000000"/>
              <w:bottom w:val="single" w:sz="4" w:space="0" w:color="000000"/>
              <w:right w:val="single" w:sz="4" w:space="0" w:color="000000"/>
            </w:tcBorders>
            <w:shd w:val="clear" w:color="auto" w:fill="FBD4B4"/>
          </w:tcPr>
          <w:p>
            <w:pPr>
              <w:pStyle w:val="TableParagraph"/>
              <w:spacing w:line="210" w:lineRule="exact"/>
              <w:ind w:left="238"/>
              <w:rPr>
                <w:b/>
                <w:sz w:val="18"/>
              </w:rPr>
            </w:pPr>
            <w:r>
              <w:rPr>
                <w:b/>
                <w:sz w:val="18"/>
              </w:rPr>
              <w:t>2023</w:t>
            </w:r>
          </w:p>
        </w:tc>
        <w:tc>
          <w:tcPr>
            <w:tcW w:w="776" w:type="dxa"/>
            <w:tcBorders>
              <w:left w:val="single" w:sz="4" w:space="0" w:color="000000"/>
              <w:bottom w:val="single" w:sz="4" w:space="0" w:color="000000"/>
              <w:right w:val="single" w:sz="4" w:space="0" w:color="000000"/>
            </w:tcBorders>
            <w:shd w:val="clear" w:color="auto" w:fill="FBD4B4"/>
          </w:tcPr>
          <w:p>
            <w:pPr>
              <w:pStyle w:val="TableParagraph"/>
              <w:spacing w:line="210" w:lineRule="exact"/>
              <w:ind w:left="206"/>
              <w:rPr>
                <w:b/>
                <w:sz w:val="18"/>
              </w:rPr>
            </w:pPr>
            <w:r>
              <w:rPr>
                <w:b/>
                <w:sz w:val="18"/>
              </w:rPr>
              <w:t>2024</w:t>
            </w:r>
          </w:p>
        </w:tc>
        <w:tc>
          <w:tcPr>
            <w:tcW w:w="773" w:type="dxa"/>
            <w:tcBorders>
              <w:left w:val="single" w:sz="4" w:space="0" w:color="000000"/>
              <w:bottom w:val="single" w:sz="4" w:space="0" w:color="000000"/>
            </w:tcBorders>
            <w:shd w:val="clear" w:color="auto" w:fill="FBD4B4"/>
          </w:tcPr>
          <w:p>
            <w:pPr>
              <w:pStyle w:val="TableParagraph"/>
              <w:spacing w:line="210" w:lineRule="exact"/>
              <w:ind w:left="184" w:right="170"/>
              <w:jc w:val="center"/>
              <w:rPr>
                <w:b/>
                <w:sz w:val="18"/>
              </w:rPr>
            </w:pPr>
            <w:r>
              <w:rPr>
                <w:b/>
                <w:sz w:val="18"/>
              </w:rPr>
              <w:t>2025</w:t>
            </w:r>
          </w:p>
        </w:tc>
      </w:tr>
      <w:tr>
        <w:trPr>
          <w:trHeight w:val="179" w:hRule="atLeast"/>
        </w:trPr>
        <w:tc>
          <w:tcPr>
            <w:tcW w:w="8488" w:type="dxa"/>
            <w:gridSpan w:val="10"/>
            <w:tcBorders>
              <w:top w:val="single" w:sz="4" w:space="0" w:color="000000"/>
              <w:left w:val="single" w:sz="4" w:space="0" w:color="000000"/>
              <w:bottom w:val="nil"/>
            </w:tcBorders>
          </w:tcPr>
          <w:p>
            <w:pPr>
              <w:pStyle w:val="TableParagraph"/>
              <w:rPr>
                <w:rFonts w:ascii="Times New Roman"/>
                <w:sz w:val="12"/>
              </w:rPr>
            </w:pPr>
          </w:p>
        </w:tc>
      </w:tr>
      <w:tr>
        <w:trPr>
          <w:trHeight w:val="278" w:hRule="atLeast"/>
        </w:trPr>
        <w:tc>
          <w:tcPr>
            <w:tcW w:w="8488" w:type="dxa"/>
            <w:gridSpan w:val="10"/>
            <w:tcBorders>
              <w:top w:val="nil"/>
              <w:left w:val="single" w:sz="4" w:space="0" w:color="000000"/>
              <w:bottom w:val="nil"/>
            </w:tcBorders>
            <w:shd w:val="clear" w:color="auto" w:fill="FFE49B"/>
          </w:tcPr>
          <w:p>
            <w:pPr>
              <w:pStyle w:val="TableParagraph"/>
              <w:spacing w:before="6"/>
              <w:ind w:left="27"/>
              <w:rPr>
                <w:b/>
                <w:sz w:val="20"/>
              </w:rPr>
            </w:pPr>
            <w:r>
              <w:rPr>
                <w:b/>
                <w:w w:val="105"/>
                <w:sz w:val="20"/>
              </w:rPr>
              <w:t>Bajo</w:t>
            </w:r>
          </w:p>
        </w:tc>
      </w:tr>
      <w:tr>
        <w:trPr>
          <w:trHeight w:val="181" w:hRule="atLeast"/>
        </w:trPr>
        <w:tc>
          <w:tcPr>
            <w:tcW w:w="8488" w:type="dxa"/>
            <w:gridSpan w:val="10"/>
            <w:tcBorders>
              <w:top w:val="nil"/>
              <w:left w:val="single" w:sz="4" w:space="0" w:color="000000"/>
              <w:bottom w:val="nil"/>
            </w:tcBorders>
          </w:tcPr>
          <w:p>
            <w:pPr>
              <w:pStyle w:val="TableParagraph"/>
              <w:rPr>
                <w:rFonts w:ascii="Times New Roman"/>
                <w:sz w:val="12"/>
              </w:rPr>
            </w:pPr>
          </w:p>
        </w:tc>
      </w:tr>
      <w:tr>
        <w:trPr>
          <w:trHeight w:val="206" w:hRule="atLeast"/>
        </w:trPr>
        <w:tc>
          <w:tcPr>
            <w:tcW w:w="670" w:type="dxa"/>
            <w:tcBorders>
              <w:top w:val="nil"/>
              <w:left w:val="single" w:sz="4" w:space="0" w:color="000000"/>
              <w:bottom w:val="nil"/>
            </w:tcBorders>
            <w:shd w:val="clear" w:color="auto" w:fill="FFF0B7"/>
          </w:tcPr>
          <w:p>
            <w:pPr>
              <w:pStyle w:val="TableParagraph"/>
              <w:rPr>
                <w:rFonts w:ascii="Times New Roman"/>
                <w:sz w:val="14"/>
              </w:rPr>
            </w:pPr>
          </w:p>
        </w:tc>
        <w:tc>
          <w:tcPr>
            <w:tcW w:w="1466" w:type="dxa"/>
            <w:tcBorders>
              <w:top w:val="nil"/>
              <w:bottom w:val="nil"/>
              <w:right w:val="single" w:sz="4" w:space="0" w:color="000000"/>
            </w:tcBorders>
            <w:shd w:val="clear" w:color="auto" w:fill="FFF0B7"/>
          </w:tcPr>
          <w:p>
            <w:pPr>
              <w:pStyle w:val="TableParagraph"/>
              <w:spacing w:before="2"/>
              <w:ind w:left="21"/>
              <w:rPr>
                <w:sz w:val="15"/>
              </w:rPr>
            </w:pPr>
            <w:r>
              <w:rPr>
                <w:w w:val="105"/>
                <w:sz w:val="15"/>
              </w:rPr>
              <w:t>PIB Real (Base 2013)</w:t>
            </w:r>
          </w:p>
        </w:tc>
        <w:tc>
          <w:tcPr>
            <w:tcW w:w="855" w:type="dxa"/>
            <w:tcBorders>
              <w:top w:val="nil"/>
              <w:left w:val="single" w:sz="4" w:space="0" w:color="000000"/>
              <w:bottom w:val="nil"/>
              <w:right w:val="single" w:sz="4" w:space="0" w:color="000000"/>
            </w:tcBorders>
            <w:shd w:val="clear" w:color="auto" w:fill="FFF0B7"/>
          </w:tcPr>
          <w:p>
            <w:pPr>
              <w:pStyle w:val="TableParagraph"/>
              <w:spacing w:before="2"/>
              <w:ind w:right="72"/>
              <w:jc w:val="center"/>
              <w:rPr>
                <w:sz w:val="15"/>
              </w:rPr>
            </w:pPr>
            <w:r>
              <w:rPr>
                <w:w w:val="105"/>
                <w:sz w:val="15"/>
              </w:rPr>
              <w:t>Millones Q.</w:t>
            </w:r>
          </w:p>
        </w:tc>
        <w:tc>
          <w:tcPr>
            <w:tcW w:w="777" w:type="dxa"/>
            <w:tcBorders>
              <w:top w:val="nil"/>
              <w:left w:val="single" w:sz="4" w:space="0" w:color="000000"/>
              <w:bottom w:val="nil"/>
              <w:right w:val="single" w:sz="4" w:space="0" w:color="000000"/>
            </w:tcBorders>
            <w:shd w:val="clear" w:color="auto" w:fill="FFF0B7"/>
          </w:tcPr>
          <w:p>
            <w:pPr>
              <w:pStyle w:val="TableParagraph"/>
              <w:spacing w:before="2"/>
              <w:ind w:right="13"/>
              <w:jc w:val="right"/>
              <w:rPr>
                <w:sz w:val="15"/>
              </w:rPr>
            </w:pPr>
            <w:r>
              <w:rPr>
                <w:sz w:val="15"/>
              </w:rPr>
              <w:t>513,262.4</w:t>
            </w:r>
          </w:p>
        </w:tc>
        <w:tc>
          <w:tcPr>
            <w:tcW w:w="777" w:type="dxa"/>
            <w:tcBorders>
              <w:top w:val="nil"/>
              <w:left w:val="single" w:sz="4" w:space="0" w:color="000000"/>
              <w:bottom w:val="nil"/>
              <w:right w:val="single" w:sz="4" w:space="0" w:color="000000"/>
            </w:tcBorders>
            <w:shd w:val="clear" w:color="auto" w:fill="FFF0B7"/>
          </w:tcPr>
          <w:p>
            <w:pPr>
              <w:pStyle w:val="TableParagraph"/>
              <w:spacing w:before="2"/>
              <w:ind w:right="13"/>
              <w:jc w:val="right"/>
              <w:rPr>
                <w:sz w:val="15"/>
              </w:rPr>
            </w:pPr>
            <w:r>
              <w:rPr>
                <w:sz w:val="15"/>
              </w:rPr>
              <w:t>495,336.6</w:t>
            </w:r>
          </w:p>
        </w:tc>
        <w:tc>
          <w:tcPr>
            <w:tcW w:w="777" w:type="dxa"/>
            <w:tcBorders>
              <w:top w:val="nil"/>
              <w:left w:val="single" w:sz="4" w:space="0" w:color="000000"/>
              <w:bottom w:val="nil"/>
              <w:right w:val="single" w:sz="4" w:space="0" w:color="000000"/>
            </w:tcBorders>
            <w:shd w:val="clear" w:color="auto" w:fill="FFF0B7"/>
          </w:tcPr>
          <w:p>
            <w:pPr>
              <w:pStyle w:val="TableParagraph"/>
              <w:spacing w:before="2"/>
              <w:ind w:right="14"/>
              <w:jc w:val="right"/>
              <w:rPr>
                <w:sz w:val="15"/>
              </w:rPr>
            </w:pPr>
            <w:r>
              <w:rPr>
                <w:sz w:val="15"/>
              </w:rPr>
              <w:t>510,532.3</w:t>
            </w:r>
          </w:p>
        </w:tc>
        <w:tc>
          <w:tcPr>
            <w:tcW w:w="776" w:type="dxa"/>
            <w:tcBorders>
              <w:top w:val="nil"/>
              <w:left w:val="single" w:sz="4" w:space="0" w:color="000000"/>
              <w:bottom w:val="nil"/>
              <w:right w:val="single" w:sz="4" w:space="0" w:color="000000"/>
            </w:tcBorders>
            <w:shd w:val="clear" w:color="auto" w:fill="FFF0B7"/>
          </w:tcPr>
          <w:p>
            <w:pPr>
              <w:pStyle w:val="TableParagraph"/>
              <w:spacing w:before="2"/>
              <w:ind w:right="13"/>
              <w:jc w:val="right"/>
              <w:rPr>
                <w:sz w:val="15"/>
              </w:rPr>
            </w:pPr>
            <w:r>
              <w:rPr>
                <w:sz w:val="15"/>
              </w:rPr>
              <w:t>528,871.6</w:t>
            </w:r>
          </w:p>
        </w:tc>
        <w:tc>
          <w:tcPr>
            <w:tcW w:w="841" w:type="dxa"/>
            <w:tcBorders>
              <w:top w:val="nil"/>
              <w:left w:val="single" w:sz="4" w:space="0" w:color="000000"/>
              <w:bottom w:val="nil"/>
              <w:right w:val="single" w:sz="4" w:space="0" w:color="000000"/>
            </w:tcBorders>
            <w:shd w:val="clear" w:color="auto" w:fill="FFF0B7"/>
          </w:tcPr>
          <w:p>
            <w:pPr>
              <w:pStyle w:val="TableParagraph"/>
              <w:spacing w:before="2"/>
              <w:ind w:right="13"/>
              <w:jc w:val="right"/>
              <w:rPr>
                <w:sz w:val="15"/>
              </w:rPr>
            </w:pPr>
            <w:r>
              <w:rPr>
                <w:sz w:val="15"/>
              </w:rPr>
              <w:t>548,185.7</w:t>
            </w:r>
          </w:p>
        </w:tc>
        <w:tc>
          <w:tcPr>
            <w:tcW w:w="776" w:type="dxa"/>
            <w:tcBorders>
              <w:top w:val="nil"/>
              <w:left w:val="single" w:sz="4" w:space="0" w:color="000000"/>
              <w:bottom w:val="nil"/>
              <w:right w:val="nil"/>
            </w:tcBorders>
            <w:shd w:val="clear" w:color="auto" w:fill="FFF0B7"/>
          </w:tcPr>
          <w:p>
            <w:pPr>
              <w:pStyle w:val="TableParagraph"/>
              <w:spacing w:before="2"/>
              <w:ind w:right="18"/>
              <w:jc w:val="right"/>
              <w:rPr>
                <w:sz w:val="15"/>
              </w:rPr>
            </w:pPr>
            <w:r>
              <w:rPr>
                <w:sz w:val="15"/>
              </w:rPr>
              <w:t>567,123.6</w:t>
            </w:r>
          </w:p>
        </w:tc>
        <w:tc>
          <w:tcPr>
            <w:tcW w:w="773" w:type="dxa"/>
            <w:tcBorders>
              <w:top w:val="nil"/>
              <w:left w:val="nil"/>
              <w:bottom w:val="nil"/>
            </w:tcBorders>
            <w:shd w:val="clear" w:color="auto" w:fill="FFF0B7"/>
          </w:tcPr>
          <w:p>
            <w:pPr>
              <w:pStyle w:val="TableParagraph"/>
              <w:spacing w:before="2"/>
              <w:ind w:left="124"/>
              <w:jc w:val="center"/>
              <w:rPr>
                <w:sz w:val="15"/>
              </w:rPr>
            </w:pPr>
            <w:r>
              <w:rPr>
                <w:sz w:val="15"/>
              </w:rPr>
              <w:t>587,350.4</w:t>
            </w:r>
          </w:p>
        </w:tc>
      </w:tr>
      <w:tr>
        <w:trPr>
          <w:trHeight w:val="394" w:hRule="atLeast"/>
        </w:trPr>
        <w:tc>
          <w:tcPr>
            <w:tcW w:w="670" w:type="dxa"/>
            <w:tcBorders>
              <w:top w:val="nil"/>
              <w:left w:val="single" w:sz="4" w:space="0" w:color="000000"/>
              <w:bottom w:val="nil"/>
            </w:tcBorders>
          </w:tcPr>
          <w:p>
            <w:pPr>
              <w:pStyle w:val="TableParagraph"/>
              <w:rPr>
                <w:rFonts w:ascii="Times New Roman"/>
                <w:sz w:val="18"/>
              </w:rPr>
            </w:pPr>
          </w:p>
        </w:tc>
        <w:tc>
          <w:tcPr>
            <w:tcW w:w="1466" w:type="dxa"/>
            <w:tcBorders>
              <w:top w:val="nil"/>
              <w:bottom w:val="nil"/>
              <w:right w:val="single" w:sz="4" w:space="0" w:color="000000"/>
            </w:tcBorders>
          </w:tcPr>
          <w:p>
            <w:pPr>
              <w:pStyle w:val="TableParagraph"/>
              <w:spacing w:line="179" w:lineRule="exact"/>
              <w:ind w:left="21"/>
              <w:rPr>
                <w:sz w:val="15"/>
              </w:rPr>
            </w:pPr>
            <w:r>
              <w:rPr>
                <w:w w:val="105"/>
                <w:sz w:val="15"/>
              </w:rPr>
              <w:t>Variación</w:t>
            </w:r>
          </w:p>
        </w:tc>
        <w:tc>
          <w:tcPr>
            <w:tcW w:w="855" w:type="dxa"/>
            <w:tcBorders>
              <w:top w:val="nil"/>
              <w:left w:val="single" w:sz="4" w:space="0" w:color="000000"/>
              <w:bottom w:val="nil"/>
              <w:right w:val="single" w:sz="4" w:space="0" w:color="000000"/>
            </w:tcBorders>
          </w:tcPr>
          <w:p>
            <w:pPr>
              <w:pStyle w:val="TableParagraph"/>
              <w:spacing w:line="179" w:lineRule="exact"/>
              <w:ind w:right="117"/>
              <w:jc w:val="center"/>
              <w:rPr>
                <w:sz w:val="15"/>
              </w:rPr>
            </w:pPr>
            <w:r>
              <w:rPr>
                <w:w w:val="105"/>
                <w:sz w:val="15"/>
              </w:rPr>
              <w:t>Porcentaje</w:t>
            </w:r>
          </w:p>
        </w:tc>
        <w:tc>
          <w:tcPr>
            <w:tcW w:w="777" w:type="dxa"/>
            <w:tcBorders>
              <w:top w:val="nil"/>
              <w:left w:val="single" w:sz="4" w:space="0" w:color="000000"/>
              <w:bottom w:val="nil"/>
              <w:right w:val="single" w:sz="4" w:space="0" w:color="000000"/>
            </w:tcBorders>
          </w:tcPr>
          <w:p>
            <w:pPr>
              <w:pStyle w:val="TableParagraph"/>
              <w:spacing w:line="179" w:lineRule="exact"/>
              <w:ind w:right="13"/>
              <w:jc w:val="right"/>
              <w:rPr>
                <w:sz w:val="15"/>
              </w:rPr>
            </w:pPr>
            <w:r>
              <w:rPr>
                <w:sz w:val="15"/>
              </w:rPr>
              <w:t>3.8</w:t>
            </w:r>
          </w:p>
        </w:tc>
        <w:tc>
          <w:tcPr>
            <w:tcW w:w="777" w:type="dxa"/>
            <w:tcBorders>
              <w:top w:val="nil"/>
              <w:left w:val="single" w:sz="4" w:space="0" w:color="000000"/>
              <w:bottom w:val="nil"/>
              <w:right w:val="single" w:sz="4" w:space="0" w:color="000000"/>
            </w:tcBorders>
          </w:tcPr>
          <w:p>
            <w:pPr>
              <w:pStyle w:val="TableParagraph"/>
              <w:spacing w:line="179" w:lineRule="exact"/>
              <w:ind w:right="13"/>
              <w:jc w:val="right"/>
              <w:rPr>
                <w:sz w:val="15"/>
              </w:rPr>
            </w:pPr>
            <w:r>
              <w:rPr>
                <w:sz w:val="15"/>
              </w:rPr>
              <w:t>-3.5</w:t>
            </w:r>
          </w:p>
        </w:tc>
        <w:tc>
          <w:tcPr>
            <w:tcW w:w="777" w:type="dxa"/>
            <w:tcBorders>
              <w:top w:val="nil"/>
              <w:left w:val="single" w:sz="4" w:space="0" w:color="000000"/>
              <w:bottom w:val="nil"/>
              <w:right w:val="single" w:sz="4" w:space="0" w:color="000000"/>
            </w:tcBorders>
          </w:tcPr>
          <w:p>
            <w:pPr>
              <w:pStyle w:val="TableParagraph"/>
              <w:spacing w:line="179" w:lineRule="exact"/>
              <w:ind w:right="14"/>
              <w:jc w:val="right"/>
              <w:rPr>
                <w:sz w:val="15"/>
              </w:rPr>
            </w:pPr>
            <w:r>
              <w:rPr>
                <w:sz w:val="15"/>
              </w:rPr>
              <w:t>2.0</w:t>
            </w:r>
          </w:p>
        </w:tc>
        <w:tc>
          <w:tcPr>
            <w:tcW w:w="776" w:type="dxa"/>
            <w:tcBorders>
              <w:top w:val="nil"/>
              <w:left w:val="single" w:sz="4" w:space="0" w:color="000000"/>
              <w:bottom w:val="nil"/>
              <w:right w:val="single" w:sz="4" w:space="0" w:color="000000"/>
            </w:tcBorders>
          </w:tcPr>
          <w:p>
            <w:pPr>
              <w:pStyle w:val="TableParagraph"/>
              <w:spacing w:line="179" w:lineRule="exact"/>
              <w:ind w:right="13"/>
              <w:jc w:val="right"/>
              <w:rPr>
                <w:sz w:val="15"/>
              </w:rPr>
            </w:pPr>
            <w:r>
              <w:rPr>
                <w:sz w:val="15"/>
              </w:rPr>
              <w:t>2.6</w:t>
            </w:r>
          </w:p>
        </w:tc>
        <w:tc>
          <w:tcPr>
            <w:tcW w:w="841" w:type="dxa"/>
            <w:tcBorders>
              <w:top w:val="nil"/>
              <w:left w:val="single" w:sz="4" w:space="0" w:color="000000"/>
              <w:bottom w:val="nil"/>
              <w:right w:val="single" w:sz="4" w:space="0" w:color="000000"/>
            </w:tcBorders>
          </w:tcPr>
          <w:p>
            <w:pPr>
              <w:pStyle w:val="TableParagraph"/>
              <w:spacing w:line="179" w:lineRule="exact"/>
              <w:ind w:right="13"/>
              <w:jc w:val="right"/>
              <w:rPr>
                <w:sz w:val="15"/>
              </w:rPr>
            </w:pPr>
            <w:r>
              <w:rPr>
                <w:sz w:val="15"/>
              </w:rPr>
              <w:t>2.7</w:t>
            </w:r>
          </w:p>
        </w:tc>
        <w:tc>
          <w:tcPr>
            <w:tcW w:w="1549" w:type="dxa"/>
            <w:gridSpan w:val="2"/>
            <w:tcBorders>
              <w:top w:val="nil"/>
              <w:left w:val="single" w:sz="4" w:space="0" w:color="000000"/>
              <w:bottom w:val="nil"/>
            </w:tcBorders>
          </w:tcPr>
          <w:p>
            <w:pPr>
              <w:pStyle w:val="TableParagraph"/>
              <w:tabs>
                <w:tab w:pos="1332" w:val="left" w:leader="none"/>
              </w:tabs>
              <w:spacing w:line="179" w:lineRule="exact"/>
              <w:ind w:left="555"/>
              <w:rPr>
                <w:sz w:val="15"/>
              </w:rPr>
            </w:pPr>
            <w:r>
              <w:rPr>
                <w:w w:val="105"/>
                <w:sz w:val="15"/>
              </w:rPr>
              <w:t>2.5</w:t>
              <w:tab/>
              <w:t>2.6</w:t>
            </w:r>
          </w:p>
        </w:tc>
      </w:tr>
      <w:tr>
        <w:trPr>
          <w:trHeight w:val="206" w:hRule="atLeast"/>
        </w:trPr>
        <w:tc>
          <w:tcPr>
            <w:tcW w:w="670" w:type="dxa"/>
            <w:tcBorders>
              <w:top w:val="nil"/>
              <w:left w:val="single" w:sz="4" w:space="0" w:color="000000"/>
              <w:bottom w:val="nil"/>
            </w:tcBorders>
            <w:shd w:val="clear" w:color="auto" w:fill="FFF0B7"/>
          </w:tcPr>
          <w:p>
            <w:pPr>
              <w:pStyle w:val="TableParagraph"/>
              <w:rPr>
                <w:rFonts w:ascii="Times New Roman"/>
                <w:sz w:val="14"/>
              </w:rPr>
            </w:pPr>
          </w:p>
        </w:tc>
        <w:tc>
          <w:tcPr>
            <w:tcW w:w="1466" w:type="dxa"/>
            <w:tcBorders>
              <w:top w:val="nil"/>
              <w:bottom w:val="nil"/>
              <w:right w:val="single" w:sz="4" w:space="0" w:color="000000"/>
            </w:tcBorders>
            <w:shd w:val="clear" w:color="auto" w:fill="FFF0B7"/>
          </w:tcPr>
          <w:p>
            <w:pPr>
              <w:pStyle w:val="TableParagraph"/>
              <w:spacing w:before="2"/>
              <w:ind w:left="21"/>
              <w:rPr>
                <w:sz w:val="15"/>
              </w:rPr>
            </w:pPr>
            <w:r>
              <w:rPr>
                <w:w w:val="105"/>
                <w:sz w:val="15"/>
              </w:rPr>
              <w:t>PIB Nominal</w:t>
            </w:r>
          </w:p>
        </w:tc>
        <w:tc>
          <w:tcPr>
            <w:tcW w:w="855" w:type="dxa"/>
            <w:tcBorders>
              <w:top w:val="nil"/>
              <w:left w:val="single" w:sz="4" w:space="0" w:color="000000"/>
              <w:bottom w:val="nil"/>
              <w:right w:val="single" w:sz="4" w:space="0" w:color="000000"/>
            </w:tcBorders>
            <w:shd w:val="clear" w:color="auto" w:fill="FFF0B7"/>
          </w:tcPr>
          <w:p>
            <w:pPr>
              <w:pStyle w:val="TableParagraph"/>
              <w:spacing w:before="2"/>
              <w:ind w:right="72"/>
              <w:jc w:val="center"/>
              <w:rPr>
                <w:sz w:val="15"/>
              </w:rPr>
            </w:pPr>
            <w:r>
              <w:rPr>
                <w:w w:val="105"/>
                <w:sz w:val="15"/>
              </w:rPr>
              <w:t>Millones Q.</w:t>
            </w:r>
          </w:p>
        </w:tc>
        <w:tc>
          <w:tcPr>
            <w:tcW w:w="777" w:type="dxa"/>
            <w:tcBorders>
              <w:top w:val="nil"/>
              <w:left w:val="single" w:sz="4" w:space="0" w:color="000000"/>
              <w:bottom w:val="nil"/>
              <w:right w:val="single" w:sz="4" w:space="0" w:color="000000"/>
            </w:tcBorders>
            <w:shd w:val="clear" w:color="auto" w:fill="FFF0B7"/>
          </w:tcPr>
          <w:p>
            <w:pPr>
              <w:pStyle w:val="TableParagraph"/>
              <w:spacing w:before="2"/>
              <w:ind w:right="13"/>
              <w:jc w:val="right"/>
              <w:rPr>
                <w:sz w:val="15"/>
              </w:rPr>
            </w:pPr>
            <w:r>
              <w:rPr>
                <w:sz w:val="15"/>
              </w:rPr>
              <w:t>590.416.8</w:t>
            </w:r>
          </w:p>
        </w:tc>
        <w:tc>
          <w:tcPr>
            <w:tcW w:w="777" w:type="dxa"/>
            <w:tcBorders>
              <w:top w:val="nil"/>
              <w:left w:val="single" w:sz="4" w:space="0" w:color="000000"/>
              <w:bottom w:val="nil"/>
              <w:right w:val="single" w:sz="4" w:space="0" w:color="000000"/>
            </w:tcBorders>
            <w:shd w:val="clear" w:color="auto" w:fill="FFF0B7"/>
          </w:tcPr>
          <w:p>
            <w:pPr>
              <w:pStyle w:val="TableParagraph"/>
              <w:spacing w:before="2"/>
              <w:ind w:right="13"/>
              <w:jc w:val="right"/>
              <w:rPr>
                <w:sz w:val="15"/>
              </w:rPr>
            </w:pPr>
            <w:r>
              <w:rPr>
                <w:sz w:val="15"/>
              </w:rPr>
              <w:t>581,664.3</w:t>
            </w:r>
          </w:p>
        </w:tc>
        <w:tc>
          <w:tcPr>
            <w:tcW w:w="777" w:type="dxa"/>
            <w:tcBorders>
              <w:top w:val="nil"/>
              <w:left w:val="single" w:sz="4" w:space="0" w:color="000000"/>
              <w:bottom w:val="nil"/>
              <w:right w:val="single" w:sz="4" w:space="0" w:color="000000"/>
            </w:tcBorders>
            <w:shd w:val="clear" w:color="auto" w:fill="FFF0B7"/>
          </w:tcPr>
          <w:p>
            <w:pPr>
              <w:pStyle w:val="TableParagraph"/>
              <w:spacing w:before="2"/>
              <w:ind w:right="14"/>
              <w:jc w:val="right"/>
              <w:rPr>
                <w:sz w:val="15"/>
              </w:rPr>
            </w:pPr>
            <w:r>
              <w:rPr>
                <w:sz w:val="15"/>
              </w:rPr>
              <w:t>614,477.3</w:t>
            </w:r>
          </w:p>
        </w:tc>
        <w:tc>
          <w:tcPr>
            <w:tcW w:w="776" w:type="dxa"/>
            <w:tcBorders>
              <w:top w:val="nil"/>
              <w:left w:val="single" w:sz="4" w:space="0" w:color="000000"/>
              <w:bottom w:val="nil"/>
              <w:right w:val="single" w:sz="4" w:space="0" w:color="000000"/>
            </w:tcBorders>
            <w:shd w:val="clear" w:color="auto" w:fill="FFF0B7"/>
          </w:tcPr>
          <w:p>
            <w:pPr>
              <w:pStyle w:val="TableParagraph"/>
              <w:spacing w:before="2"/>
              <w:ind w:right="13"/>
              <w:jc w:val="right"/>
              <w:rPr>
                <w:sz w:val="15"/>
              </w:rPr>
            </w:pPr>
            <w:r>
              <w:rPr>
                <w:sz w:val="15"/>
              </w:rPr>
              <w:t>652,339.4</w:t>
            </w:r>
          </w:p>
        </w:tc>
        <w:tc>
          <w:tcPr>
            <w:tcW w:w="841" w:type="dxa"/>
            <w:tcBorders>
              <w:top w:val="nil"/>
              <w:left w:val="single" w:sz="4" w:space="0" w:color="000000"/>
              <w:bottom w:val="nil"/>
              <w:right w:val="single" w:sz="4" w:space="0" w:color="000000"/>
            </w:tcBorders>
            <w:shd w:val="clear" w:color="auto" w:fill="FFF0B7"/>
          </w:tcPr>
          <w:p>
            <w:pPr>
              <w:pStyle w:val="TableParagraph"/>
              <w:spacing w:before="2"/>
              <w:ind w:right="13"/>
              <w:jc w:val="right"/>
              <w:rPr>
                <w:sz w:val="15"/>
              </w:rPr>
            </w:pPr>
            <w:r>
              <w:rPr>
                <w:sz w:val="15"/>
              </w:rPr>
              <w:t>693,534.3</w:t>
            </w:r>
          </w:p>
        </w:tc>
        <w:tc>
          <w:tcPr>
            <w:tcW w:w="776" w:type="dxa"/>
            <w:tcBorders>
              <w:top w:val="nil"/>
              <w:left w:val="single" w:sz="4" w:space="0" w:color="000000"/>
              <w:bottom w:val="nil"/>
              <w:right w:val="nil"/>
            </w:tcBorders>
            <w:shd w:val="clear" w:color="auto" w:fill="FFF0B7"/>
          </w:tcPr>
          <w:p>
            <w:pPr>
              <w:pStyle w:val="TableParagraph"/>
              <w:spacing w:before="2"/>
              <w:ind w:right="18"/>
              <w:jc w:val="right"/>
              <w:rPr>
                <w:sz w:val="15"/>
              </w:rPr>
            </w:pPr>
            <w:r>
              <w:rPr>
                <w:sz w:val="15"/>
              </w:rPr>
              <w:t>735,925.7</w:t>
            </w:r>
          </w:p>
        </w:tc>
        <w:tc>
          <w:tcPr>
            <w:tcW w:w="773" w:type="dxa"/>
            <w:tcBorders>
              <w:top w:val="nil"/>
              <w:left w:val="nil"/>
              <w:bottom w:val="nil"/>
            </w:tcBorders>
            <w:shd w:val="clear" w:color="auto" w:fill="FFF0B7"/>
          </w:tcPr>
          <w:p>
            <w:pPr>
              <w:pStyle w:val="TableParagraph"/>
              <w:spacing w:before="2"/>
              <w:ind w:left="124"/>
              <w:jc w:val="center"/>
              <w:rPr>
                <w:sz w:val="15"/>
              </w:rPr>
            </w:pPr>
            <w:r>
              <w:rPr>
                <w:sz w:val="15"/>
              </w:rPr>
              <w:t>781,677.2</w:t>
            </w:r>
          </w:p>
        </w:tc>
      </w:tr>
      <w:tr>
        <w:trPr>
          <w:trHeight w:val="200" w:hRule="atLeast"/>
        </w:trPr>
        <w:tc>
          <w:tcPr>
            <w:tcW w:w="670" w:type="dxa"/>
            <w:tcBorders>
              <w:top w:val="nil"/>
              <w:left w:val="single" w:sz="4" w:space="0" w:color="000000"/>
              <w:bottom w:val="nil"/>
            </w:tcBorders>
          </w:tcPr>
          <w:p>
            <w:pPr>
              <w:pStyle w:val="TableParagraph"/>
              <w:rPr>
                <w:rFonts w:ascii="Times New Roman"/>
                <w:sz w:val="12"/>
              </w:rPr>
            </w:pPr>
          </w:p>
        </w:tc>
        <w:tc>
          <w:tcPr>
            <w:tcW w:w="1466" w:type="dxa"/>
            <w:tcBorders>
              <w:top w:val="nil"/>
              <w:bottom w:val="nil"/>
              <w:right w:val="single" w:sz="4" w:space="0" w:color="000000"/>
            </w:tcBorders>
          </w:tcPr>
          <w:p>
            <w:pPr>
              <w:pStyle w:val="TableParagraph"/>
              <w:spacing w:line="179" w:lineRule="exact"/>
              <w:ind w:left="21"/>
              <w:rPr>
                <w:sz w:val="15"/>
              </w:rPr>
            </w:pPr>
            <w:r>
              <w:rPr>
                <w:w w:val="105"/>
                <w:sz w:val="15"/>
              </w:rPr>
              <w:t>Variación</w:t>
            </w:r>
          </w:p>
        </w:tc>
        <w:tc>
          <w:tcPr>
            <w:tcW w:w="855" w:type="dxa"/>
            <w:tcBorders>
              <w:top w:val="nil"/>
              <w:left w:val="single" w:sz="4" w:space="0" w:color="000000"/>
              <w:bottom w:val="nil"/>
              <w:right w:val="single" w:sz="4" w:space="0" w:color="000000"/>
            </w:tcBorders>
          </w:tcPr>
          <w:p>
            <w:pPr>
              <w:pStyle w:val="TableParagraph"/>
              <w:spacing w:line="179" w:lineRule="exact"/>
              <w:ind w:right="117"/>
              <w:jc w:val="center"/>
              <w:rPr>
                <w:sz w:val="15"/>
              </w:rPr>
            </w:pPr>
            <w:r>
              <w:rPr>
                <w:w w:val="105"/>
                <w:sz w:val="15"/>
              </w:rPr>
              <w:t>Porcentaje</w:t>
            </w:r>
          </w:p>
        </w:tc>
        <w:tc>
          <w:tcPr>
            <w:tcW w:w="777" w:type="dxa"/>
            <w:tcBorders>
              <w:top w:val="nil"/>
              <w:left w:val="single" w:sz="4" w:space="0" w:color="000000"/>
              <w:bottom w:val="nil"/>
              <w:right w:val="single" w:sz="4" w:space="0" w:color="000000"/>
            </w:tcBorders>
          </w:tcPr>
          <w:p>
            <w:pPr>
              <w:pStyle w:val="TableParagraph"/>
              <w:spacing w:line="179" w:lineRule="exact"/>
              <w:ind w:right="13"/>
              <w:jc w:val="right"/>
              <w:rPr>
                <w:sz w:val="15"/>
              </w:rPr>
            </w:pPr>
            <w:r>
              <w:rPr>
                <w:sz w:val="15"/>
              </w:rPr>
              <w:t>7.4</w:t>
            </w:r>
          </w:p>
        </w:tc>
        <w:tc>
          <w:tcPr>
            <w:tcW w:w="777" w:type="dxa"/>
            <w:tcBorders>
              <w:top w:val="nil"/>
              <w:left w:val="single" w:sz="4" w:space="0" w:color="000000"/>
              <w:bottom w:val="nil"/>
              <w:right w:val="single" w:sz="4" w:space="0" w:color="000000"/>
            </w:tcBorders>
          </w:tcPr>
          <w:p>
            <w:pPr>
              <w:pStyle w:val="TableParagraph"/>
              <w:spacing w:line="179" w:lineRule="exact"/>
              <w:ind w:right="13"/>
              <w:jc w:val="right"/>
              <w:rPr>
                <w:sz w:val="15"/>
              </w:rPr>
            </w:pPr>
            <w:r>
              <w:rPr>
                <w:sz w:val="15"/>
              </w:rPr>
              <w:t>-1.5</w:t>
            </w:r>
          </w:p>
        </w:tc>
        <w:tc>
          <w:tcPr>
            <w:tcW w:w="777" w:type="dxa"/>
            <w:tcBorders>
              <w:top w:val="nil"/>
              <w:left w:val="single" w:sz="4" w:space="0" w:color="000000"/>
              <w:bottom w:val="nil"/>
              <w:right w:val="single" w:sz="4" w:space="0" w:color="000000"/>
            </w:tcBorders>
          </w:tcPr>
          <w:p>
            <w:pPr>
              <w:pStyle w:val="TableParagraph"/>
              <w:spacing w:line="179" w:lineRule="exact"/>
              <w:ind w:right="14"/>
              <w:jc w:val="right"/>
              <w:rPr>
                <w:sz w:val="15"/>
              </w:rPr>
            </w:pPr>
            <w:r>
              <w:rPr>
                <w:sz w:val="15"/>
              </w:rPr>
              <w:t>4.6</w:t>
            </w:r>
          </w:p>
        </w:tc>
        <w:tc>
          <w:tcPr>
            <w:tcW w:w="776" w:type="dxa"/>
            <w:tcBorders>
              <w:top w:val="nil"/>
              <w:left w:val="single" w:sz="4" w:space="0" w:color="000000"/>
              <w:bottom w:val="nil"/>
              <w:right w:val="single" w:sz="4" w:space="0" w:color="000000"/>
            </w:tcBorders>
          </w:tcPr>
          <w:p>
            <w:pPr>
              <w:pStyle w:val="TableParagraph"/>
              <w:spacing w:line="179" w:lineRule="exact"/>
              <w:ind w:right="13"/>
              <w:jc w:val="right"/>
              <w:rPr>
                <w:sz w:val="15"/>
              </w:rPr>
            </w:pPr>
            <w:r>
              <w:rPr>
                <w:sz w:val="15"/>
              </w:rPr>
              <w:t>5.2</w:t>
            </w:r>
          </w:p>
        </w:tc>
        <w:tc>
          <w:tcPr>
            <w:tcW w:w="841" w:type="dxa"/>
            <w:tcBorders>
              <w:top w:val="nil"/>
              <w:left w:val="single" w:sz="4" w:space="0" w:color="000000"/>
              <w:bottom w:val="nil"/>
              <w:right w:val="single" w:sz="4" w:space="0" w:color="000000"/>
            </w:tcBorders>
          </w:tcPr>
          <w:p>
            <w:pPr>
              <w:pStyle w:val="TableParagraph"/>
              <w:spacing w:line="179" w:lineRule="exact"/>
              <w:ind w:right="13"/>
              <w:jc w:val="right"/>
              <w:rPr>
                <w:sz w:val="15"/>
              </w:rPr>
            </w:pPr>
            <w:r>
              <w:rPr>
                <w:sz w:val="15"/>
              </w:rPr>
              <w:t>5.3</w:t>
            </w:r>
          </w:p>
        </w:tc>
        <w:tc>
          <w:tcPr>
            <w:tcW w:w="1549" w:type="dxa"/>
            <w:gridSpan w:val="2"/>
            <w:tcBorders>
              <w:top w:val="nil"/>
              <w:left w:val="single" w:sz="4" w:space="0" w:color="000000"/>
              <w:bottom w:val="nil"/>
            </w:tcBorders>
          </w:tcPr>
          <w:p>
            <w:pPr>
              <w:pStyle w:val="TableParagraph"/>
              <w:tabs>
                <w:tab w:pos="1332" w:val="left" w:leader="none"/>
              </w:tabs>
              <w:spacing w:line="179" w:lineRule="exact"/>
              <w:ind w:left="555"/>
              <w:rPr>
                <w:sz w:val="15"/>
              </w:rPr>
            </w:pPr>
            <w:r>
              <w:rPr>
                <w:w w:val="105"/>
                <w:sz w:val="15"/>
              </w:rPr>
              <w:t>5.1</w:t>
              <w:tab/>
              <w:t>5.2</w:t>
            </w:r>
          </w:p>
        </w:tc>
      </w:tr>
      <w:tr>
        <w:trPr>
          <w:trHeight w:val="181" w:hRule="atLeast"/>
        </w:trPr>
        <w:tc>
          <w:tcPr>
            <w:tcW w:w="8488" w:type="dxa"/>
            <w:gridSpan w:val="10"/>
            <w:tcBorders>
              <w:top w:val="nil"/>
              <w:left w:val="single" w:sz="4" w:space="0" w:color="000000"/>
              <w:bottom w:val="nil"/>
            </w:tcBorders>
          </w:tcPr>
          <w:p>
            <w:pPr>
              <w:pStyle w:val="TableParagraph"/>
              <w:rPr>
                <w:rFonts w:ascii="Times New Roman"/>
                <w:sz w:val="12"/>
              </w:rPr>
            </w:pPr>
          </w:p>
        </w:tc>
      </w:tr>
      <w:tr>
        <w:trPr>
          <w:trHeight w:val="278" w:hRule="atLeast"/>
        </w:trPr>
        <w:tc>
          <w:tcPr>
            <w:tcW w:w="8488" w:type="dxa"/>
            <w:gridSpan w:val="10"/>
            <w:tcBorders>
              <w:top w:val="nil"/>
              <w:left w:val="single" w:sz="4" w:space="0" w:color="000000"/>
              <w:bottom w:val="nil"/>
            </w:tcBorders>
            <w:shd w:val="clear" w:color="auto" w:fill="ABFFAB"/>
          </w:tcPr>
          <w:p>
            <w:pPr>
              <w:pStyle w:val="TableParagraph"/>
              <w:spacing w:before="6"/>
              <w:ind w:left="27"/>
              <w:rPr>
                <w:b/>
                <w:sz w:val="20"/>
              </w:rPr>
            </w:pPr>
            <w:r>
              <w:rPr>
                <w:b/>
                <w:w w:val="105"/>
                <w:sz w:val="20"/>
              </w:rPr>
              <w:t>Medio</w:t>
            </w:r>
          </w:p>
        </w:tc>
      </w:tr>
      <w:tr>
        <w:trPr>
          <w:trHeight w:val="180" w:hRule="atLeast"/>
        </w:trPr>
        <w:tc>
          <w:tcPr>
            <w:tcW w:w="8488" w:type="dxa"/>
            <w:gridSpan w:val="10"/>
            <w:tcBorders>
              <w:top w:val="nil"/>
              <w:left w:val="single" w:sz="4" w:space="0" w:color="000000"/>
              <w:bottom w:val="nil"/>
            </w:tcBorders>
          </w:tcPr>
          <w:p>
            <w:pPr>
              <w:pStyle w:val="TableParagraph"/>
              <w:rPr>
                <w:rFonts w:ascii="Times New Roman"/>
                <w:sz w:val="12"/>
              </w:rPr>
            </w:pPr>
          </w:p>
        </w:tc>
      </w:tr>
      <w:tr>
        <w:trPr>
          <w:trHeight w:val="207" w:hRule="atLeast"/>
        </w:trPr>
        <w:tc>
          <w:tcPr>
            <w:tcW w:w="670" w:type="dxa"/>
            <w:tcBorders>
              <w:top w:val="nil"/>
              <w:left w:val="single" w:sz="4" w:space="0" w:color="000000"/>
              <w:bottom w:val="nil"/>
            </w:tcBorders>
            <w:shd w:val="clear" w:color="auto" w:fill="EBF0DE"/>
          </w:tcPr>
          <w:p>
            <w:pPr>
              <w:pStyle w:val="TableParagraph"/>
              <w:rPr>
                <w:rFonts w:ascii="Times New Roman"/>
                <w:sz w:val="14"/>
              </w:rPr>
            </w:pPr>
          </w:p>
        </w:tc>
        <w:tc>
          <w:tcPr>
            <w:tcW w:w="1466" w:type="dxa"/>
            <w:tcBorders>
              <w:top w:val="nil"/>
              <w:bottom w:val="nil"/>
              <w:right w:val="single" w:sz="4" w:space="0" w:color="000000"/>
            </w:tcBorders>
            <w:shd w:val="clear" w:color="auto" w:fill="EBF0DE"/>
          </w:tcPr>
          <w:p>
            <w:pPr>
              <w:pStyle w:val="TableParagraph"/>
              <w:spacing w:before="2"/>
              <w:ind w:left="21"/>
              <w:rPr>
                <w:sz w:val="15"/>
              </w:rPr>
            </w:pPr>
            <w:r>
              <w:rPr>
                <w:w w:val="105"/>
                <w:sz w:val="15"/>
              </w:rPr>
              <w:t>PIB Real (Base 2013)</w:t>
            </w:r>
          </w:p>
        </w:tc>
        <w:tc>
          <w:tcPr>
            <w:tcW w:w="855" w:type="dxa"/>
            <w:tcBorders>
              <w:top w:val="nil"/>
              <w:left w:val="single" w:sz="4" w:space="0" w:color="000000"/>
              <w:bottom w:val="nil"/>
              <w:right w:val="single" w:sz="4" w:space="0" w:color="000000"/>
            </w:tcBorders>
            <w:shd w:val="clear" w:color="auto" w:fill="EBF0DE"/>
          </w:tcPr>
          <w:p>
            <w:pPr>
              <w:pStyle w:val="TableParagraph"/>
              <w:spacing w:before="2"/>
              <w:ind w:right="72"/>
              <w:jc w:val="center"/>
              <w:rPr>
                <w:sz w:val="15"/>
              </w:rPr>
            </w:pPr>
            <w:r>
              <w:rPr>
                <w:w w:val="105"/>
                <w:sz w:val="15"/>
              </w:rPr>
              <w:t>Millones Q.</w:t>
            </w:r>
          </w:p>
        </w:tc>
        <w:tc>
          <w:tcPr>
            <w:tcW w:w="777" w:type="dxa"/>
            <w:tcBorders>
              <w:top w:val="nil"/>
              <w:left w:val="single" w:sz="4" w:space="0" w:color="000000"/>
              <w:bottom w:val="nil"/>
              <w:right w:val="single" w:sz="4" w:space="0" w:color="000000"/>
            </w:tcBorders>
            <w:shd w:val="clear" w:color="auto" w:fill="EBF0DE"/>
          </w:tcPr>
          <w:p>
            <w:pPr>
              <w:pStyle w:val="TableParagraph"/>
              <w:rPr>
                <w:rFonts w:ascii="Times New Roman"/>
                <w:sz w:val="14"/>
              </w:rPr>
            </w:pPr>
          </w:p>
        </w:tc>
        <w:tc>
          <w:tcPr>
            <w:tcW w:w="777" w:type="dxa"/>
            <w:tcBorders>
              <w:top w:val="nil"/>
              <w:left w:val="single" w:sz="4" w:space="0" w:color="000000"/>
              <w:bottom w:val="nil"/>
              <w:right w:val="single" w:sz="4" w:space="0" w:color="000000"/>
            </w:tcBorders>
            <w:shd w:val="clear" w:color="auto" w:fill="EBF0DE"/>
          </w:tcPr>
          <w:p>
            <w:pPr>
              <w:pStyle w:val="TableParagraph"/>
              <w:spacing w:before="2"/>
              <w:ind w:right="13"/>
              <w:jc w:val="right"/>
              <w:rPr>
                <w:sz w:val="15"/>
              </w:rPr>
            </w:pPr>
            <w:r>
              <w:rPr>
                <w:sz w:val="15"/>
              </w:rPr>
              <w:t>500,469.2</w:t>
            </w:r>
          </w:p>
        </w:tc>
        <w:tc>
          <w:tcPr>
            <w:tcW w:w="777" w:type="dxa"/>
            <w:tcBorders>
              <w:top w:val="nil"/>
              <w:left w:val="single" w:sz="4" w:space="0" w:color="000000"/>
              <w:bottom w:val="nil"/>
              <w:right w:val="single" w:sz="4" w:space="0" w:color="000000"/>
            </w:tcBorders>
            <w:shd w:val="clear" w:color="auto" w:fill="EBF0DE"/>
          </w:tcPr>
          <w:p>
            <w:pPr>
              <w:pStyle w:val="TableParagraph"/>
              <w:spacing w:before="2"/>
              <w:ind w:right="14"/>
              <w:jc w:val="right"/>
              <w:rPr>
                <w:sz w:val="15"/>
              </w:rPr>
            </w:pPr>
            <w:r>
              <w:rPr>
                <w:sz w:val="15"/>
              </w:rPr>
              <w:t>515,537.0</w:t>
            </w:r>
          </w:p>
        </w:tc>
        <w:tc>
          <w:tcPr>
            <w:tcW w:w="776" w:type="dxa"/>
            <w:tcBorders>
              <w:top w:val="nil"/>
              <w:left w:val="single" w:sz="4" w:space="0" w:color="000000"/>
              <w:bottom w:val="nil"/>
              <w:right w:val="single" w:sz="4" w:space="0" w:color="000000"/>
            </w:tcBorders>
            <w:shd w:val="clear" w:color="auto" w:fill="EBF0DE"/>
          </w:tcPr>
          <w:p>
            <w:pPr>
              <w:pStyle w:val="TableParagraph"/>
              <w:spacing w:before="2"/>
              <w:ind w:right="13"/>
              <w:jc w:val="right"/>
              <w:rPr>
                <w:sz w:val="15"/>
              </w:rPr>
            </w:pPr>
            <w:r>
              <w:rPr>
                <w:sz w:val="15"/>
              </w:rPr>
              <w:t>534,026.9</w:t>
            </w:r>
          </w:p>
        </w:tc>
        <w:tc>
          <w:tcPr>
            <w:tcW w:w="841" w:type="dxa"/>
            <w:tcBorders>
              <w:top w:val="nil"/>
              <w:left w:val="single" w:sz="4" w:space="0" w:color="000000"/>
              <w:bottom w:val="nil"/>
              <w:right w:val="single" w:sz="4" w:space="0" w:color="000000"/>
            </w:tcBorders>
            <w:shd w:val="clear" w:color="auto" w:fill="EBF0DE"/>
          </w:tcPr>
          <w:p>
            <w:pPr>
              <w:pStyle w:val="TableParagraph"/>
              <w:spacing w:before="2"/>
              <w:ind w:right="13"/>
              <w:jc w:val="right"/>
              <w:rPr>
                <w:sz w:val="15"/>
              </w:rPr>
            </w:pPr>
            <w:r>
              <w:rPr>
                <w:sz w:val="15"/>
              </w:rPr>
              <w:t>553,626.0</w:t>
            </w:r>
          </w:p>
        </w:tc>
        <w:tc>
          <w:tcPr>
            <w:tcW w:w="776" w:type="dxa"/>
            <w:tcBorders>
              <w:top w:val="nil"/>
              <w:left w:val="single" w:sz="4" w:space="0" w:color="000000"/>
              <w:bottom w:val="nil"/>
              <w:right w:val="nil"/>
            </w:tcBorders>
            <w:shd w:val="clear" w:color="auto" w:fill="EBF0DE"/>
          </w:tcPr>
          <w:p>
            <w:pPr>
              <w:pStyle w:val="TableParagraph"/>
              <w:spacing w:before="2"/>
              <w:ind w:right="18"/>
              <w:jc w:val="right"/>
              <w:rPr>
                <w:sz w:val="15"/>
              </w:rPr>
            </w:pPr>
            <w:r>
              <w:rPr>
                <w:sz w:val="15"/>
              </w:rPr>
              <w:t>572,658.9</w:t>
            </w:r>
          </w:p>
        </w:tc>
        <w:tc>
          <w:tcPr>
            <w:tcW w:w="773" w:type="dxa"/>
            <w:tcBorders>
              <w:top w:val="nil"/>
              <w:left w:val="nil"/>
              <w:bottom w:val="nil"/>
            </w:tcBorders>
            <w:shd w:val="clear" w:color="auto" w:fill="EBF0DE"/>
          </w:tcPr>
          <w:p>
            <w:pPr>
              <w:pStyle w:val="TableParagraph"/>
              <w:spacing w:before="2"/>
              <w:ind w:left="124"/>
              <w:jc w:val="center"/>
              <w:rPr>
                <w:sz w:val="15"/>
              </w:rPr>
            </w:pPr>
            <w:r>
              <w:rPr>
                <w:sz w:val="15"/>
              </w:rPr>
              <w:t>593,077.0</w:t>
            </w:r>
          </w:p>
        </w:tc>
      </w:tr>
      <w:tr>
        <w:trPr>
          <w:trHeight w:val="394" w:hRule="atLeast"/>
        </w:trPr>
        <w:tc>
          <w:tcPr>
            <w:tcW w:w="670" w:type="dxa"/>
            <w:tcBorders>
              <w:top w:val="nil"/>
              <w:left w:val="single" w:sz="4" w:space="0" w:color="000000"/>
              <w:bottom w:val="nil"/>
            </w:tcBorders>
          </w:tcPr>
          <w:p>
            <w:pPr>
              <w:pStyle w:val="TableParagraph"/>
              <w:rPr>
                <w:rFonts w:ascii="Times New Roman"/>
                <w:sz w:val="18"/>
              </w:rPr>
            </w:pPr>
          </w:p>
        </w:tc>
        <w:tc>
          <w:tcPr>
            <w:tcW w:w="1466" w:type="dxa"/>
            <w:tcBorders>
              <w:top w:val="nil"/>
              <w:bottom w:val="nil"/>
              <w:right w:val="single" w:sz="4" w:space="0" w:color="000000"/>
            </w:tcBorders>
          </w:tcPr>
          <w:p>
            <w:pPr>
              <w:pStyle w:val="TableParagraph"/>
              <w:spacing w:line="179" w:lineRule="exact"/>
              <w:ind w:left="21"/>
              <w:rPr>
                <w:sz w:val="15"/>
              </w:rPr>
            </w:pPr>
            <w:r>
              <w:rPr>
                <w:w w:val="105"/>
                <w:sz w:val="15"/>
              </w:rPr>
              <w:t>Variación</w:t>
            </w:r>
          </w:p>
        </w:tc>
        <w:tc>
          <w:tcPr>
            <w:tcW w:w="855" w:type="dxa"/>
            <w:tcBorders>
              <w:top w:val="nil"/>
              <w:left w:val="single" w:sz="4" w:space="0" w:color="000000"/>
              <w:bottom w:val="nil"/>
              <w:right w:val="single" w:sz="4" w:space="0" w:color="000000"/>
            </w:tcBorders>
          </w:tcPr>
          <w:p>
            <w:pPr>
              <w:pStyle w:val="TableParagraph"/>
              <w:spacing w:line="179" w:lineRule="exact"/>
              <w:ind w:right="117"/>
              <w:jc w:val="center"/>
              <w:rPr>
                <w:sz w:val="15"/>
              </w:rPr>
            </w:pPr>
            <w:r>
              <w:rPr>
                <w:w w:val="105"/>
                <w:sz w:val="15"/>
              </w:rPr>
              <w:t>Porcentaje</w:t>
            </w:r>
          </w:p>
        </w:tc>
        <w:tc>
          <w:tcPr>
            <w:tcW w:w="777" w:type="dxa"/>
            <w:tcBorders>
              <w:top w:val="nil"/>
              <w:left w:val="single" w:sz="4" w:space="0" w:color="000000"/>
              <w:bottom w:val="nil"/>
              <w:right w:val="single" w:sz="4" w:space="0" w:color="000000"/>
            </w:tcBorders>
          </w:tcPr>
          <w:p>
            <w:pPr>
              <w:pStyle w:val="TableParagraph"/>
              <w:rPr>
                <w:rFonts w:ascii="Times New Roman"/>
                <w:sz w:val="18"/>
              </w:rPr>
            </w:pPr>
          </w:p>
        </w:tc>
        <w:tc>
          <w:tcPr>
            <w:tcW w:w="777" w:type="dxa"/>
            <w:tcBorders>
              <w:top w:val="nil"/>
              <w:left w:val="single" w:sz="4" w:space="0" w:color="000000"/>
              <w:bottom w:val="nil"/>
              <w:right w:val="single" w:sz="4" w:space="0" w:color="000000"/>
            </w:tcBorders>
          </w:tcPr>
          <w:p>
            <w:pPr>
              <w:pStyle w:val="TableParagraph"/>
              <w:spacing w:line="179" w:lineRule="exact"/>
              <w:ind w:right="13"/>
              <w:jc w:val="right"/>
              <w:rPr>
                <w:sz w:val="15"/>
              </w:rPr>
            </w:pPr>
            <w:r>
              <w:rPr>
                <w:sz w:val="15"/>
              </w:rPr>
              <w:t>-2.5</w:t>
            </w:r>
          </w:p>
        </w:tc>
        <w:tc>
          <w:tcPr>
            <w:tcW w:w="777" w:type="dxa"/>
            <w:tcBorders>
              <w:top w:val="nil"/>
              <w:left w:val="single" w:sz="4" w:space="0" w:color="000000"/>
              <w:bottom w:val="nil"/>
              <w:right w:val="single" w:sz="4" w:space="0" w:color="000000"/>
            </w:tcBorders>
          </w:tcPr>
          <w:p>
            <w:pPr>
              <w:pStyle w:val="TableParagraph"/>
              <w:spacing w:line="179" w:lineRule="exact"/>
              <w:ind w:right="14"/>
              <w:jc w:val="right"/>
              <w:rPr>
                <w:sz w:val="15"/>
              </w:rPr>
            </w:pPr>
            <w:r>
              <w:rPr>
                <w:sz w:val="15"/>
              </w:rPr>
              <w:t>3.0</w:t>
            </w:r>
          </w:p>
        </w:tc>
        <w:tc>
          <w:tcPr>
            <w:tcW w:w="776" w:type="dxa"/>
            <w:tcBorders>
              <w:top w:val="nil"/>
              <w:left w:val="single" w:sz="4" w:space="0" w:color="000000"/>
              <w:bottom w:val="nil"/>
              <w:right w:val="single" w:sz="4" w:space="0" w:color="000000"/>
            </w:tcBorders>
          </w:tcPr>
          <w:p>
            <w:pPr>
              <w:pStyle w:val="TableParagraph"/>
              <w:spacing w:line="179" w:lineRule="exact"/>
              <w:ind w:right="13"/>
              <w:jc w:val="right"/>
              <w:rPr>
                <w:sz w:val="15"/>
              </w:rPr>
            </w:pPr>
            <w:r>
              <w:rPr>
                <w:sz w:val="15"/>
              </w:rPr>
              <w:t>3.6</w:t>
            </w:r>
          </w:p>
        </w:tc>
        <w:tc>
          <w:tcPr>
            <w:tcW w:w="841" w:type="dxa"/>
            <w:tcBorders>
              <w:top w:val="nil"/>
              <w:left w:val="single" w:sz="4" w:space="0" w:color="000000"/>
              <w:bottom w:val="nil"/>
              <w:right w:val="single" w:sz="4" w:space="0" w:color="000000"/>
            </w:tcBorders>
          </w:tcPr>
          <w:p>
            <w:pPr>
              <w:pStyle w:val="TableParagraph"/>
              <w:spacing w:line="179" w:lineRule="exact"/>
              <w:ind w:right="13"/>
              <w:jc w:val="right"/>
              <w:rPr>
                <w:sz w:val="15"/>
              </w:rPr>
            </w:pPr>
            <w:r>
              <w:rPr>
                <w:sz w:val="15"/>
              </w:rPr>
              <w:t>3.7</w:t>
            </w:r>
          </w:p>
        </w:tc>
        <w:tc>
          <w:tcPr>
            <w:tcW w:w="1549" w:type="dxa"/>
            <w:gridSpan w:val="2"/>
            <w:tcBorders>
              <w:top w:val="nil"/>
              <w:left w:val="single" w:sz="4" w:space="0" w:color="000000"/>
              <w:bottom w:val="nil"/>
            </w:tcBorders>
          </w:tcPr>
          <w:p>
            <w:pPr>
              <w:pStyle w:val="TableParagraph"/>
              <w:tabs>
                <w:tab w:pos="1332" w:val="left" w:leader="none"/>
              </w:tabs>
              <w:spacing w:line="179" w:lineRule="exact"/>
              <w:ind w:left="555"/>
              <w:rPr>
                <w:sz w:val="15"/>
              </w:rPr>
            </w:pPr>
            <w:r>
              <w:rPr>
                <w:w w:val="105"/>
                <w:sz w:val="15"/>
              </w:rPr>
              <w:t>3.5</w:t>
              <w:tab/>
              <w:t>3.6</w:t>
            </w:r>
          </w:p>
        </w:tc>
      </w:tr>
      <w:tr>
        <w:trPr>
          <w:trHeight w:val="207" w:hRule="atLeast"/>
        </w:trPr>
        <w:tc>
          <w:tcPr>
            <w:tcW w:w="670" w:type="dxa"/>
            <w:tcBorders>
              <w:top w:val="nil"/>
              <w:left w:val="single" w:sz="4" w:space="0" w:color="000000"/>
              <w:bottom w:val="nil"/>
            </w:tcBorders>
            <w:shd w:val="clear" w:color="auto" w:fill="EBF0DE"/>
          </w:tcPr>
          <w:p>
            <w:pPr>
              <w:pStyle w:val="TableParagraph"/>
              <w:rPr>
                <w:rFonts w:ascii="Times New Roman"/>
                <w:sz w:val="14"/>
              </w:rPr>
            </w:pPr>
          </w:p>
        </w:tc>
        <w:tc>
          <w:tcPr>
            <w:tcW w:w="1466" w:type="dxa"/>
            <w:tcBorders>
              <w:top w:val="nil"/>
              <w:bottom w:val="nil"/>
              <w:right w:val="single" w:sz="4" w:space="0" w:color="000000"/>
            </w:tcBorders>
            <w:shd w:val="clear" w:color="auto" w:fill="EBF0DE"/>
          </w:tcPr>
          <w:p>
            <w:pPr>
              <w:pStyle w:val="TableParagraph"/>
              <w:spacing w:before="2"/>
              <w:ind w:left="21"/>
              <w:rPr>
                <w:sz w:val="15"/>
              </w:rPr>
            </w:pPr>
            <w:r>
              <w:rPr>
                <w:w w:val="105"/>
                <w:sz w:val="15"/>
              </w:rPr>
              <w:t>PIB Nominal</w:t>
            </w:r>
          </w:p>
        </w:tc>
        <w:tc>
          <w:tcPr>
            <w:tcW w:w="855" w:type="dxa"/>
            <w:tcBorders>
              <w:top w:val="nil"/>
              <w:left w:val="single" w:sz="4" w:space="0" w:color="000000"/>
              <w:bottom w:val="nil"/>
              <w:right w:val="single" w:sz="4" w:space="0" w:color="000000"/>
            </w:tcBorders>
            <w:shd w:val="clear" w:color="auto" w:fill="EBF0DE"/>
          </w:tcPr>
          <w:p>
            <w:pPr>
              <w:pStyle w:val="TableParagraph"/>
              <w:spacing w:before="2"/>
              <w:ind w:right="72"/>
              <w:jc w:val="center"/>
              <w:rPr>
                <w:sz w:val="15"/>
              </w:rPr>
            </w:pPr>
            <w:r>
              <w:rPr>
                <w:w w:val="105"/>
                <w:sz w:val="15"/>
              </w:rPr>
              <w:t>Millones Q.</w:t>
            </w:r>
          </w:p>
        </w:tc>
        <w:tc>
          <w:tcPr>
            <w:tcW w:w="777" w:type="dxa"/>
            <w:tcBorders>
              <w:top w:val="nil"/>
              <w:left w:val="single" w:sz="4" w:space="0" w:color="000000"/>
              <w:bottom w:val="nil"/>
              <w:right w:val="single" w:sz="4" w:space="0" w:color="000000"/>
            </w:tcBorders>
            <w:shd w:val="clear" w:color="auto" w:fill="EBF0DE"/>
          </w:tcPr>
          <w:p>
            <w:pPr>
              <w:pStyle w:val="TableParagraph"/>
              <w:rPr>
                <w:rFonts w:ascii="Times New Roman"/>
                <w:sz w:val="14"/>
              </w:rPr>
            </w:pPr>
          </w:p>
        </w:tc>
        <w:tc>
          <w:tcPr>
            <w:tcW w:w="777" w:type="dxa"/>
            <w:tcBorders>
              <w:top w:val="nil"/>
              <w:left w:val="single" w:sz="4" w:space="0" w:color="000000"/>
              <w:bottom w:val="nil"/>
              <w:right w:val="single" w:sz="4" w:space="0" w:color="000000"/>
            </w:tcBorders>
            <w:shd w:val="clear" w:color="auto" w:fill="EBF0DE"/>
          </w:tcPr>
          <w:p>
            <w:pPr>
              <w:pStyle w:val="TableParagraph"/>
              <w:spacing w:before="2"/>
              <w:ind w:right="13"/>
              <w:jc w:val="right"/>
              <w:rPr>
                <w:sz w:val="15"/>
              </w:rPr>
            </w:pPr>
            <w:r>
              <w:rPr>
                <w:sz w:val="15"/>
              </w:rPr>
              <w:t>587,691.5</w:t>
            </w:r>
          </w:p>
        </w:tc>
        <w:tc>
          <w:tcPr>
            <w:tcW w:w="777" w:type="dxa"/>
            <w:tcBorders>
              <w:top w:val="nil"/>
              <w:left w:val="single" w:sz="4" w:space="0" w:color="000000"/>
              <w:bottom w:val="nil"/>
              <w:right w:val="single" w:sz="4" w:space="0" w:color="000000"/>
            </w:tcBorders>
            <w:shd w:val="clear" w:color="auto" w:fill="EBF0DE"/>
          </w:tcPr>
          <w:p>
            <w:pPr>
              <w:pStyle w:val="TableParagraph"/>
              <w:spacing w:before="2"/>
              <w:ind w:right="14"/>
              <w:jc w:val="right"/>
              <w:rPr>
                <w:sz w:val="15"/>
              </w:rPr>
            </w:pPr>
            <w:r>
              <w:rPr>
                <w:sz w:val="15"/>
              </w:rPr>
              <w:t>620,382.3</w:t>
            </w:r>
          </w:p>
        </w:tc>
        <w:tc>
          <w:tcPr>
            <w:tcW w:w="776" w:type="dxa"/>
            <w:tcBorders>
              <w:top w:val="nil"/>
              <w:left w:val="single" w:sz="4" w:space="0" w:color="000000"/>
              <w:bottom w:val="nil"/>
              <w:right w:val="single" w:sz="4" w:space="0" w:color="000000"/>
            </w:tcBorders>
            <w:shd w:val="clear" w:color="auto" w:fill="EBF0DE"/>
          </w:tcPr>
          <w:p>
            <w:pPr>
              <w:pStyle w:val="TableParagraph"/>
              <w:spacing w:before="2"/>
              <w:ind w:right="13"/>
              <w:jc w:val="right"/>
              <w:rPr>
                <w:sz w:val="15"/>
              </w:rPr>
            </w:pPr>
            <w:r>
              <w:rPr>
                <w:sz w:val="15"/>
              </w:rPr>
              <w:t>658,698.3</w:t>
            </w:r>
          </w:p>
        </w:tc>
        <w:tc>
          <w:tcPr>
            <w:tcW w:w="841" w:type="dxa"/>
            <w:tcBorders>
              <w:top w:val="nil"/>
              <w:left w:val="single" w:sz="4" w:space="0" w:color="000000"/>
              <w:bottom w:val="nil"/>
              <w:right w:val="single" w:sz="4" w:space="0" w:color="000000"/>
            </w:tcBorders>
            <w:shd w:val="clear" w:color="auto" w:fill="EBF0DE"/>
          </w:tcPr>
          <w:p>
            <w:pPr>
              <w:pStyle w:val="TableParagraph"/>
              <w:spacing w:before="2"/>
              <w:ind w:right="13"/>
              <w:jc w:val="right"/>
              <w:rPr>
                <w:sz w:val="15"/>
              </w:rPr>
            </w:pPr>
            <w:r>
              <w:rPr>
                <w:sz w:val="15"/>
              </w:rPr>
              <w:t>700,290.5</w:t>
            </w:r>
          </w:p>
        </w:tc>
        <w:tc>
          <w:tcPr>
            <w:tcW w:w="776" w:type="dxa"/>
            <w:tcBorders>
              <w:top w:val="nil"/>
              <w:left w:val="single" w:sz="4" w:space="0" w:color="000000"/>
              <w:bottom w:val="nil"/>
              <w:right w:val="nil"/>
            </w:tcBorders>
            <w:shd w:val="clear" w:color="auto" w:fill="EBF0DE"/>
          </w:tcPr>
          <w:p>
            <w:pPr>
              <w:pStyle w:val="TableParagraph"/>
              <w:spacing w:before="2"/>
              <w:ind w:right="18"/>
              <w:jc w:val="right"/>
              <w:rPr>
                <w:sz w:val="15"/>
              </w:rPr>
            </w:pPr>
            <w:r>
              <w:rPr>
                <w:sz w:val="15"/>
              </w:rPr>
              <w:t>743,108.5</w:t>
            </w:r>
          </w:p>
        </w:tc>
        <w:tc>
          <w:tcPr>
            <w:tcW w:w="773" w:type="dxa"/>
            <w:tcBorders>
              <w:top w:val="nil"/>
              <w:left w:val="nil"/>
              <w:bottom w:val="nil"/>
            </w:tcBorders>
            <w:shd w:val="clear" w:color="auto" w:fill="EBF0DE"/>
          </w:tcPr>
          <w:p>
            <w:pPr>
              <w:pStyle w:val="TableParagraph"/>
              <w:spacing w:before="2"/>
              <w:ind w:left="124"/>
              <w:jc w:val="center"/>
              <w:rPr>
                <w:sz w:val="15"/>
              </w:rPr>
            </w:pPr>
            <w:r>
              <w:rPr>
                <w:sz w:val="15"/>
              </w:rPr>
              <w:t>789,288.4</w:t>
            </w:r>
          </w:p>
        </w:tc>
      </w:tr>
      <w:tr>
        <w:trPr>
          <w:trHeight w:val="200" w:hRule="atLeast"/>
        </w:trPr>
        <w:tc>
          <w:tcPr>
            <w:tcW w:w="670" w:type="dxa"/>
            <w:tcBorders>
              <w:top w:val="nil"/>
              <w:left w:val="single" w:sz="4" w:space="0" w:color="000000"/>
              <w:bottom w:val="nil"/>
            </w:tcBorders>
          </w:tcPr>
          <w:p>
            <w:pPr>
              <w:pStyle w:val="TableParagraph"/>
              <w:rPr>
                <w:rFonts w:ascii="Times New Roman"/>
                <w:sz w:val="12"/>
              </w:rPr>
            </w:pPr>
          </w:p>
        </w:tc>
        <w:tc>
          <w:tcPr>
            <w:tcW w:w="1466" w:type="dxa"/>
            <w:tcBorders>
              <w:top w:val="nil"/>
              <w:bottom w:val="nil"/>
              <w:right w:val="single" w:sz="4" w:space="0" w:color="000000"/>
            </w:tcBorders>
          </w:tcPr>
          <w:p>
            <w:pPr>
              <w:pStyle w:val="TableParagraph"/>
              <w:spacing w:line="179" w:lineRule="exact"/>
              <w:ind w:left="21"/>
              <w:rPr>
                <w:sz w:val="15"/>
              </w:rPr>
            </w:pPr>
            <w:r>
              <w:rPr>
                <w:w w:val="105"/>
                <w:sz w:val="15"/>
              </w:rPr>
              <w:t>Variación</w:t>
            </w:r>
          </w:p>
        </w:tc>
        <w:tc>
          <w:tcPr>
            <w:tcW w:w="855" w:type="dxa"/>
            <w:tcBorders>
              <w:top w:val="nil"/>
              <w:left w:val="single" w:sz="4" w:space="0" w:color="000000"/>
              <w:bottom w:val="nil"/>
              <w:right w:val="single" w:sz="4" w:space="0" w:color="000000"/>
            </w:tcBorders>
          </w:tcPr>
          <w:p>
            <w:pPr>
              <w:pStyle w:val="TableParagraph"/>
              <w:spacing w:line="179" w:lineRule="exact"/>
              <w:ind w:right="117"/>
              <w:jc w:val="center"/>
              <w:rPr>
                <w:sz w:val="15"/>
              </w:rPr>
            </w:pPr>
            <w:r>
              <w:rPr>
                <w:w w:val="105"/>
                <w:sz w:val="15"/>
              </w:rPr>
              <w:t>Porcentaje</w:t>
            </w:r>
          </w:p>
        </w:tc>
        <w:tc>
          <w:tcPr>
            <w:tcW w:w="777" w:type="dxa"/>
            <w:tcBorders>
              <w:top w:val="nil"/>
              <w:left w:val="single" w:sz="4" w:space="0" w:color="000000"/>
              <w:bottom w:val="nil"/>
              <w:right w:val="single" w:sz="4" w:space="0" w:color="000000"/>
            </w:tcBorders>
          </w:tcPr>
          <w:p>
            <w:pPr>
              <w:pStyle w:val="TableParagraph"/>
              <w:rPr>
                <w:rFonts w:ascii="Times New Roman"/>
                <w:sz w:val="12"/>
              </w:rPr>
            </w:pPr>
          </w:p>
        </w:tc>
        <w:tc>
          <w:tcPr>
            <w:tcW w:w="777" w:type="dxa"/>
            <w:tcBorders>
              <w:top w:val="nil"/>
              <w:left w:val="single" w:sz="4" w:space="0" w:color="000000"/>
              <w:bottom w:val="nil"/>
              <w:right w:val="single" w:sz="4" w:space="0" w:color="000000"/>
            </w:tcBorders>
          </w:tcPr>
          <w:p>
            <w:pPr>
              <w:pStyle w:val="TableParagraph"/>
              <w:spacing w:line="179" w:lineRule="exact"/>
              <w:ind w:right="13"/>
              <w:jc w:val="right"/>
              <w:rPr>
                <w:sz w:val="15"/>
              </w:rPr>
            </w:pPr>
            <w:r>
              <w:rPr>
                <w:sz w:val="15"/>
              </w:rPr>
              <w:t>-5.0</w:t>
            </w:r>
          </w:p>
        </w:tc>
        <w:tc>
          <w:tcPr>
            <w:tcW w:w="777" w:type="dxa"/>
            <w:tcBorders>
              <w:top w:val="nil"/>
              <w:left w:val="single" w:sz="4" w:space="0" w:color="000000"/>
              <w:bottom w:val="nil"/>
              <w:right w:val="single" w:sz="4" w:space="0" w:color="000000"/>
            </w:tcBorders>
          </w:tcPr>
          <w:p>
            <w:pPr>
              <w:pStyle w:val="TableParagraph"/>
              <w:spacing w:line="179" w:lineRule="exact"/>
              <w:ind w:right="14"/>
              <w:jc w:val="right"/>
              <w:rPr>
                <w:sz w:val="15"/>
              </w:rPr>
            </w:pPr>
            <w:r>
              <w:rPr>
                <w:sz w:val="15"/>
              </w:rPr>
              <w:t>5.6</w:t>
            </w:r>
          </w:p>
        </w:tc>
        <w:tc>
          <w:tcPr>
            <w:tcW w:w="776" w:type="dxa"/>
            <w:tcBorders>
              <w:top w:val="nil"/>
              <w:left w:val="single" w:sz="4" w:space="0" w:color="000000"/>
              <w:bottom w:val="nil"/>
              <w:right w:val="single" w:sz="4" w:space="0" w:color="000000"/>
            </w:tcBorders>
          </w:tcPr>
          <w:p>
            <w:pPr>
              <w:pStyle w:val="TableParagraph"/>
              <w:spacing w:line="179" w:lineRule="exact"/>
              <w:ind w:right="13"/>
              <w:jc w:val="right"/>
              <w:rPr>
                <w:sz w:val="15"/>
              </w:rPr>
            </w:pPr>
            <w:r>
              <w:rPr>
                <w:sz w:val="15"/>
              </w:rPr>
              <w:t>6.2</w:t>
            </w:r>
          </w:p>
        </w:tc>
        <w:tc>
          <w:tcPr>
            <w:tcW w:w="841" w:type="dxa"/>
            <w:tcBorders>
              <w:top w:val="nil"/>
              <w:left w:val="single" w:sz="4" w:space="0" w:color="000000"/>
              <w:bottom w:val="nil"/>
              <w:right w:val="single" w:sz="4" w:space="0" w:color="000000"/>
            </w:tcBorders>
          </w:tcPr>
          <w:p>
            <w:pPr>
              <w:pStyle w:val="TableParagraph"/>
              <w:spacing w:line="179" w:lineRule="exact"/>
              <w:ind w:right="13"/>
              <w:jc w:val="right"/>
              <w:rPr>
                <w:sz w:val="15"/>
              </w:rPr>
            </w:pPr>
            <w:r>
              <w:rPr>
                <w:sz w:val="15"/>
              </w:rPr>
              <w:t>6.3</w:t>
            </w:r>
          </w:p>
        </w:tc>
        <w:tc>
          <w:tcPr>
            <w:tcW w:w="1549" w:type="dxa"/>
            <w:gridSpan w:val="2"/>
            <w:tcBorders>
              <w:top w:val="nil"/>
              <w:left w:val="single" w:sz="4" w:space="0" w:color="000000"/>
              <w:bottom w:val="nil"/>
            </w:tcBorders>
          </w:tcPr>
          <w:p>
            <w:pPr>
              <w:pStyle w:val="TableParagraph"/>
              <w:tabs>
                <w:tab w:pos="1332" w:val="left" w:leader="none"/>
              </w:tabs>
              <w:spacing w:line="179" w:lineRule="exact"/>
              <w:ind w:left="555"/>
              <w:rPr>
                <w:sz w:val="15"/>
              </w:rPr>
            </w:pPr>
            <w:r>
              <w:rPr>
                <w:w w:val="105"/>
                <w:sz w:val="15"/>
              </w:rPr>
              <w:t>6.1</w:t>
              <w:tab/>
              <w:t>6.2</w:t>
            </w:r>
          </w:p>
        </w:tc>
      </w:tr>
      <w:tr>
        <w:trPr>
          <w:trHeight w:val="181" w:hRule="atLeast"/>
        </w:trPr>
        <w:tc>
          <w:tcPr>
            <w:tcW w:w="8488" w:type="dxa"/>
            <w:gridSpan w:val="10"/>
            <w:tcBorders>
              <w:top w:val="nil"/>
              <w:left w:val="single" w:sz="4" w:space="0" w:color="000000"/>
              <w:bottom w:val="nil"/>
            </w:tcBorders>
          </w:tcPr>
          <w:p>
            <w:pPr>
              <w:pStyle w:val="TableParagraph"/>
              <w:rPr>
                <w:rFonts w:ascii="Times New Roman"/>
                <w:sz w:val="12"/>
              </w:rPr>
            </w:pPr>
          </w:p>
        </w:tc>
      </w:tr>
      <w:tr>
        <w:trPr>
          <w:trHeight w:val="278" w:hRule="atLeast"/>
        </w:trPr>
        <w:tc>
          <w:tcPr>
            <w:tcW w:w="8488" w:type="dxa"/>
            <w:gridSpan w:val="10"/>
            <w:tcBorders>
              <w:top w:val="nil"/>
              <w:left w:val="single" w:sz="4" w:space="0" w:color="000000"/>
              <w:bottom w:val="nil"/>
            </w:tcBorders>
            <w:shd w:val="clear" w:color="auto" w:fill="66CCFF"/>
          </w:tcPr>
          <w:p>
            <w:pPr>
              <w:pStyle w:val="TableParagraph"/>
              <w:spacing w:before="6"/>
              <w:ind w:left="27"/>
              <w:rPr>
                <w:b/>
                <w:sz w:val="20"/>
              </w:rPr>
            </w:pPr>
            <w:r>
              <w:rPr>
                <w:b/>
                <w:w w:val="105"/>
                <w:sz w:val="20"/>
              </w:rPr>
              <w:t>Alto</w:t>
            </w:r>
          </w:p>
        </w:tc>
      </w:tr>
      <w:tr>
        <w:trPr>
          <w:trHeight w:val="181" w:hRule="atLeast"/>
        </w:trPr>
        <w:tc>
          <w:tcPr>
            <w:tcW w:w="8488" w:type="dxa"/>
            <w:gridSpan w:val="10"/>
            <w:tcBorders>
              <w:top w:val="nil"/>
              <w:left w:val="single" w:sz="4" w:space="0" w:color="000000"/>
              <w:bottom w:val="nil"/>
            </w:tcBorders>
          </w:tcPr>
          <w:p>
            <w:pPr>
              <w:pStyle w:val="TableParagraph"/>
              <w:rPr>
                <w:rFonts w:ascii="Times New Roman"/>
                <w:sz w:val="12"/>
              </w:rPr>
            </w:pPr>
          </w:p>
        </w:tc>
      </w:tr>
      <w:tr>
        <w:trPr>
          <w:trHeight w:val="206" w:hRule="atLeast"/>
        </w:trPr>
        <w:tc>
          <w:tcPr>
            <w:tcW w:w="670" w:type="dxa"/>
            <w:tcBorders>
              <w:top w:val="nil"/>
              <w:left w:val="single" w:sz="4" w:space="0" w:color="000000"/>
              <w:bottom w:val="nil"/>
            </w:tcBorders>
            <w:shd w:val="clear" w:color="auto" w:fill="B8ECFF"/>
          </w:tcPr>
          <w:p>
            <w:pPr>
              <w:pStyle w:val="TableParagraph"/>
              <w:rPr>
                <w:rFonts w:ascii="Times New Roman"/>
                <w:sz w:val="14"/>
              </w:rPr>
            </w:pPr>
          </w:p>
        </w:tc>
        <w:tc>
          <w:tcPr>
            <w:tcW w:w="1466" w:type="dxa"/>
            <w:tcBorders>
              <w:top w:val="nil"/>
              <w:bottom w:val="nil"/>
            </w:tcBorders>
            <w:shd w:val="clear" w:color="auto" w:fill="B8ECFF"/>
          </w:tcPr>
          <w:p>
            <w:pPr>
              <w:pStyle w:val="TableParagraph"/>
              <w:spacing w:before="2"/>
              <w:ind w:left="21"/>
              <w:rPr>
                <w:sz w:val="15"/>
              </w:rPr>
            </w:pPr>
            <w:r>
              <w:rPr>
                <w:w w:val="105"/>
                <w:sz w:val="15"/>
              </w:rPr>
              <w:t>PIB Real (Base 2013)</w:t>
            </w:r>
          </w:p>
        </w:tc>
        <w:tc>
          <w:tcPr>
            <w:tcW w:w="855" w:type="dxa"/>
            <w:tcBorders>
              <w:top w:val="nil"/>
              <w:bottom w:val="nil"/>
              <w:right w:val="single" w:sz="4" w:space="0" w:color="000000"/>
            </w:tcBorders>
            <w:shd w:val="clear" w:color="auto" w:fill="B8ECFF"/>
          </w:tcPr>
          <w:p>
            <w:pPr>
              <w:pStyle w:val="TableParagraph"/>
              <w:spacing w:before="2"/>
              <w:ind w:right="74"/>
              <w:jc w:val="center"/>
              <w:rPr>
                <w:sz w:val="15"/>
              </w:rPr>
            </w:pPr>
            <w:r>
              <w:rPr>
                <w:w w:val="105"/>
                <w:sz w:val="15"/>
              </w:rPr>
              <w:t>Millones Q.</w:t>
            </w:r>
          </w:p>
        </w:tc>
        <w:tc>
          <w:tcPr>
            <w:tcW w:w="777" w:type="dxa"/>
            <w:tcBorders>
              <w:top w:val="nil"/>
              <w:left w:val="single" w:sz="4" w:space="0" w:color="000000"/>
              <w:bottom w:val="nil"/>
              <w:right w:val="single" w:sz="4" w:space="0" w:color="000000"/>
            </w:tcBorders>
            <w:shd w:val="clear" w:color="auto" w:fill="B8ECFF"/>
          </w:tcPr>
          <w:p>
            <w:pPr>
              <w:pStyle w:val="TableParagraph"/>
              <w:rPr>
                <w:rFonts w:ascii="Times New Roman"/>
                <w:sz w:val="14"/>
              </w:rPr>
            </w:pPr>
          </w:p>
        </w:tc>
        <w:tc>
          <w:tcPr>
            <w:tcW w:w="777" w:type="dxa"/>
            <w:tcBorders>
              <w:top w:val="nil"/>
              <w:left w:val="single" w:sz="4" w:space="0" w:color="000000"/>
              <w:bottom w:val="nil"/>
              <w:right w:val="single" w:sz="4" w:space="0" w:color="000000"/>
            </w:tcBorders>
            <w:shd w:val="clear" w:color="auto" w:fill="B8ECFF"/>
          </w:tcPr>
          <w:p>
            <w:pPr>
              <w:pStyle w:val="TableParagraph"/>
              <w:spacing w:before="2"/>
              <w:ind w:right="13"/>
              <w:jc w:val="right"/>
              <w:rPr>
                <w:sz w:val="15"/>
              </w:rPr>
            </w:pPr>
            <w:r>
              <w:rPr>
                <w:sz w:val="15"/>
              </w:rPr>
              <w:t>505,601.8</w:t>
            </w:r>
          </w:p>
        </w:tc>
        <w:tc>
          <w:tcPr>
            <w:tcW w:w="777" w:type="dxa"/>
            <w:tcBorders>
              <w:top w:val="nil"/>
              <w:left w:val="single" w:sz="4" w:space="0" w:color="000000"/>
              <w:bottom w:val="nil"/>
              <w:right w:val="single" w:sz="4" w:space="0" w:color="000000"/>
            </w:tcBorders>
            <w:shd w:val="clear" w:color="auto" w:fill="B8ECFF"/>
          </w:tcPr>
          <w:p>
            <w:pPr>
              <w:pStyle w:val="TableParagraph"/>
              <w:spacing w:before="2"/>
              <w:ind w:right="14"/>
              <w:jc w:val="right"/>
              <w:rPr>
                <w:sz w:val="15"/>
              </w:rPr>
            </w:pPr>
            <w:r>
              <w:rPr>
                <w:sz w:val="15"/>
              </w:rPr>
              <w:t>520,541.7</w:t>
            </w:r>
          </w:p>
        </w:tc>
        <w:tc>
          <w:tcPr>
            <w:tcW w:w="776" w:type="dxa"/>
            <w:tcBorders>
              <w:top w:val="nil"/>
              <w:left w:val="single" w:sz="4" w:space="0" w:color="000000"/>
              <w:bottom w:val="nil"/>
              <w:right w:val="single" w:sz="4" w:space="0" w:color="000000"/>
            </w:tcBorders>
            <w:shd w:val="clear" w:color="auto" w:fill="B8ECFF"/>
          </w:tcPr>
          <w:p>
            <w:pPr>
              <w:pStyle w:val="TableParagraph"/>
              <w:spacing w:before="2"/>
              <w:ind w:right="13"/>
              <w:jc w:val="right"/>
              <w:rPr>
                <w:sz w:val="15"/>
              </w:rPr>
            </w:pPr>
            <w:r>
              <w:rPr>
                <w:sz w:val="15"/>
              </w:rPr>
              <w:t>539,182.3</w:t>
            </w:r>
          </w:p>
        </w:tc>
        <w:tc>
          <w:tcPr>
            <w:tcW w:w="841" w:type="dxa"/>
            <w:tcBorders>
              <w:top w:val="nil"/>
              <w:left w:val="single" w:sz="4" w:space="0" w:color="000000"/>
              <w:bottom w:val="nil"/>
              <w:right w:val="single" w:sz="4" w:space="0" w:color="000000"/>
            </w:tcBorders>
            <w:shd w:val="clear" w:color="auto" w:fill="B8ECFF"/>
          </w:tcPr>
          <w:p>
            <w:pPr>
              <w:pStyle w:val="TableParagraph"/>
              <w:spacing w:before="2"/>
              <w:ind w:right="13"/>
              <w:jc w:val="right"/>
              <w:rPr>
                <w:sz w:val="15"/>
              </w:rPr>
            </w:pPr>
            <w:r>
              <w:rPr>
                <w:sz w:val="15"/>
              </w:rPr>
              <w:t>558,866.2</w:t>
            </w:r>
          </w:p>
        </w:tc>
        <w:tc>
          <w:tcPr>
            <w:tcW w:w="776" w:type="dxa"/>
            <w:tcBorders>
              <w:top w:val="nil"/>
              <w:left w:val="single" w:sz="4" w:space="0" w:color="000000"/>
              <w:bottom w:val="nil"/>
              <w:right w:val="nil"/>
            </w:tcBorders>
            <w:shd w:val="clear" w:color="auto" w:fill="B8ECFF"/>
          </w:tcPr>
          <w:p>
            <w:pPr>
              <w:pStyle w:val="TableParagraph"/>
              <w:spacing w:before="2"/>
              <w:ind w:right="18"/>
              <w:jc w:val="right"/>
              <w:rPr>
                <w:sz w:val="15"/>
              </w:rPr>
            </w:pPr>
            <w:r>
              <w:rPr>
                <w:sz w:val="15"/>
              </w:rPr>
              <w:t>578,194.1</w:t>
            </w:r>
          </w:p>
        </w:tc>
        <w:tc>
          <w:tcPr>
            <w:tcW w:w="773" w:type="dxa"/>
            <w:tcBorders>
              <w:top w:val="nil"/>
              <w:left w:val="nil"/>
              <w:bottom w:val="nil"/>
            </w:tcBorders>
            <w:shd w:val="clear" w:color="auto" w:fill="B8ECFF"/>
          </w:tcPr>
          <w:p>
            <w:pPr>
              <w:pStyle w:val="TableParagraph"/>
              <w:spacing w:before="2"/>
              <w:ind w:left="124"/>
              <w:jc w:val="center"/>
              <w:rPr>
                <w:sz w:val="15"/>
              </w:rPr>
            </w:pPr>
            <w:r>
              <w:rPr>
                <w:sz w:val="15"/>
              </w:rPr>
              <w:t>598,803.6</w:t>
            </w:r>
          </w:p>
        </w:tc>
      </w:tr>
      <w:tr>
        <w:trPr>
          <w:trHeight w:val="394" w:hRule="atLeast"/>
        </w:trPr>
        <w:tc>
          <w:tcPr>
            <w:tcW w:w="670" w:type="dxa"/>
            <w:tcBorders>
              <w:top w:val="nil"/>
              <w:left w:val="single" w:sz="4" w:space="0" w:color="000000"/>
              <w:bottom w:val="nil"/>
            </w:tcBorders>
          </w:tcPr>
          <w:p>
            <w:pPr>
              <w:pStyle w:val="TableParagraph"/>
              <w:rPr>
                <w:rFonts w:ascii="Times New Roman"/>
                <w:sz w:val="18"/>
              </w:rPr>
            </w:pPr>
          </w:p>
        </w:tc>
        <w:tc>
          <w:tcPr>
            <w:tcW w:w="1466" w:type="dxa"/>
            <w:tcBorders>
              <w:top w:val="nil"/>
              <w:bottom w:val="nil"/>
              <w:right w:val="single" w:sz="4" w:space="0" w:color="000000"/>
            </w:tcBorders>
          </w:tcPr>
          <w:p>
            <w:pPr>
              <w:pStyle w:val="TableParagraph"/>
              <w:spacing w:line="179" w:lineRule="exact"/>
              <w:ind w:left="21"/>
              <w:rPr>
                <w:sz w:val="15"/>
              </w:rPr>
            </w:pPr>
            <w:r>
              <w:rPr>
                <w:w w:val="105"/>
                <w:sz w:val="15"/>
              </w:rPr>
              <w:t>Variación</w:t>
            </w:r>
          </w:p>
        </w:tc>
        <w:tc>
          <w:tcPr>
            <w:tcW w:w="855" w:type="dxa"/>
            <w:tcBorders>
              <w:top w:val="nil"/>
              <w:left w:val="single" w:sz="4" w:space="0" w:color="000000"/>
              <w:bottom w:val="nil"/>
              <w:right w:val="single" w:sz="4" w:space="0" w:color="000000"/>
            </w:tcBorders>
          </w:tcPr>
          <w:p>
            <w:pPr>
              <w:pStyle w:val="TableParagraph"/>
              <w:spacing w:line="179" w:lineRule="exact"/>
              <w:ind w:right="117"/>
              <w:jc w:val="center"/>
              <w:rPr>
                <w:sz w:val="15"/>
              </w:rPr>
            </w:pPr>
            <w:r>
              <w:rPr>
                <w:w w:val="105"/>
                <w:sz w:val="15"/>
              </w:rPr>
              <w:t>Porcentaje</w:t>
            </w:r>
          </w:p>
        </w:tc>
        <w:tc>
          <w:tcPr>
            <w:tcW w:w="777" w:type="dxa"/>
            <w:tcBorders>
              <w:top w:val="nil"/>
              <w:left w:val="single" w:sz="4" w:space="0" w:color="000000"/>
              <w:bottom w:val="nil"/>
              <w:right w:val="single" w:sz="4" w:space="0" w:color="000000"/>
            </w:tcBorders>
          </w:tcPr>
          <w:p>
            <w:pPr>
              <w:pStyle w:val="TableParagraph"/>
              <w:rPr>
                <w:rFonts w:ascii="Times New Roman"/>
                <w:sz w:val="18"/>
              </w:rPr>
            </w:pPr>
          </w:p>
        </w:tc>
        <w:tc>
          <w:tcPr>
            <w:tcW w:w="777" w:type="dxa"/>
            <w:tcBorders>
              <w:top w:val="nil"/>
              <w:left w:val="single" w:sz="4" w:space="0" w:color="000000"/>
              <w:bottom w:val="nil"/>
              <w:right w:val="single" w:sz="4" w:space="0" w:color="000000"/>
            </w:tcBorders>
          </w:tcPr>
          <w:p>
            <w:pPr>
              <w:pStyle w:val="TableParagraph"/>
              <w:spacing w:line="179" w:lineRule="exact"/>
              <w:ind w:right="13"/>
              <w:jc w:val="right"/>
              <w:rPr>
                <w:sz w:val="15"/>
              </w:rPr>
            </w:pPr>
            <w:r>
              <w:rPr>
                <w:sz w:val="15"/>
              </w:rPr>
              <w:t>-1.5</w:t>
            </w:r>
          </w:p>
        </w:tc>
        <w:tc>
          <w:tcPr>
            <w:tcW w:w="777" w:type="dxa"/>
            <w:tcBorders>
              <w:top w:val="nil"/>
              <w:left w:val="single" w:sz="4" w:space="0" w:color="000000"/>
              <w:bottom w:val="nil"/>
              <w:right w:val="single" w:sz="4" w:space="0" w:color="000000"/>
            </w:tcBorders>
          </w:tcPr>
          <w:p>
            <w:pPr>
              <w:pStyle w:val="TableParagraph"/>
              <w:spacing w:line="179" w:lineRule="exact"/>
              <w:ind w:right="14"/>
              <w:jc w:val="right"/>
              <w:rPr>
                <w:sz w:val="15"/>
              </w:rPr>
            </w:pPr>
            <w:r>
              <w:rPr>
                <w:sz w:val="15"/>
              </w:rPr>
              <w:t>4.0</w:t>
            </w:r>
          </w:p>
        </w:tc>
        <w:tc>
          <w:tcPr>
            <w:tcW w:w="776" w:type="dxa"/>
            <w:tcBorders>
              <w:top w:val="nil"/>
              <w:left w:val="single" w:sz="4" w:space="0" w:color="000000"/>
              <w:bottom w:val="nil"/>
              <w:right w:val="single" w:sz="4" w:space="0" w:color="000000"/>
            </w:tcBorders>
          </w:tcPr>
          <w:p>
            <w:pPr>
              <w:pStyle w:val="TableParagraph"/>
              <w:spacing w:line="179" w:lineRule="exact"/>
              <w:ind w:right="13"/>
              <w:jc w:val="right"/>
              <w:rPr>
                <w:sz w:val="15"/>
              </w:rPr>
            </w:pPr>
            <w:r>
              <w:rPr>
                <w:sz w:val="15"/>
              </w:rPr>
              <w:t>4.6</w:t>
            </w:r>
          </w:p>
        </w:tc>
        <w:tc>
          <w:tcPr>
            <w:tcW w:w="841" w:type="dxa"/>
            <w:tcBorders>
              <w:top w:val="nil"/>
              <w:left w:val="single" w:sz="4" w:space="0" w:color="000000"/>
              <w:bottom w:val="nil"/>
              <w:right w:val="single" w:sz="4" w:space="0" w:color="000000"/>
            </w:tcBorders>
          </w:tcPr>
          <w:p>
            <w:pPr>
              <w:pStyle w:val="TableParagraph"/>
              <w:spacing w:line="179" w:lineRule="exact"/>
              <w:ind w:right="13"/>
              <w:jc w:val="right"/>
              <w:rPr>
                <w:sz w:val="15"/>
              </w:rPr>
            </w:pPr>
            <w:r>
              <w:rPr>
                <w:sz w:val="15"/>
              </w:rPr>
              <w:t>4.7</w:t>
            </w:r>
          </w:p>
        </w:tc>
        <w:tc>
          <w:tcPr>
            <w:tcW w:w="1549" w:type="dxa"/>
            <w:gridSpan w:val="2"/>
            <w:tcBorders>
              <w:top w:val="nil"/>
              <w:left w:val="single" w:sz="4" w:space="0" w:color="000000"/>
              <w:bottom w:val="nil"/>
            </w:tcBorders>
          </w:tcPr>
          <w:p>
            <w:pPr>
              <w:pStyle w:val="TableParagraph"/>
              <w:tabs>
                <w:tab w:pos="1332" w:val="left" w:leader="none"/>
              </w:tabs>
              <w:spacing w:line="179" w:lineRule="exact"/>
              <w:ind w:left="555"/>
              <w:rPr>
                <w:sz w:val="15"/>
              </w:rPr>
            </w:pPr>
            <w:r>
              <w:rPr>
                <w:w w:val="105"/>
                <w:sz w:val="15"/>
              </w:rPr>
              <w:t>4.5</w:t>
              <w:tab/>
              <w:t>4.6</w:t>
            </w:r>
          </w:p>
        </w:tc>
      </w:tr>
      <w:tr>
        <w:trPr>
          <w:trHeight w:val="206" w:hRule="atLeast"/>
        </w:trPr>
        <w:tc>
          <w:tcPr>
            <w:tcW w:w="670" w:type="dxa"/>
            <w:tcBorders>
              <w:top w:val="nil"/>
              <w:left w:val="single" w:sz="4" w:space="0" w:color="000000"/>
              <w:bottom w:val="nil"/>
            </w:tcBorders>
            <w:shd w:val="clear" w:color="auto" w:fill="B8ECFF"/>
          </w:tcPr>
          <w:p>
            <w:pPr>
              <w:pStyle w:val="TableParagraph"/>
              <w:rPr>
                <w:rFonts w:ascii="Times New Roman"/>
                <w:sz w:val="14"/>
              </w:rPr>
            </w:pPr>
          </w:p>
        </w:tc>
        <w:tc>
          <w:tcPr>
            <w:tcW w:w="1466" w:type="dxa"/>
            <w:tcBorders>
              <w:top w:val="nil"/>
              <w:bottom w:val="nil"/>
            </w:tcBorders>
            <w:shd w:val="clear" w:color="auto" w:fill="B8ECFF"/>
          </w:tcPr>
          <w:p>
            <w:pPr>
              <w:pStyle w:val="TableParagraph"/>
              <w:spacing w:before="2"/>
              <w:ind w:left="21"/>
              <w:rPr>
                <w:sz w:val="15"/>
              </w:rPr>
            </w:pPr>
            <w:r>
              <w:rPr>
                <w:w w:val="105"/>
                <w:sz w:val="15"/>
              </w:rPr>
              <w:t>PIB Nominal</w:t>
            </w:r>
          </w:p>
        </w:tc>
        <w:tc>
          <w:tcPr>
            <w:tcW w:w="855" w:type="dxa"/>
            <w:tcBorders>
              <w:top w:val="nil"/>
              <w:bottom w:val="nil"/>
              <w:right w:val="single" w:sz="4" w:space="0" w:color="000000"/>
            </w:tcBorders>
            <w:shd w:val="clear" w:color="auto" w:fill="B8ECFF"/>
          </w:tcPr>
          <w:p>
            <w:pPr>
              <w:pStyle w:val="TableParagraph"/>
              <w:spacing w:before="2"/>
              <w:ind w:right="74"/>
              <w:jc w:val="center"/>
              <w:rPr>
                <w:sz w:val="15"/>
              </w:rPr>
            </w:pPr>
            <w:r>
              <w:rPr>
                <w:w w:val="105"/>
                <w:sz w:val="15"/>
              </w:rPr>
              <w:t>Millones Q.</w:t>
            </w:r>
          </w:p>
        </w:tc>
        <w:tc>
          <w:tcPr>
            <w:tcW w:w="777" w:type="dxa"/>
            <w:tcBorders>
              <w:top w:val="nil"/>
              <w:left w:val="single" w:sz="4" w:space="0" w:color="000000"/>
              <w:bottom w:val="nil"/>
              <w:right w:val="single" w:sz="4" w:space="0" w:color="000000"/>
            </w:tcBorders>
            <w:shd w:val="clear" w:color="auto" w:fill="B8ECFF"/>
          </w:tcPr>
          <w:p>
            <w:pPr>
              <w:pStyle w:val="TableParagraph"/>
              <w:rPr>
                <w:rFonts w:ascii="Times New Roman"/>
                <w:sz w:val="14"/>
              </w:rPr>
            </w:pPr>
          </w:p>
        </w:tc>
        <w:tc>
          <w:tcPr>
            <w:tcW w:w="777" w:type="dxa"/>
            <w:tcBorders>
              <w:top w:val="nil"/>
              <w:left w:val="single" w:sz="4" w:space="0" w:color="000000"/>
              <w:bottom w:val="nil"/>
              <w:right w:val="single" w:sz="4" w:space="0" w:color="000000"/>
            </w:tcBorders>
            <w:shd w:val="clear" w:color="auto" w:fill="B8ECFF"/>
          </w:tcPr>
          <w:p>
            <w:pPr>
              <w:pStyle w:val="TableParagraph"/>
              <w:spacing w:before="2"/>
              <w:ind w:right="13"/>
              <w:jc w:val="right"/>
              <w:rPr>
                <w:sz w:val="15"/>
              </w:rPr>
            </w:pPr>
            <w:r>
              <w:rPr>
                <w:sz w:val="15"/>
              </w:rPr>
              <w:t>593,659.6</w:t>
            </w:r>
          </w:p>
        </w:tc>
        <w:tc>
          <w:tcPr>
            <w:tcW w:w="777" w:type="dxa"/>
            <w:tcBorders>
              <w:top w:val="nil"/>
              <w:left w:val="single" w:sz="4" w:space="0" w:color="000000"/>
              <w:bottom w:val="nil"/>
              <w:right w:val="single" w:sz="4" w:space="0" w:color="000000"/>
            </w:tcBorders>
            <w:shd w:val="clear" w:color="auto" w:fill="B8ECFF"/>
          </w:tcPr>
          <w:p>
            <w:pPr>
              <w:pStyle w:val="TableParagraph"/>
              <w:spacing w:before="2"/>
              <w:ind w:right="14"/>
              <w:jc w:val="right"/>
              <w:rPr>
                <w:sz w:val="15"/>
              </w:rPr>
            </w:pPr>
            <w:r>
              <w:rPr>
                <w:sz w:val="15"/>
              </w:rPr>
              <w:t>626,404.8</w:t>
            </w:r>
          </w:p>
        </w:tc>
        <w:tc>
          <w:tcPr>
            <w:tcW w:w="776" w:type="dxa"/>
            <w:tcBorders>
              <w:top w:val="nil"/>
              <w:left w:val="single" w:sz="4" w:space="0" w:color="000000"/>
              <w:bottom w:val="nil"/>
              <w:right w:val="single" w:sz="4" w:space="0" w:color="000000"/>
            </w:tcBorders>
            <w:shd w:val="clear" w:color="auto" w:fill="B8ECFF"/>
          </w:tcPr>
          <w:p>
            <w:pPr>
              <w:pStyle w:val="TableParagraph"/>
              <w:spacing w:before="2"/>
              <w:ind w:right="13"/>
              <w:jc w:val="right"/>
              <w:rPr>
                <w:sz w:val="15"/>
              </w:rPr>
            </w:pPr>
            <w:r>
              <w:rPr>
                <w:sz w:val="15"/>
              </w:rPr>
              <w:t>665,057.2</w:t>
            </w:r>
          </w:p>
        </w:tc>
        <w:tc>
          <w:tcPr>
            <w:tcW w:w="841" w:type="dxa"/>
            <w:tcBorders>
              <w:top w:val="nil"/>
              <w:left w:val="single" w:sz="4" w:space="0" w:color="000000"/>
              <w:bottom w:val="nil"/>
              <w:right w:val="single" w:sz="4" w:space="0" w:color="000000"/>
            </w:tcBorders>
            <w:shd w:val="clear" w:color="auto" w:fill="B8ECFF"/>
          </w:tcPr>
          <w:p>
            <w:pPr>
              <w:pStyle w:val="TableParagraph"/>
              <w:spacing w:before="2"/>
              <w:ind w:right="13"/>
              <w:jc w:val="right"/>
              <w:rPr>
                <w:sz w:val="15"/>
              </w:rPr>
            </w:pPr>
            <w:r>
              <w:rPr>
                <w:sz w:val="15"/>
              </w:rPr>
              <w:t>707,046.7</w:t>
            </w:r>
          </w:p>
        </w:tc>
        <w:tc>
          <w:tcPr>
            <w:tcW w:w="776" w:type="dxa"/>
            <w:tcBorders>
              <w:top w:val="nil"/>
              <w:left w:val="single" w:sz="4" w:space="0" w:color="000000"/>
              <w:bottom w:val="nil"/>
              <w:right w:val="nil"/>
            </w:tcBorders>
            <w:shd w:val="clear" w:color="auto" w:fill="B8ECFF"/>
          </w:tcPr>
          <w:p>
            <w:pPr>
              <w:pStyle w:val="TableParagraph"/>
              <w:spacing w:before="2"/>
              <w:ind w:right="18"/>
              <w:jc w:val="right"/>
              <w:rPr>
                <w:sz w:val="15"/>
              </w:rPr>
            </w:pPr>
            <w:r>
              <w:rPr>
                <w:sz w:val="15"/>
              </w:rPr>
              <w:t>750,291.3</w:t>
            </w:r>
          </w:p>
        </w:tc>
        <w:tc>
          <w:tcPr>
            <w:tcW w:w="773" w:type="dxa"/>
            <w:tcBorders>
              <w:top w:val="nil"/>
              <w:left w:val="nil"/>
              <w:bottom w:val="nil"/>
            </w:tcBorders>
            <w:shd w:val="clear" w:color="auto" w:fill="B8ECFF"/>
          </w:tcPr>
          <w:p>
            <w:pPr>
              <w:pStyle w:val="TableParagraph"/>
              <w:spacing w:before="2"/>
              <w:ind w:left="124"/>
              <w:jc w:val="center"/>
              <w:rPr>
                <w:sz w:val="15"/>
              </w:rPr>
            </w:pPr>
            <w:r>
              <w:rPr>
                <w:sz w:val="15"/>
              </w:rPr>
              <w:t>796,909.5</w:t>
            </w:r>
          </w:p>
        </w:tc>
      </w:tr>
      <w:tr>
        <w:trPr>
          <w:trHeight w:val="186" w:hRule="atLeast"/>
        </w:trPr>
        <w:tc>
          <w:tcPr>
            <w:tcW w:w="670" w:type="dxa"/>
            <w:vMerge w:val="restart"/>
            <w:tcBorders>
              <w:top w:val="nil"/>
              <w:left w:val="single" w:sz="4" w:space="0" w:color="000000"/>
            </w:tcBorders>
          </w:tcPr>
          <w:p>
            <w:pPr>
              <w:pStyle w:val="TableParagraph"/>
              <w:rPr>
                <w:rFonts w:ascii="Times New Roman"/>
                <w:sz w:val="18"/>
              </w:rPr>
            </w:pPr>
          </w:p>
        </w:tc>
        <w:tc>
          <w:tcPr>
            <w:tcW w:w="1466" w:type="dxa"/>
            <w:vMerge w:val="restart"/>
            <w:tcBorders>
              <w:top w:val="nil"/>
              <w:right w:val="single" w:sz="4" w:space="0" w:color="000000"/>
            </w:tcBorders>
          </w:tcPr>
          <w:p>
            <w:pPr>
              <w:pStyle w:val="TableParagraph"/>
              <w:spacing w:line="179" w:lineRule="exact"/>
              <w:ind w:left="21"/>
              <w:rPr>
                <w:sz w:val="15"/>
              </w:rPr>
            </w:pPr>
            <w:r>
              <w:rPr>
                <w:w w:val="105"/>
                <w:sz w:val="15"/>
              </w:rPr>
              <w:t>Variación</w:t>
            </w:r>
          </w:p>
        </w:tc>
        <w:tc>
          <w:tcPr>
            <w:tcW w:w="855" w:type="dxa"/>
            <w:vMerge w:val="restart"/>
            <w:tcBorders>
              <w:top w:val="nil"/>
              <w:left w:val="single" w:sz="4" w:space="0" w:color="000000"/>
              <w:right w:val="single" w:sz="4" w:space="0" w:color="000000"/>
            </w:tcBorders>
          </w:tcPr>
          <w:p>
            <w:pPr>
              <w:pStyle w:val="TableParagraph"/>
              <w:spacing w:line="179" w:lineRule="exact"/>
              <w:ind w:left="20"/>
              <w:rPr>
                <w:sz w:val="15"/>
              </w:rPr>
            </w:pPr>
            <w:r>
              <w:rPr>
                <w:w w:val="105"/>
                <w:sz w:val="15"/>
              </w:rPr>
              <w:t>Porcentaje</w:t>
            </w:r>
          </w:p>
        </w:tc>
        <w:tc>
          <w:tcPr>
            <w:tcW w:w="777" w:type="dxa"/>
            <w:vMerge w:val="restart"/>
            <w:tcBorders>
              <w:top w:val="nil"/>
              <w:left w:val="single" w:sz="4" w:space="0" w:color="000000"/>
              <w:right w:val="single" w:sz="4" w:space="0" w:color="000000"/>
            </w:tcBorders>
          </w:tcPr>
          <w:p>
            <w:pPr>
              <w:pStyle w:val="TableParagraph"/>
              <w:rPr>
                <w:rFonts w:ascii="Times New Roman"/>
                <w:sz w:val="18"/>
              </w:rPr>
            </w:pPr>
          </w:p>
        </w:tc>
        <w:tc>
          <w:tcPr>
            <w:tcW w:w="777" w:type="dxa"/>
            <w:vMerge w:val="restart"/>
            <w:tcBorders>
              <w:top w:val="nil"/>
              <w:left w:val="single" w:sz="4" w:space="0" w:color="000000"/>
              <w:right w:val="single" w:sz="4" w:space="0" w:color="000000"/>
            </w:tcBorders>
          </w:tcPr>
          <w:p>
            <w:pPr>
              <w:pStyle w:val="TableParagraph"/>
              <w:spacing w:line="179" w:lineRule="exact"/>
              <w:ind w:right="13"/>
              <w:jc w:val="right"/>
              <w:rPr>
                <w:sz w:val="15"/>
              </w:rPr>
            </w:pPr>
            <w:r>
              <w:rPr>
                <w:sz w:val="15"/>
              </w:rPr>
              <w:t>0.5</w:t>
            </w:r>
          </w:p>
        </w:tc>
        <w:tc>
          <w:tcPr>
            <w:tcW w:w="777" w:type="dxa"/>
            <w:vMerge w:val="restart"/>
            <w:tcBorders>
              <w:top w:val="nil"/>
              <w:left w:val="single" w:sz="4" w:space="0" w:color="000000"/>
              <w:right w:val="single" w:sz="4" w:space="0" w:color="000000"/>
            </w:tcBorders>
          </w:tcPr>
          <w:p>
            <w:pPr>
              <w:pStyle w:val="TableParagraph"/>
              <w:spacing w:line="179" w:lineRule="exact"/>
              <w:ind w:right="14"/>
              <w:jc w:val="right"/>
              <w:rPr>
                <w:sz w:val="15"/>
              </w:rPr>
            </w:pPr>
            <w:r>
              <w:rPr>
                <w:sz w:val="15"/>
              </w:rPr>
              <w:t>6.6</w:t>
            </w:r>
          </w:p>
        </w:tc>
        <w:tc>
          <w:tcPr>
            <w:tcW w:w="776" w:type="dxa"/>
            <w:vMerge w:val="restart"/>
            <w:tcBorders>
              <w:top w:val="nil"/>
              <w:left w:val="single" w:sz="4" w:space="0" w:color="000000"/>
              <w:right w:val="single" w:sz="4" w:space="0" w:color="000000"/>
            </w:tcBorders>
          </w:tcPr>
          <w:p>
            <w:pPr>
              <w:pStyle w:val="TableParagraph"/>
              <w:spacing w:line="179" w:lineRule="exact"/>
              <w:ind w:right="13"/>
              <w:jc w:val="right"/>
              <w:rPr>
                <w:sz w:val="15"/>
              </w:rPr>
            </w:pPr>
            <w:r>
              <w:rPr>
                <w:sz w:val="15"/>
              </w:rPr>
              <w:t>7.2</w:t>
            </w:r>
          </w:p>
        </w:tc>
        <w:tc>
          <w:tcPr>
            <w:tcW w:w="841" w:type="dxa"/>
            <w:vMerge w:val="restart"/>
            <w:tcBorders>
              <w:top w:val="nil"/>
              <w:left w:val="single" w:sz="4" w:space="0" w:color="000000"/>
              <w:right w:val="single" w:sz="4" w:space="0" w:color="000000"/>
            </w:tcBorders>
          </w:tcPr>
          <w:p>
            <w:pPr>
              <w:pStyle w:val="TableParagraph"/>
              <w:spacing w:line="179" w:lineRule="exact"/>
              <w:ind w:right="13"/>
              <w:jc w:val="right"/>
              <w:rPr>
                <w:sz w:val="15"/>
              </w:rPr>
            </w:pPr>
            <w:r>
              <w:rPr>
                <w:sz w:val="15"/>
              </w:rPr>
              <w:t>7.3</w:t>
            </w:r>
          </w:p>
        </w:tc>
        <w:tc>
          <w:tcPr>
            <w:tcW w:w="1549" w:type="dxa"/>
            <w:gridSpan w:val="2"/>
            <w:tcBorders>
              <w:top w:val="nil"/>
              <w:left w:val="single" w:sz="4" w:space="0" w:color="000000"/>
              <w:bottom w:val="nil"/>
            </w:tcBorders>
          </w:tcPr>
          <w:p>
            <w:pPr>
              <w:pStyle w:val="TableParagraph"/>
              <w:tabs>
                <w:tab w:pos="1332" w:val="left" w:leader="none"/>
              </w:tabs>
              <w:spacing w:line="167" w:lineRule="exact"/>
              <w:ind w:left="555"/>
              <w:rPr>
                <w:sz w:val="15"/>
              </w:rPr>
            </w:pPr>
            <w:r>
              <w:rPr>
                <w:w w:val="105"/>
                <w:sz w:val="15"/>
              </w:rPr>
              <w:t>7.1</w:t>
              <w:tab/>
              <w:t>7.2</w:t>
            </w:r>
          </w:p>
        </w:tc>
      </w:tr>
      <w:tr>
        <w:trPr>
          <w:trHeight w:val="179" w:hRule="atLeast"/>
        </w:trPr>
        <w:tc>
          <w:tcPr>
            <w:tcW w:w="670" w:type="dxa"/>
            <w:vMerge/>
            <w:tcBorders>
              <w:top w:val="nil"/>
              <w:left w:val="single" w:sz="4" w:space="0" w:color="000000"/>
            </w:tcBorders>
          </w:tcPr>
          <w:p>
            <w:pPr>
              <w:rPr>
                <w:sz w:val="2"/>
                <w:szCs w:val="2"/>
              </w:rPr>
            </w:pPr>
          </w:p>
        </w:tc>
        <w:tc>
          <w:tcPr>
            <w:tcW w:w="1466" w:type="dxa"/>
            <w:vMerge/>
            <w:tcBorders>
              <w:top w:val="nil"/>
              <w:right w:val="single" w:sz="4" w:space="0" w:color="000000"/>
            </w:tcBorders>
          </w:tcPr>
          <w:p>
            <w:pPr>
              <w:rPr>
                <w:sz w:val="2"/>
                <w:szCs w:val="2"/>
              </w:rPr>
            </w:pPr>
          </w:p>
        </w:tc>
        <w:tc>
          <w:tcPr>
            <w:tcW w:w="855" w:type="dxa"/>
            <w:vMerge/>
            <w:tcBorders>
              <w:top w:val="nil"/>
              <w:left w:val="single" w:sz="4" w:space="0" w:color="000000"/>
              <w:right w:val="single" w:sz="4" w:space="0" w:color="000000"/>
            </w:tcBorders>
          </w:tcPr>
          <w:p>
            <w:pPr>
              <w:rPr>
                <w:sz w:val="2"/>
                <w:szCs w:val="2"/>
              </w:rPr>
            </w:pPr>
          </w:p>
        </w:tc>
        <w:tc>
          <w:tcPr>
            <w:tcW w:w="777" w:type="dxa"/>
            <w:vMerge/>
            <w:tcBorders>
              <w:top w:val="nil"/>
              <w:left w:val="single" w:sz="4" w:space="0" w:color="000000"/>
              <w:right w:val="single" w:sz="4" w:space="0" w:color="000000"/>
            </w:tcBorders>
          </w:tcPr>
          <w:p>
            <w:pPr>
              <w:rPr>
                <w:sz w:val="2"/>
                <w:szCs w:val="2"/>
              </w:rPr>
            </w:pPr>
          </w:p>
        </w:tc>
        <w:tc>
          <w:tcPr>
            <w:tcW w:w="777" w:type="dxa"/>
            <w:vMerge/>
            <w:tcBorders>
              <w:top w:val="nil"/>
              <w:left w:val="single" w:sz="4" w:space="0" w:color="000000"/>
              <w:right w:val="single" w:sz="4" w:space="0" w:color="000000"/>
            </w:tcBorders>
          </w:tcPr>
          <w:p>
            <w:pPr>
              <w:rPr>
                <w:sz w:val="2"/>
                <w:szCs w:val="2"/>
              </w:rPr>
            </w:pPr>
          </w:p>
        </w:tc>
        <w:tc>
          <w:tcPr>
            <w:tcW w:w="777" w:type="dxa"/>
            <w:vMerge/>
            <w:tcBorders>
              <w:top w:val="nil"/>
              <w:left w:val="single" w:sz="4" w:space="0" w:color="000000"/>
              <w:right w:val="single" w:sz="4" w:space="0" w:color="000000"/>
            </w:tcBorders>
          </w:tcPr>
          <w:p>
            <w:pPr>
              <w:rPr>
                <w:sz w:val="2"/>
                <w:szCs w:val="2"/>
              </w:rPr>
            </w:pPr>
          </w:p>
        </w:tc>
        <w:tc>
          <w:tcPr>
            <w:tcW w:w="776" w:type="dxa"/>
            <w:vMerge/>
            <w:tcBorders>
              <w:top w:val="nil"/>
              <w:left w:val="single" w:sz="4" w:space="0" w:color="000000"/>
              <w:right w:val="single" w:sz="4" w:space="0" w:color="000000"/>
            </w:tcBorders>
          </w:tcPr>
          <w:p>
            <w:pPr>
              <w:rPr>
                <w:sz w:val="2"/>
                <w:szCs w:val="2"/>
              </w:rPr>
            </w:pPr>
          </w:p>
        </w:tc>
        <w:tc>
          <w:tcPr>
            <w:tcW w:w="841" w:type="dxa"/>
            <w:vMerge/>
            <w:tcBorders>
              <w:top w:val="nil"/>
              <w:left w:val="single" w:sz="4" w:space="0" w:color="000000"/>
              <w:right w:val="single" w:sz="4" w:space="0" w:color="000000"/>
            </w:tcBorders>
          </w:tcPr>
          <w:p>
            <w:pPr>
              <w:rPr>
                <w:sz w:val="2"/>
                <w:szCs w:val="2"/>
              </w:rPr>
            </w:pPr>
          </w:p>
        </w:tc>
        <w:tc>
          <w:tcPr>
            <w:tcW w:w="776" w:type="dxa"/>
            <w:tcBorders>
              <w:top w:val="nil"/>
              <w:left w:val="single" w:sz="4" w:space="0" w:color="000000"/>
              <w:right w:val="single" w:sz="4" w:space="0" w:color="000000"/>
            </w:tcBorders>
          </w:tcPr>
          <w:p>
            <w:pPr>
              <w:pStyle w:val="TableParagraph"/>
              <w:rPr>
                <w:rFonts w:ascii="Times New Roman"/>
                <w:sz w:val="12"/>
              </w:rPr>
            </w:pPr>
          </w:p>
        </w:tc>
        <w:tc>
          <w:tcPr>
            <w:tcW w:w="773" w:type="dxa"/>
            <w:tcBorders>
              <w:top w:val="nil"/>
              <w:left w:val="single" w:sz="4" w:space="0" w:color="000000"/>
            </w:tcBorders>
          </w:tcPr>
          <w:p>
            <w:pPr>
              <w:pStyle w:val="TableParagraph"/>
              <w:rPr>
                <w:rFonts w:ascii="Times New Roman"/>
                <w:sz w:val="12"/>
              </w:rPr>
            </w:pPr>
          </w:p>
        </w:tc>
      </w:tr>
      <w:tr>
        <w:trPr>
          <w:trHeight w:val="178" w:hRule="atLeast"/>
        </w:trPr>
        <w:tc>
          <w:tcPr>
            <w:tcW w:w="8488" w:type="dxa"/>
            <w:gridSpan w:val="10"/>
            <w:tcBorders>
              <w:left w:val="single" w:sz="4" w:space="0" w:color="000000"/>
            </w:tcBorders>
          </w:tcPr>
          <w:p>
            <w:pPr>
              <w:pStyle w:val="TableParagraph"/>
              <w:spacing w:line="158" w:lineRule="exact" w:before="1"/>
              <w:ind w:left="20"/>
              <w:rPr>
                <w:b/>
                <w:i/>
                <w:sz w:val="13"/>
              </w:rPr>
            </w:pPr>
            <w:r>
              <w:rPr>
                <w:b/>
                <w:i/>
                <w:sz w:val="13"/>
              </w:rPr>
              <w:t>Fuente: BANGUAT. Julio 2020 (cifras proyectadas)</w:t>
            </w:r>
          </w:p>
        </w:tc>
      </w:tr>
    </w:tbl>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5"/>
        <w:rPr>
          <w:b/>
          <w:sz w:val="18"/>
        </w:rPr>
      </w:pPr>
    </w:p>
    <w:p>
      <w:pPr>
        <w:pStyle w:val="ListParagraph"/>
        <w:numPr>
          <w:ilvl w:val="1"/>
          <w:numId w:val="5"/>
        </w:numPr>
        <w:tabs>
          <w:tab w:pos="1401" w:val="left" w:leader="none"/>
        </w:tabs>
        <w:spacing w:line="240" w:lineRule="auto" w:before="0" w:after="0"/>
        <w:ind w:left="1400" w:right="0" w:hanging="362"/>
        <w:jc w:val="both"/>
        <w:rPr>
          <w:b/>
          <w:sz w:val="24"/>
        </w:rPr>
      </w:pPr>
      <w:bookmarkStart w:name="3.2 Importaciones y Exportaciones FOB" w:id="21"/>
      <w:bookmarkEnd w:id="21"/>
      <w:r>
        <w:rPr/>
      </w:r>
      <w:bookmarkStart w:name="_bookmark7" w:id="22"/>
      <w:bookmarkEnd w:id="22"/>
      <w:r>
        <w:rPr/>
      </w:r>
      <w:bookmarkStart w:name="_bookmark7" w:id="23"/>
      <w:bookmarkEnd w:id="23"/>
      <w:r>
        <w:rPr>
          <w:b/>
          <w:sz w:val="24"/>
        </w:rPr>
        <w:t>I</w:t>
      </w:r>
      <w:r>
        <w:rPr>
          <w:b/>
          <w:sz w:val="24"/>
        </w:rPr>
        <w:t>mportaciones y Exportaciones</w:t>
      </w:r>
      <w:r>
        <w:rPr>
          <w:b/>
          <w:spacing w:val="-2"/>
          <w:sz w:val="24"/>
        </w:rPr>
        <w:t> </w:t>
      </w:r>
      <w:r>
        <w:rPr>
          <w:b/>
          <w:sz w:val="24"/>
        </w:rPr>
        <w:t>FOB</w:t>
      </w:r>
    </w:p>
    <w:p>
      <w:pPr>
        <w:pStyle w:val="BodyText"/>
        <w:spacing w:line="276" w:lineRule="auto" w:before="106"/>
        <w:ind w:left="1039" w:right="1695"/>
        <w:jc w:val="both"/>
      </w:pPr>
      <w:r>
        <w:rPr/>
        <w:pict>
          <v:shape style="position:absolute;margin-left:531.919678pt;margin-top:84.875786pt;width:27.9pt;height:58.2pt;mso-position-horizontal-relative:page;mso-position-vertical-relative:paragraph;z-index:251676672" type="#_x0000_t202" filled="false" stroked="false">
            <v:textbox inset="0,0,0,0" style="layout-flow:vertical;mso-layout-flow-alt:bottom-to-top">
              <w:txbxContent>
                <w:p>
                  <w:pPr>
                    <w:spacing w:before="21"/>
                    <w:ind w:left="20" w:right="0" w:firstLine="0"/>
                    <w:jc w:val="left"/>
                    <w:rPr>
                      <w:rFonts w:ascii="Cambria" w:hAnsi="Cambria"/>
                      <w:sz w:val="44"/>
                    </w:rPr>
                  </w:pPr>
                  <w:r>
                    <w:rPr>
                      <w:rFonts w:ascii="Cambria" w:hAnsi="Cambria"/>
                      <w:sz w:val="22"/>
                    </w:rPr>
                    <w:t>Página</w:t>
                  </w:r>
                  <w:r>
                    <w:rPr>
                      <w:rFonts w:ascii="Cambria" w:hAnsi="Cambria"/>
                      <w:sz w:val="44"/>
                    </w:rPr>
                    <w:t>11</w:t>
                  </w:r>
                </w:p>
              </w:txbxContent>
            </v:textbox>
            <w10:wrap type="none"/>
          </v:shape>
        </w:pict>
      </w:r>
      <w:r>
        <w:rPr/>
        <w:t>Comercialmente, son las mercancías que ingresan y las que salen del país al sobrepasar la borda del buque (ó “franco a bordo”), cuyo costo y riesgos de pérdida o daño de las mismas corresponde al comprador. Se estima que las exportaciones podrían alcanzar una contracción de -10.0%, y las importaciones una caída de -9.0% en 2020. Para 2021 se espera en un escenario medio , una recuperación de 10.0% y 9.5%, respectivamente.</w:t>
      </w:r>
    </w:p>
    <w:p>
      <w:pPr>
        <w:spacing w:after="0" w:line="276" w:lineRule="auto"/>
        <w:jc w:val="both"/>
        <w:sectPr>
          <w:pgSz w:w="11910" w:h="16840"/>
          <w:pgMar w:header="1045" w:footer="872" w:top="2280" w:bottom="1060" w:left="660" w:right="0"/>
        </w:sectPr>
      </w:pPr>
    </w:p>
    <w:p>
      <w:pPr>
        <w:pStyle w:val="BodyText"/>
        <w:spacing w:before="6"/>
        <w:rPr>
          <w:sz w:val="12"/>
        </w:rPr>
      </w:pPr>
      <w:r>
        <w:rPr/>
        <w:pict>
          <v:shape style="position:absolute;margin-left:137.120483pt;margin-top:556.654968pt;width:10.75pt;height:41.45pt;mso-position-horizontal-relative:page;mso-position-vertical-relative:page;z-index:-254949376" type="#_x0000_t202" filled="false" stroked="false">
            <v:textbox inset="0,0,0,0" style="layout-flow:vertical;mso-layout-flow-alt:bottom-to-top">
              <w:txbxContent>
                <w:p>
                  <w:pPr>
                    <w:spacing w:line="197" w:lineRule="exact" w:before="0"/>
                    <w:ind w:left="20" w:right="0" w:firstLine="0"/>
                    <w:jc w:val="left"/>
                    <w:rPr>
                      <w:b/>
                      <w:sz w:val="17"/>
                    </w:rPr>
                  </w:pPr>
                  <w:r>
                    <w:rPr>
                      <w:b/>
                      <w:w w:val="105"/>
                      <w:sz w:val="17"/>
                    </w:rPr>
                    <w:t>Porcentaje</w:t>
                  </w:r>
                </w:p>
              </w:txbxContent>
            </v:textbox>
            <w10:wrap type="none"/>
          </v:shape>
        </w:pict>
      </w:r>
      <w:r>
        <w:rPr/>
        <w:pict>
          <v:shape style="position:absolute;margin-left:531.919678pt;margin-top:710.579956pt;width:27.9pt;height:58.2pt;mso-position-horizontal-relative:page;mso-position-vertical-relative:page;z-index:251687936" type="#_x0000_t202" filled="false" stroked="false">
            <v:textbox inset="0,0,0,0" style="layout-flow:vertical;mso-layout-flow-alt:bottom-to-top">
              <w:txbxContent>
                <w:p>
                  <w:pPr>
                    <w:spacing w:before="21"/>
                    <w:ind w:left="20" w:right="0" w:firstLine="0"/>
                    <w:jc w:val="left"/>
                    <w:rPr>
                      <w:rFonts w:ascii="Cambria" w:hAnsi="Cambria"/>
                      <w:sz w:val="44"/>
                    </w:rPr>
                  </w:pPr>
                  <w:r>
                    <w:rPr>
                      <w:rFonts w:ascii="Cambria" w:hAnsi="Cambria"/>
                      <w:sz w:val="22"/>
                    </w:rPr>
                    <w:t>Página</w:t>
                  </w:r>
                  <w:r>
                    <w:rPr>
                      <w:rFonts w:ascii="Cambria" w:hAnsi="Cambria"/>
                      <w:sz w:val="44"/>
                    </w:rPr>
                    <w:t>12</w:t>
                  </w:r>
                </w:p>
              </w:txbxContent>
            </v:textbox>
            <w10:wrap type="none"/>
          </v:shape>
        </w:pict>
      </w:r>
    </w:p>
    <w:p>
      <w:pPr>
        <w:spacing w:before="51"/>
        <w:ind w:left="2542" w:right="3200" w:firstLine="0"/>
        <w:jc w:val="center"/>
        <w:rPr>
          <w:b/>
          <w:sz w:val="24"/>
        </w:rPr>
      </w:pPr>
      <w:r>
        <w:rPr/>
        <w:pict>
          <v:group style="position:absolute;margin-left:104.952286pt;margin-top:30.086784pt;width:385.55pt;height:264.55pt;mso-position-horizontal-relative:page;mso-position-vertical-relative:paragraph;z-index:-254954496" coordorigin="2099,602" coordsize="7711,5291">
            <v:shape style="position:absolute;left:4401;top:1812;width:4673;height:1823" type="#_x0000_t75" stroked="false">
              <v:imagedata r:id="rId43" o:title=""/>
            </v:shape>
            <v:shape style="position:absolute;left:4564;top:2533;width:327;height:966" type="#_x0000_t75" stroked="false">
              <v:imagedata r:id="rId15" o:title=""/>
            </v:shape>
            <v:shape style="position:absolute;left:5436;top:1676;width:314;height:1021" type="#_x0000_t75" stroked="false">
              <v:imagedata r:id="rId44" o:title=""/>
            </v:shape>
            <v:shape style="position:absolute;left:6308;top:2165;width:314;height:531" type="#_x0000_t75" stroked="false">
              <v:imagedata r:id="rId45" o:title=""/>
            </v:shape>
            <v:shape style="position:absolute;left:7166;top:2125;width:327;height:572" type="#_x0000_t75" stroked="false">
              <v:imagedata r:id="rId46" o:title=""/>
            </v:shape>
            <v:shape style="position:absolute;left:8038;top:2084;width:327;height:613" type="#_x0000_t75" stroked="false">
              <v:imagedata r:id="rId47" o:title=""/>
            </v:shape>
            <v:shape style="position:absolute;left:8910;top:2043;width:314;height:653" type="#_x0000_t75" stroked="false">
              <v:imagedata r:id="rId20" o:title=""/>
            </v:shape>
            <v:shape style="position:absolute;left:4728;top:2533;width:314;height:830" type="#_x0000_t75" stroked="false">
              <v:imagedata r:id="rId48" o:title=""/>
            </v:shape>
            <v:shape style="position:absolute;left:5586;top:1540;width:327;height:1157" type="#_x0000_t75" stroked="false">
              <v:imagedata r:id="rId49" o:title=""/>
            </v:shape>
            <v:shape style="position:absolute;left:6458;top:2043;width:327;height:653" type="#_x0000_t75" stroked="false">
              <v:imagedata r:id="rId50" o:title=""/>
            </v:shape>
            <v:shape style="position:absolute;left:7330;top:1989;width:314;height:708" type="#_x0000_t75" stroked="false">
              <v:imagedata r:id="rId51" o:title=""/>
            </v:shape>
            <v:shape style="position:absolute;left:8202;top:1948;width:314;height:749" type="#_x0000_t75" stroked="false">
              <v:imagedata r:id="rId52" o:title=""/>
            </v:shape>
            <v:shape style="position:absolute;left:9060;top:1907;width:327;height:789" type="#_x0000_t75" stroked="false">
              <v:imagedata r:id="rId53" o:title=""/>
            </v:shape>
            <v:shape style="position:absolute;left:4442;top:1825;width:4578;height:1714" type="#_x0000_t75" stroked="false">
              <v:imagedata r:id="rId54" o:title=""/>
            </v:shape>
            <v:shape style="position:absolute;left:4605;top:2546;width:232;height:871" type="#_x0000_t75" stroked="false">
              <v:imagedata r:id="rId55" o:title=""/>
            </v:shape>
            <v:shape style="position:absolute;left:5477;top:1689;width:218;height:925" type="#_x0000_t75" stroked="false">
              <v:imagedata r:id="rId56" o:title=""/>
            </v:shape>
            <v:shape style="position:absolute;left:6349;top:2179;width:218;height:436" type="#_x0000_t75" stroked="false">
              <v:imagedata r:id="rId57" o:title=""/>
            </v:shape>
            <v:shape style="position:absolute;left:7207;top:2138;width:232;height:477" type="#_x0000_t75" stroked="false">
              <v:imagedata r:id="rId58" o:title=""/>
            </v:shape>
            <v:shape style="position:absolute;left:8079;top:2097;width:232;height:517" type="#_x0000_t75" stroked="false">
              <v:imagedata r:id="rId59" o:title=""/>
            </v:shape>
            <v:shape style="position:absolute;left:8951;top:2057;width:218;height:558" type="#_x0000_t75" stroked="false">
              <v:imagedata r:id="rId60" o:title=""/>
            </v:shape>
            <v:shape style="position:absolute;left:4769;top:2546;width:218;height:735" type="#_x0000_t75" stroked="false">
              <v:imagedata r:id="rId61" o:title=""/>
            </v:shape>
            <v:shape style="position:absolute;left:5627;top:1553;width:232;height:1061" type="#_x0000_t75" stroked="false">
              <v:imagedata r:id="rId62" o:title=""/>
            </v:shape>
            <v:shape style="position:absolute;left:6499;top:2057;width:232;height:558" type="#_x0000_t75" stroked="false">
              <v:imagedata r:id="rId63" o:title=""/>
            </v:shape>
            <v:shape style="position:absolute;left:7371;top:2002;width:218;height:613" type="#_x0000_t75" stroked="false">
              <v:imagedata r:id="rId64" o:title=""/>
            </v:shape>
            <v:shape style="position:absolute;left:8242;top:1961;width:218;height:653" type="#_x0000_t75" stroked="false">
              <v:imagedata r:id="rId65" o:title=""/>
            </v:shape>
            <v:shape style="position:absolute;left:9101;top:1921;width:232;height:694" type="#_x0000_t75" stroked="false">
              <v:imagedata r:id="rId66" o:title=""/>
            </v:shape>
            <v:shape style="position:absolute;left:4047;top:2410;width:246;height:259" type="#_x0000_t75" stroked="false">
              <v:imagedata r:id="rId67" o:title=""/>
            </v:shape>
            <v:shape style="position:absolute;left:4047;top:2383;width:232;height:232" type="#_x0000_t75" stroked="false">
              <v:imagedata r:id="rId68" o:title=""/>
            </v:shape>
            <v:shape style="position:absolute;left:2480;top:4273;width:109;height:109" type="#_x0000_t75" stroked="false">
              <v:imagedata r:id="rId69" o:title=""/>
            </v:shape>
            <v:shape style="position:absolute;left:2480;top:4559;width:109;height:109" type="#_x0000_t75" stroked="false">
              <v:imagedata r:id="rId70" o:title=""/>
            </v:shape>
            <v:shape style="position:absolute;left:2425;top:4770;width:191;height:272" type="#_x0000_t75" stroked="false">
              <v:imagedata r:id="rId71" o:title=""/>
            </v:shape>
            <v:shape style="position:absolute;left:2480;top:5117;width:109;height:123" type="#_x0000_t75" stroked="false">
              <v:imagedata r:id="rId72" o:title=""/>
            </v:shape>
            <v:rect style="position:absolute;left:2119;top:622;width:7670;height:5250" filled="false" stroked="true" strokeweight="2.041135pt" strokecolor="#f79546">
              <v:stroke dashstyle="solid"/>
            </v:rect>
            <v:shape style="position:absolute;left:3002;top:1169;width:355;height:178" type="#_x0000_t202" filled="false" stroked="false">
              <v:textbox inset="0,0,0,0">
                <w:txbxContent>
                  <w:p>
                    <w:pPr>
                      <w:spacing w:line="177" w:lineRule="exact" w:before="0"/>
                      <w:ind w:left="0" w:right="0" w:firstLine="0"/>
                      <w:jc w:val="left"/>
                      <w:rPr>
                        <w:b/>
                        <w:sz w:val="17"/>
                      </w:rPr>
                    </w:pPr>
                    <w:r>
                      <w:rPr>
                        <w:b/>
                        <w:w w:val="105"/>
                        <w:sz w:val="17"/>
                      </w:rPr>
                      <w:t>15.0</w:t>
                    </w:r>
                  </w:p>
                </w:txbxContent>
              </v:textbox>
              <w10:wrap type="none"/>
            </v:shape>
            <v:shape style="position:absolute;left:3386;top:899;width:5799;height:328" type="#_x0000_t202" filled="false" stroked="false">
              <v:textbox inset="0,0,0,0">
                <w:txbxContent>
                  <w:p>
                    <w:pPr>
                      <w:spacing w:line="327" w:lineRule="exact" w:before="0"/>
                      <w:ind w:left="0" w:right="0" w:firstLine="0"/>
                      <w:jc w:val="left"/>
                      <w:rPr>
                        <w:b/>
                        <w:sz w:val="32"/>
                      </w:rPr>
                    </w:pPr>
                    <w:r>
                      <w:rPr>
                        <w:b/>
                        <w:spacing w:val="-5"/>
                        <w:sz w:val="32"/>
                      </w:rPr>
                      <w:t>Tasa </w:t>
                    </w:r>
                    <w:r>
                      <w:rPr>
                        <w:b/>
                        <w:sz w:val="32"/>
                      </w:rPr>
                      <w:t>de Crecimiento de Importaciones</w:t>
                    </w:r>
                    <w:r>
                      <w:rPr>
                        <w:b/>
                        <w:spacing w:val="66"/>
                        <w:sz w:val="32"/>
                      </w:rPr>
                      <w:t> </w:t>
                    </w:r>
                    <w:r>
                      <w:rPr>
                        <w:b/>
                        <w:sz w:val="32"/>
                      </w:rPr>
                      <w:t>FOB</w:t>
                    </w:r>
                  </w:p>
                </w:txbxContent>
              </v:textbox>
              <w10:wrap type="none"/>
            </v:shape>
            <v:shape style="position:absolute;left:2947;top:1616;width:410;height:2414" type="#_x0000_t202" filled="false" stroked="false">
              <v:textbox inset="0,0,0,0">
                <w:txbxContent>
                  <w:p>
                    <w:pPr>
                      <w:spacing w:line="179" w:lineRule="exact" w:before="0"/>
                      <w:ind w:left="54" w:right="0" w:firstLine="0"/>
                      <w:jc w:val="left"/>
                      <w:rPr>
                        <w:b/>
                        <w:sz w:val="17"/>
                      </w:rPr>
                    </w:pPr>
                    <w:r>
                      <w:rPr>
                        <w:b/>
                        <w:spacing w:val="4"/>
                        <w:w w:val="105"/>
                        <w:sz w:val="17"/>
                      </w:rPr>
                      <w:t>10.0</w:t>
                    </w:r>
                  </w:p>
                  <w:p>
                    <w:pPr>
                      <w:spacing w:line="240" w:lineRule="auto" w:before="8"/>
                      <w:rPr>
                        <w:b/>
                        <w:sz w:val="19"/>
                      </w:rPr>
                    </w:pPr>
                  </w:p>
                  <w:p>
                    <w:pPr>
                      <w:spacing w:before="0"/>
                      <w:ind w:left="0" w:right="25" w:firstLine="0"/>
                      <w:jc w:val="right"/>
                      <w:rPr>
                        <w:b/>
                        <w:sz w:val="17"/>
                      </w:rPr>
                    </w:pPr>
                    <w:r>
                      <w:rPr>
                        <w:b/>
                        <w:spacing w:val="3"/>
                        <w:w w:val="105"/>
                        <w:sz w:val="17"/>
                      </w:rPr>
                      <w:t>5.0</w:t>
                    </w:r>
                  </w:p>
                  <w:p>
                    <w:pPr>
                      <w:spacing w:line="240" w:lineRule="auto" w:before="7"/>
                      <w:rPr>
                        <w:b/>
                        <w:sz w:val="19"/>
                      </w:rPr>
                    </w:pPr>
                  </w:p>
                  <w:p>
                    <w:pPr>
                      <w:spacing w:before="0"/>
                      <w:ind w:left="0" w:right="25" w:firstLine="0"/>
                      <w:jc w:val="right"/>
                      <w:rPr>
                        <w:b/>
                        <w:sz w:val="17"/>
                      </w:rPr>
                    </w:pPr>
                    <w:r>
                      <w:rPr>
                        <w:b/>
                        <w:spacing w:val="3"/>
                        <w:w w:val="105"/>
                        <w:sz w:val="17"/>
                      </w:rPr>
                      <w:t>0.0</w:t>
                    </w:r>
                  </w:p>
                  <w:p>
                    <w:pPr>
                      <w:spacing w:line="240" w:lineRule="auto" w:before="8"/>
                      <w:rPr>
                        <w:b/>
                        <w:sz w:val="19"/>
                      </w:rPr>
                    </w:pPr>
                  </w:p>
                  <w:p>
                    <w:pPr>
                      <w:spacing w:before="0"/>
                      <w:ind w:left="0" w:right="25" w:firstLine="0"/>
                      <w:jc w:val="right"/>
                      <w:rPr>
                        <w:b/>
                        <w:sz w:val="17"/>
                      </w:rPr>
                    </w:pPr>
                    <w:r>
                      <w:rPr>
                        <w:b/>
                        <w:spacing w:val="3"/>
                        <w:sz w:val="17"/>
                      </w:rPr>
                      <w:t>-5.0</w:t>
                    </w:r>
                  </w:p>
                  <w:p>
                    <w:pPr>
                      <w:spacing w:line="240" w:lineRule="auto" w:before="8"/>
                      <w:rPr>
                        <w:b/>
                        <w:sz w:val="19"/>
                      </w:rPr>
                    </w:pPr>
                  </w:p>
                  <w:p>
                    <w:pPr>
                      <w:spacing w:before="0"/>
                      <w:ind w:left="0" w:right="18" w:firstLine="0"/>
                      <w:jc w:val="right"/>
                      <w:rPr>
                        <w:b/>
                        <w:sz w:val="17"/>
                      </w:rPr>
                    </w:pPr>
                    <w:r>
                      <w:rPr>
                        <w:b/>
                        <w:spacing w:val="3"/>
                        <w:sz w:val="17"/>
                      </w:rPr>
                      <w:t>-10.0</w:t>
                    </w:r>
                  </w:p>
                  <w:p>
                    <w:pPr>
                      <w:spacing w:line="240" w:lineRule="auto" w:before="8"/>
                      <w:rPr>
                        <w:b/>
                        <w:sz w:val="19"/>
                      </w:rPr>
                    </w:pPr>
                  </w:p>
                  <w:p>
                    <w:pPr>
                      <w:spacing w:line="206" w:lineRule="exact" w:before="0"/>
                      <w:ind w:left="0" w:right="0" w:firstLine="0"/>
                      <w:jc w:val="left"/>
                      <w:rPr>
                        <w:b/>
                        <w:sz w:val="17"/>
                      </w:rPr>
                    </w:pPr>
                    <w:r>
                      <w:rPr>
                        <w:b/>
                        <w:spacing w:val="3"/>
                        <w:w w:val="105"/>
                        <w:sz w:val="17"/>
                      </w:rPr>
                      <w:t>-15.0</w:t>
                    </w:r>
                  </w:p>
                </w:txbxContent>
              </v:textbox>
              <w10:wrap type="none"/>
            </v:shape>
            <v:shape style="position:absolute;left:2243;top:5648;width:2564;height:191" type="#_x0000_t202" filled="false" stroked="false">
              <v:textbox inset="0,0,0,0">
                <w:txbxContent>
                  <w:p>
                    <w:pPr>
                      <w:spacing w:line="191" w:lineRule="exact" w:before="0"/>
                      <w:ind w:left="0" w:right="0" w:firstLine="0"/>
                      <w:jc w:val="left"/>
                      <w:rPr>
                        <w:b/>
                        <w:sz w:val="19"/>
                      </w:rPr>
                    </w:pPr>
                    <w:r>
                      <w:rPr>
                        <w:b/>
                        <w:sz w:val="19"/>
                      </w:rPr>
                      <w:t>Fuente: Proyecciones BANGUAT</w:t>
                    </w:r>
                  </w:p>
                </w:txbxContent>
              </v:textbox>
              <w10:wrap type="none"/>
            </v:shape>
            <w10:wrap type="none"/>
          </v:group>
        </w:pict>
      </w:r>
      <w:r>
        <w:rPr/>
        <w:pict>
          <v:shape style="position:absolute;margin-left:118.499237pt;margin-top:115.457764pt;width:10.9pt;height:41.8pt;mso-position-horizontal-relative:page;mso-position-vertical-relative:paragraph;z-index:-254950400" type="#_x0000_t202" filled="false" stroked="false">
            <v:textbox inset="0,0,0,0" style="layout-flow:vertical;mso-layout-flow-alt:bottom-to-top">
              <w:txbxContent>
                <w:p>
                  <w:pPr>
                    <w:spacing w:line="199" w:lineRule="exact" w:before="0"/>
                    <w:ind w:left="20" w:right="0" w:firstLine="0"/>
                    <w:jc w:val="left"/>
                    <w:rPr>
                      <w:b/>
                      <w:sz w:val="17"/>
                    </w:rPr>
                  </w:pPr>
                  <w:r>
                    <w:rPr>
                      <w:b/>
                      <w:w w:val="105"/>
                      <w:sz w:val="17"/>
                    </w:rPr>
                    <w:t>Porcentaje</w:t>
                  </w:r>
                </w:p>
              </w:txbxContent>
            </v:textbox>
            <w10:wrap type="none"/>
          </v:shape>
        </w:pict>
      </w:r>
      <w:r>
        <w:rPr>
          <w:b/>
          <w:sz w:val="24"/>
        </w:rPr>
        <w:t>Gráfica No.</w:t>
      </w:r>
      <w:r>
        <w:rPr>
          <w:b/>
          <w:spacing w:val="-6"/>
          <w:sz w:val="24"/>
        </w:rPr>
        <w:t> </w:t>
      </w:r>
      <w:r>
        <w:rPr>
          <w:b/>
          <w:sz w:val="24"/>
        </w:rPr>
        <w:t>2</w:t>
      </w:r>
    </w:p>
    <w:p>
      <w:pPr>
        <w:pStyle w:val="BodyText"/>
        <w:rPr>
          <w:b/>
          <w:sz w:val="20"/>
        </w:rPr>
      </w:pPr>
    </w:p>
    <w:p>
      <w:pPr>
        <w:pStyle w:val="BodyText"/>
        <w:rPr>
          <w:b/>
          <w:sz w:val="20"/>
        </w:rPr>
      </w:pPr>
    </w:p>
    <w:p>
      <w:pPr>
        <w:pStyle w:val="BodyText"/>
        <w:rPr>
          <w:b/>
          <w:sz w:val="20"/>
        </w:rPr>
      </w:pPr>
    </w:p>
    <w:p>
      <w:pPr>
        <w:pStyle w:val="BodyText"/>
        <w:spacing w:before="6"/>
        <w:rPr>
          <w:b/>
          <w:sz w:val="13"/>
        </w:rPr>
      </w:pPr>
    </w:p>
    <w:tbl>
      <w:tblPr>
        <w:tblW w:w="0" w:type="auto"/>
        <w:jc w:val="left"/>
        <w:tblInd w:w="1780"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1076"/>
        <w:gridCol w:w="858"/>
        <w:gridCol w:w="872"/>
        <w:gridCol w:w="872"/>
        <w:gridCol w:w="872"/>
        <w:gridCol w:w="858"/>
        <w:gridCol w:w="872"/>
        <w:gridCol w:w="872"/>
      </w:tblGrid>
      <w:tr>
        <w:trPr>
          <w:trHeight w:val="433" w:hRule="atLeast"/>
        </w:trPr>
        <w:tc>
          <w:tcPr>
            <w:tcW w:w="1076" w:type="dxa"/>
            <w:vMerge w:val="restart"/>
            <w:tcBorders>
              <w:top w:val="nil"/>
              <w:left w:val="nil"/>
            </w:tcBorders>
          </w:tcPr>
          <w:p>
            <w:pPr>
              <w:pStyle w:val="TableParagraph"/>
              <w:rPr>
                <w:rFonts w:ascii="Times New Roman"/>
                <w:sz w:val="20"/>
              </w:rPr>
            </w:pPr>
          </w:p>
        </w:tc>
        <w:tc>
          <w:tcPr>
            <w:tcW w:w="6076" w:type="dxa"/>
            <w:gridSpan w:val="7"/>
            <w:tcBorders>
              <w:right w:val="nil"/>
            </w:tcBorders>
          </w:tcPr>
          <w:p>
            <w:pPr>
              <w:pStyle w:val="TableParagraph"/>
              <w:rPr>
                <w:rFonts w:ascii="Times New Roman"/>
                <w:sz w:val="20"/>
              </w:rPr>
            </w:pPr>
          </w:p>
        </w:tc>
      </w:tr>
      <w:tr>
        <w:trPr>
          <w:trHeight w:val="420" w:hRule="atLeast"/>
        </w:trPr>
        <w:tc>
          <w:tcPr>
            <w:tcW w:w="1076" w:type="dxa"/>
            <w:vMerge/>
            <w:tcBorders>
              <w:top w:val="nil"/>
              <w:left w:val="nil"/>
            </w:tcBorders>
          </w:tcPr>
          <w:p>
            <w:pPr>
              <w:rPr>
                <w:sz w:val="2"/>
                <w:szCs w:val="2"/>
              </w:rPr>
            </w:pPr>
          </w:p>
        </w:tc>
        <w:tc>
          <w:tcPr>
            <w:tcW w:w="6076" w:type="dxa"/>
            <w:gridSpan w:val="7"/>
            <w:tcBorders>
              <w:right w:val="nil"/>
            </w:tcBorders>
          </w:tcPr>
          <w:p>
            <w:pPr>
              <w:pStyle w:val="TableParagraph"/>
              <w:rPr>
                <w:rFonts w:ascii="Times New Roman"/>
                <w:sz w:val="20"/>
              </w:rPr>
            </w:pPr>
          </w:p>
        </w:tc>
      </w:tr>
      <w:tr>
        <w:trPr>
          <w:trHeight w:val="433" w:hRule="atLeast"/>
        </w:trPr>
        <w:tc>
          <w:tcPr>
            <w:tcW w:w="1076" w:type="dxa"/>
            <w:vMerge/>
            <w:tcBorders>
              <w:top w:val="nil"/>
              <w:left w:val="nil"/>
            </w:tcBorders>
          </w:tcPr>
          <w:p>
            <w:pPr>
              <w:rPr>
                <w:sz w:val="2"/>
                <w:szCs w:val="2"/>
              </w:rPr>
            </w:pPr>
          </w:p>
        </w:tc>
        <w:tc>
          <w:tcPr>
            <w:tcW w:w="6076" w:type="dxa"/>
            <w:gridSpan w:val="7"/>
            <w:tcBorders>
              <w:right w:val="nil"/>
            </w:tcBorders>
          </w:tcPr>
          <w:p>
            <w:pPr>
              <w:pStyle w:val="TableParagraph"/>
              <w:rPr>
                <w:rFonts w:ascii="Times New Roman"/>
                <w:sz w:val="20"/>
              </w:rPr>
            </w:pPr>
          </w:p>
        </w:tc>
      </w:tr>
      <w:tr>
        <w:trPr>
          <w:trHeight w:val="433" w:hRule="atLeast"/>
        </w:trPr>
        <w:tc>
          <w:tcPr>
            <w:tcW w:w="1076" w:type="dxa"/>
            <w:vMerge/>
            <w:tcBorders>
              <w:top w:val="nil"/>
              <w:left w:val="nil"/>
            </w:tcBorders>
          </w:tcPr>
          <w:p>
            <w:pPr>
              <w:rPr>
                <w:sz w:val="2"/>
                <w:szCs w:val="2"/>
              </w:rPr>
            </w:pPr>
          </w:p>
        </w:tc>
        <w:tc>
          <w:tcPr>
            <w:tcW w:w="6076" w:type="dxa"/>
            <w:gridSpan w:val="7"/>
            <w:tcBorders>
              <w:right w:val="nil"/>
            </w:tcBorders>
          </w:tcPr>
          <w:p>
            <w:pPr>
              <w:pStyle w:val="TableParagraph"/>
              <w:rPr>
                <w:rFonts w:ascii="Times New Roman"/>
                <w:sz w:val="20"/>
              </w:rPr>
            </w:pPr>
          </w:p>
        </w:tc>
      </w:tr>
      <w:tr>
        <w:trPr>
          <w:trHeight w:val="433" w:hRule="atLeast"/>
        </w:trPr>
        <w:tc>
          <w:tcPr>
            <w:tcW w:w="1076" w:type="dxa"/>
            <w:vMerge/>
            <w:tcBorders>
              <w:top w:val="nil"/>
              <w:left w:val="nil"/>
            </w:tcBorders>
          </w:tcPr>
          <w:p>
            <w:pPr>
              <w:rPr>
                <w:sz w:val="2"/>
                <w:szCs w:val="2"/>
              </w:rPr>
            </w:pPr>
          </w:p>
        </w:tc>
        <w:tc>
          <w:tcPr>
            <w:tcW w:w="6076" w:type="dxa"/>
            <w:gridSpan w:val="7"/>
            <w:tcBorders>
              <w:right w:val="nil"/>
            </w:tcBorders>
          </w:tcPr>
          <w:p>
            <w:pPr>
              <w:pStyle w:val="TableParagraph"/>
              <w:rPr>
                <w:rFonts w:ascii="Times New Roman"/>
                <w:sz w:val="20"/>
              </w:rPr>
            </w:pPr>
          </w:p>
        </w:tc>
      </w:tr>
      <w:tr>
        <w:trPr>
          <w:trHeight w:val="433" w:hRule="atLeast"/>
        </w:trPr>
        <w:tc>
          <w:tcPr>
            <w:tcW w:w="1076" w:type="dxa"/>
            <w:vMerge/>
            <w:tcBorders>
              <w:top w:val="nil"/>
              <w:left w:val="nil"/>
            </w:tcBorders>
          </w:tcPr>
          <w:p>
            <w:pPr>
              <w:rPr>
                <w:sz w:val="2"/>
                <w:szCs w:val="2"/>
              </w:rPr>
            </w:pPr>
          </w:p>
        </w:tc>
        <w:tc>
          <w:tcPr>
            <w:tcW w:w="6076" w:type="dxa"/>
            <w:gridSpan w:val="7"/>
            <w:tcBorders>
              <w:right w:val="nil"/>
            </w:tcBorders>
          </w:tcPr>
          <w:p>
            <w:pPr>
              <w:pStyle w:val="TableParagraph"/>
              <w:rPr>
                <w:rFonts w:ascii="Times New Roman"/>
                <w:sz w:val="20"/>
              </w:rPr>
            </w:pPr>
          </w:p>
        </w:tc>
      </w:tr>
      <w:tr>
        <w:trPr>
          <w:trHeight w:val="257" w:hRule="atLeast"/>
        </w:trPr>
        <w:tc>
          <w:tcPr>
            <w:tcW w:w="1076" w:type="dxa"/>
            <w:vMerge/>
            <w:tcBorders>
              <w:top w:val="nil"/>
              <w:left w:val="nil"/>
            </w:tcBorders>
          </w:tcPr>
          <w:p>
            <w:pPr>
              <w:rPr>
                <w:sz w:val="2"/>
                <w:szCs w:val="2"/>
              </w:rPr>
            </w:pPr>
          </w:p>
        </w:tc>
        <w:tc>
          <w:tcPr>
            <w:tcW w:w="858" w:type="dxa"/>
          </w:tcPr>
          <w:p>
            <w:pPr>
              <w:pStyle w:val="TableParagraph"/>
              <w:spacing w:before="29"/>
              <w:ind w:left="224" w:right="208"/>
              <w:jc w:val="center"/>
              <w:rPr>
                <w:b/>
                <w:sz w:val="17"/>
              </w:rPr>
            </w:pPr>
            <w:r>
              <w:rPr>
                <w:b/>
                <w:w w:val="105"/>
                <w:sz w:val="17"/>
              </w:rPr>
              <w:t>2019</w:t>
            </w:r>
          </w:p>
        </w:tc>
        <w:tc>
          <w:tcPr>
            <w:tcW w:w="872" w:type="dxa"/>
          </w:tcPr>
          <w:p>
            <w:pPr>
              <w:pStyle w:val="TableParagraph"/>
              <w:spacing w:before="29"/>
              <w:ind w:left="227" w:right="201"/>
              <w:jc w:val="center"/>
              <w:rPr>
                <w:b/>
                <w:sz w:val="17"/>
              </w:rPr>
            </w:pPr>
            <w:r>
              <w:rPr>
                <w:b/>
                <w:w w:val="105"/>
                <w:sz w:val="17"/>
              </w:rPr>
              <w:t>2020</w:t>
            </w:r>
          </w:p>
        </w:tc>
        <w:tc>
          <w:tcPr>
            <w:tcW w:w="872" w:type="dxa"/>
          </w:tcPr>
          <w:p>
            <w:pPr>
              <w:pStyle w:val="TableParagraph"/>
              <w:spacing w:before="29"/>
              <w:ind w:left="248"/>
              <w:rPr>
                <w:b/>
                <w:sz w:val="17"/>
              </w:rPr>
            </w:pPr>
            <w:r>
              <w:rPr>
                <w:b/>
                <w:w w:val="105"/>
                <w:sz w:val="17"/>
              </w:rPr>
              <w:t>2021</w:t>
            </w:r>
          </w:p>
        </w:tc>
        <w:tc>
          <w:tcPr>
            <w:tcW w:w="872" w:type="dxa"/>
          </w:tcPr>
          <w:p>
            <w:pPr>
              <w:pStyle w:val="TableParagraph"/>
              <w:spacing w:before="29"/>
              <w:ind w:left="224" w:right="209"/>
              <w:jc w:val="center"/>
              <w:rPr>
                <w:b/>
                <w:sz w:val="17"/>
              </w:rPr>
            </w:pPr>
            <w:r>
              <w:rPr>
                <w:b/>
                <w:w w:val="105"/>
                <w:sz w:val="17"/>
              </w:rPr>
              <w:t>2022</w:t>
            </w:r>
          </w:p>
        </w:tc>
        <w:tc>
          <w:tcPr>
            <w:tcW w:w="858" w:type="dxa"/>
          </w:tcPr>
          <w:p>
            <w:pPr>
              <w:pStyle w:val="TableParagraph"/>
              <w:spacing w:before="29"/>
              <w:ind w:left="228" w:right="203"/>
              <w:jc w:val="center"/>
              <w:rPr>
                <w:b/>
                <w:sz w:val="17"/>
              </w:rPr>
            </w:pPr>
            <w:r>
              <w:rPr>
                <w:b/>
                <w:w w:val="105"/>
                <w:sz w:val="17"/>
              </w:rPr>
              <w:t>2023</w:t>
            </w:r>
          </w:p>
        </w:tc>
        <w:tc>
          <w:tcPr>
            <w:tcW w:w="872" w:type="dxa"/>
          </w:tcPr>
          <w:p>
            <w:pPr>
              <w:pStyle w:val="TableParagraph"/>
              <w:spacing w:before="29"/>
              <w:ind w:left="227" w:right="190"/>
              <w:jc w:val="center"/>
              <w:rPr>
                <w:b/>
                <w:sz w:val="17"/>
              </w:rPr>
            </w:pPr>
            <w:r>
              <w:rPr>
                <w:b/>
                <w:w w:val="105"/>
                <w:sz w:val="17"/>
              </w:rPr>
              <w:t>2024</w:t>
            </w:r>
          </w:p>
        </w:tc>
        <w:tc>
          <w:tcPr>
            <w:tcW w:w="872" w:type="dxa"/>
          </w:tcPr>
          <w:p>
            <w:pPr>
              <w:pStyle w:val="TableParagraph"/>
              <w:spacing w:before="29"/>
              <w:ind w:left="227" w:right="194"/>
              <w:jc w:val="center"/>
              <w:rPr>
                <w:b/>
                <w:sz w:val="17"/>
              </w:rPr>
            </w:pPr>
            <w:r>
              <w:rPr>
                <w:b/>
                <w:w w:val="105"/>
                <w:sz w:val="17"/>
              </w:rPr>
              <w:t>2025</w:t>
            </w:r>
          </w:p>
        </w:tc>
      </w:tr>
      <w:tr>
        <w:trPr>
          <w:trHeight w:val="270" w:hRule="atLeast"/>
        </w:trPr>
        <w:tc>
          <w:tcPr>
            <w:tcW w:w="1076" w:type="dxa"/>
          </w:tcPr>
          <w:p>
            <w:pPr>
              <w:pStyle w:val="TableParagraph"/>
              <w:spacing w:before="33"/>
              <w:ind w:left="211"/>
              <w:rPr>
                <w:b/>
                <w:sz w:val="17"/>
              </w:rPr>
            </w:pPr>
            <w:r>
              <w:rPr>
                <w:b/>
                <w:w w:val="105"/>
                <w:sz w:val="17"/>
              </w:rPr>
              <w:t>Bajo</w:t>
            </w:r>
          </w:p>
        </w:tc>
        <w:tc>
          <w:tcPr>
            <w:tcW w:w="858" w:type="dxa"/>
          </w:tcPr>
          <w:p>
            <w:pPr>
              <w:pStyle w:val="TableParagraph"/>
              <w:rPr>
                <w:rFonts w:ascii="Times New Roman"/>
                <w:sz w:val="20"/>
              </w:rPr>
            </w:pPr>
          </w:p>
        </w:tc>
        <w:tc>
          <w:tcPr>
            <w:tcW w:w="872" w:type="dxa"/>
          </w:tcPr>
          <w:p>
            <w:pPr>
              <w:pStyle w:val="TableParagraph"/>
              <w:spacing w:before="38"/>
              <w:ind w:left="220" w:right="209"/>
              <w:jc w:val="center"/>
              <w:rPr>
                <w:b/>
                <w:sz w:val="17"/>
              </w:rPr>
            </w:pPr>
            <w:r>
              <w:rPr>
                <w:b/>
                <w:w w:val="105"/>
                <w:sz w:val="17"/>
              </w:rPr>
              <w:t>-10.5</w:t>
            </w:r>
          </w:p>
        </w:tc>
        <w:tc>
          <w:tcPr>
            <w:tcW w:w="872" w:type="dxa"/>
          </w:tcPr>
          <w:p>
            <w:pPr>
              <w:pStyle w:val="TableParagraph"/>
              <w:spacing w:before="38"/>
              <w:ind w:left="319"/>
              <w:rPr>
                <w:b/>
                <w:sz w:val="17"/>
              </w:rPr>
            </w:pPr>
            <w:r>
              <w:rPr>
                <w:b/>
                <w:w w:val="105"/>
                <w:sz w:val="17"/>
              </w:rPr>
              <w:t>8.0</w:t>
            </w:r>
          </w:p>
        </w:tc>
        <w:tc>
          <w:tcPr>
            <w:tcW w:w="872" w:type="dxa"/>
          </w:tcPr>
          <w:p>
            <w:pPr>
              <w:pStyle w:val="TableParagraph"/>
              <w:spacing w:before="38"/>
              <w:ind w:left="227" w:right="209"/>
              <w:jc w:val="center"/>
              <w:rPr>
                <w:b/>
                <w:sz w:val="17"/>
              </w:rPr>
            </w:pPr>
            <w:r>
              <w:rPr>
                <w:b/>
                <w:w w:val="105"/>
                <w:sz w:val="17"/>
              </w:rPr>
              <w:t>2.5</w:t>
            </w:r>
          </w:p>
        </w:tc>
        <w:tc>
          <w:tcPr>
            <w:tcW w:w="858" w:type="dxa"/>
          </w:tcPr>
          <w:p>
            <w:pPr>
              <w:pStyle w:val="TableParagraph"/>
              <w:spacing w:before="38"/>
              <w:ind w:left="228" w:right="200"/>
              <w:jc w:val="center"/>
              <w:rPr>
                <w:b/>
                <w:sz w:val="17"/>
              </w:rPr>
            </w:pPr>
            <w:r>
              <w:rPr>
                <w:b/>
                <w:w w:val="105"/>
                <w:sz w:val="17"/>
              </w:rPr>
              <w:t>3.0</w:t>
            </w:r>
          </w:p>
        </w:tc>
        <w:tc>
          <w:tcPr>
            <w:tcW w:w="872" w:type="dxa"/>
          </w:tcPr>
          <w:p>
            <w:pPr>
              <w:pStyle w:val="TableParagraph"/>
              <w:spacing w:before="38"/>
              <w:ind w:left="227" w:right="190"/>
              <w:jc w:val="center"/>
              <w:rPr>
                <w:b/>
                <w:sz w:val="17"/>
              </w:rPr>
            </w:pPr>
            <w:r>
              <w:rPr>
                <w:b/>
                <w:w w:val="105"/>
                <w:sz w:val="17"/>
              </w:rPr>
              <w:t>3.5</w:t>
            </w:r>
          </w:p>
        </w:tc>
        <w:tc>
          <w:tcPr>
            <w:tcW w:w="872" w:type="dxa"/>
          </w:tcPr>
          <w:p>
            <w:pPr>
              <w:pStyle w:val="TableParagraph"/>
              <w:spacing w:before="38"/>
              <w:ind w:left="227" w:right="195"/>
              <w:jc w:val="center"/>
              <w:rPr>
                <w:b/>
                <w:sz w:val="17"/>
              </w:rPr>
            </w:pPr>
            <w:r>
              <w:rPr>
                <w:b/>
                <w:w w:val="105"/>
                <w:sz w:val="17"/>
              </w:rPr>
              <w:t>4.0</w:t>
            </w:r>
          </w:p>
        </w:tc>
      </w:tr>
      <w:tr>
        <w:trPr>
          <w:trHeight w:val="270" w:hRule="atLeast"/>
        </w:trPr>
        <w:tc>
          <w:tcPr>
            <w:tcW w:w="1076" w:type="dxa"/>
          </w:tcPr>
          <w:p>
            <w:pPr>
              <w:pStyle w:val="TableParagraph"/>
              <w:spacing w:before="31"/>
              <w:ind w:left="206"/>
              <w:rPr>
                <w:b/>
                <w:sz w:val="17"/>
              </w:rPr>
            </w:pPr>
            <w:r>
              <w:rPr>
                <w:b/>
                <w:w w:val="105"/>
                <w:sz w:val="17"/>
              </w:rPr>
              <w:t>Medio</w:t>
            </w:r>
          </w:p>
        </w:tc>
        <w:tc>
          <w:tcPr>
            <w:tcW w:w="858" w:type="dxa"/>
          </w:tcPr>
          <w:p>
            <w:pPr>
              <w:pStyle w:val="TableParagraph"/>
              <w:rPr>
                <w:rFonts w:ascii="Times New Roman"/>
                <w:sz w:val="20"/>
              </w:rPr>
            </w:pPr>
          </w:p>
        </w:tc>
        <w:tc>
          <w:tcPr>
            <w:tcW w:w="872" w:type="dxa"/>
          </w:tcPr>
          <w:p>
            <w:pPr>
              <w:pStyle w:val="TableParagraph"/>
              <w:spacing w:before="36"/>
              <w:ind w:left="227" w:right="202"/>
              <w:jc w:val="center"/>
              <w:rPr>
                <w:b/>
                <w:sz w:val="17"/>
              </w:rPr>
            </w:pPr>
            <w:r>
              <w:rPr>
                <w:b/>
                <w:w w:val="105"/>
                <w:sz w:val="17"/>
              </w:rPr>
              <w:t>-9.0</w:t>
            </w:r>
          </w:p>
        </w:tc>
        <w:tc>
          <w:tcPr>
            <w:tcW w:w="872" w:type="dxa"/>
          </w:tcPr>
          <w:p>
            <w:pPr>
              <w:pStyle w:val="TableParagraph"/>
              <w:spacing w:before="36"/>
              <w:ind w:left="319"/>
              <w:rPr>
                <w:b/>
                <w:sz w:val="17"/>
              </w:rPr>
            </w:pPr>
            <w:r>
              <w:rPr>
                <w:b/>
                <w:w w:val="105"/>
                <w:sz w:val="17"/>
              </w:rPr>
              <w:t>9.5</w:t>
            </w:r>
          </w:p>
        </w:tc>
        <w:tc>
          <w:tcPr>
            <w:tcW w:w="872" w:type="dxa"/>
          </w:tcPr>
          <w:p>
            <w:pPr>
              <w:pStyle w:val="TableParagraph"/>
              <w:spacing w:before="36"/>
              <w:ind w:left="227" w:right="209"/>
              <w:jc w:val="center"/>
              <w:rPr>
                <w:b/>
                <w:sz w:val="17"/>
              </w:rPr>
            </w:pPr>
            <w:r>
              <w:rPr>
                <w:b/>
                <w:w w:val="105"/>
                <w:sz w:val="17"/>
              </w:rPr>
              <w:t>4.0</w:t>
            </w:r>
          </w:p>
        </w:tc>
        <w:tc>
          <w:tcPr>
            <w:tcW w:w="858" w:type="dxa"/>
          </w:tcPr>
          <w:p>
            <w:pPr>
              <w:pStyle w:val="TableParagraph"/>
              <w:spacing w:before="36"/>
              <w:ind w:left="228" w:right="200"/>
              <w:jc w:val="center"/>
              <w:rPr>
                <w:b/>
                <w:sz w:val="17"/>
              </w:rPr>
            </w:pPr>
            <w:r>
              <w:rPr>
                <w:b/>
                <w:w w:val="105"/>
                <w:sz w:val="17"/>
              </w:rPr>
              <w:t>4.5</w:t>
            </w:r>
          </w:p>
        </w:tc>
        <w:tc>
          <w:tcPr>
            <w:tcW w:w="872" w:type="dxa"/>
          </w:tcPr>
          <w:p>
            <w:pPr>
              <w:pStyle w:val="TableParagraph"/>
              <w:spacing w:before="36"/>
              <w:ind w:left="227" w:right="190"/>
              <w:jc w:val="center"/>
              <w:rPr>
                <w:b/>
                <w:sz w:val="17"/>
              </w:rPr>
            </w:pPr>
            <w:r>
              <w:rPr>
                <w:b/>
                <w:w w:val="105"/>
                <w:sz w:val="17"/>
              </w:rPr>
              <w:t>5.0</w:t>
            </w:r>
          </w:p>
        </w:tc>
        <w:tc>
          <w:tcPr>
            <w:tcW w:w="872" w:type="dxa"/>
          </w:tcPr>
          <w:p>
            <w:pPr>
              <w:pStyle w:val="TableParagraph"/>
              <w:spacing w:before="36"/>
              <w:ind w:left="227" w:right="195"/>
              <w:jc w:val="center"/>
              <w:rPr>
                <w:b/>
                <w:sz w:val="17"/>
              </w:rPr>
            </w:pPr>
            <w:r>
              <w:rPr>
                <w:b/>
                <w:w w:val="105"/>
                <w:sz w:val="17"/>
              </w:rPr>
              <w:t>5.5</w:t>
            </w:r>
          </w:p>
        </w:tc>
      </w:tr>
      <w:tr>
        <w:trPr>
          <w:trHeight w:val="257" w:hRule="atLeast"/>
        </w:trPr>
        <w:tc>
          <w:tcPr>
            <w:tcW w:w="1076" w:type="dxa"/>
            <w:tcBorders>
              <w:left w:val="nil"/>
            </w:tcBorders>
          </w:tcPr>
          <w:p>
            <w:pPr>
              <w:pStyle w:val="TableParagraph"/>
              <w:spacing w:before="29"/>
              <w:ind w:left="208"/>
              <w:rPr>
                <w:b/>
                <w:sz w:val="17"/>
              </w:rPr>
            </w:pPr>
            <w:r>
              <w:rPr>
                <w:b/>
                <w:w w:val="105"/>
                <w:sz w:val="17"/>
              </w:rPr>
              <w:t>Alto</w:t>
            </w:r>
          </w:p>
        </w:tc>
        <w:tc>
          <w:tcPr>
            <w:tcW w:w="858" w:type="dxa"/>
          </w:tcPr>
          <w:p>
            <w:pPr>
              <w:pStyle w:val="TableParagraph"/>
              <w:rPr>
                <w:rFonts w:ascii="Times New Roman"/>
                <w:sz w:val="18"/>
              </w:rPr>
            </w:pPr>
          </w:p>
        </w:tc>
        <w:tc>
          <w:tcPr>
            <w:tcW w:w="872" w:type="dxa"/>
          </w:tcPr>
          <w:p>
            <w:pPr>
              <w:pStyle w:val="TableParagraph"/>
              <w:spacing w:line="203" w:lineRule="exact" w:before="33"/>
              <w:ind w:left="227" w:right="202"/>
              <w:jc w:val="center"/>
              <w:rPr>
                <w:b/>
                <w:sz w:val="17"/>
              </w:rPr>
            </w:pPr>
            <w:r>
              <w:rPr>
                <w:b/>
                <w:w w:val="105"/>
                <w:sz w:val="17"/>
              </w:rPr>
              <w:t>-7.5</w:t>
            </w:r>
          </w:p>
        </w:tc>
        <w:tc>
          <w:tcPr>
            <w:tcW w:w="872" w:type="dxa"/>
          </w:tcPr>
          <w:p>
            <w:pPr>
              <w:pStyle w:val="TableParagraph"/>
              <w:spacing w:line="203" w:lineRule="exact" w:before="33"/>
              <w:ind w:left="264"/>
              <w:rPr>
                <w:b/>
                <w:sz w:val="17"/>
              </w:rPr>
            </w:pPr>
            <w:r>
              <w:rPr>
                <w:b/>
                <w:w w:val="105"/>
                <w:sz w:val="17"/>
              </w:rPr>
              <w:t>11.0</w:t>
            </w:r>
          </w:p>
        </w:tc>
        <w:tc>
          <w:tcPr>
            <w:tcW w:w="872" w:type="dxa"/>
          </w:tcPr>
          <w:p>
            <w:pPr>
              <w:pStyle w:val="TableParagraph"/>
              <w:spacing w:line="203" w:lineRule="exact" w:before="33"/>
              <w:ind w:left="227" w:right="209"/>
              <w:jc w:val="center"/>
              <w:rPr>
                <w:b/>
                <w:sz w:val="17"/>
              </w:rPr>
            </w:pPr>
            <w:r>
              <w:rPr>
                <w:b/>
                <w:w w:val="105"/>
                <w:sz w:val="17"/>
              </w:rPr>
              <w:t>5.5</w:t>
            </w:r>
          </w:p>
        </w:tc>
        <w:tc>
          <w:tcPr>
            <w:tcW w:w="858" w:type="dxa"/>
          </w:tcPr>
          <w:p>
            <w:pPr>
              <w:pStyle w:val="TableParagraph"/>
              <w:spacing w:line="203" w:lineRule="exact" w:before="33"/>
              <w:ind w:left="228" w:right="200"/>
              <w:jc w:val="center"/>
              <w:rPr>
                <w:b/>
                <w:sz w:val="17"/>
              </w:rPr>
            </w:pPr>
            <w:r>
              <w:rPr>
                <w:b/>
                <w:w w:val="105"/>
                <w:sz w:val="17"/>
              </w:rPr>
              <w:t>6.0</w:t>
            </w:r>
          </w:p>
        </w:tc>
        <w:tc>
          <w:tcPr>
            <w:tcW w:w="872" w:type="dxa"/>
          </w:tcPr>
          <w:p>
            <w:pPr>
              <w:pStyle w:val="TableParagraph"/>
              <w:spacing w:line="203" w:lineRule="exact" w:before="33"/>
              <w:ind w:left="227" w:right="190"/>
              <w:jc w:val="center"/>
              <w:rPr>
                <w:b/>
                <w:sz w:val="17"/>
              </w:rPr>
            </w:pPr>
            <w:r>
              <w:rPr>
                <w:b/>
                <w:w w:val="105"/>
                <w:sz w:val="17"/>
              </w:rPr>
              <w:t>6.5</w:t>
            </w:r>
          </w:p>
        </w:tc>
        <w:tc>
          <w:tcPr>
            <w:tcW w:w="872" w:type="dxa"/>
          </w:tcPr>
          <w:p>
            <w:pPr>
              <w:pStyle w:val="TableParagraph"/>
              <w:spacing w:line="203" w:lineRule="exact" w:before="33"/>
              <w:ind w:left="227" w:right="195"/>
              <w:jc w:val="center"/>
              <w:rPr>
                <w:b/>
                <w:sz w:val="17"/>
              </w:rPr>
            </w:pPr>
            <w:r>
              <w:rPr>
                <w:b/>
                <w:w w:val="105"/>
                <w:sz w:val="17"/>
              </w:rPr>
              <w:t>7.0</w:t>
            </w:r>
          </w:p>
        </w:tc>
      </w:tr>
      <w:tr>
        <w:trPr>
          <w:trHeight w:val="270" w:hRule="atLeast"/>
        </w:trPr>
        <w:tc>
          <w:tcPr>
            <w:tcW w:w="1076" w:type="dxa"/>
          </w:tcPr>
          <w:p>
            <w:pPr>
              <w:pStyle w:val="TableParagraph"/>
              <w:spacing w:before="40"/>
              <w:ind w:left="208"/>
              <w:rPr>
                <w:b/>
                <w:sz w:val="17"/>
              </w:rPr>
            </w:pPr>
            <w:r>
              <w:rPr>
                <w:b/>
                <w:w w:val="105"/>
                <w:sz w:val="17"/>
              </w:rPr>
              <w:t>Observado</w:t>
            </w:r>
          </w:p>
        </w:tc>
        <w:tc>
          <w:tcPr>
            <w:tcW w:w="858" w:type="dxa"/>
          </w:tcPr>
          <w:p>
            <w:pPr>
              <w:pStyle w:val="TableParagraph"/>
              <w:spacing w:line="206" w:lineRule="exact" w:before="44"/>
              <w:ind w:left="222" w:right="208"/>
              <w:jc w:val="center"/>
              <w:rPr>
                <w:b/>
                <w:sz w:val="17"/>
              </w:rPr>
            </w:pPr>
            <w:r>
              <w:rPr>
                <w:b/>
                <w:w w:val="105"/>
                <w:sz w:val="17"/>
              </w:rPr>
              <w:t>1.8</w:t>
            </w:r>
          </w:p>
        </w:tc>
        <w:tc>
          <w:tcPr>
            <w:tcW w:w="872" w:type="dxa"/>
          </w:tcPr>
          <w:p>
            <w:pPr>
              <w:pStyle w:val="TableParagraph"/>
              <w:rPr>
                <w:rFonts w:ascii="Times New Roman"/>
                <w:sz w:val="20"/>
              </w:rPr>
            </w:pPr>
          </w:p>
        </w:tc>
        <w:tc>
          <w:tcPr>
            <w:tcW w:w="872" w:type="dxa"/>
          </w:tcPr>
          <w:p>
            <w:pPr>
              <w:pStyle w:val="TableParagraph"/>
              <w:rPr>
                <w:rFonts w:ascii="Times New Roman"/>
                <w:sz w:val="20"/>
              </w:rPr>
            </w:pPr>
          </w:p>
        </w:tc>
        <w:tc>
          <w:tcPr>
            <w:tcW w:w="872" w:type="dxa"/>
          </w:tcPr>
          <w:p>
            <w:pPr>
              <w:pStyle w:val="TableParagraph"/>
              <w:rPr>
                <w:rFonts w:ascii="Times New Roman"/>
                <w:sz w:val="20"/>
              </w:rPr>
            </w:pPr>
          </w:p>
        </w:tc>
        <w:tc>
          <w:tcPr>
            <w:tcW w:w="858" w:type="dxa"/>
          </w:tcPr>
          <w:p>
            <w:pPr>
              <w:pStyle w:val="TableParagraph"/>
              <w:rPr>
                <w:rFonts w:ascii="Times New Roman"/>
                <w:sz w:val="20"/>
              </w:rPr>
            </w:pPr>
          </w:p>
        </w:tc>
        <w:tc>
          <w:tcPr>
            <w:tcW w:w="872" w:type="dxa"/>
          </w:tcPr>
          <w:p>
            <w:pPr>
              <w:pStyle w:val="TableParagraph"/>
              <w:rPr>
                <w:rFonts w:ascii="Times New Roman"/>
                <w:sz w:val="20"/>
              </w:rPr>
            </w:pPr>
          </w:p>
        </w:tc>
        <w:tc>
          <w:tcPr>
            <w:tcW w:w="872" w:type="dxa"/>
          </w:tcPr>
          <w:p>
            <w:pPr>
              <w:pStyle w:val="TableParagraph"/>
              <w:rPr>
                <w:rFonts w:ascii="Times New Roman"/>
                <w:sz w:val="20"/>
              </w:rPr>
            </w:pPr>
          </w:p>
        </w:tc>
      </w:tr>
    </w:tbl>
    <w:p>
      <w:pPr>
        <w:pStyle w:val="BodyText"/>
        <w:rPr>
          <w:b/>
          <w:sz w:val="20"/>
        </w:rPr>
      </w:pPr>
    </w:p>
    <w:p>
      <w:pPr>
        <w:pStyle w:val="BodyText"/>
        <w:rPr>
          <w:b/>
          <w:sz w:val="20"/>
        </w:rPr>
      </w:pPr>
    </w:p>
    <w:p>
      <w:pPr>
        <w:pStyle w:val="BodyText"/>
        <w:spacing w:before="10"/>
        <w:rPr>
          <w:b/>
          <w:sz w:val="22"/>
        </w:rPr>
      </w:pPr>
    </w:p>
    <w:p>
      <w:pPr>
        <w:spacing w:before="51"/>
        <w:ind w:left="2542" w:right="3200" w:firstLine="0"/>
        <w:jc w:val="center"/>
        <w:rPr>
          <w:b/>
          <w:sz w:val="24"/>
        </w:rPr>
      </w:pPr>
      <w:r>
        <w:rPr/>
        <w:pict>
          <v:group style="position:absolute;margin-left:107.34346pt;margin-top:30.01376pt;width:380.5pt;height:294.6pt;mso-position-horizontal-relative:page;mso-position-vertical-relative:paragraph;z-index:-254951424" coordorigin="2147,600" coordsize="7610,5892">
            <v:shape style="position:absolute;left:4419;top:2009;width:4612;height:2362" type="#_x0000_t75" stroked="false">
              <v:imagedata r:id="rId73" o:title=""/>
            </v:shape>
            <v:shape style="position:absolute;left:4580;top:2935;width:323;height:1262" type="#_x0000_t75" stroked="false">
              <v:imagedata r:id="rId19" o:title=""/>
            </v:shape>
            <v:shape style="position:absolute;left:5440;top:1834;width:310;height:1262" type="#_x0000_t75" stroked="false">
              <v:imagedata r:id="rId74" o:title=""/>
            </v:shape>
            <v:shape style="position:absolute;left:6301;top:2546;width:310;height:551" type="#_x0000_t75" stroked="false">
              <v:imagedata r:id="rId75" o:title=""/>
            </v:shape>
            <v:shape style="position:absolute;left:7148;top:2492;width:323;height:604" type="#_x0000_t75" stroked="false">
              <v:imagedata r:id="rId47" o:title=""/>
            </v:shape>
            <v:shape style="position:absolute;left:8008;top:2438;width:323;height:658" type="#_x0000_t75" stroked="false">
              <v:imagedata r:id="rId76" o:title=""/>
            </v:shape>
            <v:shape style="position:absolute;left:8869;top:2385;width:310;height:712" type="#_x0000_t75" stroked="false">
              <v:imagedata r:id="rId77" o:title=""/>
            </v:shape>
            <v:shape style="position:absolute;left:4741;top:2935;width:310;height:1101" type="#_x0000_t75" stroked="false">
              <v:imagedata r:id="rId78" o:title=""/>
            </v:shape>
            <v:shape style="position:absolute;left:5588;top:1673;width:323;height:1423" type="#_x0000_t75" stroked="false">
              <v:imagedata r:id="rId79" o:title=""/>
            </v:shape>
            <v:shape style="position:absolute;left:6449;top:2385;width:323;height:712" type="#_x0000_t75" stroked="false">
              <v:imagedata r:id="rId80" o:title=""/>
            </v:shape>
            <v:shape style="position:absolute;left:7309;top:2331;width:310;height:765" type="#_x0000_t75" stroked="false">
              <v:imagedata r:id="rId81" o:title=""/>
            </v:shape>
            <v:shape style="position:absolute;left:8170;top:2277;width:310;height:819" type="#_x0000_t75" stroked="false">
              <v:imagedata r:id="rId48" o:title=""/>
            </v:shape>
            <v:shape style="position:absolute;left:9017;top:2224;width:323;height:873" type="#_x0000_t75" stroked="false">
              <v:imagedata r:id="rId82" o:title=""/>
            </v:shape>
            <v:shape style="position:absolute;left:4459;top:2009;width:4518;height:2282" type="#_x0000_t75" stroked="false">
              <v:imagedata r:id="rId83" o:title=""/>
            </v:shape>
            <v:shape style="position:absolute;left:4620;top:2948;width:229;height:1168" type="#_x0000_t75" stroked="false">
              <v:imagedata r:id="rId84" o:title=""/>
            </v:shape>
            <v:shape style="position:absolute;left:5481;top:1848;width:216;height:1168" type="#_x0000_t75" stroked="false">
              <v:imagedata r:id="rId85" o:title=""/>
            </v:shape>
            <v:shape style="position:absolute;left:6341;top:2559;width:216;height:457" type="#_x0000_t75" stroked="false">
              <v:imagedata r:id="rId86" o:title=""/>
            </v:shape>
            <v:shape style="position:absolute;left:7188;top:2505;width:229;height:510" type="#_x0000_t75" stroked="false">
              <v:imagedata r:id="rId87" o:title=""/>
            </v:shape>
            <v:shape style="position:absolute;left:8049;top:2452;width:229;height:564" type="#_x0000_t75" stroked="false">
              <v:imagedata r:id="rId88" o:title=""/>
            </v:shape>
            <v:shape style="position:absolute;left:8909;top:2398;width:216;height:618" type="#_x0000_t75" stroked="false">
              <v:imagedata r:id="rId89" o:title=""/>
            </v:shape>
            <v:shape style="position:absolute;left:4782;top:2948;width:216;height:1007" type="#_x0000_t75" stroked="false">
              <v:imagedata r:id="rId90" o:title=""/>
            </v:shape>
            <v:shape style="position:absolute;left:5629;top:1687;width:229;height:1329" type="#_x0000_t75" stroked="false">
              <v:imagedata r:id="rId91" o:title=""/>
            </v:shape>
            <v:shape style="position:absolute;left:6489;top:2398;width:229;height:618" type="#_x0000_t75" stroked="false">
              <v:imagedata r:id="rId92" o:title=""/>
            </v:shape>
            <v:shape style="position:absolute;left:7350;top:2344;width:216;height:671" type="#_x0000_t75" stroked="false">
              <v:imagedata r:id="rId93" o:title=""/>
            </v:shape>
            <v:shape style="position:absolute;left:8210;top:2291;width:216;height:725" type="#_x0000_t75" stroked="false">
              <v:imagedata r:id="rId94" o:title=""/>
            </v:shape>
            <v:shape style="position:absolute;left:9057;top:2237;width:229;height:779" type="#_x0000_t75" stroked="false">
              <v:imagedata r:id="rId95" o:title=""/>
            </v:shape>
            <v:shape style="position:absolute;left:4069;top:2586;width:243;height:484" type="#_x0000_t75" stroked="false">
              <v:imagedata r:id="rId96" o:title=""/>
            </v:shape>
            <v:shape style="position:absolute;left:4069;top:2559;width:229;height:457" type="#_x0000_t75" stroked="false">
              <v:imagedata r:id="rId97" o:title=""/>
            </v:shape>
            <v:shape style="position:absolute;left:2523;top:4988;width:108;height:108" type="#_x0000_t75" stroked="false">
              <v:imagedata r:id="rId98" o:title=""/>
            </v:shape>
            <v:shape style="position:absolute;left:2523;top:5270;width:108;height:108" type="#_x0000_t75" stroked="false">
              <v:imagedata r:id="rId99" o:title=""/>
            </v:shape>
            <v:shape style="position:absolute;left:2469;top:5478;width:189;height:269" type="#_x0000_t75" stroked="false">
              <v:imagedata r:id="rId100" o:title=""/>
            </v:shape>
            <v:shape style="position:absolute;left:2523;top:5820;width:108;height:121" type="#_x0000_t75" stroked="false">
              <v:imagedata r:id="rId101" o:title=""/>
            </v:shape>
            <v:rect style="position:absolute;left:2167;top:620;width:7570;height:5851" filled="false" stroked="true" strokeweight="2.014375pt" strokecolor="#f79546">
              <v:stroke dashstyle="solid"/>
            </v:rect>
            <v:shape style="position:absolute;left:2984;top:822;width:5821;height:3926" type="#_x0000_t202" filled="false" stroked="false">
              <v:textbox inset="0,0,0,0">
                <w:txbxContent>
                  <w:p>
                    <w:pPr>
                      <w:spacing w:line="328" w:lineRule="exact" w:before="0"/>
                      <w:ind w:left="136" w:right="0" w:firstLine="0"/>
                      <w:jc w:val="left"/>
                      <w:rPr>
                        <w:b/>
                        <w:sz w:val="32"/>
                      </w:rPr>
                    </w:pPr>
                    <w:r>
                      <w:rPr>
                        <w:b/>
                        <w:sz w:val="32"/>
                      </w:rPr>
                      <w:t>Tasa de Crecimiento de Exportaciones FOB</w:t>
                    </w:r>
                  </w:p>
                  <w:p>
                    <w:pPr>
                      <w:spacing w:before="85"/>
                      <w:ind w:left="54" w:right="0" w:firstLine="0"/>
                      <w:jc w:val="left"/>
                      <w:rPr>
                        <w:b/>
                        <w:sz w:val="17"/>
                      </w:rPr>
                    </w:pPr>
                    <w:r>
                      <w:rPr>
                        <w:b/>
                        <w:spacing w:val="4"/>
                        <w:w w:val="105"/>
                        <w:sz w:val="17"/>
                      </w:rPr>
                      <w:t>15.0</w:t>
                    </w:r>
                  </w:p>
                  <w:p>
                    <w:pPr>
                      <w:spacing w:line="240" w:lineRule="auto" w:before="0"/>
                      <w:rPr>
                        <w:b/>
                        <w:sz w:val="16"/>
                      </w:rPr>
                    </w:pPr>
                  </w:p>
                  <w:p>
                    <w:pPr>
                      <w:spacing w:line="240" w:lineRule="auto" w:before="2"/>
                      <w:rPr>
                        <w:b/>
                        <w:sz w:val="12"/>
                      </w:rPr>
                    </w:pPr>
                  </w:p>
                  <w:p>
                    <w:pPr>
                      <w:spacing w:before="0"/>
                      <w:ind w:left="54" w:right="0" w:firstLine="0"/>
                      <w:jc w:val="left"/>
                      <w:rPr>
                        <w:b/>
                        <w:sz w:val="17"/>
                      </w:rPr>
                    </w:pPr>
                    <w:r>
                      <w:rPr>
                        <w:b/>
                        <w:spacing w:val="4"/>
                        <w:w w:val="105"/>
                        <w:sz w:val="17"/>
                      </w:rPr>
                      <w:t>10.0</w:t>
                    </w:r>
                  </w:p>
                  <w:p>
                    <w:pPr>
                      <w:spacing w:line="240" w:lineRule="auto" w:before="0"/>
                      <w:rPr>
                        <w:b/>
                        <w:sz w:val="16"/>
                      </w:rPr>
                    </w:pPr>
                  </w:p>
                  <w:p>
                    <w:pPr>
                      <w:spacing w:line="240" w:lineRule="auto" w:before="1"/>
                      <w:rPr>
                        <w:b/>
                        <w:sz w:val="12"/>
                      </w:rPr>
                    </w:pPr>
                  </w:p>
                  <w:p>
                    <w:pPr>
                      <w:spacing w:before="1"/>
                      <w:ind w:left="140" w:right="0" w:firstLine="0"/>
                      <w:jc w:val="left"/>
                      <w:rPr>
                        <w:b/>
                        <w:sz w:val="17"/>
                      </w:rPr>
                    </w:pPr>
                    <w:r>
                      <w:rPr>
                        <w:b/>
                        <w:spacing w:val="3"/>
                        <w:w w:val="105"/>
                        <w:sz w:val="17"/>
                      </w:rPr>
                      <w:t>5.0</w:t>
                    </w:r>
                  </w:p>
                  <w:p>
                    <w:pPr>
                      <w:spacing w:line="240" w:lineRule="auto" w:before="0"/>
                      <w:rPr>
                        <w:b/>
                        <w:sz w:val="16"/>
                      </w:rPr>
                    </w:pPr>
                  </w:p>
                  <w:p>
                    <w:pPr>
                      <w:spacing w:line="240" w:lineRule="auto" w:before="1"/>
                      <w:rPr>
                        <w:b/>
                        <w:sz w:val="12"/>
                      </w:rPr>
                    </w:pPr>
                  </w:p>
                  <w:p>
                    <w:pPr>
                      <w:spacing w:before="0"/>
                      <w:ind w:left="140" w:right="0" w:firstLine="0"/>
                      <w:jc w:val="left"/>
                      <w:rPr>
                        <w:b/>
                        <w:sz w:val="17"/>
                      </w:rPr>
                    </w:pPr>
                    <w:r>
                      <w:rPr>
                        <w:b/>
                        <w:spacing w:val="3"/>
                        <w:w w:val="105"/>
                        <w:sz w:val="17"/>
                      </w:rPr>
                      <w:t>0.0</w:t>
                    </w:r>
                  </w:p>
                  <w:p>
                    <w:pPr>
                      <w:spacing w:line="240" w:lineRule="auto" w:before="0"/>
                      <w:rPr>
                        <w:b/>
                        <w:sz w:val="16"/>
                      </w:rPr>
                    </w:pPr>
                  </w:p>
                  <w:p>
                    <w:pPr>
                      <w:spacing w:line="240" w:lineRule="auto" w:before="2"/>
                      <w:rPr>
                        <w:b/>
                        <w:sz w:val="12"/>
                      </w:rPr>
                    </w:pPr>
                  </w:p>
                  <w:p>
                    <w:pPr>
                      <w:spacing w:before="0"/>
                      <w:ind w:left="86" w:right="0" w:firstLine="0"/>
                      <w:jc w:val="left"/>
                      <w:rPr>
                        <w:b/>
                        <w:sz w:val="17"/>
                      </w:rPr>
                    </w:pPr>
                    <w:r>
                      <w:rPr>
                        <w:b/>
                        <w:spacing w:val="3"/>
                        <w:w w:val="105"/>
                        <w:sz w:val="17"/>
                      </w:rPr>
                      <w:t>-5.0</w:t>
                    </w:r>
                  </w:p>
                  <w:p>
                    <w:pPr>
                      <w:spacing w:line="240" w:lineRule="auto" w:before="0"/>
                      <w:rPr>
                        <w:b/>
                        <w:sz w:val="16"/>
                      </w:rPr>
                    </w:pPr>
                  </w:p>
                  <w:p>
                    <w:pPr>
                      <w:spacing w:line="240" w:lineRule="auto" w:before="2"/>
                      <w:rPr>
                        <w:b/>
                        <w:sz w:val="12"/>
                      </w:rPr>
                    </w:pPr>
                  </w:p>
                  <w:p>
                    <w:pPr>
                      <w:spacing w:before="0"/>
                      <w:ind w:left="0" w:right="0" w:firstLine="0"/>
                      <w:jc w:val="left"/>
                      <w:rPr>
                        <w:b/>
                        <w:sz w:val="17"/>
                      </w:rPr>
                    </w:pPr>
                    <w:r>
                      <w:rPr>
                        <w:b/>
                        <w:spacing w:val="3"/>
                        <w:w w:val="105"/>
                        <w:sz w:val="17"/>
                      </w:rPr>
                      <w:t>-10.0</w:t>
                    </w:r>
                  </w:p>
                  <w:p>
                    <w:pPr>
                      <w:spacing w:line="240" w:lineRule="auto" w:before="0"/>
                      <w:rPr>
                        <w:b/>
                        <w:sz w:val="16"/>
                      </w:rPr>
                    </w:pPr>
                  </w:p>
                  <w:p>
                    <w:pPr>
                      <w:spacing w:line="240" w:lineRule="auto" w:before="2"/>
                      <w:rPr>
                        <w:b/>
                        <w:sz w:val="12"/>
                      </w:rPr>
                    </w:pPr>
                  </w:p>
                  <w:p>
                    <w:pPr>
                      <w:spacing w:line="206" w:lineRule="exact" w:before="0"/>
                      <w:ind w:left="0" w:right="0" w:firstLine="0"/>
                      <w:jc w:val="left"/>
                      <w:rPr>
                        <w:b/>
                        <w:sz w:val="17"/>
                      </w:rPr>
                    </w:pPr>
                    <w:r>
                      <w:rPr>
                        <w:b/>
                        <w:spacing w:val="3"/>
                        <w:w w:val="105"/>
                        <w:sz w:val="17"/>
                      </w:rPr>
                      <w:t>-15.0</w:t>
                    </w:r>
                  </w:p>
                </w:txbxContent>
              </v:textbox>
              <w10:wrap type="none"/>
            </v:shape>
            <v:shape style="position:absolute;left:2289;top:6203;width:2531;height:189" type="#_x0000_t202" filled="false" stroked="false">
              <v:textbox inset="0,0,0,0">
                <w:txbxContent>
                  <w:p>
                    <w:pPr>
                      <w:spacing w:line="188" w:lineRule="exact" w:before="0"/>
                      <w:ind w:left="0" w:right="0" w:firstLine="0"/>
                      <w:jc w:val="left"/>
                      <w:rPr>
                        <w:b/>
                        <w:sz w:val="19"/>
                      </w:rPr>
                    </w:pPr>
                    <w:r>
                      <w:rPr>
                        <w:b/>
                        <w:sz w:val="19"/>
                      </w:rPr>
                      <w:t>Fuente: Proyecciones BANGUAT</w:t>
                    </w:r>
                  </w:p>
                </w:txbxContent>
              </v:textbox>
              <w10:wrap type="none"/>
            </v:shape>
            <w10:wrap type="none"/>
          </v:group>
        </w:pict>
      </w:r>
      <w:r>
        <w:rPr>
          <w:b/>
          <w:sz w:val="24"/>
        </w:rPr>
        <w:t>Gráfica No.</w:t>
      </w:r>
      <w:r>
        <w:rPr>
          <w:b/>
          <w:spacing w:val="-6"/>
          <w:sz w:val="24"/>
        </w:rPr>
        <w:t> </w:t>
      </w:r>
      <w:r>
        <w:rPr>
          <w:b/>
          <w:sz w:val="24"/>
        </w:rPr>
        <w:t>3</w:t>
      </w:r>
    </w:p>
    <w:p>
      <w:pPr>
        <w:pStyle w:val="BodyText"/>
        <w:rPr>
          <w:b/>
          <w:sz w:val="20"/>
        </w:rPr>
      </w:pPr>
    </w:p>
    <w:p>
      <w:pPr>
        <w:pStyle w:val="BodyText"/>
        <w:rPr>
          <w:b/>
          <w:sz w:val="20"/>
        </w:rPr>
      </w:pPr>
    </w:p>
    <w:p>
      <w:pPr>
        <w:pStyle w:val="BodyText"/>
        <w:rPr>
          <w:b/>
          <w:sz w:val="20"/>
        </w:rPr>
      </w:pPr>
    </w:p>
    <w:p>
      <w:pPr>
        <w:pStyle w:val="BodyText"/>
        <w:spacing w:before="6"/>
        <w:rPr>
          <w:b/>
          <w:sz w:val="21"/>
        </w:rPr>
      </w:pPr>
    </w:p>
    <w:tbl>
      <w:tblPr>
        <w:tblW w:w="0" w:type="auto"/>
        <w:jc w:val="left"/>
        <w:tblInd w:w="1824"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1062"/>
        <w:gridCol w:w="847"/>
        <w:gridCol w:w="861"/>
        <w:gridCol w:w="861"/>
        <w:gridCol w:w="861"/>
        <w:gridCol w:w="848"/>
        <w:gridCol w:w="861"/>
        <w:gridCol w:w="861"/>
      </w:tblGrid>
      <w:tr>
        <w:trPr>
          <w:trHeight w:val="535" w:hRule="atLeast"/>
        </w:trPr>
        <w:tc>
          <w:tcPr>
            <w:tcW w:w="1062" w:type="dxa"/>
            <w:vMerge w:val="restart"/>
            <w:tcBorders>
              <w:top w:val="nil"/>
              <w:left w:val="nil"/>
            </w:tcBorders>
          </w:tcPr>
          <w:p>
            <w:pPr>
              <w:pStyle w:val="TableParagraph"/>
              <w:rPr>
                <w:rFonts w:ascii="Times New Roman"/>
                <w:sz w:val="20"/>
              </w:rPr>
            </w:pPr>
          </w:p>
        </w:tc>
        <w:tc>
          <w:tcPr>
            <w:tcW w:w="6000" w:type="dxa"/>
            <w:gridSpan w:val="7"/>
            <w:tcBorders>
              <w:right w:val="nil"/>
            </w:tcBorders>
          </w:tcPr>
          <w:p>
            <w:pPr>
              <w:pStyle w:val="TableParagraph"/>
              <w:rPr>
                <w:rFonts w:ascii="Times New Roman"/>
                <w:sz w:val="20"/>
              </w:rPr>
            </w:pPr>
          </w:p>
        </w:tc>
      </w:tr>
      <w:tr>
        <w:trPr>
          <w:trHeight w:val="535" w:hRule="atLeast"/>
        </w:trPr>
        <w:tc>
          <w:tcPr>
            <w:tcW w:w="1062" w:type="dxa"/>
            <w:vMerge/>
            <w:tcBorders>
              <w:top w:val="nil"/>
              <w:left w:val="nil"/>
            </w:tcBorders>
          </w:tcPr>
          <w:p>
            <w:pPr>
              <w:rPr>
                <w:sz w:val="2"/>
                <w:szCs w:val="2"/>
              </w:rPr>
            </w:pPr>
          </w:p>
        </w:tc>
        <w:tc>
          <w:tcPr>
            <w:tcW w:w="6000" w:type="dxa"/>
            <w:gridSpan w:val="7"/>
            <w:tcBorders>
              <w:right w:val="nil"/>
            </w:tcBorders>
          </w:tcPr>
          <w:p>
            <w:pPr>
              <w:pStyle w:val="TableParagraph"/>
              <w:rPr>
                <w:rFonts w:ascii="Times New Roman"/>
                <w:sz w:val="20"/>
              </w:rPr>
            </w:pPr>
          </w:p>
        </w:tc>
      </w:tr>
      <w:tr>
        <w:trPr>
          <w:trHeight w:val="535" w:hRule="atLeast"/>
        </w:trPr>
        <w:tc>
          <w:tcPr>
            <w:tcW w:w="1062" w:type="dxa"/>
            <w:vMerge/>
            <w:tcBorders>
              <w:top w:val="nil"/>
              <w:left w:val="nil"/>
            </w:tcBorders>
          </w:tcPr>
          <w:p>
            <w:pPr>
              <w:rPr>
                <w:sz w:val="2"/>
                <w:szCs w:val="2"/>
              </w:rPr>
            </w:pPr>
          </w:p>
        </w:tc>
        <w:tc>
          <w:tcPr>
            <w:tcW w:w="6000" w:type="dxa"/>
            <w:gridSpan w:val="7"/>
            <w:tcBorders>
              <w:right w:val="nil"/>
            </w:tcBorders>
          </w:tcPr>
          <w:p>
            <w:pPr>
              <w:pStyle w:val="TableParagraph"/>
              <w:rPr>
                <w:rFonts w:ascii="Times New Roman"/>
                <w:sz w:val="20"/>
              </w:rPr>
            </w:pPr>
          </w:p>
        </w:tc>
      </w:tr>
      <w:tr>
        <w:trPr>
          <w:trHeight w:val="535" w:hRule="atLeast"/>
        </w:trPr>
        <w:tc>
          <w:tcPr>
            <w:tcW w:w="1062" w:type="dxa"/>
            <w:vMerge/>
            <w:tcBorders>
              <w:top w:val="nil"/>
              <w:left w:val="nil"/>
            </w:tcBorders>
          </w:tcPr>
          <w:p>
            <w:pPr>
              <w:rPr>
                <w:sz w:val="2"/>
                <w:szCs w:val="2"/>
              </w:rPr>
            </w:pPr>
          </w:p>
        </w:tc>
        <w:tc>
          <w:tcPr>
            <w:tcW w:w="6000" w:type="dxa"/>
            <w:gridSpan w:val="7"/>
            <w:tcBorders>
              <w:right w:val="nil"/>
            </w:tcBorders>
          </w:tcPr>
          <w:p>
            <w:pPr>
              <w:pStyle w:val="TableParagraph"/>
              <w:rPr>
                <w:rFonts w:ascii="Times New Roman"/>
                <w:sz w:val="20"/>
              </w:rPr>
            </w:pPr>
          </w:p>
        </w:tc>
      </w:tr>
      <w:tr>
        <w:trPr>
          <w:trHeight w:val="535" w:hRule="atLeast"/>
        </w:trPr>
        <w:tc>
          <w:tcPr>
            <w:tcW w:w="1062" w:type="dxa"/>
            <w:vMerge/>
            <w:tcBorders>
              <w:top w:val="nil"/>
              <w:left w:val="nil"/>
            </w:tcBorders>
          </w:tcPr>
          <w:p>
            <w:pPr>
              <w:rPr>
                <w:sz w:val="2"/>
                <w:szCs w:val="2"/>
              </w:rPr>
            </w:pPr>
          </w:p>
        </w:tc>
        <w:tc>
          <w:tcPr>
            <w:tcW w:w="6000" w:type="dxa"/>
            <w:gridSpan w:val="7"/>
            <w:tcBorders>
              <w:right w:val="nil"/>
            </w:tcBorders>
          </w:tcPr>
          <w:p>
            <w:pPr>
              <w:pStyle w:val="TableParagraph"/>
              <w:rPr>
                <w:rFonts w:ascii="Times New Roman"/>
                <w:sz w:val="20"/>
              </w:rPr>
            </w:pPr>
          </w:p>
        </w:tc>
      </w:tr>
      <w:tr>
        <w:trPr>
          <w:trHeight w:val="521" w:hRule="atLeast"/>
        </w:trPr>
        <w:tc>
          <w:tcPr>
            <w:tcW w:w="1062" w:type="dxa"/>
            <w:vMerge/>
            <w:tcBorders>
              <w:top w:val="nil"/>
              <w:left w:val="nil"/>
            </w:tcBorders>
          </w:tcPr>
          <w:p>
            <w:pPr>
              <w:rPr>
                <w:sz w:val="2"/>
                <w:szCs w:val="2"/>
              </w:rPr>
            </w:pPr>
          </w:p>
        </w:tc>
        <w:tc>
          <w:tcPr>
            <w:tcW w:w="6000" w:type="dxa"/>
            <w:gridSpan w:val="7"/>
            <w:tcBorders>
              <w:right w:val="nil"/>
            </w:tcBorders>
          </w:tcPr>
          <w:p>
            <w:pPr>
              <w:pStyle w:val="TableParagraph"/>
              <w:rPr>
                <w:rFonts w:ascii="Times New Roman"/>
                <w:sz w:val="20"/>
              </w:rPr>
            </w:pPr>
          </w:p>
        </w:tc>
      </w:tr>
      <w:tr>
        <w:trPr>
          <w:trHeight w:val="266" w:hRule="atLeast"/>
        </w:trPr>
        <w:tc>
          <w:tcPr>
            <w:tcW w:w="1062" w:type="dxa"/>
            <w:vMerge/>
            <w:tcBorders>
              <w:top w:val="nil"/>
              <w:left w:val="nil"/>
            </w:tcBorders>
          </w:tcPr>
          <w:p>
            <w:pPr>
              <w:rPr>
                <w:sz w:val="2"/>
                <w:szCs w:val="2"/>
              </w:rPr>
            </w:pPr>
          </w:p>
        </w:tc>
        <w:tc>
          <w:tcPr>
            <w:tcW w:w="847" w:type="dxa"/>
          </w:tcPr>
          <w:p>
            <w:pPr>
              <w:pStyle w:val="TableParagraph"/>
              <w:spacing w:line="207" w:lineRule="exact" w:before="39"/>
              <w:ind w:right="217"/>
              <w:jc w:val="right"/>
              <w:rPr>
                <w:b/>
                <w:sz w:val="17"/>
              </w:rPr>
            </w:pPr>
            <w:r>
              <w:rPr>
                <w:b/>
                <w:sz w:val="17"/>
              </w:rPr>
              <w:t>2019</w:t>
            </w:r>
          </w:p>
        </w:tc>
        <w:tc>
          <w:tcPr>
            <w:tcW w:w="861" w:type="dxa"/>
          </w:tcPr>
          <w:p>
            <w:pPr>
              <w:pStyle w:val="TableParagraph"/>
              <w:spacing w:line="207" w:lineRule="exact" w:before="39"/>
              <w:ind w:left="246"/>
              <w:rPr>
                <w:b/>
                <w:sz w:val="17"/>
              </w:rPr>
            </w:pPr>
            <w:r>
              <w:rPr>
                <w:b/>
                <w:w w:val="105"/>
                <w:sz w:val="17"/>
              </w:rPr>
              <w:t>2020</w:t>
            </w:r>
          </w:p>
        </w:tc>
        <w:tc>
          <w:tcPr>
            <w:tcW w:w="861" w:type="dxa"/>
          </w:tcPr>
          <w:p>
            <w:pPr>
              <w:pStyle w:val="TableParagraph"/>
              <w:spacing w:line="207" w:lineRule="exact" w:before="39"/>
              <w:ind w:left="224" w:right="206"/>
              <w:jc w:val="center"/>
              <w:rPr>
                <w:b/>
                <w:sz w:val="17"/>
              </w:rPr>
            </w:pPr>
            <w:r>
              <w:rPr>
                <w:b/>
                <w:w w:val="105"/>
                <w:sz w:val="17"/>
              </w:rPr>
              <w:t>2021</w:t>
            </w:r>
          </w:p>
        </w:tc>
        <w:tc>
          <w:tcPr>
            <w:tcW w:w="861" w:type="dxa"/>
          </w:tcPr>
          <w:p>
            <w:pPr>
              <w:pStyle w:val="TableParagraph"/>
              <w:spacing w:line="207" w:lineRule="exact" w:before="39"/>
              <w:ind w:left="219" w:right="206"/>
              <w:jc w:val="center"/>
              <w:rPr>
                <w:b/>
                <w:sz w:val="17"/>
              </w:rPr>
            </w:pPr>
            <w:r>
              <w:rPr>
                <w:b/>
                <w:w w:val="105"/>
                <w:sz w:val="17"/>
              </w:rPr>
              <w:t>2022</w:t>
            </w:r>
          </w:p>
        </w:tc>
        <w:tc>
          <w:tcPr>
            <w:tcW w:w="848" w:type="dxa"/>
          </w:tcPr>
          <w:p>
            <w:pPr>
              <w:pStyle w:val="TableParagraph"/>
              <w:spacing w:line="207" w:lineRule="exact" w:before="39"/>
              <w:ind w:left="226" w:right="205"/>
              <w:jc w:val="center"/>
              <w:rPr>
                <w:b/>
                <w:sz w:val="17"/>
              </w:rPr>
            </w:pPr>
            <w:r>
              <w:rPr>
                <w:b/>
                <w:w w:val="105"/>
                <w:sz w:val="17"/>
              </w:rPr>
              <w:t>2023</w:t>
            </w:r>
          </w:p>
        </w:tc>
        <w:tc>
          <w:tcPr>
            <w:tcW w:w="861" w:type="dxa"/>
          </w:tcPr>
          <w:p>
            <w:pPr>
              <w:pStyle w:val="TableParagraph"/>
              <w:spacing w:line="207" w:lineRule="exact" w:before="39"/>
              <w:ind w:left="228" w:right="197"/>
              <w:jc w:val="center"/>
              <w:rPr>
                <w:b/>
                <w:sz w:val="17"/>
              </w:rPr>
            </w:pPr>
            <w:r>
              <w:rPr>
                <w:b/>
                <w:w w:val="105"/>
                <w:sz w:val="17"/>
              </w:rPr>
              <w:t>2024</w:t>
            </w:r>
          </w:p>
        </w:tc>
        <w:tc>
          <w:tcPr>
            <w:tcW w:w="861" w:type="dxa"/>
          </w:tcPr>
          <w:p>
            <w:pPr>
              <w:pStyle w:val="TableParagraph"/>
              <w:spacing w:line="207" w:lineRule="exact" w:before="39"/>
              <w:ind w:left="247"/>
              <w:rPr>
                <w:b/>
                <w:sz w:val="17"/>
              </w:rPr>
            </w:pPr>
            <w:r>
              <w:rPr>
                <w:b/>
                <w:w w:val="105"/>
                <w:sz w:val="17"/>
              </w:rPr>
              <w:t>2025</w:t>
            </w:r>
          </w:p>
        </w:tc>
      </w:tr>
      <w:tr>
        <w:trPr>
          <w:trHeight w:val="266" w:hRule="atLeast"/>
        </w:trPr>
        <w:tc>
          <w:tcPr>
            <w:tcW w:w="1062" w:type="dxa"/>
          </w:tcPr>
          <w:p>
            <w:pPr>
              <w:pStyle w:val="TableParagraph"/>
              <w:spacing w:before="31"/>
              <w:ind w:left="208"/>
              <w:rPr>
                <w:b/>
                <w:sz w:val="17"/>
              </w:rPr>
            </w:pPr>
            <w:r>
              <w:rPr>
                <w:b/>
                <w:w w:val="105"/>
                <w:sz w:val="17"/>
              </w:rPr>
              <w:t>Bajo</w:t>
            </w:r>
          </w:p>
        </w:tc>
        <w:tc>
          <w:tcPr>
            <w:tcW w:w="847" w:type="dxa"/>
          </w:tcPr>
          <w:p>
            <w:pPr>
              <w:pStyle w:val="TableParagraph"/>
              <w:rPr>
                <w:rFonts w:ascii="Times New Roman"/>
                <w:sz w:val="18"/>
              </w:rPr>
            </w:pPr>
          </w:p>
        </w:tc>
        <w:tc>
          <w:tcPr>
            <w:tcW w:w="861" w:type="dxa"/>
          </w:tcPr>
          <w:p>
            <w:pPr>
              <w:pStyle w:val="TableParagraph"/>
              <w:spacing w:before="35"/>
              <w:ind w:left="236"/>
              <w:rPr>
                <w:b/>
                <w:sz w:val="17"/>
              </w:rPr>
            </w:pPr>
            <w:r>
              <w:rPr>
                <w:b/>
                <w:w w:val="105"/>
                <w:sz w:val="17"/>
              </w:rPr>
              <w:t>-11.5</w:t>
            </w:r>
          </w:p>
        </w:tc>
        <w:tc>
          <w:tcPr>
            <w:tcW w:w="861" w:type="dxa"/>
          </w:tcPr>
          <w:p>
            <w:pPr>
              <w:pStyle w:val="TableParagraph"/>
              <w:spacing w:before="35"/>
              <w:ind w:left="225" w:right="206"/>
              <w:jc w:val="center"/>
              <w:rPr>
                <w:b/>
                <w:sz w:val="17"/>
              </w:rPr>
            </w:pPr>
            <w:r>
              <w:rPr>
                <w:b/>
                <w:w w:val="105"/>
                <w:sz w:val="17"/>
              </w:rPr>
              <w:t>8.5</w:t>
            </w:r>
          </w:p>
        </w:tc>
        <w:tc>
          <w:tcPr>
            <w:tcW w:w="861" w:type="dxa"/>
          </w:tcPr>
          <w:p>
            <w:pPr>
              <w:pStyle w:val="TableParagraph"/>
              <w:spacing w:before="35"/>
              <w:ind w:left="221" w:right="206"/>
              <w:jc w:val="center"/>
              <w:rPr>
                <w:b/>
                <w:sz w:val="17"/>
              </w:rPr>
            </w:pPr>
            <w:r>
              <w:rPr>
                <w:b/>
                <w:w w:val="105"/>
                <w:sz w:val="17"/>
              </w:rPr>
              <w:t>2.0</w:t>
            </w:r>
          </w:p>
        </w:tc>
        <w:tc>
          <w:tcPr>
            <w:tcW w:w="848" w:type="dxa"/>
          </w:tcPr>
          <w:p>
            <w:pPr>
              <w:pStyle w:val="TableParagraph"/>
              <w:spacing w:before="35"/>
              <w:ind w:left="226" w:right="203"/>
              <w:jc w:val="center"/>
              <w:rPr>
                <w:b/>
                <w:sz w:val="17"/>
              </w:rPr>
            </w:pPr>
            <w:r>
              <w:rPr>
                <w:b/>
                <w:w w:val="105"/>
                <w:sz w:val="17"/>
              </w:rPr>
              <w:t>2.5</w:t>
            </w:r>
          </w:p>
        </w:tc>
        <w:tc>
          <w:tcPr>
            <w:tcW w:w="861" w:type="dxa"/>
          </w:tcPr>
          <w:p>
            <w:pPr>
              <w:pStyle w:val="TableParagraph"/>
              <w:spacing w:before="35"/>
              <w:ind w:left="228" w:right="197"/>
              <w:jc w:val="center"/>
              <w:rPr>
                <w:b/>
                <w:sz w:val="17"/>
              </w:rPr>
            </w:pPr>
            <w:r>
              <w:rPr>
                <w:b/>
                <w:w w:val="105"/>
                <w:sz w:val="17"/>
              </w:rPr>
              <w:t>3.0</w:t>
            </w:r>
          </w:p>
        </w:tc>
        <w:tc>
          <w:tcPr>
            <w:tcW w:w="861" w:type="dxa"/>
          </w:tcPr>
          <w:p>
            <w:pPr>
              <w:pStyle w:val="TableParagraph"/>
              <w:spacing w:before="35"/>
              <w:ind w:left="317"/>
              <w:rPr>
                <w:b/>
                <w:sz w:val="17"/>
              </w:rPr>
            </w:pPr>
            <w:r>
              <w:rPr>
                <w:b/>
                <w:w w:val="105"/>
                <w:sz w:val="17"/>
              </w:rPr>
              <w:t>3.5</w:t>
            </w:r>
          </w:p>
        </w:tc>
      </w:tr>
      <w:tr>
        <w:trPr>
          <w:trHeight w:val="266" w:hRule="atLeast"/>
        </w:trPr>
        <w:tc>
          <w:tcPr>
            <w:tcW w:w="1062" w:type="dxa"/>
          </w:tcPr>
          <w:p>
            <w:pPr>
              <w:pStyle w:val="TableParagraph"/>
              <w:spacing w:before="28"/>
              <w:ind w:left="204"/>
              <w:rPr>
                <w:b/>
                <w:sz w:val="17"/>
              </w:rPr>
            </w:pPr>
            <w:r>
              <w:rPr>
                <w:b/>
                <w:w w:val="105"/>
                <w:sz w:val="17"/>
              </w:rPr>
              <w:t>Medio</w:t>
            </w:r>
          </w:p>
        </w:tc>
        <w:tc>
          <w:tcPr>
            <w:tcW w:w="847" w:type="dxa"/>
          </w:tcPr>
          <w:p>
            <w:pPr>
              <w:pStyle w:val="TableParagraph"/>
              <w:rPr>
                <w:rFonts w:ascii="Times New Roman"/>
                <w:sz w:val="18"/>
              </w:rPr>
            </w:pPr>
          </w:p>
        </w:tc>
        <w:tc>
          <w:tcPr>
            <w:tcW w:w="861" w:type="dxa"/>
          </w:tcPr>
          <w:p>
            <w:pPr>
              <w:pStyle w:val="TableParagraph"/>
              <w:spacing w:before="33"/>
              <w:ind w:left="236"/>
              <w:rPr>
                <w:b/>
                <w:sz w:val="17"/>
              </w:rPr>
            </w:pPr>
            <w:r>
              <w:rPr>
                <w:b/>
                <w:w w:val="105"/>
                <w:sz w:val="17"/>
              </w:rPr>
              <w:t>-10.0</w:t>
            </w:r>
          </w:p>
        </w:tc>
        <w:tc>
          <w:tcPr>
            <w:tcW w:w="861" w:type="dxa"/>
          </w:tcPr>
          <w:p>
            <w:pPr>
              <w:pStyle w:val="TableParagraph"/>
              <w:spacing w:before="33"/>
              <w:ind w:left="211" w:right="206"/>
              <w:jc w:val="center"/>
              <w:rPr>
                <w:b/>
                <w:sz w:val="17"/>
              </w:rPr>
            </w:pPr>
            <w:r>
              <w:rPr>
                <w:b/>
                <w:w w:val="105"/>
                <w:sz w:val="17"/>
              </w:rPr>
              <w:t>10.0</w:t>
            </w:r>
          </w:p>
        </w:tc>
        <w:tc>
          <w:tcPr>
            <w:tcW w:w="861" w:type="dxa"/>
          </w:tcPr>
          <w:p>
            <w:pPr>
              <w:pStyle w:val="TableParagraph"/>
              <w:spacing w:before="33"/>
              <w:ind w:left="221" w:right="206"/>
              <w:jc w:val="center"/>
              <w:rPr>
                <w:b/>
                <w:sz w:val="17"/>
              </w:rPr>
            </w:pPr>
            <w:r>
              <w:rPr>
                <w:b/>
                <w:w w:val="105"/>
                <w:sz w:val="17"/>
              </w:rPr>
              <w:t>3.5</w:t>
            </w:r>
          </w:p>
        </w:tc>
        <w:tc>
          <w:tcPr>
            <w:tcW w:w="848" w:type="dxa"/>
          </w:tcPr>
          <w:p>
            <w:pPr>
              <w:pStyle w:val="TableParagraph"/>
              <w:spacing w:before="33"/>
              <w:ind w:left="226" w:right="203"/>
              <w:jc w:val="center"/>
              <w:rPr>
                <w:b/>
                <w:sz w:val="17"/>
              </w:rPr>
            </w:pPr>
            <w:r>
              <w:rPr>
                <w:b/>
                <w:w w:val="105"/>
                <w:sz w:val="17"/>
              </w:rPr>
              <w:t>4.0</w:t>
            </w:r>
          </w:p>
        </w:tc>
        <w:tc>
          <w:tcPr>
            <w:tcW w:w="861" w:type="dxa"/>
          </w:tcPr>
          <w:p>
            <w:pPr>
              <w:pStyle w:val="TableParagraph"/>
              <w:spacing w:before="33"/>
              <w:ind w:left="228" w:right="197"/>
              <w:jc w:val="center"/>
              <w:rPr>
                <w:b/>
                <w:sz w:val="17"/>
              </w:rPr>
            </w:pPr>
            <w:r>
              <w:rPr>
                <w:b/>
                <w:w w:val="105"/>
                <w:sz w:val="17"/>
              </w:rPr>
              <w:t>4.5</w:t>
            </w:r>
          </w:p>
        </w:tc>
        <w:tc>
          <w:tcPr>
            <w:tcW w:w="861" w:type="dxa"/>
          </w:tcPr>
          <w:p>
            <w:pPr>
              <w:pStyle w:val="TableParagraph"/>
              <w:spacing w:before="33"/>
              <w:ind w:left="317"/>
              <w:rPr>
                <w:b/>
                <w:sz w:val="17"/>
              </w:rPr>
            </w:pPr>
            <w:r>
              <w:rPr>
                <w:b/>
                <w:w w:val="105"/>
                <w:sz w:val="17"/>
              </w:rPr>
              <w:t>5.0</w:t>
            </w:r>
          </w:p>
        </w:tc>
      </w:tr>
      <w:tr>
        <w:trPr>
          <w:trHeight w:val="253" w:hRule="atLeast"/>
        </w:trPr>
        <w:tc>
          <w:tcPr>
            <w:tcW w:w="1062" w:type="dxa"/>
            <w:tcBorders>
              <w:left w:val="nil"/>
            </w:tcBorders>
          </w:tcPr>
          <w:p>
            <w:pPr>
              <w:pStyle w:val="TableParagraph"/>
              <w:spacing w:line="207" w:lineRule="exact" w:before="26"/>
              <w:ind w:left="206"/>
              <w:rPr>
                <w:b/>
                <w:sz w:val="17"/>
              </w:rPr>
            </w:pPr>
            <w:r>
              <w:rPr>
                <w:b/>
                <w:w w:val="105"/>
                <w:sz w:val="17"/>
              </w:rPr>
              <w:t>Alto</w:t>
            </w:r>
          </w:p>
        </w:tc>
        <w:tc>
          <w:tcPr>
            <w:tcW w:w="847" w:type="dxa"/>
          </w:tcPr>
          <w:p>
            <w:pPr>
              <w:pStyle w:val="TableParagraph"/>
              <w:rPr>
                <w:rFonts w:ascii="Times New Roman"/>
                <w:sz w:val="18"/>
              </w:rPr>
            </w:pPr>
          </w:p>
        </w:tc>
        <w:tc>
          <w:tcPr>
            <w:tcW w:w="861" w:type="dxa"/>
          </w:tcPr>
          <w:p>
            <w:pPr>
              <w:pStyle w:val="TableParagraph"/>
              <w:spacing w:line="203" w:lineRule="exact" w:before="30"/>
              <w:ind w:left="289"/>
              <w:rPr>
                <w:b/>
                <w:sz w:val="17"/>
              </w:rPr>
            </w:pPr>
            <w:r>
              <w:rPr>
                <w:b/>
                <w:w w:val="105"/>
                <w:sz w:val="17"/>
              </w:rPr>
              <w:t>-8.5</w:t>
            </w:r>
          </w:p>
        </w:tc>
        <w:tc>
          <w:tcPr>
            <w:tcW w:w="861" w:type="dxa"/>
          </w:tcPr>
          <w:p>
            <w:pPr>
              <w:pStyle w:val="TableParagraph"/>
              <w:spacing w:line="203" w:lineRule="exact" w:before="30"/>
              <w:ind w:left="211" w:right="206"/>
              <w:jc w:val="center"/>
              <w:rPr>
                <w:b/>
                <w:sz w:val="17"/>
              </w:rPr>
            </w:pPr>
            <w:r>
              <w:rPr>
                <w:b/>
                <w:w w:val="105"/>
                <w:sz w:val="17"/>
              </w:rPr>
              <w:t>11.5</w:t>
            </w:r>
          </w:p>
        </w:tc>
        <w:tc>
          <w:tcPr>
            <w:tcW w:w="861" w:type="dxa"/>
          </w:tcPr>
          <w:p>
            <w:pPr>
              <w:pStyle w:val="TableParagraph"/>
              <w:spacing w:line="203" w:lineRule="exact" w:before="30"/>
              <w:ind w:left="221" w:right="206"/>
              <w:jc w:val="center"/>
              <w:rPr>
                <w:b/>
                <w:sz w:val="17"/>
              </w:rPr>
            </w:pPr>
            <w:r>
              <w:rPr>
                <w:b/>
                <w:w w:val="105"/>
                <w:sz w:val="17"/>
              </w:rPr>
              <w:t>5.0</w:t>
            </w:r>
          </w:p>
        </w:tc>
        <w:tc>
          <w:tcPr>
            <w:tcW w:w="848" w:type="dxa"/>
          </w:tcPr>
          <w:p>
            <w:pPr>
              <w:pStyle w:val="TableParagraph"/>
              <w:spacing w:line="203" w:lineRule="exact" w:before="30"/>
              <w:ind w:left="226" w:right="203"/>
              <w:jc w:val="center"/>
              <w:rPr>
                <w:b/>
                <w:sz w:val="17"/>
              </w:rPr>
            </w:pPr>
            <w:r>
              <w:rPr>
                <w:b/>
                <w:w w:val="105"/>
                <w:sz w:val="17"/>
              </w:rPr>
              <w:t>5.5</w:t>
            </w:r>
          </w:p>
        </w:tc>
        <w:tc>
          <w:tcPr>
            <w:tcW w:w="861" w:type="dxa"/>
          </w:tcPr>
          <w:p>
            <w:pPr>
              <w:pStyle w:val="TableParagraph"/>
              <w:spacing w:line="203" w:lineRule="exact" w:before="30"/>
              <w:ind w:left="228" w:right="197"/>
              <w:jc w:val="center"/>
              <w:rPr>
                <w:b/>
                <w:sz w:val="17"/>
              </w:rPr>
            </w:pPr>
            <w:r>
              <w:rPr>
                <w:b/>
                <w:w w:val="105"/>
                <w:sz w:val="17"/>
              </w:rPr>
              <w:t>6.0</w:t>
            </w:r>
          </w:p>
        </w:tc>
        <w:tc>
          <w:tcPr>
            <w:tcW w:w="861" w:type="dxa"/>
          </w:tcPr>
          <w:p>
            <w:pPr>
              <w:pStyle w:val="TableParagraph"/>
              <w:spacing w:line="203" w:lineRule="exact" w:before="30"/>
              <w:ind w:left="317"/>
              <w:rPr>
                <w:b/>
                <w:sz w:val="17"/>
              </w:rPr>
            </w:pPr>
            <w:r>
              <w:rPr>
                <w:b/>
                <w:w w:val="105"/>
                <w:sz w:val="17"/>
              </w:rPr>
              <w:t>6.5</w:t>
            </w:r>
          </w:p>
        </w:tc>
      </w:tr>
      <w:tr>
        <w:trPr>
          <w:trHeight w:val="266" w:hRule="atLeast"/>
        </w:trPr>
        <w:tc>
          <w:tcPr>
            <w:tcW w:w="1062" w:type="dxa"/>
          </w:tcPr>
          <w:p>
            <w:pPr>
              <w:pStyle w:val="TableParagraph"/>
              <w:spacing w:before="37"/>
              <w:ind w:left="205"/>
              <w:rPr>
                <w:b/>
                <w:sz w:val="17"/>
              </w:rPr>
            </w:pPr>
            <w:r>
              <w:rPr>
                <w:b/>
                <w:w w:val="105"/>
                <w:sz w:val="17"/>
              </w:rPr>
              <w:t>Observado</w:t>
            </w:r>
          </w:p>
        </w:tc>
        <w:tc>
          <w:tcPr>
            <w:tcW w:w="847" w:type="dxa"/>
          </w:tcPr>
          <w:p>
            <w:pPr>
              <w:pStyle w:val="TableParagraph"/>
              <w:spacing w:line="205" w:lineRule="exact" w:before="41"/>
              <w:ind w:right="288"/>
              <w:jc w:val="right"/>
              <w:rPr>
                <w:b/>
                <w:sz w:val="17"/>
              </w:rPr>
            </w:pPr>
            <w:r>
              <w:rPr>
                <w:b/>
                <w:sz w:val="17"/>
              </w:rPr>
              <w:t>3.5</w:t>
            </w:r>
          </w:p>
        </w:tc>
        <w:tc>
          <w:tcPr>
            <w:tcW w:w="861" w:type="dxa"/>
          </w:tcPr>
          <w:p>
            <w:pPr>
              <w:pStyle w:val="TableParagraph"/>
              <w:rPr>
                <w:rFonts w:ascii="Times New Roman"/>
                <w:sz w:val="18"/>
              </w:rPr>
            </w:pPr>
          </w:p>
        </w:tc>
        <w:tc>
          <w:tcPr>
            <w:tcW w:w="861" w:type="dxa"/>
          </w:tcPr>
          <w:p>
            <w:pPr>
              <w:pStyle w:val="TableParagraph"/>
              <w:rPr>
                <w:rFonts w:ascii="Times New Roman"/>
                <w:sz w:val="18"/>
              </w:rPr>
            </w:pPr>
          </w:p>
        </w:tc>
        <w:tc>
          <w:tcPr>
            <w:tcW w:w="861" w:type="dxa"/>
          </w:tcPr>
          <w:p>
            <w:pPr>
              <w:pStyle w:val="TableParagraph"/>
              <w:rPr>
                <w:rFonts w:ascii="Times New Roman"/>
                <w:sz w:val="18"/>
              </w:rPr>
            </w:pPr>
          </w:p>
        </w:tc>
        <w:tc>
          <w:tcPr>
            <w:tcW w:w="848" w:type="dxa"/>
          </w:tcPr>
          <w:p>
            <w:pPr>
              <w:pStyle w:val="TableParagraph"/>
              <w:rPr>
                <w:rFonts w:ascii="Times New Roman"/>
                <w:sz w:val="18"/>
              </w:rPr>
            </w:pPr>
          </w:p>
        </w:tc>
        <w:tc>
          <w:tcPr>
            <w:tcW w:w="861" w:type="dxa"/>
          </w:tcPr>
          <w:p>
            <w:pPr>
              <w:pStyle w:val="TableParagraph"/>
              <w:rPr>
                <w:rFonts w:ascii="Times New Roman"/>
                <w:sz w:val="18"/>
              </w:rPr>
            </w:pPr>
          </w:p>
        </w:tc>
        <w:tc>
          <w:tcPr>
            <w:tcW w:w="861" w:type="dxa"/>
          </w:tcPr>
          <w:p>
            <w:pPr>
              <w:pStyle w:val="TableParagraph"/>
              <w:rPr>
                <w:rFonts w:ascii="Times New Roman"/>
                <w:sz w:val="18"/>
              </w:rPr>
            </w:pPr>
          </w:p>
        </w:tc>
      </w:tr>
    </w:tbl>
    <w:p>
      <w:pPr>
        <w:spacing w:after="0"/>
        <w:rPr>
          <w:rFonts w:ascii="Times New Roman"/>
          <w:sz w:val="18"/>
        </w:rPr>
        <w:sectPr>
          <w:pgSz w:w="11910" w:h="16840"/>
          <w:pgMar w:header="1045" w:footer="872" w:top="2280" w:bottom="1060" w:left="660" w:right="0"/>
        </w:sectPr>
      </w:pPr>
    </w:p>
    <w:p>
      <w:pPr>
        <w:pStyle w:val="BodyText"/>
        <w:spacing w:before="6"/>
        <w:rPr>
          <w:b/>
          <w:sz w:val="12"/>
        </w:rPr>
      </w:pPr>
    </w:p>
    <w:p>
      <w:pPr>
        <w:pStyle w:val="ListParagraph"/>
        <w:numPr>
          <w:ilvl w:val="1"/>
          <w:numId w:val="5"/>
        </w:numPr>
        <w:tabs>
          <w:tab w:pos="1401" w:val="left" w:leader="none"/>
        </w:tabs>
        <w:spacing w:line="240" w:lineRule="auto" w:before="51" w:after="0"/>
        <w:ind w:left="1400" w:right="0" w:hanging="362"/>
        <w:jc w:val="left"/>
        <w:rPr>
          <w:b/>
          <w:sz w:val="24"/>
        </w:rPr>
      </w:pPr>
      <w:bookmarkStart w:name="3.3 Inflación" w:id="24"/>
      <w:bookmarkEnd w:id="24"/>
      <w:r>
        <w:rPr/>
      </w:r>
      <w:bookmarkStart w:name="_bookmark8" w:id="25"/>
      <w:bookmarkEnd w:id="25"/>
      <w:r>
        <w:rPr/>
      </w:r>
      <w:bookmarkStart w:name="_bookmark8" w:id="26"/>
      <w:bookmarkEnd w:id="26"/>
      <w:r>
        <w:rPr>
          <w:b/>
          <w:sz w:val="24"/>
        </w:rPr>
        <w:t>I</w:t>
      </w:r>
      <w:r>
        <w:rPr>
          <w:b/>
          <w:sz w:val="24"/>
        </w:rPr>
        <w:t>nflación</w:t>
      </w:r>
    </w:p>
    <w:p>
      <w:pPr>
        <w:pStyle w:val="BodyText"/>
        <w:spacing w:line="276" w:lineRule="auto" w:before="106"/>
        <w:ind w:left="1039" w:right="1706"/>
      </w:pPr>
      <w:r>
        <w:rPr/>
        <w:t>Según las estimaciones del Banco de Guatemala, el nivel inflacionario se estima en 4.5% para 2021 y para el período 2022-2025, que oscilará entre 3.0% y</w:t>
      </w:r>
      <w:r>
        <w:rPr>
          <w:spacing w:val="-4"/>
        </w:rPr>
        <w:t> </w:t>
      </w:r>
      <w:r>
        <w:rPr/>
        <w:t>5.0%.</w:t>
      </w:r>
    </w:p>
    <w:p>
      <w:pPr>
        <w:spacing w:before="200"/>
        <w:ind w:left="2542" w:right="3200" w:firstLine="0"/>
        <w:jc w:val="center"/>
        <w:rPr>
          <w:b/>
          <w:sz w:val="24"/>
        </w:rPr>
      </w:pPr>
      <w:r>
        <w:rPr/>
        <w:pict>
          <v:group style="position:absolute;margin-left:87.268547pt;margin-top:37.352917pt;width:420.65pt;height:265.7pt;mso-position-horizontal-relative:page;mso-position-vertical-relative:paragraph;z-index:-254943232" coordorigin="1745,747" coordsize="8413,5314">
            <v:shape style="position:absolute;left:6146;top:2707;width:3204;height:1438" type="#_x0000_t75" stroked="false">
              <v:imagedata r:id="rId102" o:title=""/>
            </v:shape>
            <v:shape style="position:absolute;left:6326;top:2243;width:360;height:1902" type="#_x0000_t75" stroked="false">
              <v:imagedata r:id="rId103" o:title=""/>
            </v:shape>
            <v:shape style="position:absolute;left:7284;top:2243;width:345;height:1902" type="#_x0000_t75" stroked="false">
              <v:imagedata r:id="rId104" o:title=""/>
            </v:shape>
            <v:shape style="position:absolute;left:8227;top:2243;width:345;height:1902" type="#_x0000_t75" stroked="false">
              <v:imagedata r:id="rId104" o:title=""/>
            </v:shape>
            <v:shape style="position:absolute;left:9170;top:2243;width:360;height:1902" type="#_x0000_t75" stroked="false">
              <v:imagedata r:id="rId103" o:title=""/>
            </v:shape>
            <v:shape style="position:absolute;left:6505;top:1794;width:345;height:2351" type="#_x0000_t75" stroked="false">
              <v:imagedata r:id="rId105" o:title=""/>
            </v:shape>
            <v:shape style="position:absolute;left:7448;top:1794;width:360;height:2351" type="#_x0000_t75" stroked="false">
              <v:imagedata r:id="rId106" o:title=""/>
            </v:shape>
            <v:shape style="position:absolute;left:8391;top:1794;width:360;height:2351" type="#_x0000_t75" stroked="false">
              <v:imagedata r:id="rId106" o:title=""/>
            </v:shape>
            <v:shape style="position:absolute;left:9349;top:1794;width:345;height:2351" type="#_x0000_t75" stroked="false">
              <v:imagedata r:id="rId105" o:title=""/>
            </v:shape>
            <v:shape style="position:absolute;left:6191;top:2722;width:3099;height:1422" type="#_x0000_t75" stroked="false">
              <v:imagedata r:id="rId107" o:title=""/>
            </v:shape>
            <v:shape style="position:absolute;left:6370;top:2258;width:255;height:1886" type="#_x0000_t75" stroked="false">
              <v:imagedata r:id="rId108" o:title=""/>
            </v:shape>
            <v:shape style="position:absolute;left:7329;top:2258;width:240;height:1886" type="#_x0000_t75" stroked="false">
              <v:imagedata r:id="rId109" o:title=""/>
            </v:shape>
            <v:shape style="position:absolute;left:8272;top:2258;width:240;height:1886" type="#_x0000_t75" stroked="false">
              <v:imagedata r:id="rId110" o:title=""/>
            </v:shape>
            <v:shape style="position:absolute;left:9215;top:2258;width:255;height:1886" type="#_x0000_t75" stroked="false">
              <v:imagedata r:id="rId111" o:title=""/>
            </v:shape>
            <v:shape style="position:absolute;left:6550;top:1809;width:240;height:2335" type="#_x0000_t75" stroked="false">
              <v:imagedata r:id="rId112" o:title=""/>
            </v:shape>
            <v:shape style="position:absolute;left:7493;top:1809;width:255;height:2335" type="#_x0000_t75" stroked="false">
              <v:imagedata r:id="rId113" o:title=""/>
            </v:shape>
            <v:shape style="position:absolute;left:8436;top:1809;width:255;height:2335" type="#_x0000_t75" stroked="false">
              <v:imagedata r:id="rId114" o:title=""/>
            </v:shape>
            <v:shape style="position:absolute;left:9394;top:1809;width:240;height:2335" type="#_x0000_t75" stroked="false">
              <v:imagedata r:id="rId115" o:title=""/>
            </v:shape>
            <v:shape style="position:absolute;left:4439;top:3156;width:345;height:989" type="#_x0000_t75" stroked="false">
              <v:imagedata r:id="rId116" o:title=""/>
            </v:shape>
            <v:shape style="position:absolute;left:4484;top:3171;width:240;height:973" type="#_x0000_t75" stroked="false">
              <v:imagedata r:id="rId117" o:title=""/>
            </v:shape>
            <v:shape style="position:absolute;left:5382;top:2019;width:360;height:2126" type="#_x0000_t75" stroked="false">
              <v:imagedata r:id="rId118" o:title=""/>
            </v:shape>
            <v:shape style="position:absolute;left:5427;top:2034;width:255;height:2111" type="#_x0000_t75" stroked="false">
              <v:imagedata r:id="rId119" o:title=""/>
            </v:shape>
            <v:shape style="position:absolute;left:3841;top:2513;width:345;height:1632" type="#_x0000_t75" stroked="false">
              <v:imagedata r:id="rId120" o:title=""/>
            </v:shape>
            <v:shape style="position:absolute;left:3886;top:2528;width:240;height:1617" type="#_x0000_t75" stroked="false">
              <v:imagedata r:id="rId121" o:title=""/>
            </v:shape>
            <v:shape style="position:absolute;left:2149;top:4518;width:135;height:120" type="#_x0000_t75" stroked="false">
              <v:imagedata r:id="rId122" o:title=""/>
            </v:shape>
            <v:shape style="position:absolute;left:2149;top:4817;width:135;height:135" type="#_x0000_t75" stroked="false">
              <v:imagedata r:id="rId123" o:title=""/>
            </v:shape>
            <v:shape style="position:absolute;left:2149;top:5132;width:135;height:120" type="#_x0000_t75" stroked="false">
              <v:imagedata r:id="rId41" o:title=""/>
            </v:shape>
            <v:shape style="position:absolute;left:2149;top:5446;width:135;height:120" type="#_x0000_t75" stroked="false">
              <v:imagedata r:id="rId124" o:title=""/>
            </v:shape>
            <v:rect style="position:absolute;left:1767;top:769;width:8369;height:5269" filled="false" stroked="true" strokeweight="2.245103pt" strokecolor="#f79546">
              <v:stroke dashstyle="solid"/>
            </v:rect>
            <v:shape style="position:absolute;left:2826;top:1319;width:285;height:196" type="#_x0000_t202" filled="false" stroked="false">
              <v:textbox inset="0,0,0,0">
                <w:txbxContent>
                  <w:p>
                    <w:pPr>
                      <w:spacing w:line="195" w:lineRule="exact" w:before="0"/>
                      <w:ind w:left="0" w:right="0" w:firstLine="0"/>
                      <w:jc w:val="left"/>
                      <w:rPr>
                        <w:b/>
                        <w:sz w:val="19"/>
                      </w:rPr>
                    </w:pPr>
                    <w:r>
                      <w:rPr>
                        <w:b/>
                        <w:w w:val="105"/>
                        <w:sz w:val="19"/>
                      </w:rPr>
                      <w:t>6.0</w:t>
                    </w:r>
                  </w:p>
                </w:txbxContent>
              </v:textbox>
              <w10:wrap type="none"/>
            </v:shape>
            <v:shape style="position:absolute;left:4713;top:1066;width:2494;height:361" type="#_x0000_t202" filled="false" stroked="false">
              <v:textbox inset="0,0,0,0">
                <w:txbxContent>
                  <w:p>
                    <w:pPr>
                      <w:spacing w:line="360" w:lineRule="exact" w:before="0"/>
                      <w:ind w:left="0" w:right="0" w:firstLine="0"/>
                      <w:jc w:val="left"/>
                      <w:rPr>
                        <w:b/>
                        <w:sz w:val="36"/>
                      </w:rPr>
                    </w:pPr>
                    <w:r>
                      <w:rPr>
                        <w:b/>
                        <w:spacing w:val="-6"/>
                        <w:sz w:val="36"/>
                      </w:rPr>
                      <w:t>Tasa </w:t>
                    </w:r>
                    <w:r>
                      <w:rPr>
                        <w:b/>
                        <w:sz w:val="36"/>
                      </w:rPr>
                      <w:t>de Inflación</w:t>
                    </w:r>
                  </w:p>
                </w:txbxContent>
              </v:textbox>
              <w10:wrap type="none"/>
            </v:shape>
            <v:shape style="position:absolute;left:2826;top:1774;width:285;height:2471" type="#_x0000_t202" filled="false" stroked="false">
              <v:textbox inset="0,0,0,0">
                <w:txbxContent>
                  <w:p>
                    <w:pPr>
                      <w:spacing w:line="197" w:lineRule="exact" w:before="0"/>
                      <w:ind w:left="0" w:right="0" w:firstLine="0"/>
                      <w:jc w:val="left"/>
                      <w:rPr>
                        <w:b/>
                        <w:sz w:val="19"/>
                      </w:rPr>
                    </w:pPr>
                    <w:r>
                      <w:rPr>
                        <w:b/>
                        <w:spacing w:val="4"/>
                        <w:w w:val="105"/>
                        <w:sz w:val="19"/>
                      </w:rPr>
                      <w:t>5.0</w:t>
                    </w:r>
                  </w:p>
                  <w:p>
                    <w:pPr>
                      <w:spacing w:line="240" w:lineRule="auto" w:before="3"/>
                      <w:rPr>
                        <w:sz w:val="18"/>
                      </w:rPr>
                    </w:pPr>
                  </w:p>
                  <w:p>
                    <w:pPr>
                      <w:spacing w:before="1"/>
                      <w:ind w:left="0" w:right="0" w:firstLine="0"/>
                      <w:jc w:val="left"/>
                      <w:rPr>
                        <w:b/>
                        <w:sz w:val="19"/>
                      </w:rPr>
                    </w:pPr>
                    <w:r>
                      <w:rPr>
                        <w:b/>
                        <w:spacing w:val="4"/>
                        <w:w w:val="105"/>
                        <w:sz w:val="19"/>
                      </w:rPr>
                      <w:t>4.0</w:t>
                    </w:r>
                  </w:p>
                  <w:p>
                    <w:pPr>
                      <w:spacing w:line="240" w:lineRule="auto" w:before="3"/>
                      <w:rPr>
                        <w:sz w:val="18"/>
                      </w:rPr>
                    </w:pPr>
                  </w:p>
                  <w:p>
                    <w:pPr>
                      <w:spacing w:before="0"/>
                      <w:ind w:left="0" w:right="0" w:firstLine="0"/>
                      <w:jc w:val="left"/>
                      <w:rPr>
                        <w:b/>
                        <w:sz w:val="19"/>
                      </w:rPr>
                    </w:pPr>
                    <w:r>
                      <w:rPr>
                        <w:b/>
                        <w:spacing w:val="4"/>
                        <w:w w:val="105"/>
                        <w:sz w:val="19"/>
                      </w:rPr>
                      <w:t>3.0</w:t>
                    </w:r>
                  </w:p>
                  <w:p>
                    <w:pPr>
                      <w:spacing w:line="240" w:lineRule="auto" w:before="3"/>
                      <w:rPr>
                        <w:sz w:val="18"/>
                      </w:rPr>
                    </w:pPr>
                  </w:p>
                  <w:p>
                    <w:pPr>
                      <w:spacing w:before="0"/>
                      <w:ind w:left="0" w:right="0" w:firstLine="0"/>
                      <w:jc w:val="left"/>
                      <w:rPr>
                        <w:b/>
                        <w:sz w:val="19"/>
                      </w:rPr>
                    </w:pPr>
                    <w:r>
                      <w:rPr>
                        <w:b/>
                        <w:spacing w:val="4"/>
                        <w:w w:val="105"/>
                        <w:sz w:val="19"/>
                      </w:rPr>
                      <w:t>2.0</w:t>
                    </w:r>
                  </w:p>
                  <w:p>
                    <w:pPr>
                      <w:spacing w:line="240" w:lineRule="auto" w:before="4"/>
                      <w:rPr>
                        <w:sz w:val="18"/>
                      </w:rPr>
                    </w:pPr>
                  </w:p>
                  <w:p>
                    <w:pPr>
                      <w:spacing w:before="0"/>
                      <w:ind w:left="0" w:right="0" w:firstLine="0"/>
                      <w:jc w:val="left"/>
                      <w:rPr>
                        <w:b/>
                        <w:sz w:val="19"/>
                      </w:rPr>
                    </w:pPr>
                    <w:r>
                      <w:rPr>
                        <w:b/>
                        <w:spacing w:val="4"/>
                        <w:w w:val="105"/>
                        <w:sz w:val="19"/>
                      </w:rPr>
                      <w:t>1.0</w:t>
                    </w:r>
                  </w:p>
                  <w:p>
                    <w:pPr>
                      <w:spacing w:line="240" w:lineRule="auto" w:before="3"/>
                      <w:rPr>
                        <w:sz w:val="18"/>
                      </w:rPr>
                    </w:pPr>
                  </w:p>
                  <w:p>
                    <w:pPr>
                      <w:spacing w:line="230" w:lineRule="exact" w:before="0"/>
                      <w:ind w:left="0" w:right="0" w:firstLine="0"/>
                      <w:jc w:val="left"/>
                      <w:rPr>
                        <w:b/>
                        <w:sz w:val="19"/>
                      </w:rPr>
                    </w:pPr>
                    <w:r>
                      <w:rPr>
                        <w:b/>
                        <w:spacing w:val="4"/>
                        <w:w w:val="105"/>
                        <w:sz w:val="19"/>
                      </w:rPr>
                      <w:t>0.0</w:t>
                    </w:r>
                  </w:p>
                </w:txbxContent>
              </v:textbox>
              <w10:wrap type="none"/>
            </v:shape>
            <v:shape style="position:absolute;left:2144;top:5829;width:2829;height:211" type="#_x0000_t202" filled="false" stroked="false">
              <v:textbox inset="0,0,0,0">
                <w:txbxContent>
                  <w:p>
                    <w:pPr>
                      <w:spacing w:line="210" w:lineRule="exact" w:before="0"/>
                      <w:ind w:left="0" w:right="0" w:firstLine="0"/>
                      <w:jc w:val="left"/>
                      <w:rPr>
                        <w:b/>
                        <w:sz w:val="21"/>
                      </w:rPr>
                    </w:pPr>
                    <w:r>
                      <w:rPr>
                        <w:b/>
                        <w:sz w:val="21"/>
                      </w:rPr>
                      <w:t>Fuente: Proyecciones BANGUAT</w:t>
                    </w:r>
                  </w:p>
                </w:txbxContent>
              </v:textbox>
              <w10:wrap type="none"/>
            </v:shape>
            <w10:wrap type="none"/>
          </v:group>
        </w:pict>
      </w:r>
      <w:r>
        <w:rPr/>
        <w:pict>
          <v:shape style="position:absolute;margin-left:113.257469pt;margin-top:119.348434pt;width:11.8pt;height:46pt;mso-position-horizontal-relative:page;mso-position-vertical-relative:paragraph;z-index:-254942208" type="#_x0000_t202" filled="false" stroked="false">
            <v:textbox inset="0,0,0,0" style="layout-flow:vertical;mso-layout-flow-alt:bottom-to-top">
              <w:txbxContent>
                <w:p>
                  <w:pPr>
                    <w:spacing w:line="217" w:lineRule="exact" w:before="0"/>
                    <w:ind w:left="20" w:right="0" w:firstLine="0"/>
                    <w:jc w:val="left"/>
                    <w:rPr>
                      <w:b/>
                      <w:sz w:val="19"/>
                    </w:rPr>
                  </w:pPr>
                  <w:r>
                    <w:rPr>
                      <w:b/>
                      <w:sz w:val="19"/>
                    </w:rPr>
                    <w:t>Porcentaje</w:t>
                  </w:r>
                </w:p>
              </w:txbxContent>
            </v:textbox>
            <w10:wrap type="none"/>
          </v:shape>
        </w:pict>
      </w:r>
      <w:r>
        <w:rPr>
          <w:b/>
          <w:sz w:val="24"/>
        </w:rPr>
        <w:t>Gráfica No. 4</w:t>
      </w:r>
    </w:p>
    <w:p>
      <w:pPr>
        <w:pStyle w:val="BodyText"/>
        <w:rPr>
          <w:b/>
          <w:sz w:val="20"/>
        </w:rPr>
      </w:pPr>
    </w:p>
    <w:p>
      <w:pPr>
        <w:pStyle w:val="BodyText"/>
        <w:rPr>
          <w:b/>
          <w:sz w:val="20"/>
        </w:rPr>
      </w:pPr>
    </w:p>
    <w:p>
      <w:pPr>
        <w:pStyle w:val="BodyText"/>
        <w:rPr>
          <w:b/>
          <w:sz w:val="20"/>
        </w:rPr>
      </w:pPr>
    </w:p>
    <w:p>
      <w:pPr>
        <w:pStyle w:val="BodyText"/>
        <w:spacing w:before="6"/>
        <w:rPr>
          <w:b/>
          <w:sz w:val="13"/>
        </w:rPr>
      </w:pPr>
    </w:p>
    <w:tbl>
      <w:tblPr>
        <w:tblW w:w="0" w:type="auto"/>
        <w:jc w:val="left"/>
        <w:tblInd w:w="1444"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1183"/>
        <w:gridCol w:w="943"/>
        <w:gridCol w:w="943"/>
        <w:gridCol w:w="958"/>
        <w:gridCol w:w="943"/>
        <w:gridCol w:w="943"/>
        <w:gridCol w:w="958"/>
        <w:gridCol w:w="943"/>
      </w:tblGrid>
      <w:tr>
        <w:trPr>
          <w:trHeight w:val="448" w:hRule="atLeast"/>
        </w:trPr>
        <w:tc>
          <w:tcPr>
            <w:tcW w:w="1183" w:type="dxa"/>
            <w:vMerge w:val="restart"/>
            <w:tcBorders>
              <w:top w:val="nil"/>
              <w:left w:val="nil"/>
            </w:tcBorders>
          </w:tcPr>
          <w:p>
            <w:pPr>
              <w:pStyle w:val="TableParagraph"/>
              <w:rPr>
                <w:rFonts w:ascii="Times New Roman"/>
                <w:sz w:val="22"/>
              </w:rPr>
            </w:pPr>
          </w:p>
        </w:tc>
        <w:tc>
          <w:tcPr>
            <w:tcW w:w="6631" w:type="dxa"/>
            <w:gridSpan w:val="7"/>
            <w:tcBorders>
              <w:right w:val="nil"/>
            </w:tcBorders>
          </w:tcPr>
          <w:p>
            <w:pPr>
              <w:pStyle w:val="TableParagraph"/>
              <w:rPr>
                <w:rFonts w:ascii="Times New Roman"/>
                <w:sz w:val="22"/>
              </w:rPr>
            </w:pPr>
          </w:p>
        </w:tc>
      </w:tr>
      <w:tr>
        <w:trPr>
          <w:trHeight w:val="433" w:hRule="atLeast"/>
        </w:trPr>
        <w:tc>
          <w:tcPr>
            <w:tcW w:w="1183" w:type="dxa"/>
            <w:vMerge/>
            <w:tcBorders>
              <w:top w:val="nil"/>
              <w:left w:val="nil"/>
            </w:tcBorders>
          </w:tcPr>
          <w:p>
            <w:pPr>
              <w:rPr>
                <w:sz w:val="2"/>
                <w:szCs w:val="2"/>
              </w:rPr>
            </w:pPr>
          </w:p>
        </w:tc>
        <w:tc>
          <w:tcPr>
            <w:tcW w:w="6631" w:type="dxa"/>
            <w:gridSpan w:val="7"/>
            <w:tcBorders>
              <w:right w:val="nil"/>
            </w:tcBorders>
          </w:tcPr>
          <w:p>
            <w:pPr>
              <w:pStyle w:val="TableParagraph"/>
              <w:rPr>
                <w:rFonts w:ascii="Times New Roman"/>
                <w:sz w:val="22"/>
              </w:rPr>
            </w:pPr>
          </w:p>
        </w:tc>
      </w:tr>
      <w:tr>
        <w:trPr>
          <w:trHeight w:val="433" w:hRule="atLeast"/>
        </w:trPr>
        <w:tc>
          <w:tcPr>
            <w:tcW w:w="1183" w:type="dxa"/>
            <w:vMerge/>
            <w:tcBorders>
              <w:top w:val="nil"/>
              <w:left w:val="nil"/>
            </w:tcBorders>
          </w:tcPr>
          <w:p>
            <w:pPr>
              <w:rPr>
                <w:sz w:val="2"/>
                <w:szCs w:val="2"/>
              </w:rPr>
            </w:pPr>
          </w:p>
        </w:tc>
        <w:tc>
          <w:tcPr>
            <w:tcW w:w="6631" w:type="dxa"/>
            <w:gridSpan w:val="7"/>
            <w:tcBorders>
              <w:right w:val="nil"/>
            </w:tcBorders>
          </w:tcPr>
          <w:p>
            <w:pPr>
              <w:pStyle w:val="TableParagraph"/>
              <w:rPr>
                <w:rFonts w:ascii="Times New Roman"/>
                <w:sz w:val="22"/>
              </w:rPr>
            </w:pPr>
          </w:p>
        </w:tc>
      </w:tr>
      <w:tr>
        <w:trPr>
          <w:trHeight w:val="448" w:hRule="atLeast"/>
        </w:trPr>
        <w:tc>
          <w:tcPr>
            <w:tcW w:w="1183" w:type="dxa"/>
            <w:vMerge/>
            <w:tcBorders>
              <w:top w:val="nil"/>
              <w:left w:val="nil"/>
            </w:tcBorders>
          </w:tcPr>
          <w:p>
            <w:pPr>
              <w:rPr>
                <w:sz w:val="2"/>
                <w:szCs w:val="2"/>
              </w:rPr>
            </w:pPr>
          </w:p>
        </w:tc>
        <w:tc>
          <w:tcPr>
            <w:tcW w:w="6631" w:type="dxa"/>
            <w:gridSpan w:val="7"/>
            <w:tcBorders>
              <w:right w:val="nil"/>
            </w:tcBorders>
          </w:tcPr>
          <w:p>
            <w:pPr>
              <w:pStyle w:val="TableParagraph"/>
              <w:rPr>
                <w:rFonts w:ascii="Times New Roman"/>
                <w:sz w:val="22"/>
              </w:rPr>
            </w:pPr>
          </w:p>
        </w:tc>
      </w:tr>
      <w:tr>
        <w:trPr>
          <w:trHeight w:val="433" w:hRule="atLeast"/>
        </w:trPr>
        <w:tc>
          <w:tcPr>
            <w:tcW w:w="1183" w:type="dxa"/>
            <w:vMerge/>
            <w:tcBorders>
              <w:top w:val="nil"/>
              <w:left w:val="nil"/>
            </w:tcBorders>
          </w:tcPr>
          <w:p>
            <w:pPr>
              <w:rPr>
                <w:sz w:val="2"/>
                <w:szCs w:val="2"/>
              </w:rPr>
            </w:pPr>
          </w:p>
        </w:tc>
        <w:tc>
          <w:tcPr>
            <w:tcW w:w="6631" w:type="dxa"/>
            <w:gridSpan w:val="7"/>
            <w:tcBorders>
              <w:right w:val="nil"/>
            </w:tcBorders>
          </w:tcPr>
          <w:p>
            <w:pPr>
              <w:pStyle w:val="TableParagraph"/>
              <w:rPr>
                <w:rFonts w:ascii="Times New Roman"/>
                <w:sz w:val="22"/>
              </w:rPr>
            </w:pPr>
          </w:p>
        </w:tc>
      </w:tr>
      <w:tr>
        <w:trPr>
          <w:trHeight w:val="433" w:hRule="atLeast"/>
        </w:trPr>
        <w:tc>
          <w:tcPr>
            <w:tcW w:w="1183" w:type="dxa"/>
            <w:vMerge/>
            <w:tcBorders>
              <w:top w:val="nil"/>
              <w:left w:val="nil"/>
            </w:tcBorders>
          </w:tcPr>
          <w:p>
            <w:pPr>
              <w:rPr>
                <w:sz w:val="2"/>
                <w:szCs w:val="2"/>
              </w:rPr>
            </w:pPr>
          </w:p>
        </w:tc>
        <w:tc>
          <w:tcPr>
            <w:tcW w:w="6631" w:type="dxa"/>
            <w:gridSpan w:val="7"/>
            <w:tcBorders>
              <w:right w:val="nil"/>
            </w:tcBorders>
          </w:tcPr>
          <w:p>
            <w:pPr>
              <w:pStyle w:val="TableParagraph"/>
              <w:rPr>
                <w:rFonts w:ascii="Times New Roman"/>
                <w:sz w:val="22"/>
              </w:rPr>
            </w:pPr>
          </w:p>
        </w:tc>
      </w:tr>
      <w:tr>
        <w:trPr>
          <w:trHeight w:val="299" w:hRule="atLeast"/>
        </w:trPr>
        <w:tc>
          <w:tcPr>
            <w:tcW w:w="1183" w:type="dxa"/>
            <w:vMerge/>
            <w:tcBorders>
              <w:top w:val="nil"/>
              <w:left w:val="nil"/>
            </w:tcBorders>
          </w:tcPr>
          <w:p>
            <w:pPr>
              <w:rPr>
                <w:sz w:val="2"/>
                <w:szCs w:val="2"/>
              </w:rPr>
            </w:pPr>
          </w:p>
        </w:tc>
        <w:tc>
          <w:tcPr>
            <w:tcW w:w="943" w:type="dxa"/>
          </w:tcPr>
          <w:p>
            <w:pPr>
              <w:pStyle w:val="TableParagraph"/>
              <w:spacing w:before="39"/>
              <w:ind w:left="241" w:right="213"/>
              <w:jc w:val="center"/>
              <w:rPr>
                <w:b/>
                <w:sz w:val="19"/>
              </w:rPr>
            </w:pPr>
            <w:r>
              <w:rPr>
                <w:b/>
                <w:w w:val="105"/>
                <w:sz w:val="19"/>
              </w:rPr>
              <w:t>2019</w:t>
            </w:r>
          </w:p>
        </w:tc>
        <w:tc>
          <w:tcPr>
            <w:tcW w:w="943" w:type="dxa"/>
          </w:tcPr>
          <w:p>
            <w:pPr>
              <w:pStyle w:val="TableParagraph"/>
              <w:spacing w:before="39"/>
              <w:ind w:left="241" w:right="199"/>
              <w:jc w:val="center"/>
              <w:rPr>
                <w:b/>
                <w:sz w:val="19"/>
              </w:rPr>
            </w:pPr>
            <w:r>
              <w:rPr>
                <w:b/>
                <w:w w:val="105"/>
                <w:sz w:val="19"/>
              </w:rPr>
              <w:t>2020</w:t>
            </w:r>
          </w:p>
        </w:tc>
        <w:tc>
          <w:tcPr>
            <w:tcW w:w="958" w:type="dxa"/>
          </w:tcPr>
          <w:p>
            <w:pPr>
              <w:pStyle w:val="TableParagraph"/>
              <w:spacing w:before="39"/>
              <w:ind w:left="280"/>
              <w:rPr>
                <w:b/>
                <w:sz w:val="19"/>
              </w:rPr>
            </w:pPr>
            <w:r>
              <w:rPr>
                <w:b/>
                <w:w w:val="105"/>
                <w:sz w:val="19"/>
              </w:rPr>
              <w:t>2021</w:t>
            </w:r>
          </w:p>
        </w:tc>
        <w:tc>
          <w:tcPr>
            <w:tcW w:w="943" w:type="dxa"/>
          </w:tcPr>
          <w:p>
            <w:pPr>
              <w:pStyle w:val="TableParagraph"/>
              <w:spacing w:before="39"/>
              <w:ind w:left="241" w:right="209"/>
              <w:jc w:val="center"/>
              <w:rPr>
                <w:b/>
                <w:sz w:val="19"/>
              </w:rPr>
            </w:pPr>
            <w:r>
              <w:rPr>
                <w:b/>
                <w:w w:val="105"/>
                <w:sz w:val="19"/>
              </w:rPr>
              <w:t>2022</w:t>
            </w:r>
          </w:p>
        </w:tc>
        <w:tc>
          <w:tcPr>
            <w:tcW w:w="943" w:type="dxa"/>
          </w:tcPr>
          <w:p>
            <w:pPr>
              <w:pStyle w:val="TableParagraph"/>
              <w:spacing w:before="39"/>
              <w:ind w:left="241" w:right="195"/>
              <w:jc w:val="center"/>
              <w:rPr>
                <w:b/>
                <w:sz w:val="19"/>
              </w:rPr>
            </w:pPr>
            <w:r>
              <w:rPr>
                <w:b/>
                <w:w w:val="105"/>
                <w:sz w:val="19"/>
              </w:rPr>
              <w:t>2023</w:t>
            </w:r>
          </w:p>
        </w:tc>
        <w:tc>
          <w:tcPr>
            <w:tcW w:w="958" w:type="dxa"/>
          </w:tcPr>
          <w:p>
            <w:pPr>
              <w:pStyle w:val="TableParagraph"/>
              <w:spacing w:before="39"/>
              <w:ind w:left="282"/>
              <w:rPr>
                <w:b/>
                <w:sz w:val="19"/>
              </w:rPr>
            </w:pPr>
            <w:r>
              <w:rPr>
                <w:b/>
                <w:w w:val="105"/>
                <w:sz w:val="19"/>
              </w:rPr>
              <w:t>2024</w:t>
            </w:r>
          </w:p>
        </w:tc>
        <w:tc>
          <w:tcPr>
            <w:tcW w:w="943" w:type="dxa"/>
          </w:tcPr>
          <w:p>
            <w:pPr>
              <w:pStyle w:val="TableParagraph"/>
              <w:spacing w:before="39"/>
              <w:ind w:left="272"/>
              <w:rPr>
                <w:b/>
                <w:sz w:val="19"/>
              </w:rPr>
            </w:pPr>
            <w:r>
              <w:rPr>
                <w:b/>
                <w:w w:val="105"/>
                <w:sz w:val="19"/>
              </w:rPr>
              <w:t>2025</w:t>
            </w:r>
          </w:p>
        </w:tc>
      </w:tr>
      <w:tr>
        <w:trPr>
          <w:trHeight w:val="284" w:hRule="atLeast"/>
        </w:trPr>
        <w:tc>
          <w:tcPr>
            <w:tcW w:w="1183" w:type="dxa"/>
          </w:tcPr>
          <w:p>
            <w:pPr>
              <w:pStyle w:val="TableParagraph"/>
              <w:spacing w:before="30"/>
              <w:ind w:left="243"/>
              <w:rPr>
                <w:b/>
                <w:sz w:val="19"/>
              </w:rPr>
            </w:pPr>
            <w:r>
              <w:rPr>
                <w:b/>
                <w:w w:val="105"/>
                <w:sz w:val="19"/>
              </w:rPr>
              <w:t>Bajo</w:t>
            </w:r>
          </w:p>
        </w:tc>
        <w:tc>
          <w:tcPr>
            <w:tcW w:w="943" w:type="dxa"/>
          </w:tcPr>
          <w:p>
            <w:pPr>
              <w:pStyle w:val="TableParagraph"/>
              <w:rPr>
                <w:rFonts w:ascii="Times New Roman"/>
                <w:sz w:val="20"/>
              </w:rPr>
            </w:pPr>
          </w:p>
        </w:tc>
        <w:tc>
          <w:tcPr>
            <w:tcW w:w="943" w:type="dxa"/>
          </w:tcPr>
          <w:p>
            <w:pPr>
              <w:pStyle w:val="TableParagraph"/>
              <w:rPr>
                <w:rFonts w:ascii="Times New Roman"/>
                <w:sz w:val="20"/>
              </w:rPr>
            </w:pPr>
          </w:p>
        </w:tc>
        <w:tc>
          <w:tcPr>
            <w:tcW w:w="958" w:type="dxa"/>
          </w:tcPr>
          <w:p>
            <w:pPr>
              <w:pStyle w:val="TableParagraph"/>
              <w:rPr>
                <w:rFonts w:ascii="Times New Roman"/>
                <w:sz w:val="20"/>
              </w:rPr>
            </w:pPr>
          </w:p>
        </w:tc>
        <w:tc>
          <w:tcPr>
            <w:tcW w:w="943" w:type="dxa"/>
          </w:tcPr>
          <w:p>
            <w:pPr>
              <w:pStyle w:val="TableParagraph"/>
              <w:spacing w:line="229" w:lineRule="exact" w:before="35"/>
              <w:ind w:left="221" w:right="218"/>
              <w:jc w:val="center"/>
              <w:rPr>
                <w:b/>
                <w:sz w:val="19"/>
              </w:rPr>
            </w:pPr>
            <w:r>
              <w:rPr>
                <w:b/>
                <w:w w:val="105"/>
                <w:sz w:val="19"/>
              </w:rPr>
              <w:t>3.0</w:t>
            </w:r>
          </w:p>
        </w:tc>
        <w:tc>
          <w:tcPr>
            <w:tcW w:w="943" w:type="dxa"/>
          </w:tcPr>
          <w:p>
            <w:pPr>
              <w:pStyle w:val="TableParagraph"/>
              <w:spacing w:line="229" w:lineRule="exact" w:before="35"/>
              <w:ind w:left="232" w:right="218"/>
              <w:jc w:val="center"/>
              <w:rPr>
                <w:b/>
                <w:sz w:val="19"/>
              </w:rPr>
            </w:pPr>
            <w:r>
              <w:rPr>
                <w:b/>
                <w:w w:val="105"/>
                <w:sz w:val="19"/>
              </w:rPr>
              <w:t>3.0</w:t>
            </w:r>
          </w:p>
        </w:tc>
        <w:tc>
          <w:tcPr>
            <w:tcW w:w="958" w:type="dxa"/>
          </w:tcPr>
          <w:p>
            <w:pPr>
              <w:pStyle w:val="TableParagraph"/>
              <w:spacing w:line="229" w:lineRule="exact" w:before="35"/>
              <w:ind w:left="345"/>
              <w:rPr>
                <w:b/>
                <w:sz w:val="19"/>
              </w:rPr>
            </w:pPr>
            <w:r>
              <w:rPr>
                <w:b/>
                <w:w w:val="105"/>
                <w:sz w:val="19"/>
              </w:rPr>
              <w:t>3.0</w:t>
            </w:r>
          </w:p>
        </w:tc>
        <w:tc>
          <w:tcPr>
            <w:tcW w:w="943" w:type="dxa"/>
          </w:tcPr>
          <w:p>
            <w:pPr>
              <w:pStyle w:val="TableParagraph"/>
              <w:spacing w:line="229" w:lineRule="exact" w:before="35"/>
              <w:ind w:left="336"/>
              <w:rPr>
                <w:b/>
                <w:sz w:val="19"/>
              </w:rPr>
            </w:pPr>
            <w:r>
              <w:rPr>
                <w:b/>
                <w:w w:val="105"/>
                <w:sz w:val="19"/>
              </w:rPr>
              <w:t>3.0</w:t>
            </w:r>
          </w:p>
        </w:tc>
      </w:tr>
      <w:tr>
        <w:trPr>
          <w:trHeight w:val="299" w:hRule="atLeast"/>
        </w:trPr>
        <w:tc>
          <w:tcPr>
            <w:tcW w:w="1183" w:type="dxa"/>
          </w:tcPr>
          <w:p>
            <w:pPr>
              <w:pStyle w:val="TableParagraph"/>
              <w:spacing w:before="42"/>
              <w:ind w:left="238"/>
              <w:rPr>
                <w:b/>
                <w:sz w:val="19"/>
              </w:rPr>
            </w:pPr>
            <w:r>
              <w:rPr>
                <w:b/>
                <w:w w:val="105"/>
                <w:sz w:val="19"/>
              </w:rPr>
              <w:t>Medio</w:t>
            </w:r>
          </w:p>
        </w:tc>
        <w:tc>
          <w:tcPr>
            <w:tcW w:w="943" w:type="dxa"/>
          </w:tcPr>
          <w:p>
            <w:pPr>
              <w:pStyle w:val="TableParagraph"/>
              <w:rPr>
                <w:rFonts w:ascii="Times New Roman"/>
                <w:sz w:val="22"/>
              </w:rPr>
            </w:pPr>
          </w:p>
        </w:tc>
        <w:tc>
          <w:tcPr>
            <w:tcW w:w="943" w:type="dxa"/>
          </w:tcPr>
          <w:p>
            <w:pPr>
              <w:pStyle w:val="TableParagraph"/>
              <w:spacing w:line="232" w:lineRule="exact" w:before="47"/>
              <w:ind w:left="228" w:right="218"/>
              <w:jc w:val="center"/>
              <w:rPr>
                <w:b/>
                <w:sz w:val="19"/>
              </w:rPr>
            </w:pPr>
            <w:r>
              <w:rPr>
                <w:b/>
                <w:w w:val="105"/>
                <w:sz w:val="19"/>
              </w:rPr>
              <w:t>2.0</w:t>
            </w:r>
          </w:p>
        </w:tc>
        <w:tc>
          <w:tcPr>
            <w:tcW w:w="958" w:type="dxa"/>
          </w:tcPr>
          <w:p>
            <w:pPr>
              <w:pStyle w:val="TableParagraph"/>
              <w:spacing w:line="232" w:lineRule="exact" w:before="47"/>
              <w:ind w:left="343"/>
              <w:rPr>
                <w:b/>
                <w:sz w:val="19"/>
              </w:rPr>
            </w:pPr>
            <w:r>
              <w:rPr>
                <w:b/>
                <w:w w:val="105"/>
                <w:sz w:val="19"/>
              </w:rPr>
              <w:t>4.5</w:t>
            </w:r>
          </w:p>
        </w:tc>
        <w:tc>
          <w:tcPr>
            <w:tcW w:w="943" w:type="dxa"/>
          </w:tcPr>
          <w:p>
            <w:pPr>
              <w:pStyle w:val="TableParagraph"/>
              <w:spacing w:line="232" w:lineRule="exact" w:before="47"/>
              <w:ind w:left="221" w:right="218"/>
              <w:jc w:val="center"/>
              <w:rPr>
                <w:b/>
                <w:sz w:val="19"/>
              </w:rPr>
            </w:pPr>
            <w:r>
              <w:rPr>
                <w:b/>
                <w:w w:val="105"/>
                <w:sz w:val="19"/>
              </w:rPr>
              <w:t>4.0</w:t>
            </w:r>
          </w:p>
        </w:tc>
        <w:tc>
          <w:tcPr>
            <w:tcW w:w="943" w:type="dxa"/>
          </w:tcPr>
          <w:p>
            <w:pPr>
              <w:pStyle w:val="TableParagraph"/>
              <w:spacing w:line="232" w:lineRule="exact" w:before="47"/>
              <w:ind w:left="232" w:right="218"/>
              <w:jc w:val="center"/>
              <w:rPr>
                <w:b/>
                <w:sz w:val="19"/>
              </w:rPr>
            </w:pPr>
            <w:r>
              <w:rPr>
                <w:b/>
                <w:w w:val="105"/>
                <w:sz w:val="19"/>
              </w:rPr>
              <w:t>4.0</w:t>
            </w:r>
          </w:p>
        </w:tc>
        <w:tc>
          <w:tcPr>
            <w:tcW w:w="958" w:type="dxa"/>
          </w:tcPr>
          <w:p>
            <w:pPr>
              <w:pStyle w:val="TableParagraph"/>
              <w:spacing w:line="232" w:lineRule="exact" w:before="47"/>
              <w:ind w:left="345"/>
              <w:rPr>
                <w:b/>
                <w:sz w:val="19"/>
              </w:rPr>
            </w:pPr>
            <w:r>
              <w:rPr>
                <w:b/>
                <w:w w:val="105"/>
                <w:sz w:val="19"/>
              </w:rPr>
              <w:t>4.0</w:t>
            </w:r>
          </w:p>
        </w:tc>
        <w:tc>
          <w:tcPr>
            <w:tcW w:w="943" w:type="dxa"/>
          </w:tcPr>
          <w:p>
            <w:pPr>
              <w:pStyle w:val="TableParagraph"/>
              <w:spacing w:line="232" w:lineRule="exact" w:before="47"/>
              <w:ind w:left="336"/>
              <w:rPr>
                <w:b/>
                <w:sz w:val="19"/>
              </w:rPr>
            </w:pPr>
            <w:r>
              <w:rPr>
                <w:b/>
                <w:w w:val="105"/>
                <w:sz w:val="19"/>
              </w:rPr>
              <w:t>4.0</w:t>
            </w:r>
          </w:p>
        </w:tc>
      </w:tr>
      <w:tr>
        <w:trPr>
          <w:trHeight w:val="299" w:hRule="atLeast"/>
        </w:trPr>
        <w:tc>
          <w:tcPr>
            <w:tcW w:w="1183" w:type="dxa"/>
          </w:tcPr>
          <w:p>
            <w:pPr>
              <w:pStyle w:val="TableParagraph"/>
              <w:spacing w:before="40"/>
              <w:ind w:left="233"/>
              <w:rPr>
                <w:b/>
                <w:sz w:val="19"/>
              </w:rPr>
            </w:pPr>
            <w:r>
              <w:rPr>
                <w:b/>
                <w:w w:val="105"/>
                <w:sz w:val="19"/>
              </w:rPr>
              <w:t>Alto</w:t>
            </w:r>
          </w:p>
        </w:tc>
        <w:tc>
          <w:tcPr>
            <w:tcW w:w="943" w:type="dxa"/>
          </w:tcPr>
          <w:p>
            <w:pPr>
              <w:pStyle w:val="TableParagraph"/>
              <w:rPr>
                <w:rFonts w:ascii="Times New Roman"/>
                <w:sz w:val="22"/>
              </w:rPr>
            </w:pPr>
          </w:p>
        </w:tc>
        <w:tc>
          <w:tcPr>
            <w:tcW w:w="943" w:type="dxa"/>
          </w:tcPr>
          <w:p>
            <w:pPr>
              <w:pStyle w:val="TableParagraph"/>
              <w:rPr>
                <w:rFonts w:ascii="Times New Roman"/>
                <w:sz w:val="22"/>
              </w:rPr>
            </w:pPr>
          </w:p>
        </w:tc>
        <w:tc>
          <w:tcPr>
            <w:tcW w:w="958" w:type="dxa"/>
          </w:tcPr>
          <w:p>
            <w:pPr>
              <w:pStyle w:val="TableParagraph"/>
              <w:rPr>
                <w:rFonts w:ascii="Times New Roman"/>
                <w:sz w:val="22"/>
              </w:rPr>
            </w:pPr>
          </w:p>
        </w:tc>
        <w:tc>
          <w:tcPr>
            <w:tcW w:w="943" w:type="dxa"/>
          </w:tcPr>
          <w:p>
            <w:pPr>
              <w:pStyle w:val="TableParagraph"/>
              <w:spacing w:before="45"/>
              <w:ind w:left="221" w:right="218"/>
              <w:jc w:val="center"/>
              <w:rPr>
                <w:b/>
                <w:sz w:val="19"/>
              </w:rPr>
            </w:pPr>
            <w:r>
              <w:rPr>
                <w:b/>
                <w:w w:val="105"/>
                <w:sz w:val="19"/>
              </w:rPr>
              <w:t>5.0</w:t>
            </w:r>
          </w:p>
        </w:tc>
        <w:tc>
          <w:tcPr>
            <w:tcW w:w="943" w:type="dxa"/>
          </w:tcPr>
          <w:p>
            <w:pPr>
              <w:pStyle w:val="TableParagraph"/>
              <w:spacing w:before="45"/>
              <w:ind w:left="232" w:right="218"/>
              <w:jc w:val="center"/>
              <w:rPr>
                <w:b/>
                <w:sz w:val="19"/>
              </w:rPr>
            </w:pPr>
            <w:r>
              <w:rPr>
                <w:b/>
                <w:w w:val="105"/>
                <w:sz w:val="19"/>
              </w:rPr>
              <w:t>5.0</w:t>
            </w:r>
          </w:p>
        </w:tc>
        <w:tc>
          <w:tcPr>
            <w:tcW w:w="958" w:type="dxa"/>
          </w:tcPr>
          <w:p>
            <w:pPr>
              <w:pStyle w:val="TableParagraph"/>
              <w:spacing w:before="45"/>
              <w:ind w:left="345"/>
              <w:rPr>
                <w:b/>
                <w:sz w:val="19"/>
              </w:rPr>
            </w:pPr>
            <w:r>
              <w:rPr>
                <w:b/>
                <w:w w:val="105"/>
                <w:sz w:val="19"/>
              </w:rPr>
              <w:t>5.0</w:t>
            </w:r>
          </w:p>
        </w:tc>
        <w:tc>
          <w:tcPr>
            <w:tcW w:w="943" w:type="dxa"/>
          </w:tcPr>
          <w:p>
            <w:pPr>
              <w:pStyle w:val="TableParagraph"/>
              <w:spacing w:before="45"/>
              <w:ind w:left="336"/>
              <w:rPr>
                <w:b/>
                <w:sz w:val="19"/>
              </w:rPr>
            </w:pPr>
            <w:r>
              <w:rPr>
                <w:b/>
                <w:w w:val="105"/>
                <w:sz w:val="19"/>
              </w:rPr>
              <w:t>5.0</w:t>
            </w:r>
          </w:p>
        </w:tc>
      </w:tr>
      <w:tr>
        <w:trPr>
          <w:trHeight w:val="299" w:hRule="atLeast"/>
        </w:trPr>
        <w:tc>
          <w:tcPr>
            <w:tcW w:w="1183" w:type="dxa"/>
          </w:tcPr>
          <w:p>
            <w:pPr>
              <w:pStyle w:val="TableParagraph"/>
              <w:spacing w:before="37"/>
              <w:ind w:left="240"/>
              <w:rPr>
                <w:b/>
                <w:sz w:val="19"/>
              </w:rPr>
            </w:pPr>
            <w:r>
              <w:rPr>
                <w:b/>
                <w:w w:val="105"/>
                <w:sz w:val="19"/>
              </w:rPr>
              <w:t>Observado</w:t>
            </w:r>
          </w:p>
        </w:tc>
        <w:tc>
          <w:tcPr>
            <w:tcW w:w="943" w:type="dxa"/>
          </w:tcPr>
          <w:p>
            <w:pPr>
              <w:pStyle w:val="TableParagraph"/>
              <w:spacing w:before="42"/>
              <w:ind w:left="218" w:right="218"/>
              <w:jc w:val="center"/>
              <w:rPr>
                <w:b/>
                <w:sz w:val="19"/>
              </w:rPr>
            </w:pPr>
            <w:r>
              <w:rPr>
                <w:b/>
                <w:w w:val="105"/>
                <w:sz w:val="19"/>
              </w:rPr>
              <w:t>3.4</w:t>
            </w:r>
          </w:p>
        </w:tc>
        <w:tc>
          <w:tcPr>
            <w:tcW w:w="943" w:type="dxa"/>
          </w:tcPr>
          <w:p>
            <w:pPr>
              <w:pStyle w:val="TableParagraph"/>
              <w:rPr>
                <w:rFonts w:ascii="Times New Roman"/>
                <w:sz w:val="22"/>
              </w:rPr>
            </w:pPr>
          </w:p>
        </w:tc>
        <w:tc>
          <w:tcPr>
            <w:tcW w:w="958" w:type="dxa"/>
          </w:tcPr>
          <w:p>
            <w:pPr>
              <w:pStyle w:val="TableParagraph"/>
              <w:rPr>
                <w:rFonts w:ascii="Times New Roman"/>
                <w:sz w:val="22"/>
              </w:rPr>
            </w:pPr>
          </w:p>
        </w:tc>
        <w:tc>
          <w:tcPr>
            <w:tcW w:w="943" w:type="dxa"/>
          </w:tcPr>
          <w:p>
            <w:pPr>
              <w:pStyle w:val="TableParagraph"/>
              <w:rPr>
                <w:rFonts w:ascii="Times New Roman"/>
                <w:sz w:val="22"/>
              </w:rPr>
            </w:pPr>
          </w:p>
        </w:tc>
        <w:tc>
          <w:tcPr>
            <w:tcW w:w="943" w:type="dxa"/>
          </w:tcPr>
          <w:p>
            <w:pPr>
              <w:pStyle w:val="TableParagraph"/>
              <w:rPr>
                <w:rFonts w:ascii="Times New Roman"/>
                <w:sz w:val="22"/>
              </w:rPr>
            </w:pPr>
          </w:p>
        </w:tc>
        <w:tc>
          <w:tcPr>
            <w:tcW w:w="958" w:type="dxa"/>
          </w:tcPr>
          <w:p>
            <w:pPr>
              <w:pStyle w:val="TableParagraph"/>
              <w:rPr>
                <w:rFonts w:ascii="Times New Roman"/>
                <w:sz w:val="22"/>
              </w:rPr>
            </w:pPr>
          </w:p>
        </w:tc>
        <w:tc>
          <w:tcPr>
            <w:tcW w:w="943" w:type="dxa"/>
          </w:tcPr>
          <w:p>
            <w:pPr>
              <w:pStyle w:val="TableParagraph"/>
              <w:rPr>
                <w:rFonts w:ascii="Times New Roman"/>
                <w:sz w:val="22"/>
              </w:rPr>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5"/>
        </w:rPr>
      </w:pPr>
    </w:p>
    <w:p>
      <w:pPr>
        <w:spacing w:before="52"/>
        <w:ind w:left="1039" w:right="0" w:firstLine="0"/>
        <w:jc w:val="both"/>
        <w:rPr>
          <w:b/>
          <w:sz w:val="24"/>
        </w:rPr>
      </w:pPr>
      <w:bookmarkStart w:name="3.4. Tasa de Interés" w:id="27"/>
      <w:bookmarkEnd w:id="27"/>
      <w:r>
        <w:rPr/>
      </w:r>
      <w:bookmarkStart w:name="_bookmark9" w:id="28"/>
      <w:bookmarkEnd w:id="28"/>
      <w:r>
        <w:rPr/>
      </w:r>
      <w:r>
        <w:rPr>
          <w:b/>
          <w:sz w:val="24"/>
        </w:rPr>
        <w:t>3.4. Tasa de Interés</w:t>
      </w:r>
    </w:p>
    <w:p>
      <w:pPr>
        <w:spacing w:line="276" w:lineRule="auto" w:before="106"/>
        <w:ind w:left="1400" w:right="1698" w:firstLine="0"/>
        <w:jc w:val="both"/>
        <w:rPr>
          <w:sz w:val="22"/>
        </w:rPr>
      </w:pPr>
      <w:r>
        <w:rPr>
          <w:sz w:val="22"/>
        </w:rPr>
        <w:t>La Autoridad Monetaria indicó en su Boletín de Junio.2020, “que la reducción de la tasa de interés líder, en términos generales, busca inducir una disminución en el costo del crédito para las empresas y para los hogares y, consecuentemente, contribuir a impulsar el proceso de recuperación de la actividad</w:t>
      </w:r>
      <w:r>
        <w:rPr>
          <w:spacing w:val="-16"/>
          <w:sz w:val="22"/>
        </w:rPr>
        <w:t> </w:t>
      </w:r>
      <w:r>
        <w:rPr>
          <w:sz w:val="22"/>
        </w:rPr>
        <w:t>económica.”</w:t>
      </w:r>
    </w:p>
    <w:p>
      <w:pPr>
        <w:pStyle w:val="BodyText"/>
        <w:spacing w:before="4"/>
        <w:rPr>
          <w:sz w:val="16"/>
        </w:rPr>
      </w:pPr>
    </w:p>
    <w:p>
      <w:pPr>
        <w:spacing w:line="276" w:lineRule="auto" w:before="0"/>
        <w:ind w:left="1400" w:right="1697" w:firstLine="0"/>
        <w:jc w:val="both"/>
        <w:rPr>
          <w:sz w:val="22"/>
        </w:rPr>
      </w:pPr>
      <w:r>
        <w:rPr/>
        <w:pict>
          <v:shape style="position:absolute;margin-left:531.919678pt;margin-top:95.923622pt;width:27.9pt;height:58.2pt;mso-position-horizontal-relative:page;mso-position-vertical-relative:paragraph;z-index:251695104" type="#_x0000_t202" filled="false" stroked="false">
            <v:textbox inset="0,0,0,0" style="layout-flow:vertical;mso-layout-flow-alt:bottom-to-top">
              <w:txbxContent>
                <w:p>
                  <w:pPr>
                    <w:spacing w:before="21"/>
                    <w:ind w:left="20" w:right="0" w:firstLine="0"/>
                    <w:jc w:val="left"/>
                    <w:rPr>
                      <w:rFonts w:ascii="Cambria" w:hAnsi="Cambria"/>
                      <w:sz w:val="44"/>
                    </w:rPr>
                  </w:pPr>
                  <w:r>
                    <w:rPr>
                      <w:rFonts w:ascii="Cambria" w:hAnsi="Cambria"/>
                      <w:sz w:val="22"/>
                    </w:rPr>
                    <w:t>Página</w:t>
                  </w:r>
                  <w:r>
                    <w:rPr>
                      <w:rFonts w:ascii="Cambria" w:hAnsi="Cambria"/>
                      <w:sz w:val="44"/>
                    </w:rPr>
                    <w:t>13</w:t>
                  </w:r>
                </w:p>
              </w:txbxContent>
            </v:textbox>
            <w10:wrap type="none"/>
          </v:shape>
        </w:pict>
      </w:r>
      <w:r>
        <w:rPr>
          <w:sz w:val="22"/>
        </w:rPr>
        <w:t>Asimismo, que la Junta Monetaria, en su sesión de junio 2020, luego de analizar la coyuntura económica externa e interna, y de evaluar el Balance de Riesgos de Inflación, decidió, por unanimidad, “reducir el nivel de la tasa de interés líder de política monetaria en 25 puntos básicos, de 2.00% a 1.75%”.</w:t>
      </w:r>
    </w:p>
    <w:p>
      <w:pPr>
        <w:spacing w:after="0" w:line="276" w:lineRule="auto"/>
        <w:jc w:val="both"/>
        <w:rPr>
          <w:sz w:val="22"/>
        </w:rPr>
        <w:sectPr>
          <w:pgSz w:w="11910" w:h="16840"/>
          <w:pgMar w:header="1045" w:footer="872" w:top="2280" w:bottom="1060" w:left="660" w:right="0"/>
        </w:sectPr>
      </w:pPr>
    </w:p>
    <w:p>
      <w:pPr>
        <w:pStyle w:val="BodyText"/>
        <w:rPr>
          <w:sz w:val="20"/>
        </w:rPr>
      </w:pPr>
      <w:r>
        <w:rPr/>
        <w:pict>
          <v:shape style="position:absolute;margin-left:94.606117pt;margin-top:431.717926pt;width:9.75pt;height:36.65pt;mso-position-horizontal-relative:page;mso-position-vertical-relative:page;z-index:251716608" type="#_x0000_t202" filled="false" stroked="false">
            <v:textbox inset="0,0,0,0" style="layout-flow:vertical;mso-layout-flow-alt:bottom-to-top">
              <w:txbxContent>
                <w:p>
                  <w:pPr>
                    <w:spacing w:line="176" w:lineRule="exact" w:before="0"/>
                    <w:ind w:left="20" w:right="0" w:firstLine="0"/>
                    <w:jc w:val="left"/>
                    <w:rPr>
                      <w:b/>
                      <w:sz w:val="15"/>
                    </w:rPr>
                  </w:pPr>
                  <w:r>
                    <w:rPr>
                      <w:b/>
                      <w:sz w:val="15"/>
                    </w:rPr>
                    <w:t>Porcentaje</w:t>
                  </w:r>
                </w:p>
              </w:txbxContent>
            </v:textbox>
            <w10:wrap type="none"/>
          </v:shape>
        </w:pict>
      </w:r>
    </w:p>
    <w:p>
      <w:pPr>
        <w:pStyle w:val="BodyText"/>
        <w:rPr>
          <w:sz w:val="20"/>
        </w:rPr>
      </w:pPr>
    </w:p>
    <w:p>
      <w:pPr>
        <w:pStyle w:val="BodyText"/>
        <w:spacing w:before="8"/>
        <w:rPr>
          <w:sz w:val="19"/>
        </w:rPr>
      </w:pPr>
    </w:p>
    <w:p>
      <w:pPr>
        <w:pStyle w:val="ListParagraph"/>
        <w:numPr>
          <w:ilvl w:val="1"/>
          <w:numId w:val="6"/>
        </w:numPr>
        <w:tabs>
          <w:tab w:pos="1396" w:val="left" w:leader="none"/>
        </w:tabs>
        <w:spacing w:line="240" w:lineRule="auto" w:before="52" w:after="0"/>
        <w:ind w:left="1395" w:right="0" w:hanging="357"/>
        <w:jc w:val="both"/>
        <w:rPr>
          <w:b/>
          <w:sz w:val="24"/>
        </w:rPr>
      </w:pPr>
      <w:bookmarkStart w:name="3.5 Déficit Fiscal" w:id="29"/>
      <w:bookmarkEnd w:id="29"/>
      <w:r>
        <w:rPr/>
      </w:r>
      <w:bookmarkStart w:name="_bookmark10" w:id="30"/>
      <w:bookmarkEnd w:id="30"/>
      <w:r>
        <w:rPr/>
      </w:r>
      <w:bookmarkStart w:name="_bookmark10" w:id="31"/>
      <w:bookmarkEnd w:id="31"/>
      <w:r>
        <w:rPr>
          <w:b/>
          <w:sz w:val="24"/>
        </w:rPr>
        <w:t>D</w:t>
      </w:r>
      <w:r>
        <w:rPr>
          <w:b/>
          <w:sz w:val="24"/>
        </w:rPr>
        <w:t>éficit</w:t>
      </w:r>
      <w:r>
        <w:rPr>
          <w:b/>
          <w:spacing w:val="-4"/>
          <w:sz w:val="24"/>
        </w:rPr>
        <w:t> </w:t>
      </w:r>
      <w:r>
        <w:rPr>
          <w:b/>
          <w:sz w:val="24"/>
        </w:rPr>
        <w:t>Fiscal</w:t>
      </w:r>
    </w:p>
    <w:p>
      <w:pPr>
        <w:pStyle w:val="BodyText"/>
        <w:spacing w:line="276" w:lineRule="auto" w:before="105"/>
        <w:ind w:left="1039" w:right="1701"/>
        <w:jc w:val="both"/>
      </w:pPr>
      <w:r>
        <w:rPr/>
        <w:t>Derivado de la baja en la recaudación tributaria que deviene de la crisis sanitaria y consecuentemente de la baja en la actividad económica, se considera que el déficit fiscal aumentará al cierre de 2020, estando por precisarse aún las estimaciones para el período 2021-2025. No obstante, se considera que el espacio y la disciplina fiscal dan margen para aumentar temporalmente el déficit fiscal en un nivel técnicamente aceptable.</w:t>
      </w:r>
    </w:p>
    <w:p>
      <w:pPr>
        <w:spacing w:before="202"/>
        <w:ind w:left="2542" w:right="3198" w:firstLine="0"/>
        <w:jc w:val="center"/>
        <w:rPr>
          <w:b/>
          <w:sz w:val="24"/>
        </w:rPr>
      </w:pPr>
      <w:r>
        <w:rPr/>
        <w:pict>
          <v:group style="position:absolute;margin-left:85.374542pt;margin-top:36.964119pt;width:424.5pt;height:265.850pt;mso-position-horizontal-relative:page;mso-position-vertical-relative:paragraph;z-index:251715584" coordorigin="1707,739" coordsize="8490,5317">
            <v:rect style="position:absolute;left:2458;top:1635;width:7358;height:3759" filled="true" fillcolor="#fafde1" stroked="false">
              <v:fill type="solid"/>
            </v:rect>
            <v:shape style="position:absolute;left:971;top:5630;width:9507;height:4172" coordorigin="971,5631" coordsize="9507,4172" path="m2458,4858l9816,4858m2458,4320l9816,4320m2458,3782l9816,3782m2458,3246l9816,3246m2458,2709l9816,2709m2458,2171l9816,2171m2458,1635l9816,1635e" filled="false" stroked="true" strokeweight=".579964pt" strokecolor="#858585">
              <v:path arrowok="t"/>
              <v:stroke dashstyle="solid"/>
            </v:shape>
            <v:shape style="position:absolute;left:2590;top:1826;width:7094;height:3579" type="#_x0000_t75" stroked="false">
              <v:imagedata r:id="rId125" o:title=""/>
            </v:shape>
            <v:shape style="position:absolute;left:2638;top:1844;width:6998;height:3555" type="#_x0000_t75" stroked="false">
              <v:imagedata r:id="rId126" o:title=""/>
            </v:shape>
            <v:shape style="position:absolute;left:908;top:5630;width:9569;height:4930" coordorigin="909,5631" coordsize="9569,4930" path="m2458,5394l2458,1635m2410,5394l2458,5394m2410,4858l2458,4858m2410,4320l2458,4320m2410,3782l2458,3782m2410,3246l2458,3246m2410,2709l2458,2709m2410,2171l2458,2171m2410,1635l2458,1635m2458,5394l9816,5394m2458,5394l2458,5444m3071,5394l3071,5444m3684,5394l3684,5444m4297,5394l4297,5444m4910,5394l4910,5444m5523,5394l5523,5444m6138,5394l6138,5444m6751,5394l6751,5444m7364,5394l7364,5444m7977,5394l7977,5444m8590,5394l8590,5444m9203,5394l9203,5444m9816,5394l9816,5444e" filled="false" stroked="true" strokeweight=".579964pt" strokecolor="#858585">
              <v:path arrowok="t"/>
              <v:stroke dashstyle="solid"/>
            </v:shape>
            <v:rect style="position:absolute;left:1713;top:745;width:8478;height:5305" filled="false" stroked="true" strokeweight=".579738pt" strokecolor="#858585">
              <v:stroke dashstyle="solid"/>
            </v:rect>
            <v:shape style="position:absolute;left:9286;top:1673;width:577;height:698" coordorigin="9287,1673" coordsize="577,698" path="m9824,1720l9796,1731,9287,2351,9311,2371,9820,1751,9824,1720xm9861,1687l9832,1687,9856,1707,9820,1751,9812,1800,9810,1809,9816,1817,9833,1819,9841,1814,9842,1805,9861,1687xm9863,1673l9730,1723,9726,1732,9728,1740,9732,1748,9740,1752,9748,1749,9796,1731,9832,1687,9861,1687,9863,1673xm9841,1694l9828,1694,9849,1711,9824,1720,9820,1751,9856,1707,9841,1694xm9832,1687l9796,1731,9824,1720,9828,1694,9841,1694,9832,1687xm9828,1694l9824,1720,9849,1711,9828,1694xe" filled="true" fillcolor="#bd4a47" stroked="false">
              <v:path arrowok="t"/>
              <v:fill type="solid"/>
            </v:shape>
            <v:line style="position:absolute" from="2468,3205" to="9735,3273" stroked="true" strokeweight="1.352044pt" strokecolor="#c00000">
              <v:stroke dashstyle="longdash"/>
            </v:line>
            <v:shape style="position:absolute;left:1824;top:3985;width:7863;height:1967" type="#_x0000_t202" filled="false" stroked="false">
              <v:textbox inset="0,0,0,0">
                <w:txbxContent>
                  <w:p>
                    <w:pPr>
                      <w:spacing w:line="156" w:lineRule="exact" w:before="0"/>
                      <w:ind w:left="5133" w:right="0" w:firstLine="0"/>
                      <w:jc w:val="left"/>
                      <w:rPr>
                        <w:b/>
                        <w:sz w:val="15"/>
                      </w:rPr>
                    </w:pPr>
                    <w:r>
                      <w:rPr>
                        <w:b/>
                        <w:w w:val="105"/>
                        <w:sz w:val="15"/>
                      </w:rPr>
                      <w:t>1.1</w:t>
                    </w:r>
                  </w:p>
                  <w:p>
                    <w:pPr>
                      <w:spacing w:before="80"/>
                      <w:ind w:left="412" w:right="0" w:firstLine="0"/>
                      <w:jc w:val="left"/>
                      <w:rPr>
                        <w:b/>
                        <w:sz w:val="15"/>
                      </w:rPr>
                    </w:pPr>
                    <w:r>
                      <w:rPr>
                        <w:b/>
                        <w:w w:val="102"/>
                        <w:sz w:val="15"/>
                      </w:rPr>
                      <w:t>1</w:t>
                    </w:r>
                  </w:p>
                  <w:p>
                    <w:pPr>
                      <w:spacing w:line="240" w:lineRule="auto" w:before="0"/>
                      <w:rPr>
                        <w:sz w:val="14"/>
                      </w:rPr>
                    </w:pPr>
                  </w:p>
                  <w:p>
                    <w:pPr>
                      <w:spacing w:line="240" w:lineRule="auto" w:before="11"/>
                      <w:rPr>
                        <w:sz w:val="14"/>
                      </w:rPr>
                    </w:pPr>
                  </w:p>
                  <w:p>
                    <w:pPr>
                      <w:spacing w:before="1"/>
                      <w:ind w:left="292" w:right="0" w:firstLine="0"/>
                      <w:jc w:val="left"/>
                      <w:rPr>
                        <w:b/>
                        <w:sz w:val="15"/>
                      </w:rPr>
                    </w:pPr>
                    <w:r>
                      <w:rPr>
                        <w:b/>
                        <w:w w:val="105"/>
                        <w:sz w:val="15"/>
                      </w:rPr>
                      <w:t>0.5</w:t>
                    </w:r>
                  </w:p>
                  <w:p>
                    <w:pPr>
                      <w:spacing w:line="240" w:lineRule="auto" w:before="0"/>
                      <w:rPr>
                        <w:sz w:val="14"/>
                      </w:rPr>
                    </w:pPr>
                  </w:p>
                  <w:p>
                    <w:pPr>
                      <w:spacing w:line="240" w:lineRule="auto" w:before="0"/>
                      <w:rPr>
                        <w:sz w:val="15"/>
                      </w:rPr>
                    </w:pPr>
                  </w:p>
                  <w:p>
                    <w:pPr>
                      <w:spacing w:before="0"/>
                      <w:ind w:left="412" w:right="0" w:firstLine="0"/>
                      <w:jc w:val="left"/>
                      <w:rPr>
                        <w:b/>
                        <w:sz w:val="15"/>
                      </w:rPr>
                    </w:pPr>
                    <w:r>
                      <w:rPr>
                        <w:b/>
                        <w:w w:val="102"/>
                        <w:sz w:val="15"/>
                      </w:rPr>
                      <w:t>0</w:t>
                    </w:r>
                  </w:p>
                  <w:p>
                    <w:pPr>
                      <w:tabs>
                        <w:tab w:pos="1396" w:val="left" w:leader="none"/>
                        <w:tab w:pos="2010" w:val="left" w:leader="none"/>
                        <w:tab w:pos="2623" w:val="left" w:leader="none"/>
                        <w:tab w:pos="3236" w:val="left" w:leader="none"/>
                        <w:tab w:pos="3849" w:val="left" w:leader="none"/>
                        <w:tab w:pos="4462" w:val="left" w:leader="none"/>
                        <w:tab w:pos="5076" w:val="left" w:leader="none"/>
                        <w:tab w:pos="5689" w:val="left" w:leader="none"/>
                        <w:tab w:pos="6302" w:val="left" w:leader="none"/>
                        <w:tab w:pos="6915" w:val="left" w:leader="none"/>
                        <w:tab w:pos="7528" w:val="left" w:leader="none"/>
                      </w:tabs>
                      <w:spacing w:before="18"/>
                      <w:ind w:left="783" w:right="0" w:firstLine="0"/>
                      <w:jc w:val="left"/>
                      <w:rPr>
                        <w:b/>
                        <w:sz w:val="15"/>
                      </w:rPr>
                    </w:pPr>
                    <w:r>
                      <w:rPr>
                        <w:b/>
                        <w:w w:val="105"/>
                        <w:sz w:val="15"/>
                      </w:rPr>
                      <w:t>2009</w:t>
                      <w:tab/>
                      <w:t>2010</w:t>
                      <w:tab/>
                      <w:t>2011</w:t>
                      <w:tab/>
                      <w:t>2012</w:t>
                      <w:tab/>
                      <w:t>2013</w:t>
                      <w:tab/>
                      <w:t>2014</w:t>
                      <w:tab/>
                      <w:t>2015</w:t>
                      <w:tab/>
                      <w:t>2016</w:t>
                      <w:tab/>
                      <w:t>2017</w:t>
                      <w:tab/>
                      <w:t>2018</w:t>
                      <w:tab/>
                      <w:t>2019</w:t>
                      <w:tab/>
                      <w:t>2020</w:t>
                    </w:r>
                  </w:p>
                  <w:p>
                    <w:pPr>
                      <w:tabs>
                        <w:tab w:pos="6304" w:val="left" w:leader="none"/>
                      </w:tabs>
                      <w:spacing w:line="182" w:lineRule="exact" w:before="91"/>
                      <w:ind w:left="0" w:right="0" w:firstLine="0"/>
                      <w:jc w:val="left"/>
                      <w:rPr>
                        <w:b/>
                        <w:sz w:val="15"/>
                      </w:rPr>
                    </w:pPr>
                    <w:r>
                      <w:rPr>
                        <w:b/>
                        <w:position w:val="1"/>
                        <w:sz w:val="14"/>
                      </w:rPr>
                      <w:t>Fuente: Estimaciones MINFIN, Presupuesto</w:t>
                    </w:r>
                    <w:r>
                      <w:rPr>
                        <w:b/>
                        <w:spacing w:val="-16"/>
                        <w:position w:val="1"/>
                        <w:sz w:val="14"/>
                      </w:rPr>
                      <w:t> </w:t>
                    </w:r>
                    <w:r>
                      <w:rPr>
                        <w:b/>
                        <w:position w:val="1"/>
                        <w:sz w:val="14"/>
                      </w:rPr>
                      <w:t>Abierto</w:t>
                    </w:r>
                    <w:r>
                      <w:rPr>
                        <w:b/>
                        <w:spacing w:val="-3"/>
                        <w:position w:val="1"/>
                        <w:sz w:val="14"/>
                      </w:rPr>
                      <w:t> </w:t>
                    </w:r>
                    <w:r>
                      <w:rPr>
                        <w:b/>
                        <w:position w:val="1"/>
                        <w:sz w:val="14"/>
                      </w:rPr>
                      <w:t>2021</w:t>
                      <w:tab/>
                    </w:r>
                    <w:r>
                      <w:rPr>
                        <w:b/>
                        <w:sz w:val="15"/>
                      </w:rPr>
                      <w:t>Ejercicio</w:t>
                    </w:r>
                    <w:r>
                      <w:rPr>
                        <w:b/>
                        <w:spacing w:val="4"/>
                        <w:sz w:val="15"/>
                      </w:rPr>
                      <w:t> </w:t>
                    </w:r>
                    <w:r>
                      <w:rPr>
                        <w:b/>
                        <w:sz w:val="15"/>
                      </w:rPr>
                      <w:t>Fiscal</w:t>
                    </w:r>
                  </w:p>
                </w:txbxContent>
              </v:textbox>
              <w10:wrap type="none"/>
            </v:shape>
            <v:shape style="position:absolute;left:7571;top:3771;width:218;height:154" type="#_x0000_t202" filled="false" stroked="false">
              <v:textbox inset="0,0,0,0">
                <w:txbxContent>
                  <w:p>
                    <w:pPr>
                      <w:spacing w:line="154" w:lineRule="exact" w:before="0"/>
                      <w:ind w:left="0" w:right="0" w:firstLine="0"/>
                      <w:jc w:val="left"/>
                      <w:rPr>
                        <w:b/>
                        <w:sz w:val="15"/>
                      </w:rPr>
                    </w:pPr>
                    <w:r>
                      <w:rPr>
                        <w:b/>
                        <w:w w:val="105"/>
                        <w:sz w:val="15"/>
                      </w:rPr>
                      <w:t>1.3</w:t>
                    </w:r>
                  </w:p>
                </w:txbxContent>
              </v:textbox>
              <w10:wrap type="none"/>
            </v:shape>
            <v:shape style="position:absolute;left:6344;top:3663;width:218;height:154" type="#_x0000_t202" filled="false" stroked="false">
              <v:textbox inset="0,0,0,0">
                <w:txbxContent>
                  <w:p>
                    <w:pPr>
                      <w:spacing w:line="154" w:lineRule="exact" w:before="0"/>
                      <w:ind w:left="0" w:right="0" w:firstLine="0"/>
                      <w:jc w:val="left"/>
                      <w:rPr>
                        <w:b/>
                        <w:sz w:val="15"/>
                      </w:rPr>
                    </w:pPr>
                    <w:r>
                      <w:rPr>
                        <w:b/>
                        <w:w w:val="105"/>
                        <w:sz w:val="15"/>
                      </w:rPr>
                      <w:t>1.4</w:t>
                    </w:r>
                  </w:p>
                </w:txbxContent>
              </v:textbox>
              <w10:wrap type="none"/>
            </v:shape>
            <v:shape style="position:absolute;left:2116;top:3711;width:219;height:154" type="#_x0000_t202" filled="false" stroked="false">
              <v:textbox inset="0,0,0,0">
                <w:txbxContent>
                  <w:p>
                    <w:pPr>
                      <w:spacing w:line="154" w:lineRule="exact" w:before="0"/>
                      <w:ind w:left="0" w:right="0" w:firstLine="0"/>
                      <w:jc w:val="left"/>
                      <w:rPr>
                        <w:b/>
                        <w:sz w:val="15"/>
                      </w:rPr>
                    </w:pPr>
                    <w:r>
                      <w:rPr>
                        <w:b/>
                        <w:w w:val="105"/>
                        <w:sz w:val="15"/>
                      </w:rPr>
                      <w:t>1.5</w:t>
                    </w:r>
                  </w:p>
                </w:txbxContent>
              </v:textbox>
              <w10:wrap type="none"/>
            </v:shape>
            <v:shape style="position:absolute;left:8184;top:3233;width:218;height:154" type="#_x0000_t202" filled="false" stroked="false">
              <v:textbox inset="0,0,0,0">
                <w:txbxContent>
                  <w:p>
                    <w:pPr>
                      <w:spacing w:line="154" w:lineRule="exact" w:before="0"/>
                      <w:ind w:left="0" w:right="0" w:firstLine="0"/>
                      <w:jc w:val="left"/>
                      <w:rPr>
                        <w:b/>
                        <w:sz w:val="15"/>
                      </w:rPr>
                    </w:pPr>
                    <w:r>
                      <w:rPr>
                        <w:b/>
                        <w:w w:val="105"/>
                        <w:sz w:val="15"/>
                      </w:rPr>
                      <w:t>1.8</w:t>
                    </w:r>
                  </w:p>
                </w:txbxContent>
              </v:textbox>
              <w10:wrap type="none"/>
            </v:shape>
            <v:shape style="position:absolute;left:5731;top:3126;width:217;height:155" type="#_x0000_t202" filled="false" stroked="false">
              <v:textbox inset="0,0,0,0">
                <w:txbxContent>
                  <w:p>
                    <w:pPr>
                      <w:spacing w:line="154" w:lineRule="exact" w:before="0"/>
                      <w:ind w:left="0" w:right="0" w:firstLine="0"/>
                      <w:jc w:val="left"/>
                      <w:rPr>
                        <w:b/>
                        <w:sz w:val="15"/>
                      </w:rPr>
                    </w:pPr>
                    <w:r>
                      <w:rPr>
                        <w:b/>
                        <w:w w:val="105"/>
                        <w:sz w:val="15"/>
                      </w:rPr>
                      <w:t>1.9</w:t>
                    </w:r>
                  </w:p>
                </w:txbxContent>
              </v:textbox>
              <w10:wrap type="none"/>
            </v:shape>
            <v:shape style="position:absolute;left:2236;top:3174;width:99;height:154" type="#_x0000_t202" filled="false" stroked="false">
              <v:textbox inset="0,0,0,0">
                <w:txbxContent>
                  <w:p>
                    <w:pPr>
                      <w:spacing w:line="154" w:lineRule="exact" w:before="0"/>
                      <w:ind w:left="0" w:right="0" w:firstLine="0"/>
                      <w:jc w:val="left"/>
                      <w:rPr>
                        <w:b/>
                        <w:sz w:val="15"/>
                      </w:rPr>
                    </w:pPr>
                    <w:r>
                      <w:rPr>
                        <w:b/>
                        <w:w w:val="102"/>
                        <w:sz w:val="15"/>
                      </w:rPr>
                      <w:t>2</w:t>
                    </w:r>
                  </w:p>
                </w:txbxContent>
              </v:textbox>
              <w10:wrap type="none"/>
            </v:shape>
            <v:shape style="position:absolute;left:8797;top:2804;width:218;height:154" type="#_x0000_t202" filled="false" stroked="false">
              <v:textbox inset="0,0,0,0">
                <w:txbxContent>
                  <w:p>
                    <w:pPr>
                      <w:spacing w:line="154" w:lineRule="exact" w:before="0"/>
                      <w:ind w:left="0" w:right="0" w:firstLine="0"/>
                      <w:jc w:val="left"/>
                      <w:rPr>
                        <w:b/>
                        <w:sz w:val="15"/>
                      </w:rPr>
                    </w:pPr>
                    <w:r>
                      <w:rPr>
                        <w:b/>
                        <w:w w:val="105"/>
                        <w:sz w:val="15"/>
                      </w:rPr>
                      <w:t>2.2</w:t>
                    </w:r>
                  </w:p>
                </w:txbxContent>
              </v:textbox>
              <w10:wrap type="none"/>
            </v:shape>
            <v:shape style="position:absolute;left:5118;top:2911;width:218;height:154" type="#_x0000_t202" filled="false" stroked="false">
              <v:textbox inset="0,0,0,0">
                <w:txbxContent>
                  <w:p>
                    <w:pPr>
                      <w:spacing w:line="154" w:lineRule="exact" w:before="0"/>
                      <w:ind w:left="0" w:right="0" w:firstLine="0"/>
                      <w:jc w:val="left"/>
                      <w:rPr>
                        <w:b/>
                        <w:sz w:val="15"/>
                      </w:rPr>
                    </w:pPr>
                    <w:r>
                      <w:rPr>
                        <w:b/>
                        <w:w w:val="105"/>
                        <w:sz w:val="15"/>
                      </w:rPr>
                      <w:t>2.1</w:t>
                    </w:r>
                  </w:p>
                </w:txbxContent>
              </v:textbox>
              <w10:wrap type="none"/>
            </v:shape>
            <v:shape style="position:absolute;left:9410;top:2589;width:218;height:154" type="#_x0000_t202" filled="false" stroked="false">
              <v:textbox inset="0,0,0,0">
                <w:txbxContent>
                  <w:p>
                    <w:pPr>
                      <w:spacing w:line="154" w:lineRule="exact" w:before="0"/>
                      <w:ind w:left="0" w:right="0" w:firstLine="0"/>
                      <w:jc w:val="left"/>
                      <w:rPr>
                        <w:b/>
                        <w:sz w:val="15"/>
                      </w:rPr>
                    </w:pPr>
                    <w:r>
                      <w:rPr>
                        <w:b/>
                        <w:w w:val="105"/>
                        <w:sz w:val="15"/>
                      </w:rPr>
                      <w:t>2.4</w:t>
                    </w:r>
                  </w:p>
                </w:txbxContent>
              </v:textbox>
              <w10:wrap type="none"/>
            </v:shape>
            <v:shape style="position:absolute;left:4504;top:2589;width:218;height:154" type="#_x0000_t202" filled="false" stroked="false">
              <v:textbox inset="0,0,0,0">
                <w:txbxContent>
                  <w:p>
                    <w:pPr>
                      <w:spacing w:line="154" w:lineRule="exact" w:before="0"/>
                      <w:ind w:left="0" w:right="0" w:firstLine="0"/>
                      <w:jc w:val="left"/>
                      <w:rPr>
                        <w:b/>
                        <w:sz w:val="15"/>
                      </w:rPr>
                    </w:pPr>
                    <w:r>
                      <w:rPr>
                        <w:b/>
                        <w:w w:val="105"/>
                        <w:sz w:val="15"/>
                      </w:rPr>
                      <w:t>2.4</w:t>
                    </w:r>
                  </w:p>
                </w:txbxContent>
              </v:textbox>
              <w10:wrap type="none"/>
            </v:shape>
            <v:shape style="position:absolute;left:2116;top:2637;width:219;height:154" type="#_x0000_t202" filled="false" stroked="false">
              <v:textbox inset="0,0,0,0">
                <w:txbxContent>
                  <w:p>
                    <w:pPr>
                      <w:spacing w:line="154" w:lineRule="exact" w:before="0"/>
                      <w:ind w:left="0" w:right="0" w:firstLine="0"/>
                      <w:jc w:val="left"/>
                      <w:rPr>
                        <w:b/>
                        <w:sz w:val="15"/>
                      </w:rPr>
                    </w:pPr>
                    <w:r>
                      <w:rPr>
                        <w:b/>
                        <w:w w:val="105"/>
                        <w:sz w:val="15"/>
                      </w:rPr>
                      <w:t>2.5</w:t>
                    </w:r>
                  </w:p>
                </w:txbxContent>
              </v:textbox>
              <w10:wrap type="none"/>
            </v:shape>
            <v:shape style="position:absolute;left:3891;top:2159;width:218;height:154" type="#_x0000_t202" filled="false" stroked="false">
              <v:textbox inset="0,0,0,0">
                <w:txbxContent>
                  <w:p>
                    <w:pPr>
                      <w:spacing w:line="154" w:lineRule="exact" w:before="0"/>
                      <w:ind w:left="0" w:right="0" w:firstLine="0"/>
                      <w:jc w:val="left"/>
                      <w:rPr>
                        <w:b/>
                        <w:sz w:val="15"/>
                      </w:rPr>
                    </w:pPr>
                    <w:r>
                      <w:rPr>
                        <w:b/>
                        <w:w w:val="105"/>
                        <w:sz w:val="15"/>
                      </w:rPr>
                      <w:t>2.8</w:t>
                    </w:r>
                  </w:p>
                </w:txbxContent>
              </v:textbox>
              <w10:wrap type="none"/>
            </v:shape>
            <v:shape style="position:absolute;left:2236;top:2099;width:99;height:155" type="#_x0000_t202" filled="false" stroked="false">
              <v:textbox inset="0,0,0,0">
                <w:txbxContent>
                  <w:p>
                    <w:pPr>
                      <w:spacing w:line="154" w:lineRule="exact" w:before="0"/>
                      <w:ind w:left="0" w:right="0" w:firstLine="0"/>
                      <w:jc w:val="left"/>
                      <w:rPr>
                        <w:b/>
                        <w:sz w:val="15"/>
                      </w:rPr>
                    </w:pPr>
                    <w:r>
                      <w:rPr>
                        <w:b/>
                        <w:w w:val="103"/>
                        <w:sz w:val="15"/>
                      </w:rPr>
                      <w:t>3</w:t>
                    </w:r>
                  </w:p>
                </w:txbxContent>
              </v:textbox>
              <w10:wrap type="none"/>
            </v:shape>
            <v:shape style="position:absolute;left:2665;top:1837;width:218;height:154" type="#_x0000_t202" filled="false" stroked="false">
              <v:textbox inset="0,0,0,0">
                <w:txbxContent>
                  <w:p>
                    <w:pPr>
                      <w:spacing w:line="154" w:lineRule="exact" w:before="0"/>
                      <w:ind w:left="0" w:right="0" w:firstLine="0"/>
                      <w:jc w:val="left"/>
                      <w:rPr>
                        <w:b/>
                        <w:sz w:val="15"/>
                      </w:rPr>
                    </w:pPr>
                    <w:r>
                      <w:rPr>
                        <w:b/>
                        <w:w w:val="105"/>
                        <w:sz w:val="15"/>
                      </w:rPr>
                      <w:t>3.1</w:t>
                    </w:r>
                  </w:p>
                </w:txbxContent>
              </v:textbox>
              <w10:wrap type="none"/>
            </v:shape>
            <v:shape style="position:absolute;left:3278;top:1622;width:218;height:154" type="#_x0000_t202" filled="false" stroked="false">
              <v:textbox inset="0,0,0,0">
                <w:txbxContent>
                  <w:p>
                    <w:pPr>
                      <w:spacing w:line="154" w:lineRule="exact" w:before="0"/>
                      <w:ind w:left="0" w:right="0" w:firstLine="0"/>
                      <w:jc w:val="left"/>
                      <w:rPr>
                        <w:b/>
                        <w:sz w:val="15"/>
                      </w:rPr>
                    </w:pPr>
                    <w:r>
                      <w:rPr>
                        <w:b/>
                        <w:w w:val="105"/>
                        <w:sz w:val="15"/>
                      </w:rPr>
                      <w:t>3.3</w:t>
                    </w:r>
                  </w:p>
                </w:txbxContent>
              </v:textbox>
              <w10:wrap type="none"/>
            </v:shape>
            <v:shape style="position:absolute;left:2116;top:1562;width:219;height:154" type="#_x0000_t202" filled="false" stroked="false">
              <v:textbox inset="0,0,0,0">
                <w:txbxContent>
                  <w:p>
                    <w:pPr>
                      <w:spacing w:line="154" w:lineRule="exact" w:before="0"/>
                      <w:ind w:left="0" w:right="0" w:firstLine="0"/>
                      <w:jc w:val="left"/>
                      <w:rPr>
                        <w:b/>
                        <w:sz w:val="15"/>
                      </w:rPr>
                    </w:pPr>
                    <w:r>
                      <w:rPr>
                        <w:b/>
                        <w:w w:val="105"/>
                        <w:sz w:val="15"/>
                      </w:rPr>
                      <w:t>3.5</w:t>
                    </w:r>
                  </w:p>
                </w:txbxContent>
              </v:textbox>
              <w10:wrap type="none"/>
            </v:shape>
            <v:shape style="position:absolute;left:9747;top:1118;width:273;height:154" type="#_x0000_t202" filled="false" stroked="false">
              <v:textbox inset="0,0,0,0">
                <w:txbxContent>
                  <w:p>
                    <w:pPr>
                      <w:spacing w:line="154" w:lineRule="exact" w:before="0"/>
                      <w:ind w:left="0" w:right="0" w:firstLine="0"/>
                      <w:jc w:val="left"/>
                      <w:rPr>
                        <w:b/>
                        <w:sz w:val="15"/>
                      </w:rPr>
                    </w:pPr>
                    <w:r>
                      <w:rPr>
                        <w:b/>
                        <w:w w:val="105"/>
                        <w:sz w:val="15"/>
                      </w:rPr>
                      <w:t>5 ---</w:t>
                    </w:r>
                  </w:p>
                </w:txbxContent>
              </v:textbox>
              <w10:wrap type="none"/>
            </v:shape>
            <v:shape style="position:absolute;left:4759;top:927;width:2646;height:618" type="#_x0000_t202" filled="false" stroked="false">
              <v:textbox inset="0,0,0,0">
                <w:txbxContent>
                  <w:p>
                    <w:pPr>
                      <w:spacing w:line="283" w:lineRule="exact" w:before="0"/>
                      <w:ind w:left="566" w:right="584" w:firstLine="0"/>
                      <w:jc w:val="center"/>
                      <w:rPr>
                        <w:b/>
                        <w:sz w:val="28"/>
                      </w:rPr>
                    </w:pPr>
                    <w:r>
                      <w:rPr>
                        <w:b/>
                        <w:sz w:val="28"/>
                      </w:rPr>
                      <w:t>Déficit Fiscal</w:t>
                    </w:r>
                  </w:p>
                  <w:p>
                    <w:pPr>
                      <w:spacing w:line="335" w:lineRule="exact" w:before="0"/>
                      <w:ind w:left="-1" w:right="18" w:firstLine="0"/>
                      <w:jc w:val="center"/>
                      <w:rPr>
                        <w:b/>
                        <w:sz w:val="28"/>
                      </w:rPr>
                    </w:pPr>
                    <w:r>
                      <w:rPr>
                        <w:b/>
                        <w:sz w:val="28"/>
                      </w:rPr>
                      <w:t>(En porcentaje del</w:t>
                    </w:r>
                    <w:r>
                      <w:rPr>
                        <w:b/>
                        <w:spacing w:val="-33"/>
                        <w:sz w:val="28"/>
                      </w:rPr>
                      <w:t> </w:t>
                    </w:r>
                    <w:r>
                      <w:rPr>
                        <w:b/>
                        <w:sz w:val="28"/>
                      </w:rPr>
                      <w:t>PIB)</w:t>
                    </w:r>
                  </w:p>
                </w:txbxContent>
              </v:textbox>
              <w10:wrap type="none"/>
            </v:shape>
            <w10:wrap type="none"/>
          </v:group>
        </w:pict>
      </w:r>
      <w:r>
        <w:rPr>
          <w:b/>
          <w:sz w:val="24"/>
        </w:rPr>
        <w:t>Gráfica No. 5</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8"/>
        </w:rPr>
      </w:pPr>
    </w:p>
    <w:p>
      <w:pPr>
        <w:pStyle w:val="ListParagraph"/>
        <w:numPr>
          <w:ilvl w:val="1"/>
          <w:numId w:val="6"/>
        </w:numPr>
        <w:tabs>
          <w:tab w:pos="1396" w:val="left" w:leader="none"/>
        </w:tabs>
        <w:spacing w:line="240" w:lineRule="auto" w:before="52" w:after="0"/>
        <w:ind w:left="1395" w:right="0" w:hanging="357"/>
        <w:jc w:val="both"/>
        <w:rPr>
          <w:b/>
          <w:sz w:val="24"/>
        </w:rPr>
      </w:pPr>
      <w:bookmarkStart w:name="3.6 Deuda Pública" w:id="32"/>
      <w:bookmarkEnd w:id="32"/>
      <w:r>
        <w:rPr/>
      </w:r>
      <w:bookmarkStart w:name="_bookmark11" w:id="33"/>
      <w:bookmarkEnd w:id="33"/>
      <w:r>
        <w:rPr/>
      </w:r>
      <w:bookmarkStart w:name="_bookmark11" w:id="34"/>
      <w:bookmarkEnd w:id="34"/>
      <w:r>
        <w:rPr>
          <w:b/>
          <w:sz w:val="24"/>
        </w:rPr>
        <w:t>D</w:t>
      </w:r>
      <w:r>
        <w:rPr>
          <w:b/>
          <w:sz w:val="24"/>
        </w:rPr>
        <w:t>euda</w:t>
      </w:r>
      <w:r>
        <w:rPr>
          <w:b/>
          <w:spacing w:val="-2"/>
          <w:sz w:val="24"/>
        </w:rPr>
        <w:t> </w:t>
      </w:r>
      <w:r>
        <w:rPr>
          <w:b/>
          <w:sz w:val="24"/>
        </w:rPr>
        <w:t>Pública</w:t>
      </w:r>
    </w:p>
    <w:p>
      <w:pPr>
        <w:pStyle w:val="BodyText"/>
        <w:spacing w:line="276" w:lineRule="auto" w:before="105"/>
        <w:ind w:left="1039" w:right="1701"/>
        <w:jc w:val="both"/>
      </w:pPr>
      <w:r>
        <w:rPr/>
        <w:pict>
          <v:shape style="position:absolute;margin-left:531.919678pt;margin-top:77.865776pt;width:27.9pt;height:58.2pt;mso-position-horizontal-relative:page;mso-position-vertical-relative:paragraph;z-index:251717632" type="#_x0000_t202" filled="false" stroked="false">
            <v:textbox inset="0,0,0,0" style="layout-flow:vertical;mso-layout-flow-alt:bottom-to-top">
              <w:txbxContent>
                <w:p>
                  <w:pPr>
                    <w:spacing w:before="21"/>
                    <w:ind w:left="20" w:right="0" w:firstLine="0"/>
                    <w:jc w:val="left"/>
                    <w:rPr>
                      <w:rFonts w:ascii="Cambria" w:hAnsi="Cambria"/>
                      <w:sz w:val="44"/>
                    </w:rPr>
                  </w:pPr>
                  <w:r>
                    <w:rPr>
                      <w:rFonts w:ascii="Cambria" w:hAnsi="Cambria"/>
                      <w:sz w:val="22"/>
                    </w:rPr>
                    <w:t>Página</w:t>
                  </w:r>
                  <w:r>
                    <w:rPr>
                      <w:rFonts w:ascii="Cambria" w:hAnsi="Cambria"/>
                      <w:sz w:val="44"/>
                    </w:rPr>
                    <w:t>14</w:t>
                  </w:r>
                </w:p>
              </w:txbxContent>
            </v:textbox>
            <w10:wrap type="none"/>
          </v:shape>
        </w:pict>
      </w:r>
      <w:r>
        <w:rPr/>
        <w:t>El nivel de la deuda pública con relación al PIB se encuentra dentro de los límites aceptables técnicamente. En la definición para el período 2021-2025 que actualmente se realiza, se preserva la sostenibilidad en el mediano plazo a pesar de los efectos económicos y fiscales que derivan de la pandemia del Covid-19.</w:t>
      </w:r>
    </w:p>
    <w:p>
      <w:pPr>
        <w:spacing w:after="0" w:line="276" w:lineRule="auto"/>
        <w:jc w:val="both"/>
        <w:sectPr>
          <w:pgSz w:w="11910" w:h="16840"/>
          <w:pgMar w:header="1045" w:footer="872" w:top="2280" w:bottom="1060" w:left="660" w:right="0"/>
        </w:sectPr>
      </w:pPr>
    </w:p>
    <w:p>
      <w:pPr>
        <w:pStyle w:val="BodyText"/>
        <w:spacing w:before="6"/>
        <w:rPr>
          <w:sz w:val="12"/>
        </w:rPr>
      </w:pPr>
      <w:r>
        <w:rPr/>
        <w:pict>
          <v:shape style="position:absolute;margin-left:93.174973pt;margin-top:241.589111pt;width:8.35pt;height:30.45pt;mso-position-horizontal-relative:page;mso-position-vertical-relative:page;z-index:251745280" type="#_x0000_t202" filled="false" stroked="false">
            <v:textbox inset="0,0,0,0" style="layout-flow:vertical;mso-layout-flow-alt:bottom-to-top">
              <w:txbxContent>
                <w:p>
                  <w:pPr>
                    <w:spacing w:before="0"/>
                    <w:ind w:left="20" w:right="0" w:firstLine="0"/>
                    <w:jc w:val="left"/>
                    <w:rPr>
                      <w:b/>
                      <w:sz w:val="12"/>
                    </w:rPr>
                  </w:pPr>
                  <w:r>
                    <w:rPr>
                      <w:b/>
                      <w:w w:val="105"/>
                      <w:sz w:val="12"/>
                    </w:rPr>
                    <w:t>Porcentaje</w:t>
                  </w:r>
                </w:p>
              </w:txbxContent>
            </v:textbox>
            <w10:wrap type="none"/>
          </v:shape>
        </w:pict>
      </w:r>
    </w:p>
    <w:p>
      <w:pPr>
        <w:spacing w:before="51"/>
        <w:ind w:left="2542" w:right="3193" w:firstLine="0"/>
        <w:jc w:val="center"/>
        <w:rPr>
          <w:b/>
          <w:sz w:val="24"/>
        </w:rPr>
      </w:pPr>
      <w:r>
        <w:rPr/>
        <w:pict>
          <v:group style="position:absolute;margin-left:85.364838pt;margin-top:29.202145pt;width:424.75pt;height:199.4pt;mso-position-horizontal-relative:page;mso-position-vertical-relative:paragraph;z-index:251744256" coordorigin="1707,584" coordsize="8495,3988">
            <v:rect style="position:absolute;left:2936;top:1605;width:6940;height:2486" filled="true" fillcolor="#fafde1" stroked="false">
              <v:fill type="solid"/>
            </v:rect>
            <v:shape style="position:absolute;left:1873;top:9721;width:10985;height:3984" coordorigin="1874,9722" coordsize="10985,3984" path="m2936,3736l9875,3736m2936,3381l9875,3381m2936,3025l9875,3025m2936,2671l9875,2671m2936,2316l9875,2316m2936,1960l9875,1960m2936,1605l9875,1605m3514,1605l3514,4091m4094,1605l4094,4091m4672,1605l4672,4091m5249,1605l5249,4091m5827,1605l5827,4091m6407,1605l6407,4091m6985,1605l6985,4091m7562,1605l7562,4091m8140,1605l8140,4091m8720,1605l8720,4091m9298,1605l9298,4091m9875,1605l9875,4091m2936,4091l2936,1605m2897,4091l2936,4091m2897,3736l2936,3736m2897,3381l2936,3381m2897,3025l2936,3025m2897,2671l2936,2671m2897,2316l2936,2316m2897,1960l2936,1960m2897,1605l2936,1605m2936,4091l9875,4091m2936,4091l2936,4132m3514,4091l3514,4132m4094,4091l4094,4132m4672,4091l4672,4132m5249,4091l5249,4132m5827,4091l5827,4132m6407,4091l6407,4132m6985,4091l6985,4132m7562,4091l7562,4132m8140,4091l8140,4132m8720,4091l8720,4132m9298,4091l9298,4132m9875,4091l9875,4132e" filled="false" stroked="true" strokeweight=".476031pt" strokecolor="#858585">
              <v:path arrowok="t"/>
              <v:stroke dashstyle="solid"/>
            </v:shape>
            <v:line style="position:absolute" from="3225,3274" to="3803,2883" stroked="true" strokeweight="1.427587pt" strokecolor="#9d3c39">
              <v:stroke dashstyle="solid"/>
            </v:line>
            <v:line style="position:absolute" from="3803,2883" to="4383,3061" stroked="true" strokeweight="1.426968pt" strokecolor="#7c9744">
              <v:stroke dashstyle="solid"/>
            </v:line>
            <v:line style="position:absolute" from="4383,3061" to="4960,2813" stroked="true" strokeweight="1.427156pt" strokecolor="#664e83">
              <v:stroke dashstyle="solid"/>
            </v:line>
            <v:line style="position:absolute" from="4960,2813" to="5538,2741" stroked="true" strokeweight="1.426774pt" strokecolor="#388ba1">
              <v:stroke dashstyle="solid"/>
            </v:line>
            <v:line style="position:absolute" from="5538,2741" to="6116,2883" stroked="true" strokeweight="1.426887pt" strokecolor="#ca7833">
              <v:stroke dashstyle="solid"/>
            </v:line>
            <v:line style="position:absolute" from="6102,2901" to="6710,2901" stroked="true" strokeweight="3.252966pt" strokecolor="#497dba">
              <v:stroke dashstyle="solid"/>
            </v:line>
            <v:line style="position:absolute" from="6696,2920" to="7274,2990" stroked="true" strokeweight="1.426772pt" strokecolor="#bd4a47">
              <v:stroke dashstyle="solid"/>
            </v:line>
            <v:line style="position:absolute" from="7274,2990" to="7851,3096" stroked="true" strokeweight="1.426822pt" strokecolor="#97b853">
              <v:stroke dashstyle="solid"/>
            </v:line>
            <v:line style="position:absolute" from="7851,3096" to="8429,2741" stroked="true" strokeweight="1.427477pt" strokecolor="#7c5f9f">
              <v:stroke dashstyle="solid"/>
            </v:line>
            <v:line style="position:absolute" from="8429,2741" to="9009,2883" stroked="true" strokeweight="1.426886pt" strokecolor="#46aac5">
              <v:stroke dashstyle="solid"/>
            </v:line>
            <v:line style="position:absolute" from="9009,2883" to="9587,1889" stroked="true" strokeweight="1.428765pt" strokecolor="#f69240">
              <v:stroke dashstyle="solid"/>
            </v:line>
            <v:shape style="position:absolute;left:3180;top:3229;width:89;height:89" coordorigin="3180,3229" coordsize="89,89" path="m3225,3229l3180,3273,3225,3317,3269,3273,3225,3229xe" filled="true" fillcolor="#40699c" stroked="false">
              <v:path arrowok="t"/>
              <v:fill type="solid"/>
            </v:shape>
            <v:shape style="position:absolute;left:3180;top:3229;width:89;height:89" coordorigin="3180,3229" coordsize="89,89" path="m3225,3229l3269,3273,3225,3317,3180,3273,3225,3229xe" filled="false" stroked="true" strokeweight=".47603pt" strokecolor="#3b679a">
              <v:path arrowok="t"/>
              <v:stroke dashstyle="solid"/>
            </v:shape>
            <v:rect style="position:absolute;left:3758;top:2838;width:89;height:89" filled="true" fillcolor="#9e413d" stroked="false">
              <v:fill type="solid"/>
            </v:rect>
            <v:rect style="position:absolute;left:3758;top:2838;width:89;height:89" filled="false" stroked="true" strokeweight=".47603pt" strokecolor="#9d3c39">
              <v:stroke dashstyle="solid"/>
            </v:rect>
            <v:shape style="position:absolute;left:4337;top:3016;width:89;height:89" coordorigin="4338,3016" coordsize="89,89" path="m4382,3016l4338,3104,4426,3104,4382,3016xe" filled="true" fillcolor="#7e9a47" stroked="false">
              <v:path arrowok="t"/>
              <v:fill type="solid"/>
            </v:shape>
            <v:shape style="position:absolute;left:4337;top:3016;width:89;height:89" coordorigin="4338,3016" coordsize="89,89" path="m4382,3016l4426,3104,4338,3104,4382,3016xe" filled="false" stroked="true" strokeweight=".47603pt" strokecolor="#7c9744">
              <v:path arrowok="t"/>
              <v:stroke dashstyle="solid"/>
            </v:shape>
            <v:shape style="position:absolute;left:4915;top:2768;width:89;height:89" coordorigin="4915,2768" coordsize="89,89" path="m4960,2812l4915,2856,5004,2856,4960,2812xm5004,2768l4915,2768,4960,2812,5004,2768xe" filled="true" fillcolor="#695185" stroked="false">
              <v:path arrowok="t"/>
              <v:fill type="solid"/>
            </v:shape>
            <v:shape style="position:absolute;left:5051;top:11555;width:140;height:140" coordorigin="5051,11555" coordsize="140,140" path="m5004,2856l4915,2768m4915,2856l5004,2768e" filled="false" stroked="true" strokeweight=".476031pt" strokecolor="#664e83">
              <v:path arrowok="t"/>
              <v:stroke dashstyle="solid"/>
            </v:shape>
            <v:shape style="position:absolute;left:5493;top:2696;width:45;height:89" coordorigin="5493,2697" coordsize="45,89" path="m5538,2741l5493,2785,5538,2785,5538,2741xm5538,2697l5493,2697,5538,2741,5538,2697xe" filled="true" fillcolor="#3b8da2" stroked="false">
              <v:path arrowok="t"/>
              <v:fill type="solid"/>
            </v:shape>
            <v:shape style="position:absolute;left:5960;top:11442;width:140;height:140" coordorigin="5961,11442" coordsize="140,140" path="m5582,2785l5493,2697m5538,2697l5538,2785m5493,2785l5582,2697e" filled="false" stroked="true" strokeweight=".476031pt" strokecolor="#388ba1">
              <v:path arrowok="t"/>
              <v:stroke dashstyle="solid"/>
            </v:shape>
            <v:shape style="position:absolute;left:6071;top:2838;width:89;height:89" coordorigin="6071,2838" coordsize="89,89" path="m6115,2838l6098,2842,6084,2851,6075,2865,6071,2882,6075,2899,6084,2913,6098,2923,6115,2926,6133,2923,6147,2913,6156,2899,6160,2882,6156,2865,6147,2851,6133,2842,6115,2838xe" filled="true" fillcolor="#cc7a38" stroked="false">
              <v:path arrowok="t"/>
              <v:fill type="solid"/>
            </v:shape>
            <v:shape style="position:absolute;left:6071;top:2838;width:89;height:89" coordorigin="6071,2838" coordsize="89,89" path="m6160,2882l6156,2899,6147,2913,6133,2923,6115,2926,6098,2923,6084,2913,6075,2899,6071,2882,6075,2865,6084,2851,6098,2842,6115,2838,6133,2842,6147,2851,6156,2865,6160,2882xe" filled="false" stroked="true" strokeweight=".47603pt" strokecolor="#ca7833">
              <v:path arrowok="t"/>
              <v:stroke dashstyle="solid"/>
            </v:shape>
            <v:shape style="position:absolute;left:7782;top:11723;width:140;height:140" coordorigin="7782,11723" coordsize="140,140" path="m6695,2875l6695,2963m6651,2919l6739,2919e" filled="false" stroked="true" strokeweight=".476031pt" strokecolor="#497dba">
              <v:path arrowok="t"/>
              <v:stroke dashstyle="solid"/>
            </v:shape>
            <v:rect style="position:absolute;left:7272;top:2979;width:45;height:19" filled="true" fillcolor="#c0504d" stroked="false">
              <v:fill type="solid"/>
            </v:rect>
            <v:rect style="position:absolute;left:7272;top:2979;width:45;height:19" filled="false" stroked="true" strokeweight=".47571pt" strokecolor="#bd4a47">
              <v:stroke dashstyle="solid"/>
            </v:rect>
            <v:rect style="position:absolute;left:7806;top:3086;width:89;height:19" filled="true" fillcolor="#9bba58" stroked="false">
              <v:fill type="solid"/>
            </v:rect>
            <v:shape style="position:absolute;left:8384;top:2696;width:89;height:89" coordorigin="8384,2697" coordsize="89,89" path="m8429,2697l8384,2741,8429,2785,8473,2741,8429,2697xe" filled="true" fillcolor="#8063a1" stroked="false">
              <v:path arrowok="t"/>
              <v:fill type="solid"/>
            </v:shape>
            <v:shape style="position:absolute;left:8384;top:2696;width:89;height:89" coordorigin="8384,2697" coordsize="89,89" path="m8429,2697l8473,2741,8429,2785,8384,2741,8429,2697xe" filled="false" stroked="true" strokeweight=".47603pt" strokecolor="#7c5f9f">
              <v:path arrowok="t"/>
              <v:stroke dashstyle="solid"/>
            </v:shape>
            <v:rect style="position:absolute;left:8963;top:2838;width:89;height:89" filled="true" fillcolor="#4aacc5" stroked="false">
              <v:fill type="solid"/>
            </v:rect>
            <v:rect style="position:absolute;left:8963;top:2838;width:89;height:89" filled="false" stroked="true" strokeweight=".47603pt" strokecolor="#46aac5">
              <v:stroke dashstyle="solid"/>
            </v:rect>
            <v:shape style="position:absolute;left:9541;top:1844;width:89;height:89" coordorigin="9542,1844" coordsize="89,89" path="m9586,1844l9542,1933,9630,1933,9586,1844xe" filled="true" fillcolor="#f79546" stroked="false">
              <v:path arrowok="t"/>
              <v:fill type="solid"/>
            </v:shape>
            <v:shape style="position:absolute;left:9541;top:1844;width:89;height:89" coordorigin="9542,1844" coordsize="89,89" path="m9586,1844l9630,1933,9542,1933,9586,1844xe" filled="false" stroked="true" strokeweight=".47603pt" strokecolor="#f69240">
              <v:path arrowok="t"/>
              <v:stroke dashstyle="solid"/>
            </v:shape>
            <v:rect style="position:absolute;left:1712;top:588;width:8486;height:3979" filled="false" stroked="true" strokeweight=".475741pt" strokecolor="#cc9900">
              <v:stroke dashstyle="solid"/>
            </v:rect>
            <v:shape style="position:absolute;left:4253;top:4197;width:5484;height:127" type="#_x0000_t202" filled="false" stroked="false">
              <v:textbox inset="0,0,0,0">
                <w:txbxContent>
                  <w:p>
                    <w:pPr>
                      <w:tabs>
                        <w:tab w:pos="578" w:val="left" w:leader="none"/>
                        <w:tab w:pos="1156" w:val="left" w:leader="none"/>
                        <w:tab w:pos="1734" w:val="left" w:leader="none"/>
                        <w:tab w:pos="2313" w:val="left" w:leader="none"/>
                        <w:tab w:pos="2891" w:val="left" w:leader="none"/>
                        <w:tab w:pos="3469" w:val="left" w:leader="none"/>
                        <w:tab w:pos="4048" w:val="left" w:leader="none"/>
                        <w:tab w:pos="4626" w:val="left" w:leader="none"/>
                        <w:tab w:pos="5205" w:val="left" w:leader="none"/>
                      </w:tabs>
                      <w:spacing w:line="126" w:lineRule="exact" w:before="0"/>
                      <w:ind w:left="0" w:right="0" w:firstLine="0"/>
                      <w:jc w:val="left"/>
                      <w:rPr>
                        <w:b/>
                        <w:sz w:val="12"/>
                      </w:rPr>
                    </w:pPr>
                    <w:r>
                      <w:rPr>
                        <w:b/>
                        <w:w w:val="105"/>
                        <w:sz w:val="12"/>
                      </w:rPr>
                      <w:t>2011</w:t>
                      <w:tab/>
                      <w:t>2012</w:t>
                      <w:tab/>
                      <w:t>2013</w:t>
                      <w:tab/>
                      <w:t>2014</w:t>
                      <w:tab/>
                      <w:t>2015</w:t>
                      <w:tab/>
                      <w:t>2016</w:t>
                      <w:tab/>
                      <w:t>2017</w:t>
                      <w:tab/>
                      <w:t>2018</w:t>
                      <w:tab/>
                      <w:t>2019</w:t>
                      <w:tab/>
                      <w:t>2020</w:t>
                    </w:r>
                  </w:p>
                </w:txbxContent>
              </v:textbox>
              <w10:wrap type="none"/>
            </v:shape>
            <v:shape style="position:absolute;left:3675;top:4197;width:278;height:127" type="#_x0000_t202" filled="false" stroked="false">
              <v:textbox inset="0,0,0,0">
                <w:txbxContent>
                  <w:p>
                    <w:pPr>
                      <w:spacing w:line="126" w:lineRule="exact" w:before="0"/>
                      <w:ind w:left="0" w:right="0" w:firstLine="0"/>
                      <w:jc w:val="left"/>
                      <w:rPr>
                        <w:b/>
                        <w:sz w:val="12"/>
                      </w:rPr>
                    </w:pPr>
                    <w:r>
                      <w:rPr>
                        <w:b/>
                        <w:w w:val="105"/>
                        <w:sz w:val="12"/>
                      </w:rPr>
                      <w:t>2010</w:t>
                    </w:r>
                  </w:p>
                </w:txbxContent>
              </v:textbox>
              <w10:wrap type="none"/>
            </v:shape>
            <v:shape style="position:absolute;left:1803;top:4197;width:1572;height:302" type="#_x0000_t202" filled="false" stroked="false">
              <v:textbox inset="0,0,0,0">
                <w:txbxContent>
                  <w:p>
                    <w:pPr>
                      <w:spacing w:line="127" w:lineRule="exact" w:before="0"/>
                      <w:ind w:left="0" w:right="18" w:firstLine="0"/>
                      <w:jc w:val="right"/>
                      <w:rPr>
                        <w:b/>
                        <w:sz w:val="12"/>
                      </w:rPr>
                    </w:pPr>
                    <w:r>
                      <w:rPr>
                        <w:b/>
                        <w:w w:val="105"/>
                        <w:sz w:val="12"/>
                      </w:rPr>
                      <w:t>2009</w:t>
                    </w:r>
                  </w:p>
                  <w:p>
                    <w:pPr>
                      <w:spacing w:line="133" w:lineRule="exact" w:before="41"/>
                      <w:ind w:left="0" w:right="0" w:firstLine="0"/>
                      <w:jc w:val="left"/>
                      <w:rPr>
                        <w:b/>
                        <w:sz w:val="11"/>
                      </w:rPr>
                    </w:pPr>
                    <w:r>
                      <w:rPr>
                        <w:b/>
                        <w:w w:val="105"/>
                        <w:sz w:val="11"/>
                      </w:rPr>
                      <w:t>Fuente: Estimaciones MINFIN.</w:t>
                    </w:r>
                  </w:p>
                </w:txbxContent>
              </v:textbox>
              <w10:wrap type="none"/>
            </v:shape>
            <v:shape style="position:absolute;left:2498;top:3322;width:340;height:837" type="#_x0000_t202" filled="false" stroked="false">
              <v:textbox inset="0,0,0,0">
                <w:txbxContent>
                  <w:p>
                    <w:pPr>
                      <w:spacing w:line="127" w:lineRule="exact" w:before="0"/>
                      <w:ind w:left="0" w:right="0" w:firstLine="0"/>
                      <w:jc w:val="left"/>
                      <w:rPr>
                        <w:b/>
                        <w:sz w:val="12"/>
                      </w:rPr>
                    </w:pPr>
                    <w:r>
                      <w:rPr>
                        <w:b/>
                        <w:w w:val="105"/>
                        <w:sz w:val="12"/>
                      </w:rPr>
                      <w:t>23.0%</w:t>
                    </w:r>
                  </w:p>
                  <w:p>
                    <w:pPr>
                      <w:spacing w:line="240" w:lineRule="auto" w:before="1"/>
                      <w:rPr>
                        <w:sz w:val="17"/>
                      </w:rPr>
                    </w:pPr>
                  </w:p>
                  <w:p>
                    <w:pPr>
                      <w:spacing w:before="0"/>
                      <w:ind w:left="0" w:right="0" w:firstLine="0"/>
                      <w:jc w:val="left"/>
                      <w:rPr>
                        <w:b/>
                        <w:sz w:val="12"/>
                      </w:rPr>
                    </w:pPr>
                    <w:r>
                      <w:rPr>
                        <w:b/>
                        <w:w w:val="105"/>
                        <w:sz w:val="12"/>
                      </w:rPr>
                      <w:t>22.0%</w:t>
                    </w:r>
                  </w:p>
                  <w:p>
                    <w:pPr>
                      <w:spacing w:line="240" w:lineRule="auto" w:before="1"/>
                      <w:rPr>
                        <w:sz w:val="17"/>
                      </w:rPr>
                    </w:pPr>
                  </w:p>
                  <w:p>
                    <w:pPr>
                      <w:spacing w:line="146" w:lineRule="exact" w:before="0"/>
                      <w:ind w:left="0" w:right="0" w:firstLine="0"/>
                      <w:jc w:val="left"/>
                      <w:rPr>
                        <w:b/>
                        <w:sz w:val="12"/>
                      </w:rPr>
                    </w:pPr>
                    <w:r>
                      <w:rPr>
                        <w:b/>
                        <w:w w:val="105"/>
                        <w:sz w:val="12"/>
                      </w:rPr>
                      <w:t>21.0%</w:t>
                    </w:r>
                  </w:p>
                </w:txbxContent>
              </v:textbox>
              <w10:wrap type="none"/>
            </v:shape>
            <v:shape style="position:absolute;left:7801;top:2938;width:511;height:233" type="#_x0000_t202" filled="false" stroked="false">
              <v:textbox inset="0,0,0,0">
                <w:txbxContent>
                  <w:p>
                    <w:pPr>
                      <w:spacing w:line="107" w:lineRule="exact" w:before="0"/>
                      <w:ind w:left="0" w:right="0" w:firstLine="0"/>
                      <w:jc w:val="left"/>
                      <w:rPr>
                        <w:b/>
                        <w:sz w:val="12"/>
                      </w:rPr>
                    </w:pPr>
                    <w:r>
                      <w:rPr>
                        <w:b/>
                        <w:w w:val="105"/>
                        <w:sz w:val="12"/>
                        <w:u w:val="thick" w:color="97B853"/>
                      </w:rPr>
                      <w:t> </w:t>
                    </w:r>
                    <w:r>
                      <w:rPr>
                        <w:b/>
                        <w:spacing w:val="-14"/>
                        <w:sz w:val="12"/>
                        <w:u w:val="thick" w:color="97B853"/>
                      </w:rPr>
                      <w:t> </w:t>
                    </w:r>
                  </w:p>
                  <w:p>
                    <w:pPr>
                      <w:spacing w:line="126" w:lineRule="exact" w:before="0"/>
                      <w:ind w:left="172" w:right="0" w:firstLine="0"/>
                      <w:jc w:val="left"/>
                      <w:rPr>
                        <w:b/>
                        <w:sz w:val="12"/>
                      </w:rPr>
                    </w:pPr>
                    <w:r>
                      <w:rPr>
                        <w:b/>
                        <w:w w:val="105"/>
                        <w:sz w:val="12"/>
                      </w:rPr>
                      <w:t>23.8%</w:t>
                    </w:r>
                  </w:p>
                </w:txbxContent>
              </v:textbox>
              <w10:wrap type="none"/>
            </v:shape>
            <v:shape style="position:absolute;left:3347;top:3127;width:338;height:127" type="#_x0000_t202" filled="false" stroked="false">
              <v:textbox inset="0,0,0,0">
                <w:txbxContent>
                  <w:p>
                    <w:pPr>
                      <w:spacing w:line="126" w:lineRule="exact" w:before="0"/>
                      <w:ind w:left="0" w:right="0" w:firstLine="0"/>
                      <w:jc w:val="left"/>
                      <w:rPr>
                        <w:b/>
                        <w:sz w:val="12"/>
                      </w:rPr>
                    </w:pPr>
                    <w:r>
                      <w:rPr>
                        <w:b/>
                        <w:w w:val="105"/>
                        <w:sz w:val="12"/>
                      </w:rPr>
                      <w:t>23.3%</w:t>
                    </w:r>
                  </w:p>
                </w:txbxContent>
              </v:textbox>
              <w10:wrap type="none"/>
            </v:shape>
            <v:shape style="position:absolute;left:7336;top:2938;width:338;height:127" type="#_x0000_t202" filled="false" stroked="false">
              <v:textbox inset="0,0,0,0">
                <w:txbxContent>
                  <w:p>
                    <w:pPr>
                      <w:spacing w:line="126" w:lineRule="exact" w:before="0"/>
                      <w:ind w:left="0" w:right="0" w:firstLine="0"/>
                      <w:jc w:val="left"/>
                      <w:rPr>
                        <w:b/>
                        <w:sz w:val="12"/>
                      </w:rPr>
                    </w:pPr>
                    <w:r>
                      <w:rPr>
                        <w:b/>
                        <w:w w:val="105"/>
                        <w:sz w:val="12"/>
                      </w:rPr>
                      <w:t>24.1%</w:t>
                    </w:r>
                  </w:p>
                </w:txbxContent>
              </v:textbox>
              <w10:wrap type="none"/>
            </v:shape>
            <v:shape style="position:absolute;left:6199;top:2976;width:338;height:127" type="#_x0000_t202" filled="false" stroked="false">
              <v:textbox inset="0,0,0,0">
                <w:txbxContent>
                  <w:p>
                    <w:pPr>
                      <w:spacing w:line="126" w:lineRule="exact" w:before="0"/>
                      <w:ind w:left="0" w:right="0" w:firstLine="0"/>
                      <w:jc w:val="left"/>
                      <w:rPr>
                        <w:b/>
                        <w:sz w:val="12"/>
                      </w:rPr>
                    </w:pPr>
                    <w:r>
                      <w:rPr>
                        <w:b/>
                        <w:w w:val="105"/>
                        <w:sz w:val="12"/>
                      </w:rPr>
                      <w:t>24.4%</w:t>
                    </w:r>
                  </w:p>
                </w:txbxContent>
              </v:textbox>
              <w10:wrap type="none"/>
            </v:shape>
            <v:shape style="position:absolute;left:4503;top:3009;width:338;height:127" type="#_x0000_t202" filled="false" stroked="false">
              <v:textbox inset="0,0,0,0">
                <w:txbxContent>
                  <w:p>
                    <w:pPr>
                      <w:spacing w:line="126" w:lineRule="exact" w:before="0"/>
                      <w:ind w:left="0" w:right="0" w:firstLine="0"/>
                      <w:jc w:val="left"/>
                      <w:rPr>
                        <w:b/>
                        <w:sz w:val="12"/>
                      </w:rPr>
                    </w:pPr>
                    <w:r>
                      <w:rPr>
                        <w:b/>
                        <w:w w:val="105"/>
                        <w:sz w:val="12"/>
                      </w:rPr>
                      <w:t>23.9%</w:t>
                    </w:r>
                  </w:p>
                </w:txbxContent>
              </v:textbox>
              <w10:wrap type="none"/>
            </v:shape>
            <v:shape style="position:absolute;left:3905;top:2928;width:338;height:127" type="#_x0000_t202" filled="false" stroked="false">
              <v:textbox inset="0,0,0,0">
                <w:txbxContent>
                  <w:p>
                    <w:pPr>
                      <w:spacing w:line="126" w:lineRule="exact" w:before="0"/>
                      <w:ind w:left="0" w:right="0" w:firstLine="0"/>
                      <w:jc w:val="left"/>
                      <w:rPr>
                        <w:b/>
                        <w:sz w:val="12"/>
                      </w:rPr>
                    </w:pPr>
                    <w:r>
                      <w:rPr>
                        <w:b/>
                        <w:w w:val="105"/>
                        <w:sz w:val="12"/>
                      </w:rPr>
                      <w:t>24.4%</w:t>
                    </w:r>
                  </w:p>
                </w:txbxContent>
              </v:textbox>
              <w10:wrap type="none"/>
            </v:shape>
            <v:shape style="position:absolute;left:2498;top:2966;width:340;height:127" type="#_x0000_t202" filled="false" stroked="false">
              <v:textbox inset="0,0,0,0">
                <w:txbxContent>
                  <w:p>
                    <w:pPr>
                      <w:spacing w:line="127" w:lineRule="exact" w:before="0"/>
                      <w:ind w:left="0" w:right="0" w:firstLine="0"/>
                      <w:jc w:val="left"/>
                      <w:rPr>
                        <w:b/>
                        <w:sz w:val="12"/>
                      </w:rPr>
                    </w:pPr>
                    <w:r>
                      <w:rPr>
                        <w:b/>
                        <w:w w:val="105"/>
                        <w:sz w:val="12"/>
                      </w:rPr>
                      <w:t>24.0%</w:t>
                    </w:r>
                  </w:p>
                </w:txbxContent>
              </v:textbox>
              <w10:wrap type="none"/>
            </v:shape>
            <v:shape style="position:absolute;left:9130;top:2832;width:338;height:127" type="#_x0000_t202" filled="false" stroked="false">
              <v:textbox inset="0,0,0,0">
                <w:txbxContent>
                  <w:p>
                    <w:pPr>
                      <w:spacing w:line="126" w:lineRule="exact" w:before="0"/>
                      <w:ind w:left="0" w:right="0" w:firstLine="0"/>
                      <w:jc w:val="left"/>
                      <w:rPr>
                        <w:b/>
                        <w:sz w:val="12"/>
                      </w:rPr>
                    </w:pPr>
                    <w:r>
                      <w:rPr>
                        <w:b/>
                        <w:w w:val="105"/>
                        <w:sz w:val="12"/>
                      </w:rPr>
                      <w:t>24.4%</w:t>
                    </w:r>
                  </w:p>
                </w:txbxContent>
              </v:textbox>
              <w10:wrap type="none"/>
            </v:shape>
            <v:shape style="position:absolute;left:8552;top:2690;width:338;height:127" type="#_x0000_t202" filled="false" stroked="false">
              <v:textbox inset="0,0,0,0">
                <w:txbxContent>
                  <w:p>
                    <w:pPr>
                      <w:spacing w:line="126" w:lineRule="exact" w:before="0"/>
                      <w:ind w:left="0" w:right="0" w:firstLine="0"/>
                      <w:jc w:val="left"/>
                      <w:rPr>
                        <w:b/>
                        <w:sz w:val="12"/>
                      </w:rPr>
                    </w:pPr>
                    <w:r>
                      <w:rPr>
                        <w:b/>
                        <w:w w:val="105"/>
                        <w:sz w:val="12"/>
                      </w:rPr>
                      <w:t>24.8%</w:t>
                    </w:r>
                  </w:p>
                </w:txbxContent>
              </v:textbox>
              <w10:wrap type="none"/>
            </v:shape>
            <v:shape style="position:absolute;left:6738;top:2759;width:338;height:127" type="#_x0000_t202" filled="false" stroked="false">
              <v:textbox inset="0,0,0,0">
                <w:txbxContent>
                  <w:p>
                    <w:pPr>
                      <w:spacing w:line="126" w:lineRule="exact" w:before="0"/>
                      <w:ind w:left="0" w:right="0" w:firstLine="0"/>
                      <w:jc w:val="left"/>
                      <w:rPr>
                        <w:b/>
                        <w:sz w:val="12"/>
                      </w:rPr>
                    </w:pPr>
                    <w:r>
                      <w:rPr>
                        <w:b/>
                        <w:w w:val="105"/>
                        <w:sz w:val="12"/>
                      </w:rPr>
                      <w:t>24.3%</w:t>
                    </w:r>
                  </w:p>
                </w:txbxContent>
              </v:textbox>
              <w10:wrap type="none"/>
            </v:shape>
            <v:shape style="position:absolute;left:5042;top:2833;width:338;height:127" type="#_x0000_t202" filled="false" stroked="false">
              <v:textbox inset="0,0,0,0">
                <w:txbxContent>
                  <w:p>
                    <w:pPr>
                      <w:spacing w:line="126" w:lineRule="exact" w:before="0"/>
                      <w:ind w:left="0" w:right="0" w:firstLine="0"/>
                      <w:jc w:val="left"/>
                      <w:rPr>
                        <w:b/>
                        <w:sz w:val="12"/>
                      </w:rPr>
                    </w:pPr>
                    <w:r>
                      <w:rPr>
                        <w:b/>
                        <w:w w:val="105"/>
                        <w:sz w:val="12"/>
                      </w:rPr>
                      <w:t>24.6%</w:t>
                    </w:r>
                  </w:p>
                </w:txbxContent>
              </v:textbox>
              <w10:wrap type="none"/>
            </v:shape>
            <v:shape style="position:absolute;left:5660;top:2618;width:338;height:127" type="#_x0000_t202" filled="false" stroked="false">
              <v:textbox inset="0,0,0,0">
                <w:txbxContent>
                  <w:p>
                    <w:pPr>
                      <w:spacing w:line="126" w:lineRule="exact" w:before="0"/>
                      <w:ind w:left="0" w:right="0" w:firstLine="0"/>
                      <w:jc w:val="left"/>
                      <w:rPr>
                        <w:b/>
                        <w:sz w:val="12"/>
                      </w:rPr>
                    </w:pPr>
                    <w:r>
                      <w:rPr>
                        <w:b/>
                        <w:w w:val="105"/>
                        <w:sz w:val="12"/>
                      </w:rPr>
                      <w:t>24.8%</w:t>
                    </w:r>
                  </w:p>
                </w:txbxContent>
              </v:textbox>
              <w10:wrap type="none"/>
            </v:shape>
            <v:shape style="position:absolute;left:2498;top:2257;width:340;height:482" type="#_x0000_t202" filled="false" stroked="false">
              <v:textbox inset="0,0,0,0">
                <w:txbxContent>
                  <w:p>
                    <w:pPr>
                      <w:spacing w:line="127" w:lineRule="exact" w:before="0"/>
                      <w:ind w:left="0" w:right="0" w:firstLine="0"/>
                      <w:jc w:val="left"/>
                      <w:rPr>
                        <w:b/>
                        <w:sz w:val="12"/>
                      </w:rPr>
                    </w:pPr>
                    <w:r>
                      <w:rPr>
                        <w:b/>
                        <w:w w:val="105"/>
                        <w:sz w:val="12"/>
                      </w:rPr>
                      <w:t>26.0%</w:t>
                    </w:r>
                  </w:p>
                  <w:p>
                    <w:pPr>
                      <w:spacing w:line="240" w:lineRule="auto" w:before="1"/>
                      <w:rPr>
                        <w:sz w:val="17"/>
                      </w:rPr>
                    </w:pPr>
                  </w:p>
                  <w:p>
                    <w:pPr>
                      <w:spacing w:line="146" w:lineRule="exact" w:before="0"/>
                      <w:ind w:left="0" w:right="0" w:firstLine="0"/>
                      <w:jc w:val="left"/>
                      <w:rPr>
                        <w:b/>
                        <w:sz w:val="12"/>
                      </w:rPr>
                    </w:pPr>
                    <w:r>
                      <w:rPr>
                        <w:b/>
                        <w:w w:val="105"/>
                        <w:sz w:val="12"/>
                      </w:rPr>
                      <w:t>25.0%</w:t>
                    </w:r>
                  </w:p>
                </w:txbxContent>
              </v:textbox>
              <w10:wrap type="none"/>
            </v:shape>
            <v:shape style="position:absolute;left:9708;top:1837;width:338;height:127" type="#_x0000_t202" filled="false" stroked="false">
              <v:textbox inset="0,0,0,0">
                <w:txbxContent>
                  <w:p>
                    <w:pPr>
                      <w:spacing w:line="126" w:lineRule="exact" w:before="0"/>
                      <w:ind w:left="0" w:right="0" w:firstLine="0"/>
                      <w:jc w:val="left"/>
                      <w:rPr>
                        <w:b/>
                        <w:sz w:val="12"/>
                      </w:rPr>
                    </w:pPr>
                    <w:r>
                      <w:rPr>
                        <w:b/>
                        <w:w w:val="105"/>
                        <w:sz w:val="12"/>
                      </w:rPr>
                      <w:t>27.2%</w:t>
                    </w:r>
                  </w:p>
                </w:txbxContent>
              </v:textbox>
              <w10:wrap type="none"/>
            </v:shape>
            <v:shape style="position:absolute;left:2498;top:1901;width:340;height:127" type="#_x0000_t202" filled="false" stroked="false">
              <v:textbox inset="0,0,0,0">
                <w:txbxContent>
                  <w:p>
                    <w:pPr>
                      <w:spacing w:line="126" w:lineRule="exact" w:before="0"/>
                      <w:ind w:left="0" w:right="0" w:firstLine="0"/>
                      <w:jc w:val="left"/>
                      <w:rPr>
                        <w:b/>
                        <w:sz w:val="12"/>
                      </w:rPr>
                    </w:pPr>
                    <w:r>
                      <w:rPr>
                        <w:b/>
                        <w:w w:val="105"/>
                        <w:sz w:val="12"/>
                      </w:rPr>
                      <w:t>27.0%</w:t>
                    </w:r>
                  </w:p>
                </w:txbxContent>
              </v:textbox>
              <w10:wrap type="none"/>
            </v:shape>
            <v:shape style="position:absolute;left:8739;top:1787;width:570;height:141" type="#_x0000_t202" filled="false" stroked="false">
              <v:textbox inset="0,0,0,0">
                <w:txbxContent>
                  <w:p>
                    <w:pPr>
                      <w:spacing w:line="140" w:lineRule="exact" w:before="0"/>
                      <w:ind w:left="0" w:right="0" w:firstLine="0"/>
                      <w:jc w:val="left"/>
                      <w:rPr>
                        <w:b/>
                        <w:sz w:val="14"/>
                      </w:rPr>
                    </w:pPr>
                    <w:r>
                      <w:rPr>
                        <w:b/>
                        <w:sz w:val="14"/>
                      </w:rPr>
                      <w:t>Pre-covid</w:t>
                    </w:r>
                  </w:p>
                </w:txbxContent>
              </v:textbox>
              <w10:wrap type="none"/>
            </v:shape>
            <v:shape style="position:absolute;left:2498;top:1546;width:340;height:127" type="#_x0000_t202" filled="false" stroked="false">
              <v:textbox inset="0,0,0,0">
                <w:txbxContent>
                  <w:p>
                    <w:pPr>
                      <w:spacing w:line="126" w:lineRule="exact" w:before="0"/>
                      <w:ind w:left="0" w:right="0" w:firstLine="0"/>
                      <w:jc w:val="left"/>
                      <w:rPr>
                        <w:b/>
                        <w:sz w:val="12"/>
                      </w:rPr>
                    </w:pPr>
                    <w:r>
                      <w:rPr>
                        <w:b/>
                        <w:w w:val="105"/>
                        <w:sz w:val="12"/>
                      </w:rPr>
                      <w:t>28.0%</w:t>
                    </w:r>
                  </w:p>
                </w:txbxContent>
              </v:textbox>
              <w10:wrap type="none"/>
            </v:shape>
            <v:shape style="position:absolute;left:5348;top:1112;width:1562;height:229" type="#_x0000_t202" filled="false" stroked="false">
              <v:textbox inset="0,0,0,0">
                <w:txbxContent>
                  <w:p>
                    <w:pPr>
                      <w:spacing w:line="228" w:lineRule="exact" w:before="0"/>
                      <w:ind w:left="0" w:right="0" w:firstLine="0"/>
                      <w:jc w:val="left"/>
                      <w:rPr>
                        <w:b/>
                        <w:sz w:val="23"/>
                      </w:rPr>
                    </w:pPr>
                    <w:r>
                      <w:rPr>
                        <w:b/>
                        <w:sz w:val="23"/>
                      </w:rPr>
                      <w:t>(% respecto PIB)</w:t>
                    </w:r>
                  </w:p>
                </w:txbxContent>
              </v:textbox>
              <w10:wrap type="none"/>
            </v:shape>
            <v:shape style="position:absolute;left:3040;top:1282;width:2281;height:153" type="#_x0000_t202" filled="false" stroked="false">
              <v:textbox inset="0,0,0,0">
                <w:txbxContent>
                  <w:p>
                    <w:pPr>
                      <w:spacing w:line="152" w:lineRule="exact" w:before="0"/>
                      <w:ind w:left="0" w:right="0" w:firstLine="0"/>
                      <w:jc w:val="left"/>
                      <w:rPr>
                        <w:b/>
                        <w:sz w:val="15"/>
                      </w:rPr>
                    </w:pPr>
                    <w:r>
                      <w:rPr>
                        <w:b/>
                        <w:color w:val="548ED4"/>
                        <w:sz w:val="15"/>
                      </w:rPr>
                      <w:t>Valor máximo recomendado: 40.0%</w:t>
                    </w:r>
                  </w:p>
                </w:txbxContent>
              </v:textbox>
              <w10:wrap type="none"/>
            </v:shape>
            <v:shape style="position:absolute;left:4898;top:833;width:2464;height:229" type="#_x0000_t202" filled="false" stroked="false">
              <v:textbox inset="0,0,0,0">
                <w:txbxContent>
                  <w:p>
                    <w:pPr>
                      <w:spacing w:line="229" w:lineRule="exact" w:before="0"/>
                      <w:ind w:left="0" w:right="0" w:firstLine="0"/>
                      <w:jc w:val="left"/>
                      <w:rPr>
                        <w:b/>
                        <w:sz w:val="23"/>
                      </w:rPr>
                    </w:pPr>
                    <w:r>
                      <w:rPr>
                        <w:b/>
                        <w:sz w:val="23"/>
                      </w:rPr>
                      <w:t>Estimación Deuda Pública</w:t>
                    </w:r>
                  </w:p>
                </w:txbxContent>
              </v:textbox>
              <w10:wrap type="none"/>
            </v:shape>
            <v:shape style="position:absolute;left:9047;top:1098;width:960;height:325" type="#_x0000_t202" filled="false" stroked="true" strokeweight=".475671pt" strokecolor="#bbbbbb">
              <v:textbox inset="0,0,0,0">
                <w:txbxContent>
                  <w:p>
                    <w:pPr>
                      <w:spacing w:before="40"/>
                      <w:ind w:left="86" w:right="0" w:firstLine="0"/>
                      <w:jc w:val="left"/>
                      <w:rPr>
                        <w:sz w:val="14"/>
                      </w:rPr>
                    </w:pPr>
                    <w:r>
                      <w:rPr>
                        <w:sz w:val="14"/>
                      </w:rPr>
                      <w:t>Covid 32.4%</w:t>
                    </w:r>
                  </w:p>
                </w:txbxContent>
              </v:textbox>
              <v:stroke dashstyle="solid"/>
              <w10:wrap type="none"/>
            </v:shape>
            <w10:wrap type="none"/>
          </v:group>
        </w:pict>
      </w:r>
      <w:r>
        <w:rPr>
          <w:b/>
          <w:sz w:val="24"/>
        </w:rPr>
        <w:t>Gráfica No.6</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1"/>
        <w:numPr>
          <w:ilvl w:val="0"/>
          <w:numId w:val="3"/>
        </w:numPr>
        <w:tabs>
          <w:tab w:pos="1329" w:val="left" w:leader="none"/>
        </w:tabs>
        <w:spacing w:line="240" w:lineRule="auto" w:before="183" w:after="0"/>
        <w:ind w:left="1328" w:right="0" w:hanging="290"/>
        <w:jc w:val="both"/>
      </w:pPr>
      <w:bookmarkStart w:name="4) Proyecto de Presupuesto 2021 y Multia" w:id="35"/>
      <w:bookmarkEnd w:id="35"/>
      <w:r>
        <w:rPr>
          <w:b w:val="0"/>
        </w:rPr>
      </w:r>
      <w:bookmarkStart w:name="_bookmark12" w:id="36"/>
      <w:bookmarkEnd w:id="36"/>
      <w:r>
        <w:rPr>
          <w:b w:val="0"/>
        </w:rPr>
      </w:r>
      <w:bookmarkStart w:name="_bookmark12" w:id="37"/>
      <w:bookmarkEnd w:id="37"/>
      <w:r>
        <w:rPr/>
        <w:t>P</w:t>
      </w:r>
      <w:r>
        <w:rPr/>
        <w:t>royecto de Presupuesto 2021 y Multianual</w:t>
      </w:r>
      <w:r>
        <w:rPr>
          <w:spacing w:val="-8"/>
        </w:rPr>
        <w:t> </w:t>
      </w:r>
      <w:r>
        <w:rPr/>
        <w:t>2021-2025</w:t>
      </w:r>
    </w:p>
    <w:p>
      <w:pPr>
        <w:pStyle w:val="BodyText"/>
        <w:spacing w:before="1"/>
        <w:rPr>
          <w:b/>
          <w:sz w:val="23"/>
        </w:rPr>
      </w:pPr>
    </w:p>
    <w:p>
      <w:pPr>
        <w:pStyle w:val="ListParagraph"/>
        <w:numPr>
          <w:ilvl w:val="1"/>
          <w:numId w:val="7"/>
        </w:numPr>
        <w:tabs>
          <w:tab w:pos="1396" w:val="left" w:leader="none"/>
        </w:tabs>
        <w:spacing w:line="240" w:lineRule="auto" w:before="0" w:after="0"/>
        <w:ind w:left="1395" w:right="0" w:hanging="357"/>
        <w:jc w:val="both"/>
        <w:rPr>
          <w:b/>
          <w:sz w:val="24"/>
        </w:rPr>
      </w:pPr>
      <w:bookmarkStart w:name="4.1 Gestión por Resultados (GpR)" w:id="38"/>
      <w:bookmarkEnd w:id="38"/>
      <w:r>
        <w:rPr/>
      </w:r>
      <w:bookmarkStart w:name="_bookmark13" w:id="39"/>
      <w:bookmarkEnd w:id="39"/>
      <w:r>
        <w:rPr/>
      </w:r>
      <w:bookmarkStart w:name="_bookmark13" w:id="40"/>
      <w:bookmarkEnd w:id="40"/>
      <w:r>
        <w:rPr>
          <w:b/>
          <w:sz w:val="24"/>
        </w:rPr>
        <w:t>G</w:t>
      </w:r>
      <w:r>
        <w:rPr>
          <w:b/>
          <w:sz w:val="24"/>
        </w:rPr>
        <w:t>estión por Resultados</w:t>
      </w:r>
      <w:r>
        <w:rPr>
          <w:b/>
          <w:spacing w:val="-3"/>
          <w:sz w:val="24"/>
        </w:rPr>
        <w:t> </w:t>
      </w:r>
      <w:r>
        <w:rPr>
          <w:b/>
          <w:sz w:val="24"/>
        </w:rPr>
        <w:t>(GpR)</w:t>
      </w:r>
    </w:p>
    <w:p>
      <w:pPr>
        <w:pStyle w:val="BodyText"/>
        <w:spacing w:line="276" w:lineRule="auto" w:before="101"/>
        <w:ind w:left="1400" w:right="1699"/>
        <w:jc w:val="both"/>
      </w:pPr>
      <w:r>
        <w:rPr/>
        <w:t>La Secretaría de Planificación y Programación de la Presidencia y el Ministerio de Finanzas Públicas, son las entidades encargadas de orientar la Gestión por Resultados con las instituciones de la administración pública. Para ello brindan la asesoría técnica respectiva, así como la metodología y herramientas que faciliten el establecimiento de los resultados estratégicos que contribuyan a mejorar las condiciones de vida de los ciudadanos.</w:t>
      </w:r>
    </w:p>
    <w:p>
      <w:pPr>
        <w:pStyle w:val="BodyText"/>
        <w:spacing w:line="276" w:lineRule="auto" w:before="202"/>
        <w:ind w:left="1400" w:right="1697"/>
        <w:jc w:val="both"/>
      </w:pPr>
      <w:r>
        <w:rPr/>
        <w:t>El Plan Nacional de Desarrollo K´atun, nuestra Guatemala 2032 constituye el marco orientador de las prioridades de país tomando en consideración los aspectos, sociales, económicos, ambientales, institucionales y territoriales. Complementariamente, el Plan Nacional de Innovación y Desarrollo a la Gestión Pública (PLANID), define cinco pilares que se encuentran en concordancia con los Objetivos de Desarrollo Sostenible (ODS) y las Metas Estratégicas de Desarrollo (MED).</w:t>
      </w:r>
    </w:p>
    <w:p>
      <w:pPr>
        <w:pStyle w:val="BodyText"/>
        <w:spacing w:line="276" w:lineRule="auto" w:before="200"/>
        <w:ind w:left="1400" w:right="1702"/>
        <w:jc w:val="both"/>
      </w:pPr>
      <w:r>
        <w:rPr/>
        <w:pict>
          <v:shape style="position:absolute;margin-left:531.919678pt;margin-top:38.215782pt;width:27.9pt;height:58.2pt;mso-position-horizontal-relative:page;mso-position-vertical-relative:paragraph;z-index:251746304" type="#_x0000_t202" filled="false" stroked="false">
            <v:textbox inset="0,0,0,0" style="layout-flow:vertical;mso-layout-flow-alt:bottom-to-top">
              <w:txbxContent>
                <w:p>
                  <w:pPr>
                    <w:spacing w:before="21"/>
                    <w:ind w:left="20" w:right="0" w:firstLine="0"/>
                    <w:jc w:val="left"/>
                    <w:rPr>
                      <w:rFonts w:ascii="Cambria" w:hAnsi="Cambria"/>
                      <w:sz w:val="44"/>
                    </w:rPr>
                  </w:pPr>
                  <w:r>
                    <w:rPr>
                      <w:rFonts w:ascii="Cambria" w:hAnsi="Cambria"/>
                      <w:sz w:val="22"/>
                    </w:rPr>
                    <w:t>Página</w:t>
                  </w:r>
                  <w:r>
                    <w:rPr>
                      <w:rFonts w:ascii="Cambria" w:hAnsi="Cambria"/>
                      <w:sz w:val="44"/>
                    </w:rPr>
                    <w:t>15</w:t>
                  </w:r>
                </w:p>
              </w:txbxContent>
            </v:textbox>
            <w10:wrap type="none"/>
          </v:shape>
        </w:pict>
      </w:r>
      <w:r>
        <w:rPr/>
        <w:t>Bajo el marco referencial indicado, el proyecto de presupuesto considera como una prioridad para dar inicio a la reactivación económica, luego del impacto originado por la pandemia del Covid-19, que los recursos se orienten a inversión, programas recurrentes para la prestación de los servicios públicos a la población, recursos en funcionamiento orientados al gasto social como el pago del personal de educación,</w:t>
      </w:r>
    </w:p>
    <w:p>
      <w:pPr>
        <w:spacing w:after="0" w:line="276" w:lineRule="auto"/>
        <w:jc w:val="both"/>
        <w:sectPr>
          <w:pgSz w:w="11910" w:h="16840"/>
          <w:pgMar w:header="1045" w:footer="872" w:top="2280" w:bottom="1060" w:left="660" w:right="0"/>
        </w:sectPr>
      </w:pPr>
    </w:p>
    <w:p>
      <w:pPr>
        <w:pStyle w:val="BodyText"/>
        <w:spacing w:before="6"/>
        <w:rPr>
          <w:sz w:val="12"/>
        </w:rPr>
      </w:pPr>
      <w:r>
        <w:rPr/>
        <w:pict>
          <v:shape style="position:absolute;margin-left:531.919678pt;margin-top:710.579956pt;width:27.9pt;height:58.2pt;mso-position-horizontal-relative:page;mso-position-vertical-relative:page;z-index:251758592" type="#_x0000_t202" filled="false" stroked="false">
            <v:textbox inset="0,0,0,0" style="layout-flow:vertical;mso-layout-flow-alt:bottom-to-top">
              <w:txbxContent>
                <w:p>
                  <w:pPr>
                    <w:spacing w:before="21"/>
                    <w:ind w:left="20" w:right="0" w:firstLine="0"/>
                    <w:jc w:val="left"/>
                    <w:rPr>
                      <w:rFonts w:ascii="Cambria" w:hAnsi="Cambria"/>
                      <w:sz w:val="44"/>
                    </w:rPr>
                  </w:pPr>
                  <w:r>
                    <w:rPr>
                      <w:rFonts w:ascii="Cambria" w:hAnsi="Cambria"/>
                      <w:sz w:val="22"/>
                    </w:rPr>
                    <w:t>Página</w:t>
                  </w:r>
                  <w:r>
                    <w:rPr>
                      <w:rFonts w:ascii="Cambria" w:hAnsi="Cambria"/>
                      <w:sz w:val="44"/>
                    </w:rPr>
                    <w:t>16</w:t>
                  </w:r>
                </w:p>
              </w:txbxContent>
            </v:textbox>
            <w10:wrap type="none"/>
          </v:shape>
        </w:pict>
      </w:r>
    </w:p>
    <w:p>
      <w:pPr>
        <w:pStyle w:val="BodyText"/>
        <w:spacing w:line="278" w:lineRule="auto" w:before="51"/>
        <w:ind w:left="1400" w:right="1708"/>
        <w:jc w:val="both"/>
      </w:pPr>
      <w:r>
        <w:rPr/>
        <w:t>salud, seguridad, y otros gastos esenciales, las obligaciones del Estado definidas por preceptos constitucionales y de otras leyes ordinarias, y el pago de la deuda pública,</w:t>
      </w:r>
      <w:r>
        <w:rPr>
          <w:spacing w:val="-1"/>
        </w:rPr>
        <w:t> </w:t>
      </w:r>
      <w:r>
        <w:rPr/>
        <w:t>principalmente.</w:t>
      </w:r>
    </w:p>
    <w:p>
      <w:pPr>
        <w:spacing w:line="276" w:lineRule="auto" w:before="186"/>
        <w:ind w:left="2048" w:right="1874" w:hanging="845"/>
        <w:jc w:val="both"/>
        <w:rPr>
          <w:sz w:val="28"/>
        </w:rPr>
      </w:pPr>
      <w:r>
        <w:rPr>
          <w:sz w:val="28"/>
        </w:rPr>
        <w:t>Marco Estratégico para la Formulación de los lineamientos generales</w:t>
      </w:r>
      <w:r>
        <w:rPr>
          <w:spacing w:val="-40"/>
          <w:sz w:val="28"/>
        </w:rPr>
        <w:t> </w:t>
      </w:r>
      <w:r>
        <w:rPr>
          <w:sz w:val="28"/>
        </w:rPr>
        <w:t>de política y </w:t>
      </w:r>
      <w:r>
        <w:rPr>
          <w:spacing w:val="2"/>
          <w:sz w:val="28"/>
        </w:rPr>
        <w:t>su </w:t>
      </w:r>
      <w:r>
        <w:rPr>
          <w:sz w:val="28"/>
        </w:rPr>
        <w:t>vinculación a la Política General de</w:t>
      </w:r>
      <w:r>
        <w:rPr>
          <w:spacing w:val="-24"/>
          <w:sz w:val="28"/>
        </w:rPr>
        <w:t> </w:t>
      </w:r>
      <w:r>
        <w:rPr>
          <w:sz w:val="28"/>
        </w:rPr>
        <w:t>Gobierno</w:t>
      </w:r>
    </w:p>
    <w:p>
      <w:pPr>
        <w:pStyle w:val="BodyText"/>
        <w:spacing w:before="11"/>
        <w:rPr>
          <w:sz w:val="16"/>
        </w:rPr>
      </w:pPr>
      <w:r>
        <w:rPr/>
        <w:drawing>
          <wp:anchor distT="0" distB="0" distL="0" distR="0" allowOverlap="1" layoutInCell="1" locked="0" behindDoc="0" simplePos="0" relativeHeight="87">
            <wp:simplePos x="0" y="0"/>
            <wp:positionH relativeFrom="page">
              <wp:posOffset>1317765</wp:posOffset>
            </wp:positionH>
            <wp:positionV relativeFrom="paragraph">
              <wp:posOffset>156273</wp:posOffset>
            </wp:positionV>
            <wp:extent cx="5164919" cy="1952244"/>
            <wp:effectExtent l="0" t="0" r="0" b="0"/>
            <wp:wrapTopAndBottom/>
            <wp:docPr id="9" name="image119.png"/>
            <wp:cNvGraphicFramePr>
              <a:graphicFrameLocks noChangeAspect="1"/>
            </wp:cNvGraphicFramePr>
            <a:graphic>
              <a:graphicData uri="http://schemas.openxmlformats.org/drawingml/2006/picture">
                <pic:pic>
                  <pic:nvPicPr>
                    <pic:cNvPr id="10" name="image119.png"/>
                    <pic:cNvPicPr/>
                  </pic:nvPicPr>
                  <pic:blipFill>
                    <a:blip r:embed="rId127" cstate="print"/>
                    <a:stretch>
                      <a:fillRect/>
                    </a:stretch>
                  </pic:blipFill>
                  <pic:spPr>
                    <a:xfrm>
                      <a:off x="0" y="0"/>
                      <a:ext cx="5164919" cy="1952244"/>
                    </a:xfrm>
                    <a:prstGeom prst="rect">
                      <a:avLst/>
                    </a:prstGeom>
                  </pic:spPr>
                </pic:pic>
              </a:graphicData>
            </a:graphic>
          </wp:anchor>
        </w:drawing>
      </w:r>
    </w:p>
    <w:p>
      <w:pPr>
        <w:pStyle w:val="BodyText"/>
        <w:spacing w:line="278" w:lineRule="auto" w:before="233"/>
        <w:ind w:left="1400" w:right="1706"/>
      </w:pPr>
      <w:r>
        <w:rPr/>
        <w:t>El Proyecto de Presupuesto 2021, se enfoca en los pilares de la Política General de Gobierno 2020-2024, con intervenciones de diversas entidades.</w:t>
      </w:r>
    </w:p>
    <w:p>
      <w:pPr>
        <w:spacing w:before="194"/>
        <w:ind w:left="3229" w:right="0" w:firstLine="0"/>
        <w:jc w:val="left"/>
        <w:rPr>
          <w:b/>
          <w:sz w:val="24"/>
        </w:rPr>
      </w:pPr>
      <w:r>
        <w:rPr>
          <w:b/>
          <w:sz w:val="24"/>
        </w:rPr>
        <w:t>Pilares de la Política General de Gobierno</w:t>
      </w:r>
    </w:p>
    <w:p>
      <w:pPr>
        <w:pStyle w:val="BodyText"/>
        <w:rPr>
          <w:b/>
          <w:sz w:val="20"/>
        </w:rPr>
      </w:pPr>
    </w:p>
    <w:p>
      <w:pPr>
        <w:pStyle w:val="BodyText"/>
        <w:spacing w:before="2"/>
        <w:rPr>
          <w:b/>
          <w:sz w:val="27"/>
        </w:rPr>
      </w:pPr>
      <w:r>
        <w:rPr/>
        <w:pict>
          <v:group style="position:absolute;margin-left:103.136116pt;margin-top:18.571995pt;width:206pt;height:71.2pt;mso-position-horizontal-relative:page;mso-position-vertical-relative:paragraph;z-index:-251567104;mso-wrap-distance-left:0;mso-wrap-distance-right:0" coordorigin="2063,371" coordsize="4120,1424">
            <v:rect style="position:absolute;left:2238;top:562;width:3939;height:1228" filled="false" stroked="true" strokeweight=".469725pt" strokecolor="#4f81bc">
              <v:stroke dashstyle="solid"/>
            </v:rect>
            <v:shape style="position:absolute;left:2075;top:383;width:861;height:1292" type="#_x0000_t75" stroked="false">
              <v:imagedata r:id="rId128" o:title=""/>
            </v:shape>
            <v:rect style="position:absolute;left:2075;top:383;width:861;height:1292" filled="false" stroked="true" strokeweight="1.253674pt" strokecolor="#ffffff">
              <v:stroke dashstyle="solid"/>
            </v:rect>
            <v:shape style="position:absolute;left:2062;top:371;width:4120;height:1424" type="#_x0000_t202" filled="false" stroked="false">
              <v:textbox inset="0,0,0,0">
                <w:txbxContent>
                  <w:p>
                    <w:pPr>
                      <w:spacing w:line="216" w:lineRule="auto" w:before="218"/>
                      <w:ind w:left="1008" w:right="676" w:firstLine="0"/>
                      <w:jc w:val="left"/>
                      <w:rPr>
                        <w:sz w:val="35"/>
                      </w:rPr>
                    </w:pPr>
                    <w:r>
                      <w:rPr>
                        <w:sz w:val="35"/>
                      </w:rPr>
                      <w:t>Economía, Competitividad y Prosperidad</w:t>
                    </w:r>
                  </w:p>
                </w:txbxContent>
              </v:textbox>
              <w10:wrap type="none"/>
            </v:shape>
            <w10:wrap type="topAndBottom"/>
          </v:group>
        </w:pict>
      </w:r>
      <w:r>
        <w:rPr/>
        <w:pict>
          <v:group style="position:absolute;margin-left:321.066589pt;margin-top:18.571995pt;width:206pt;height:71.2pt;mso-position-horizontal-relative:page;mso-position-vertical-relative:paragraph;z-index:-251565056;mso-wrap-distance-left:0;mso-wrap-distance-right:0" coordorigin="6421,371" coordsize="4120,1424">
            <v:rect style="position:absolute;left:6597;top:562;width:3939;height:1228" filled="false" stroked="true" strokeweight=".469725pt" strokecolor="#4f81bc">
              <v:stroke dashstyle="solid"/>
            </v:rect>
            <v:shape style="position:absolute;left:6433;top:383;width:861;height:1292" type="#_x0000_t75" stroked="false">
              <v:imagedata r:id="rId129" o:title=""/>
            </v:shape>
            <v:rect style="position:absolute;left:6433;top:383;width:861;height:1292" filled="false" stroked="true" strokeweight="1.253674pt" strokecolor="#ffffff">
              <v:stroke dashstyle="solid"/>
            </v:rect>
            <v:shape style="position:absolute;left:6421;top:371;width:4120;height:1424" type="#_x0000_t202" filled="false" stroked="false">
              <v:textbox inset="0,0,0,0">
                <w:txbxContent>
                  <w:p>
                    <w:pPr>
                      <w:spacing w:line="240" w:lineRule="auto" w:before="9"/>
                      <w:rPr>
                        <w:b/>
                        <w:sz w:val="46"/>
                      </w:rPr>
                    </w:pPr>
                  </w:p>
                  <w:p>
                    <w:pPr>
                      <w:spacing w:before="0"/>
                      <w:ind w:left="1010" w:right="0" w:firstLine="0"/>
                      <w:jc w:val="left"/>
                      <w:rPr>
                        <w:sz w:val="35"/>
                      </w:rPr>
                    </w:pPr>
                    <w:r>
                      <w:rPr>
                        <w:sz w:val="35"/>
                      </w:rPr>
                      <w:t>Desarrollo Social</w:t>
                    </w:r>
                  </w:p>
                </w:txbxContent>
              </v:textbox>
              <w10:wrap type="none"/>
            </v:shape>
            <w10:wrap type="topAndBottom"/>
          </v:group>
        </w:pict>
      </w:r>
    </w:p>
    <w:p>
      <w:pPr>
        <w:pStyle w:val="BodyText"/>
        <w:spacing w:before="9"/>
        <w:rPr>
          <w:b/>
          <w:sz w:val="7"/>
        </w:rPr>
      </w:pPr>
    </w:p>
    <w:p>
      <w:pPr>
        <w:tabs>
          <w:tab w:pos="5760" w:val="left" w:leader="none"/>
        </w:tabs>
        <w:spacing w:line="240" w:lineRule="auto"/>
        <w:ind w:left="1402" w:right="0" w:firstLine="0"/>
        <w:rPr>
          <w:sz w:val="20"/>
        </w:rPr>
      </w:pPr>
      <w:r>
        <w:rPr>
          <w:sz w:val="20"/>
        </w:rPr>
        <w:pict>
          <v:group style="width:206pt;height:71.2pt;mso-position-horizontal-relative:char;mso-position-vertical-relative:line" coordorigin="0,0" coordsize="4120,1424">
            <v:rect style="position:absolute;left:175;top:189;width:3939;height:1230" filled="false" stroked="true" strokeweight=".469725pt" strokecolor="#4f81bc">
              <v:stroke dashstyle="solid"/>
            </v:rect>
            <v:shape style="position:absolute;left:12;top:12;width:861;height:1292" type="#_x0000_t75" stroked="false">
              <v:imagedata r:id="rId130" o:title=""/>
            </v:shape>
            <v:rect style="position:absolute;left:12;top:12;width:861;height:1292" filled="false" stroked="true" strokeweight="1.253674pt" strokecolor="#ffffff">
              <v:stroke dashstyle="solid"/>
            </v:rect>
            <v:shape style="position:absolute;left:0;top:0;width:4120;height:1424" type="#_x0000_t202" filled="false" stroked="false">
              <v:textbox inset="0,0,0,0">
                <w:txbxContent>
                  <w:p>
                    <w:pPr>
                      <w:spacing w:line="216" w:lineRule="auto" w:before="218"/>
                      <w:ind w:left="1008" w:right="657" w:firstLine="0"/>
                      <w:jc w:val="left"/>
                      <w:rPr>
                        <w:sz w:val="35"/>
                      </w:rPr>
                    </w:pPr>
                    <w:r>
                      <w:rPr>
                        <w:sz w:val="35"/>
                      </w:rPr>
                      <w:t>Gobernabilidad y Seguridad en Desarrollo</w:t>
                    </w:r>
                  </w:p>
                </w:txbxContent>
              </v:textbox>
              <w10:wrap type="none"/>
            </v:shape>
          </v:group>
        </w:pict>
      </w:r>
      <w:r>
        <w:rPr>
          <w:sz w:val="20"/>
        </w:rPr>
      </w:r>
      <w:r>
        <w:rPr>
          <w:sz w:val="20"/>
        </w:rPr>
        <w:tab/>
      </w:r>
      <w:r>
        <w:rPr>
          <w:sz w:val="20"/>
        </w:rPr>
        <w:pict>
          <v:group style="width:206pt;height:71.2pt;mso-position-horizontal-relative:char;mso-position-vertical-relative:line" coordorigin="0,0" coordsize="4120,1424">
            <v:rect style="position:absolute;left:175;top:189;width:3939;height:1230" filled="false" stroked="true" strokeweight=".469725pt" strokecolor="#4f81bc">
              <v:stroke dashstyle="solid"/>
            </v:rect>
            <v:shape style="position:absolute;left:12;top:12;width:861;height:1292" type="#_x0000_t75" stroked="false">
              <v:imagedata r:id="rId131" o:title=""/>
            </v:shape>
            <v:rect style="position:absolute;left:12;top:12;width:861;height:1292" filled="false" stroked="true" strokeweight="1.253674pt" strokecolor="#ffffff">
              <v:stroke dashstyle="solid"/>
            </v:rect>
            <v:shape style="position:absolute;left:0;top:0;width:4120;height:1424" type="#_x0000_t202" filled="false" stroked="false">
              <v:textbox inset="0,0,0,0">
                <w:txbxContent>
                  <w:p>
                    <w:pPr>
                      <w:spacing w:line="240" w:lineRule="auto" w:before="8"/>
                      <w:rPr>
                        <w:b/>
                        <w:sz w:val="33"/>
                      </w:rPr>
                    </w:pPr>
                  </w:p>
                  <w:p>
                    <w:pPr>
                      <w:spacing w:line="216" w:lineRule="auto" w:before="0"/>
                      <w:ind w:left="1010" w:right="135" w:firstLine="0"/>
                      <w:jc w:val="left"/>
                      <w:rPr>
                        <w:sz w:val="35"/>
                      </w:rPr>
                    </w:pPr>
                    <w:r>
                      <w:rPr>
                        <w:sz w:val="35"/>
                      </w:rPr>
                      <w:t>Estado Responsable y Transparente</w:t>
                    </w:r>
                  </w:p>
                </w:txbxContent>
              </v:textbox>
              <w10:wrap type="none"/>
            </v:shape>
          </v:group>
        </w:pict>
      </w:r>
      <w:r>
        <w:rPr>
          <w:sz w:val="20"/>
        </w:rPr>
      </w:r>
    </w:p>
    <w:p>
      <w:pPr>
        <w:pStyle w:val="BodyText"/>
        <w:spacing w:before="8"/>
        <w:rPr>
          <w:b/>
          <w:sz w:val="5"/>
        </w:rPr>
      </w:pPr>
      <w:r>
        <w:rPr/>
        <w:pict>
          <v:group style="position:absolute;margin-left:212.099777pt;margin-top:5.452988pt;width:206pt;height:71.2pt;mso-position-horizontal-relative:page;mso-position-vertical-relative:paragraph;z-index:-251558912;mso-wrap-distance-left:0;mso-wrap-distance-right:0" coordorigin="4242,109" coordsize="4120,1424">
            <v:rect style="position:absolute;left:4417;top:298;width:3939;height:1230" filled="false" stroked="true" strokeweight=".469725pt" strokecolor="#4f81bc">
              <v:stroke dashstyle="solid"/>
            </v:rect>
            <v:shape style="position:absolute;left:4254;top:121;width:861;height:1290" type="#_x0000_t75" stroked="false">
              <v:imagedata r:id="rId132" o:title=""/>
            </v:shape>
            <v:rect style="position:absolute;left:4254;top:121;width:861;height:1290" filled="false" stroked="true" strokeweight="1.253673pt" strokecolor="#ffffff">
              <v:stroke dashstyle="solid"/>
            </v:rect>
            <v:shape style="position:absolute;left:4242;top:109;width:4120;height:1424" type="#_x0000_t202" filled="false" stroked="false">
              <v:textbox inset="0,0,0,0">
                <w:txbxContent>
                  <w:p>
                    <w:pPr>
                      <w:spacing w:line="240" w:lineRule="auto" w:before="7"/>
                      <w:rPr>
                        <w:b/>
                        <w:sz w:val="33"/>
                      </w:rPr>
                    </w:pPr>
                  </w:p>
                  <w:p>
                    <w:pPr>
                      <w:spacing w:line="216" w:lineRule="auto" w:before="0"/>
                      <w:ind w:left="1009" w:right="641" w:firstLine="0"/>
                      <w:jc w:val="left"/>
                      <w:rPr>
                        <w:sz w:val="35"/>
                      </w:rPr>
                    </w:pPr>
                    <w:r>
                      <w:rPr>
                        <w:sz w:val="35"/>
                      </w:rPr>
                      <w:t>Relaciones con el Mundo</w:t>
                    </w:r>
                  </w:p>
                </w:txbxContent>
              </v:textbox>
              <w10:wrap type="none"/>
            </v:shape>
            <w10:wrap type="topAndBottom"/>
          </v:group>
        </w:pict>
      </w:r>
    </w:p>
    <w:p>
      <w:pPr>
        <w:spacing w:after="0"/>
        <w:rPr>
          <w:sz w:val="5"/>
        </w:rPr>
        <w:sectPr>
          <w:pgSz w:w="11910" w:h="16840"/>
          <w:pgMar w:header="1045" w:footer="872" w:top="2280" w:bottom="1060" w:left="660" w:right="0"/>
        </w:sectPr>
      </w:pPr>
    </w:p>
    <w:p>
      <w:pPr>
        <w:pStyle w:val="BodyText"/>
        <w:spacing w:before="1"/>
        <w:rPr>
          <w:b/>
          <w:sz w:val="12"/>
        </w:rPr>
      </w:pPr>
      <w:r>
        <w:rPr/>
        <w:pict>
          <v:shape style="position:absolute;margin-left:531.919678pt;margin-top:710.579956pt;width:27.9pt;height:58.2pt;mso-position-horizontal-relative:page;mso-position-vertical-relative:page;z-index:251773952" type="#_x0000_t202" filled="false" stroked="false">
            <v:textbox inset="0,0,0,0" style="layout-flow:vertical;mso-layout-flow-alt:bottom-to-top">
              <w:txbxContent>
                <w:p>
                  <w:pPr>
                    <w:spacing w:before="21"/>
                    <w:ind w:left="20" w:right="0" w:firstLine="0"/>
                    <w:jc w:val="left"/>
                    <w:rPr>
                      <w:rFonts w:ascii="Cambria" w:hAnsi="Cambria"/>
                      <w:sz w:val="44"/>
                    </w:rPr>
                  </w:pPr>
                  <w:r>
                    <w:rPr>
                      <w:rFonts w:ascii="Cambria" w:hAnsi="Cambria"/>
                      <w:sz w:val="22"/>
                    </w:rPr>
                    <w:t>Página</w:t>
                  </w:r>
                  <w:r>
                    <w:rPr>
                      <w:rFonts w:ascii="Cambria" w:hAnsi="Cambria"/>
                      <w:sz w:val="44"/>
                    </w:rPr>
                    <w:t>17</w:t>
                  </w:r>
                </w:p>
              </w:txbxContent>
            </v:textbox>
            <w10:wrap type="none"/>
          </v:shape>
        </w:pict>
      </w:r>
    </w:p>
    <w:p>
      <w:pPr>
        <w:spacing w:before="56"/>
        <w:ind w:left="1400" w:right="0" w:firstLine="0"/>
        <w:jc w:val="left"/>
        <w:rPr>
          <w:sz w:val="22"/>
        </w:rPr>
      </w:pPr>
      <w:r>
        <w:rPr>
          <w:sz w:val="22"/>
        </w:rPr>
        <w:t>Y toma en consideración los Objetivos de Desarrollo Sostenible (ODS).</w:t>
      </w:r>
    </w:p>
    <w:p>
      <w:pPr>
        <w:pStyle w:val="BodyText"/>
        <w:rPr>
          <w:sz w:val="28"/>
        </w:rPr>
      </w:pPr>
      <w:r>
        <w:rPr/>
        <w:drawing>
          <wp:anchor distT="0" distB="0" distL="0" distR="0" allowOverlap="1" layoutInCell="1" locked="0" behindDoc="0" simplePos="0" relativeHeight="99">
            <wp:simplePos x="0" y="0"/>
            <wp:positionH relativeFrom="page">
              <wp:posOffset>1623995</wp:posOffset>
            </wp:positionH>
            <wp:positionV relativeFrom="paragraph">
              <wp:posOffset>242042</wp:posOffset>
            </wp:positionV>
            <wp:extent cx="4605224" cy="2789205"/>
            <wp:effectExtent l="0" t="0" r="0" b="0"/>
            <wp:wrapTopAndBottom/>
            <wp:docPr id="11" name="image125.jpeg"/>
            <wp:cNvGraphicFramePr>
              <a:graphicFrameLocks noChangeAspect="1"/>
            </wp:cNvGraphicFramePr>
            <a:graphic>
              <a:graphicData uri="http://schemas.openxmlformats.org/drawingml/2006/picture">
                <pic:pic>
                  <pic:nvPicPr>
                    <pic:cNvPr id="12" name="image125.jpeg"/>
                    <pic:cNvPicPr/>
                  </pic:nvPicPr>
                  <pic:blipFill>
                    <a:blip r:embed="rId133" cstate="print"/>
                    <a:stretch>
                      <a:fillRect/>
                    </a:stretch>
                  </pic:blipFill>
                  <pic:spPr>
                    <a:xfrm>
                      <a:off x="0" y="0"/>
                      <a:ext cx="4605224" cy="2789205"/>
                    </a:xfrm>
                    <a:prstGeom prst="rect">
                      <a:avLst/>
                    </a:prstGeom>
                  </pic:spPr>
                </pic:pic>
              </a:graphicData>
            </a:graphic>
          </wp:anchor>
        </w:drawing>
      </w:r>
    </w:p>
    <w:p>
      <w:pPr>
        <w:pStyle w:val="BodyText"/>
        <w:spacing w:before="5"/>
        <w:rPr>
          <w:sz w:val="31"/>
        </w:rPr>
      </w:pPr>
    </w:p>
    <w:p>
      <w:pPr>
        <w:pStyle w:val="ListParagraph"/>
        <w:numPr>
          <w:ilvl w:val="1"/>
          <w:numId w:val="7"/>
        </w:numPr>
        <w:tabs>
          <w:tab w:pos="1396" w:val="left" w:leader="none"/>
        </w:tabs>
        <w:spacing w:line="240" w:lineRule="auto" w:before="0" w:after="0"/>
        <w:ind w:left="1395" w:right="0" w:hanging="357"/>
        <w:jc w:val="both"/>
        <w:rPr>
          <w:b/>
          <w:sz w:val="24"/>
        </w:rPr>
      </w:pPr>
      <w:bookmarkStart w:name="4.2 Metas de Recaudación y Carga Tributa" w:id="41"/>
      <w:bookmarkEnd w:id="41"/>
      <w:r>
        <w:rPr/>
      </w:r>
      <w:bookmarkStart w:name="_bookmark14" w:id="42"/>
      <w:bookmarkEnd w:id="42"/>
      <w:r>
        <w:rPr/>
      </w:r>
      <w:bookmarkStart w:name="_bookmark14" w:id="43"/>
      <w:bookmarkEnd w:id="43"/>
      <w:r>
        <w:rPr>
          <w:b/>
          <w:sz w:val="24"/>
        </w:rPr>
        <w:t>M</w:t>
      </w:r>
      <w:r>
        <w:rPr>
          <w:b/>
          <w:sz w:val="24"/>
        </w:rPr>
        <w:t>etas de Recaudación y Carga</w:t>
      </w:r>
      <w:r>
        <w:rPr>
          <w:b/>
          <w:spacing w:val="-9"/>
          <w:sz w:val="24"/>
        </w:rPr>
        <w:t> </w:t>
      </w:r>
      <w:r>
        <w:rPr>
          <w:b/>
          <w:sz w:val="24"/>
        </w:rPr>
        <w:t>Tributaria</w:t>
      </w:r>
    </w:p>
    <w:p>
      <w:pPr>
        <w:pStyle w:val="BodyText"/>
        <w:spacing w:line="276" w:lineRule="auto" w:before="105"/>
        <w:ind w:left="1039" w:right="1700"/>
        <w:jc w:val="both"/>
      </w:pPr>
      <w:r>
        <w:rPr/>
        <w:t>Para 2021 y el período multianual proyectado al 2025, se espera una recuperación gradual en el nivel de la carga tributaria, luego de la baja en 2020 derivado de la crisis sanitaria por la pandemia del Covid-19. Las metas proyectadas y nivel de carga tributaria se estiman en los niveles siguientes:</w:t>
      </w:r>
    </w:p>
    <w:p>
      <w:pPr>
        <w:spacing w:before="203"/>
        <w:ind w:left="2542" w:right="3200" w:firstLine="0"/>
        <w:jc w:val="center"/>
        <w:rPr>
          <w:b/>
          <w:sz w:val="24"/>
        </w:rPr>
      </w:pPr>
      <w:r>
        <w:rPr/>
        <w:pict>
          <v:group style="position:absolute;margin-left:85.114975pt;margin-top:36.978111pt;width:425.05pt;height:229.15pt;mso-position-horizontal-relative:page;mso-position-vertical-relative:paragraph;z-index:251771904" coordorigin="1702,740" coordsize="8501,4583">
            <v:rect style="position:absolute;left:3374;top:1720;width:5984;height:2566" filled="true" fillcolor="#fafde1" stroked="false">
              <v:fill type="solid"/>
            </v:rect>
            <v:shape style="position:absolute;left:2629;top:3269;width:9404;height:1798" coordorigin="2630,3269" coordsize="9404,1798" path="m3375,4001l9358,4001m3375,3716l9358,3716m3375,3432l9358,3432m3375,3145l9358,3145m3375,2860l9358,2860e" filled="false" stroked="true" strokeweight=".476636pt" strokecolor="#858585">
              <v:path arrowok="t"/>
              <v:stroke dashstyle="solid"/>
            </v:shape>
            <v:shape style="position:absolute;left:3374;top:2005;width:5984;height:570" coordorigin="3375,2006" coordsize="5984,570" path="m4999,2575l5013,2575m4456,2575l4469,2575m3375,2575l3926,2575m7719,2291l9358,2291m6088,2291l7189,2291m3375,2291l5557,2291m8806,2006l9358,2006m3375,2006l8276,2006e" filled="false" stroked="true" strokeweight=".476063pt" strokecolor="#858585">
              <v:path arrowok="t"/>
              <v:stroke dashstyle="solid"/>
            </v:shape>
            <v:line style="position:absolute" from="3375,1721" to="9358,1721" stroked="true" strokeweight=".476063pt" strokecolor="#858585">
              <v:stroke dashstyle="solid"/>
            </v:line>
            <v:shape style="position:absolute;left:3495;top:1996;width:5742;height:2299" type="#_x0000_t75" stroked="false">
              <v:imagedata r:id="rId134" o:title=""/>
            </v:shape>
            <v:shape style="position:absolute;left:3534;top:2011;width:5663;height:2278" type="#_x0000_t75" stroked="false">
              <v:imagedata r:id="rId135" o:title=""/>
            </v:shape>
            <v:shape style="position:absolute;left:2567;top:1474;width:9466;height:4105" coordorigin="2567,1474" coordsize="9466,4105" path="m3375,4286l3375,1721m3335,4286l3375,4286m3335,4001l3375,4001m3335,3716l3375,3716m3335,3432l3375,3432m3335,3145l3375,3145m3335,2860l3375,2860m3335,2575l3375,2575m3335,2291l3375,2291m3335,2006l3375,2006m3335,1721l3375,1721m3375,4286l9358,4286m3375,4286l3375,4326m3918,4286l3918,4326m4463,4286l4463,4326m5007,4286l5007,4326m5551,4286l5551,4326m6094,4286l6094,4326m6638,4286l6638,4326m7182,4286l7182,4326m7725,4286l7725,4326m8269,4286l8269,4326m8814,4286l8814,4326m9358,4286l9358,4326e" filled="false" stroked="true" strokeweight=".476636pt" strokecolor="#858585">
              <v:path arrowok="t"/>
              <v:stroke dashstyle="solid"/>
            </v:shape>
            <v:shape style="position:absolute;left:3382;top:1784;width:5968;height:1059" coordorigin="3382,1785" coordsize="5968,1059" path="m3912,2652l3382,2652,3382,2844,3912,2844,3912,2652m4456,2525l3926,2525,3926,2717,4456,2717,4456,2525m4999,2454l4469,2454,4469,2647,4999,2647,4999,2454m5543,2396l5013,2396,5013,2589,5543,2589,5543,2396m6088,2271l5557,2271,5557,2464,6088,2464,6088,2271m6632,2428l6100,2428,6100,2620,6632,2620,6632,2428m7175,2304l6646,2304,6646,2498,7175,2498,7175,2304m7719,2187l7189,2187,7189,2380,7719,2380,7719,2187m8263,2059l7733,2059,7733,2252,8263,2252,8263,2059m8806,1928l8276,1928,8276,2121,8806,2121,8806,1928m9350,1785l8820,1785,8820,1978,9350,1978,9350,1785e" filled="true" fillcolor="#fafde1" stroked="false">
              <v:path arrowok="t"/>
              <v:fill type="solid"/>
            </v:shape>
            <v:rect style="position:absolute;left:1707;top:744;width:8491;height:4574" filled="false" stroked="true" strokeweight=".47632pt" strokecolor="#858585">
              <v:stroke dashstyle="solid"/>
            </v:rect>
            <v:shape style="position:absolute;left:1797;top:5042;width:1414;height:255" type="#_x0000_t202" filled="false" stroked="false">
              <v:textbox inset="0,0,0,0">
                <w:txbxContent>
                  <w:p>
                    <w:pPr>
                      <w:spacing w:line="115" w:lineRule="exact" w:before="0"/>
                      <w:ind w:left="0" w:right="0" w:firstLine="0"/>
                      <w:jc w:val="left"/>
                      <w:rPr>
                        <w:b/>
                        <w:sz w:val="11"/>
                      </w:rPr>
                    </w:pPr>
                    <w:r>
                      <w:rPr>
                        <w:b/>
                        <w:w w:val="105"/>
                        <w:sz w:val="11"/>
                      </w:rPr>
                      <w:t>Fuente: Proyecciones de SAT.</w:t>
                    </w:r>
                  </w:p>
                  <w:p>
                    <w:pPr>
                      <w:spacing w:line="133" w:lineRule="exact" w:before="6"/>
                      <w:ind w:left="0" w:right="0" w:firstLine="0"/>
                      <w:jc w:val="left"/>
                      <w:rPr>
                        <w:b/>
                        <w:sz w:val="11"/>
                      </w:rPr>
                    </w:pPr>
                    <w:r>
                      <w:rPr>
                        <w:b/>
                        <w:w w:val="105"/>
                        <w:sz w:val="11"/>
                      </w:rPr>
                      <w:t>Presupuesto Abierto 2021</w:t>
                    </w:r>
                  </w:p>
                </w:txbxContent>
              </v:textbox>
              <w10:wrap type="none"/>
            </v:shape>
            <v:shape style="position:absolute;left:3447;top:4392;width:5860;height:657" type="#_x0000_t202" filled="false" stroked="false">
              <v:textbox inset="0,0,0,0">
                <w:txbxContent>
                  <w:p>
                    <w:pPr>
                      <w:tabs>
                        <w:tab w:pos="614" w:val="left" w:leader="none"/>
                        <w:tab w:pos="1158" w:val="left" w:leader="none"/>
                        <w:tab w:pos="1702" w:val="left" w:leader="none"/>
                        <w:tab w:pos="2246" w:val="left" w:leader="none"/>
                        <w:tab w:pos="2790" w:val="left" w:leader="none"/>
                        <w:tab w:pos="3334" w:val="left" w:leader="none"/>
                        <w:tab w:pos="3878" w:val="left" w:leader="none"/>
                        <w:tab w:pos="4422" w:val="left" w:leader="none"/>
                        <w:tab w:pos="4965" w:val="left" w:leader="none"/>
                        <w:tab w:pos="5509" w:val="left" w:leader="none"/>
                      </w:tabs>
                      <w:spacing w:line="127" w:lineRule="exact" w:before="0"/>
                      <w:ind w:left="70" w:right="0" w:firstLine="0"/>
                      <w:jc w:val="left"/>
                      <w:rPr>
                        <w:b/>
                        <w:sz w:val="12"/>
                      </w:rPr>
                    </w:pPr>
                    <w:r>
                      <w:rPr>
                        <w:b/>
                        <w:w w:val="105"/>
                        <w:sz w:val="12"/>
                      </w:rPr>
                      <w:t>2015</w:t>
                      <w:tab/>
                      <w:t>2016</w:t>
                      <w:tab/>
                      <w:t>2017</w:t>
                      <w:tab/>
                      <w:t>2018</w:t>
                      <w:tab/>
                      <w:t>2019</w:t>
                      <w:tab/>
                      <w:t>2020</w:t>
                      <w:tab/>
                      <w:t>2021</w:t>
                      <w:tab/>
                      <w:t>2022</w:t>
                      <w:tab/>
                      <w:t>2023</w:t>
                      <w:tab/>
                      <w:t>2024</w:t>
                      <w:tab/>
                      <w:t>2025</w:t>
                    </w:r>
                  </w:p>
                  <w:p>
                    <w:pPr>
                      <w:spacing w:before="8"/>
                      <w:ind w:left="0" w:right="0" w:firstLine="0"/>
                      <w:jc w:val="left"/>
                      <w:rPr>
                        <w:b/>
                        <w:sz w:val="12"/>
                      </w:rPr>
                    </w:pPr>
                    <w:r>
                      <w:rPr>
                        <w:b/>
                        <w:w w:val="105"/>
                        <w:sz w:val="12"/>
                      </w:rPr>
                      <w:t>(10.3%) (10.2%) (10.4%) (10.6%) (10.4%)  (9.8%)  (10.0%) (10.2%) (10.3%) (10.5%) (10.6%)</w:t>
                    </w:r>
                  </w:p>
                  <w:p>
                    <w:pPr>
                      <w:spacing w:line="240" w:lineRule="auto" w:before="0"/>
                      <w:rPr>
                        <w:b/>
                        <w:sz w:val="12"/>
                      </w:rPr>
                    </w:pPr>
                  </w:p>
                  <w:p>
                    <w:pPr>
                      <w:spacing w:line="146" w:lineRule="exact" w:before="83"/>
                      <w:ind w:left="1518" w:right="0" w:firstLine="0"/>
                      <w:jc w:val="left"/>
                      <w:rPr>
                        <w:b/>
                        <w:sz w:val="12"/>
                      </w:rPr>
                    </w:pPr>
                    <w:r>
                      <w:rPr>
                        <w:b/>
                        <w:w w:val="105"/>
                        <w:sz w:val="12"/>
                      </w:rPr>
                      <w:t>Estimación preliminar de Metas Tributarias</w:t>
                    </w:r>
                  </w:p>
                </w:txbxContent>
              </v:textbox>
              <w10:wrap type="none"/>
            </v:shape>
            <v:shape style="position:absolute;left:2803;top:2802;width:475;height:1552" type="#_x0000_t202" filled="false" stroked="false">
              <v:textbox inset="0,0,0,0">
                <w:txbxContent>
                  <w:p>
                    <w:pPr>
                      <w:spacing w:line="127" w:lineRule="exact" w:before="0"/>
                      <w:ind w:left="0" w:right="18" w:firstLine="0"/>
                      <w:jc w:val="right"/>
                      <w:rPr>
                        <w:b/>
                        <w:sz w:val="12"/>
                      </w:rPr>
                    </w:pPr>
                    <w:r>
                      <w:rPr>
                        <w:b/>
                        <w:w w:val="105"/>
                        <w:sz w:val="12"/>
                      </w:rPr>
                      <w:t>50,000.0</w:t>
                    </w:r>
                  </w:p>
                  <w:p>
                    <w:pPr>
                      <w:spacing w:line="240" w:lineRule="auto" w:before="4"/>
                      <w:rPr>
                        <w:b/>
                        <w:sz w:val="11"/>
                      </w:rPr>
                    </w:pPr>
                  </w:p>
                  <w:p>
                    <w:pPr>
                      <w:spacing w:before="0"/>
                      <w:ind w:left="0" w:right="0" w:firstLine="0"/>
                      <w:jc w:val="left"/>
                      <w:rPr>
                        <w:b/>
                        <w:sz w:val="12"/>
                      </w:rPr>
                    </w:pPr>
                    <w:r>
                      <w:rPr>
                        <w:b/>
                        <w:w w:val="105"/>
                        <w:sz w:val="12"/>
                      </w:rPr>
                      <w:t>40,000.0</w:t>
                    </w:r>
                  </w:p>
                  <w:p>
                    <w:pPr>
                      <w:spacing w:line="240" w:lineRule="auto" w:before="4"/>
                      <w:rPr>
                        <w:b/>
                        <w:sz w:val="11"/>
                      </w:rPr>
                    </w:pPr>
                  </w:p>
                  <w:p>
                    <w:pPr>
                      <w:spacing w:before="0"/>
                      <w:ind w:left="0" w:right="0" w:firstLine="0"/>
                      <w:jc w:val="left"/>
                      <w:rPr>
                        <w:b/>
                        <w:sz w:val="12"/>
                      </w:rPr>
                    </w:pPr>
                    <w:r>
                      <w:rPr>
                        <w:b/>
                        <w:w w:val="105"/>
                        <w:sz w:val="12"/>
                      </w:rPr>
                      <w:t>30,000.0</w:t>
                    </w:r>
                  </w:p>
                  <w:p>
                    <w:pPr>
                      <w:spacing w:line="240" w:lineRule="auto" w:before="4"/>
                      <w:rPr>
                        <w:b/>
                        <w:sz w:val="11"/>
                      </w:rPr>
                    </w:pPr>
                  </w:p>
                  <w:p>
                    <w:pPr>
                      <w:spacing w:before="1"/>
                      <w:ind w:left="0" w:right="0" w:firstLine="0"/>
                      <w:jc w:val="left"/>
                      <w:rPr>
                        <w:b/>
                        <w:sz w:val="12"/>
                      </w:rPr>
                    </w:pPr>
                    <w:r>
                      <w:rPr>
                        <w:b/>
                        <w:w w:val="105"/>
                        <w:sz w:val="12"/>
                      </w:rPr>
                      <w:t>20,000.0</w:t>
                    </w:r>
                  </w:p>
                  <w:p>
                    <w:pPr>
                      <w:spacing w:line="240" w:lineRule="auto" w:before="4"/>
                      <w:rPr>
                        <w:b/>
                        <w:sz w:val="11"/>
                      </w:rPr>
                    </w:pPr>
                  </w:p>
                  <w:p>
                    <w:pPr>
                      <w:spacing w:before="0"/>
                      <w:ind w:left="0" w:right="0" w:firstLine="0"/>
                      <w:jc w:val="left"/>
                      <w:rPr>
                        <w:b/>
                        <w:sz w:val="12"/>
                      </w:rPr>
                    </w:pPr>
                    <w:r>
                      <w:rPr>
                        <w:b/>
                        <w:w w:val="105"/>
                        <w:sz w:val="12"/>
                      </w:rPr>
                      <w:t>10,000.0</w:t>
                    </w:r>
                  </w:p>
                  <w:p>
                    <w:pPr>
                      <w:spacing w:line="240" w:lineRule="auto" w:before="4"/>
                      <w:rPr>
                        <w:b/>
                        <w:sz w:val="11"/>
                      </w:rPr>
                    </w:pPr>
                  </w:p>
                  <w:p>
                    <w:pPr>
                      <w:spacing w:line="146" w:lineRule="exact" w:before="0"/>
                      <w:ind w:left="0" w:right="18" w:firstLine="0"/>
                      <w:jc w:val="right"/>
                      <w:rPr>
                        <w:b/>
                        <w:sz w:val="12"/>
                      </w:rPr>
                    </w:pPr>
                    <w:r>
                      <w:rPr>
                        <w:b/>
                        <w:w w:val="105"/>
                        <w:sz w:val="12"/>
                      </w:rPr>
                      <w:t>0.0</w:t>
                    </w:r>
                  </w:p>
                </w:txbxContent>
              </v:textbox>
              <w10:wrap type="none"/>
            </v:shape>
            <v:shape style="position:absolute;left:3420;top:2696;width:471;height:127" type="#_x0000_t202" filled="false" stroked="false">
              <v:textbox inset="0,0,0,0">
                <w:txbxContent>
                  <w:p>
                    <w:pPr>
                      <w:spacing w:line="126" w:lineRule="exact" w:before="0"/>
                      <w:ind w:left="0" w:right="0" w:firstLine="0"/>
                      <w:jc w:val="left"/>
                      <w:rPr>
                        <w:b/>
                        <w:sz w:val="12"/>
                      </w:rPr>
                    </w:pPr>
                    <w:r>
                      <w:rPr>
                        <w:b/>
                        <w:w w:val="105"/>
                        <w:sz w:val="12"/>
                      </w:rPr>
                      <w:t>49,244.6</w:t>
                    </w:r>
                  </w:p>
                </w:txbxContent>
              </v:textbox>
              <w10:wrap type="none"/>
            </v:shape>
            <v:shape style="position:absolute;left:4508;top:2440;width:4895;height:185" type="#_x0000_t202" filled="false" stroked="false">
              <v:textbox inset="0,0,0,0">
                <w:txbxContent>
                  <w:p>
                    <w:pPr>
                      <w:tabs>
                        <w:tab w:pos="1617" w:val="left" w:leader="none"/>
                        <w:tab w:pos="4874" w:val="left" w:leader="none"/>
                      </w:tabs>
                      <w:spacing w:line="199" w:lineRule="auto" w:before="0"/>
                      <w:ind w:left="0" w:right="0" w:firstLine="0"/>
                      <w:jc w:val="left"/>
                      <w:rPr>
                        <w:b/>
                        <w:sz w:val="12"/>
                      </w:rPr>
                    </w:pPr>
                    <w:r>
                      <w:rPr>
                        <w:b/>
                        <w:w w:val="105"/>
                        <w:position w:val="-5"/>
                        <w:sz w:val="12"/>
                      </w:rPr>
                      <w:t>56,177.0  </w:t>
                    </w:r>
                    <w:r>
                      <w:rPr>
                        <w:b/>
                        <w:spacing w:val="7"/>
                        <w:w w:val="105"/>
                        <w:position w:val="-5"/>
                        <w:sz w:val="12"/>
                      </w:rPr>
                      <w:t> </w:t>
                    </w:r>
                    <w:r>
                      <w:rPr>
                        <w:b/>
                        <w:w w:val="105"/>
                        <w:sz w:val="12"/>
                      </w:rPr>
                      <w:t>58,200.7</w:t>
                    </w:r>
                    <w:r>
                      <w:rPr>
                        <w:b/>
                        <w:w w:val="105"/>
                        <w:sz w:val="12"/>
                        <w:u w:val="single" w:color="858585"/>
                      </w:rPr>
                      <w:t> </w:t>
                      <w:tab/>
                    </w:r>
                    <w:r>
                      <w:rPr>
                        <w:b/>
                        <w:w w:val="105"/>
                        <w:position w:val="-2"/>
                        <w:sz w:val="12"/>
                      </w:rPr>
                      <w:t>57,107.9</w:t>
                    </w:r>
                    <w:r>
                      <w:rPr>
                        <w:b/>
                        <w:spacing w:val="13"/>
                        <w:position w:val="-2"/>
                        <w:sz w:val="12"/>
                      </w:rPr>
                      <w:t> </w:t>
                    </w:r>
                    <w:r>
                      <w:rPr>
                        <w:b/>
                        <w:w w:val="105"/>
                        <w:position w:val="-2"/>
                        <w:sz w:val="12"/>
                        <w:u w:val="single" w:color="858585"/>
                      </w:rPr>
                      <w:t> </w:t>
                    </w:r>
                    <w:r>
                      <w:rPr>
                        <w:b/>
                        <w:position w:val="-2"/>
                        <w:sz w:val="12"/>
                        <w:u w:val="single" w:color="858585"/>
                      </w:rPr>
                      <w:tab/>
                    </w:r>
                  </w:p>
                </w:txbxContent>
              </v:textbox>
              <w10:wrap type="none"/>
            </v:shape>
            <v:shape style="position:absolute;left:3964;top:2569;width:471;height:127" type="#_x0000_t202" filled="false" stroked="false">
              <v:textbox inset="0,0,0,0">
                <w:txbxContent>
                  <w:p>
                    <w:pPr>
                      <w:spacing w:line="126" w:lineRule="exact" w:before="0"/>
                      <w:ind w:left="0" w:right="0" w:firstLine="0"/>
                      <w:jc w:val="left"/>
                      <w:rPr>
                        <w:b/>
                        <w:sz w:val="12"/>
                      </w:rPr>
                    </w:pPr>
                    <w:r>
                      <w:rPr>
                        <w:b/>
                        <w:w w:val="105"/>
                        <w:sz w:val="12"/>
                      </w:rPr>
                      <w:t>53,680.7</w:t>
                    </w:r>
                  </w:p>
                </w:txbxContent>
              </v:textbox>
              <w10:wrap type="none"/>
            </v:shape>
            <v:shape style="position:absolute;left:2803;top:2517;width:474;height:127" type="#_x0000_t202" filled="false" stroked="false">
              <v:textbox inset="0,0,0,0">
                <w:txbxContent>
                  <w:p>
                    <w:pPr>
                      <w:spacing w:line="126" w:lineRule="exact" w:before="0"/>
                      <w:ind w:left="0" w:right="0" w:firstLine="0"/>
                      <w:jc w:val="left"/>
                      <w:rPr>
                        <w:b/>
                        <w:sz w:val="12"/>
                      </w:rPr>
                    </w:pPr>
                    <w:r>
                      <w:rPr>
                        <w:b/>
                        <w:w w:val="105"/>
                        <w:sz w:val="12"/>
                      </w:rPr>
                      <w:t>60,000.0</w:t>
                    </w:r>
                  </w:p>
                </w:txbxContent>
              </v:textbox>
              <w10:wrap type="none"/>
            </v:shape>
            <v:shape style="position:absolute;left:6684;top:2231;width:1015;height:244" type="#_x0000_t202" filled="false" stroked="false">
              <v:textbox inset="0,0,0,0">
                <w:txbxContent>
                  <w:p>
                    <w:pPr>
                      <w:spacing w:line="112" w:lineRule="exact" w:before="0"/>
                      <w:ind w:left="544" w:right="0" w:firstLine="0"/>
                      <w:jc w:val="left"/>
                      <w:rPr>
                        <w:b/>
                        <w:sz w:val="12"/>
                      </w:rPr>
                    </w:pPr>
                    <w:r>
                      <w:rPr>
                        <w:b/>
                        <w:w w:val="105"/>
                        <w:sz w:val="12"/>
                      </w:rPr>
                      <w:t>65,528.9</w:t>
                    </w:r>
                  </w:p>
                  <w:p>
                    <w:pPr>
                      <w:spacing w:line="131" w:lineRule="exact" w:before="0"/>
                      <w:ind w:left="0" w:right="0" w:firstLine="0"/>
                      <w:jc w:val="left"/>
                      <w:rPr>
                        <w:b/>
                        <w:sz w:val="12"/>
                      </w:rPr>
                    </w:pPr>
                    <w:r>
                      <w:rPr>
                        <w:b/>
                        <w:w w:val="105"/>
                        <w:sz w:val="12"/>
                      </w:rPr>
                      <w:t>61,426.1</w:t>
                    </w:r>
                  </w:p>
                </w:txbxContent>
              </v:textbox>
              <w10:wrap type="none"/>
            </v:shape>
            <v:shape style="position:absolute;left:5596;top:2315;width:471;height:127" type="#_x0000_t202" filled="false" stroked="false">
              <v:textbox inset="0,0,0,0">
                <w:txbxContent>
                  <w:p>
                    <w:pPr>
                      <w:spacing w:line="126" w:lineRule="exact" w:before="0"/>
                      <w:ind w:left="0" w:right="0" w:firstLine="0"/>
                      <w:jc w:val="left"/>
                      <w:rPr>
                        <w:b/>
                        <w:sz w:val="12"/>
                      </w:rPr>
                    </w:pPr>
                    <w:r>
                      <w:rPr>
                        <w:b/>
                        <w:w w:val="105"/>
                        <w:sz w:val="12"/>
                      </w:rPr>
                      <w:t>62,593.6</w:t>
                    </w:r>
                  </w:p>
                </w:txbxContent>
              </v:textbox>
              <w10:wrap type="none"/>
            </v:shape>
            <v:shape style="position:absolute;left:2803;top:2232;width:474;height:127" type="#_x0000_t202" filled="false" stroked="false">
              <v:textbox inset="0,0,0,0">
                <w:txbxContent>
                  <w:p>
                    <w:pPr>
                      <w:spacing w:line="126" w:lineRule="exact" w:before="0"/>
                      <w:ind w:left="0" w:right="0" w:firstLine="0"/>
                      <w:jc w:val="left"/>
                      <w:rPr>
                        <w:b/>
                        <w:sz w:val="12"/>
                      </w:rPr>
                    </w:pPr>
                    <w:r>
                      <w:rPr>
                        <w:b/>
                        <w:w w:val="105"/>
                        <w:sz w:val="12"/>
                      </w:rPr>
                      <w:t>70,000.0</w:t>
                    </w:r>
                  </w:p>
                </w:txbxContent>
              </v:textbox>
              <w10:wrap type="none"/>
            </v:shape>
            <v:shape style="position:absolute;left:2803;top:900;width:6738;height:1331" type="#_x0000_t202" filled="false" stroked="false">
              <v:textbox inset="0,0,0,0">
                <w:txbxContent>
                  <w:p>
                    <w:pPr>
                      <w:spacing w:line="232" w:lineRule="exact" w:before="0"/>
                      <w:ind w:left="430" w:right="9" w:firstLine="0"/>
                      <w:jc w:val="center"/>
                      <w:rPr>
                        <w:b/>
                        <w:sz w:val="23"/>
                      </w:rPr>
                    </w:pPr>
                    <w:r>
                      <w:rPr>
                        <w:b/>
                        <w:sz w:val="23"/>
                      </w:rPr>
                      <w:t>Estimación</w:t>
                    </w:r>
                    <w:r>
                      <w:rPr>
                        <w:b/>
                        <w:spacing w:val="-10"/>
                        <w:sz w:val="23"/>
                      </w:rPr>
                      <w:t> </w:t>
                    </w:r>
                    <w:r>
                      <w:rPr>
                        <w:b/>
                        <w:sz w:val="23"/>
                      </w:rPr>
                      <w:t>Preliminar</w:t>
                    </w:r>
                    <w:r>
                      <w:rPr>
                        <w:b/>
                        <w:spacing w:val="-10"/>
                        <w:sz w:val="23"/>
                      </w:rPr>
                      <w:t> </w:t>
                    </w:r>
                    <w:r>
                      <w:rPr>
                        <w:b/>
                        <w:sz w:val="23"/>
                      </w:rPr>
                      <w:t>de</w:t>
                    </w:r>
                    <w:r>
                      <w:rPr>
                        <w:b/>
                        <w:spacing w:val="-10"/>
                        <w:sz w:val="23"/>
                      </w:rPr>
                      <w:t> </w:t>
                    </w:r>
                    <w:r>
                      <w:rPr>
                        <w:b/>
                        <w:sz w:val="23"/>
                      </w:rPr>
                      <w:t>Metas</w:t>
                    </w:r>
                    <w:r>
                      <w:rPr>
                        <w:b/>
                        <w:spacing w:val="-10"/>
                        <w:sz w:val="23"/>
                      </w:rPr>
                      <w:t> </w:t>
                    </w:r>
                    <w:r>
                      <w:rPr>
                        <w:b/>
                        <w:sz w:val="23"/>
                      </w:rPr>
                      <w:t>de</w:t>
                    </w:r>
                    <w:r>
                      <w:rPr>
                        <w:b/>
                        <w:spacing w:val="-10"/>
                        <w:sz w:val="23"/>
                      </w:rPr>
                      <w:t> </w:t>
                    </w:r>
                    <w:r>
                      <w:rPr>
                        <w:b/>
                        <w:sz w:val="23"/>
                      </w:rPr>
                      <w:t>Recaudación</w:t>
                    </w:r>
                    <w:r>
                      <w:rPr>
                        <w:b/>
                        <w:spacing w:val="-13"/>
                        <w:sz w:val="23"/>
                      </w:rPr>
                      <w:t> </w:t>
                    </w:r>
                    <w:r>
                      <w:rPr>
                        <w:b/>
                        <w:sz w:val="23"/>
                      </w:rPr>
                      <w:t>Tributaria</w:t>
                    </w:r>
                    <w:r>
                      <w:rPr>
                        <w:b/>
                        <w:spacing w:val="-9"/>
                        <w:sz w:val="23"/>
                      </w:rPr>
                      <w:t> </w:t>
                    </w:r>
                    <w:r>
                      <w:rPr>
                        <w:b/>
                        <w:sz w:val="23"/>
                      </w:rPr>
                      <w:t>y</w:t>
                    </w:r>
                    <w:r>
                      <w:rPr>
                        <w:b/>
                        <w:spacing w:val="-9"/>
                        <w:sz w:val="23"/>
                      </w:rPr>
                      <w:t> </w:t>
                    </w:r>
                    <w:r>
                      <w:rPr>
                        <w:b/>
                        <w:sz w:val="23"/>
                      </w:rPr>
                      <w:t>Carga</w:t>
                    </w:r>
                  </w:p>
                  <w:p>
                    <w:pPr>
                      <w:spacing w:line="279" w:lineRule="exact" w:before="0"/>
                      <w:ind w:left="430" w:right="7" w:firstLine="0"/>
                      <w:jc w:val="center"/>
                      <w:rPr>
                        <w:b/>
                        <w:sz w:val="23"/>
                      </w:rPr>
                    </w:pPr>
                    <w:r>
                      <w:rPr>
                        <w:b/>
                        <w:sz w:val="23"/>
                      </w:rPr>
                      <w:t>Tributaria</w:t>
                    </w:r>
                  </w:p>
                  <w:p>
                    <w:pPr>
                      <w:spacing w:line="255" w:lineRule="exact" w:before="0"/>
                      <w:ind w:left="430" w:right="4" w:firstLine="0"/>
                      <w:jc w:val="center"/>
                      <w:rPr>
                        <w:b/>
                        <w:sz w:val="23"/>
                      </w:rPr>
                    </w:pPr>
                    <w:r>
                      <w:rPr>
                        <w:b/>
                        <w:sz w:val="23"/>
                      </w:rPr>
                      <w:t>(En millones Q. y porcentaje)</w:t>
                    </w:r>
                  </w:p>
                  <w:p>
                    <w:pPr>
                      <w:spacing w:line="122" w:lineRule="exact" w:before="0"/>
                      <w:ind w:left="0" w:right="0" w:firstLine="0"/>
                      <w:jc w:val="left"/>
                      <w:rPr>
                        <w:b/>
                        <w:sz w:val="12"/>
                      </w:rPr>
                    </w:pPr>
                    <w:r>
                      <w:rPr>
                        <w:b/>
                        <w:w w:val="105"/>
                        <w:sz w:val="12"/>
                      </w:rPr>
                      <w:t>90,000.0</w:t>
                    </w:r>
                  </w:p>
                  <w:p>
                    <w:pPr>
                      <w:spacing w:line="132" w:lineRule="exact" w:before="21"/>
                      <w:ind w:left="6057" w:right="0" w:firstLine="0"/>
                      <w:jc w:val="left"/>
                      <w:rPr>
                        <w:b/>
                        <w:sz w:val="12"/>
                      </w:rPr>
                    </w:pPr>
                    <w:r>
                      <w:rPr>
                        <w:b/>
                        <w:w w:val="105"/>
                        <w:sz w:val="12"/>
                      </w:rPr>
                      <w:t>79,642.1</w:t>
                    </w:r>
                  </w:p>
                  <w:p>
                    <w:pPr>
                      <w:tabs>
                        <w:tab w:pos="5513" w:val="left" w:leader="none"/>
                      </w:tabs>
                      <w:spacing w:line="201" w:lineRule="auto" w:before="0"/>
                      <w:ind w:left="0" w:right="0" w:firstLine="0"/>
                      <w:jc w:val="left"/>
                      <w:rPr>
                        <w:b/>
                        <w:sz w:val="12"/>
                      </w:rPr>
                    </w:pPr>
                    <w:r>
                      <w:rPr>
                        <w:b/>
                        <w:w w:val="105"/>
                        <w:sz w:val="12"/>
                      </w:rPr>
                      <w:t>80,000.0</w:t>
                      <w:tab/>
                    </w:r>
                    <w:r>
                      <w:rPr>
                        <w:b/>
                        <w:w w:val="105"/>
                        <w:position w:val="-2"/>
                        <w:sz w:val="12"/>
                      </w:rPr>
                      <w:t>74,628.9</w:t>
                    </w:r>
                  </w:p>
                  <w:p>
                    <w:pPr>
                      <w:spacing w:line="136" w:lineRule="exact" w:before="0"/>
                      <w:ind w:left="0" w:right="1315" w:firstLine="0"/>
                      <w:jc w:val="right"/>
                      <w:rPr>
                        <w:b/>
                        <w:sz w:val="12"/>
                      </w:rPr>
                    </w:pPr>
                    <w:r>
                      <w:rPr>
                        <w:b/>
                        <w:w w:val="105"/>
                        <w:sz w:val="12"/>
                      </w:rPr>
                      <w:t>69,998.0</w:t>
                    </w:r>
                  </w:p>
                </w:txbxContent>
              </v:textbox>
              <w10:wrap type="none"/>
            </v:shape>
            <w10:wrap type="none"/>
          </v:group>
        </w:pict>
      </w:r>
      <w:r>
        <w:rPr/>
        <w:pict>
          <v:shape style="position:absolute;margin-left:106.758438pt;margin-top:121.326752pt;width:8.35pt;height:32.25pt;mso-position-horizontal-relative:page;mso-position-vertical-relative:paragraph;z-index:251772928" type="#_x0000_t202" filled="false" stroked="false">
            <v:textbox inset="0,0,0,0" style="layout-flow:vertical;mso-layout-flow-alt:bottom-to-top">
              <w:txbxContent>
                <w:p>
                  <w:pPr>
                    <w:spacing w:before="1"/>
                    <w:ind w:left="20" w:right="0" w:firstLine="0"/>
                    <w:jc w:val="left"/>
                    <w:rPr>
                      <w:b/>
                      <w:sz w:val="12"/>
                    </w:rPr>
                  </w:pPr>
                  <w:r>
                    <w:rPr>
                      <w:b/>
                      <w:w w:val="105"/>
                      <w:sz w:val="12"/>
                    </w:rPr>
                    <w:t>Millones Q.</w:t>
                  </w:r>
                </w:p>
              </w:txbxContent>
            </v:textbox>
            <w10:wrap type="none"/>
          </v:shape>
        </w:pict>
      </w:r>
      <w:r>
        <w:rPr>
          <w:b/>
          <w:sz w:val="24"/>
        </w:rPr>
        <w:t>Gráfica No. 7</w:t>
      </w:r>
    </w:p>
    <w:p>
      <w:pPr>
        <w:spacing w:after="0"/>
        <w:jc w:val="center"/>
        <w:rPr>
          <w:sz w:val="24"/>
        </w:rPr>
        <w:sectPr>
          <w:pgSz w:w="11910" w:h="16840"/>
          <w:pgMar w:header="1045" w:footer="872" w:top="2280" w:bottom="1060" w:left="660" w:right="0"/>
        </w:sectPr>
      </w:pPr>
    </w:p>
    <w:p>
      <w:pPr>
        <w:pStyle w:val="BodyText"/>
        <w:spacing w:before="6"/>
        <w:rPr>
          <w:b/>
          <w:sz w:val="12"/>
        </w:rPr>
      </w:pPr>
    </w:p>
    <w:p>
      <w:pPr>
        <w:pStyle w:val="BodyText"/>
        <w:spacing w:line="276" w:lineRule="auto" w:before="51"/>
        <w:ind w:left="1039" w:right="1697"/>
        <w:jc w:val="both"/>
      </w:pPr>
      <w:r>
        <w:rPr/>
        <w:t>La estimación anterior permite la definición de los techos indicativos para la formulación del proyecto de presupuesto para el próximo ejercicio fiscal, y su proyección multianual. Para brindar mayor transparencia, en el Anexo del presente documento se muestra la desagregación de la estimación de ingresos tributarios.</w:t>
      </w:r>
    </w:p>
    <w:p>
      <w:pPr>
        <w:pStyle w:val="BodyText"/>
      </w:pPr>
    </w:p>
    <w:p>
      <w:pPr>
        <w:pStyle w:val="BodyText"/>
      </w:pPr>
    </w:p>
    <w:p>
      <w:pPr>
        <w:pStyle w:val="ListParagraph"/>
        <w:numPr>
          <w:ilvl w:val="1"/>
          <w:numId w:val="7"/>
        </w:numPr>
        <w:tabs>
          <w:tab w:pos="1401" w:val="left" w:leader="none"/>
        </w:tabs>
        <w:spacing w:line="240" w:lineRule="auto" w:before="189" w:after="0"/>
        <w:ind w:left="1400" w:right="0" w:hanging="362"/>
        <w:jc w:val="both"/>
        <w:rPr>
          <w:b/>
          <w:sz w:val="24"/>
        </w:rPr>
      </w:pPr>
      <w:bookmarkStart w:name="4.3 Acerca de los Techos Indicativos de " w:id="44"/>
      <w:bookmarkEnd w:id="44"/>
      <w:r>
        <w:rPr/>
      </w:r>
      <w:bookmarkStart w:name="_bookmark15" w:id="45"/>
      <w:bookmarkEnd w:id="45"/>
      <w:r>
        <w:rPr/>
      </w:r>
      <w:bookmarkStart w:name="_bookmark15" w:id="46"/>
      <w:bookmarkEnd w:id="46"/>
      <w:r>
        <w:rPr>
          <w:b/>
          <w:sz w:val="24"/>
        </w:rPr>
        <w:t>A</w:t>
      </w:r>
      <w:r>
        <w:rPr>
          <w:b/>
          <w:sz w:val="24"/>
        </w:rPr>
        <w:t>cerca de los Techos Indicativos de</w:t>
      </w:r>
      <w:r>
        <w:rPr>
          <w:b/>
          <w:spacing w:val="-7"/>
          <w:sz w:val="24"/>
        </w:rPr>
        <w:t> </w:t>
      </w:r>
      <w:r>
        <w:rPr>
          <w:b/>
          <w:sz w:val="24"/>
        </w:rPr>
        <w:t>Gasto</w:t>
      </w:r>
    </w:p>
    <w:p>
      <w:pPr>
        <w:pStyle w:val="BodyText"/>
        <w:spacing w:line="276" w:lineRule="auto" w:before="105"/>
        <w:ind w:left="1039" w:right="1695"/>
        <w:jc w:val="both"/>
      </w:pPr>
      <w:r>
        <w:rPr/>
        <w:t>Como parte del proceso de planificación y programación del gasto público para el Ejercicio Fiscal 2021 y Multianual 2021-2025, los Techos Indicativos de Presupuesto actualmente se definen en un contexto de estabilidad macroeconómica, recuperación de la capacidad fiscal y financiera del Estado, fortalecimiento de la funcionalidad institucional, así como en un marco de sostenibilidad del endeudamiento público y de reactivación económica.</w:t>
      </w:r>
    </w:p>
    <w:p>
      <w:pPr>
        <w:pStyle w:val="BodyText"/>
        <w:spacing w:line="276" w:lineRule="auto" w:before="202"/>
        <w:ind w:left="1039" w:right="1699"/>
        <w:jc w:val="both"/>
      </w:pPr>
      <w:r>
        <w:rPr/>
        <w:t>No obstante, derivado de las distintas consideraciones que deben tenerse en cuenta y de las acciones que implica la formulación de un proyecto de presupuesto en medio de una crisis sanitaria a nivel mundial, las estimaciones del proyecto de presupuesto aún están siendo objeto de análisis y de revisión, por lo que en el presente documento no son detalladas, sino hasta que dicho proyecto se haya conformado y se presente ante el Congreso de la República de</w:t>
      </w:r>
      <w:r>
        <w:rPr>
          <w:spacing w:val="-6"/>
        </w:rPr>
        <w:t> </w:t>
      </w:r>
      <w:r>
        <w:rPr/>
        <w:t>Guatemala.</w:t>
      </w:r>
    </w:p>
    <w:p>
      <w:pPr>
        <w:pStyle w:val="BodyText"/>
        <w:spacing w:line="276" w:lineRule="auto" w:before="201"/>
        <w:ind w:left="1039" w:right="1702"/>
        <w:jc w:val="both"/>
      </w:pPr>
      <w:r>
        <w:rPr/>
        <w:t>En cuanto se disponga de los Techos Indicativos definitivos, corresponde a cada institución pública su distribución programática a efecto de hacer congruente la planificación con la presupuestación, mediante la determinación de las metas e indicadores respectivos.</w:t>
      </w:r>
    </w:p>
    <w:p>
      <w:pPr>
        <w:pStyle w:val="BodyText"/>
        <w:spacing w:line="276" w:lineRule="auto" w:before="204"/>
        <w:ind w:left="1039" w:right="1696"/>
        <w:jc w:val="both"/>
      </w:pPr>
      <w:r>
        <w:rPr/>
        <w:t>Una vez presentado el Proyecto de Presupuesto para el próximo ejercicio fiscal, se espera que se realice el análisis y discusión del mismo, a efecto de contar con la aprobación correspondiente del Congreso de la República de Guatemala, toda vez que, de no aprobarse por falta de acuerdos legislativos, se estaría frente a un escenario que requeriría de diversas modificaciones.</w:t>
      </w:r>
    </w:p>
    <w:p>
      <w:pPr>
        <w:pStyle w:val="BodyText"/>
        <w:spacing w:before="7"/>
        <w:rPr>
          <w:sz w:val="27"/>
        </w:rPr>
      </w:pPr>
    </w:p>
    <w:p>
      <w:pPr>
        <w:pStyle w:val="BodyText"/>
        <w:spacing w:line="276" w:lineRule="auto"/>
        <w:ind w:left="1039" w:right="1697"/>
        <w:jc w:val="both"/>
      </w:pPr>
      <w:r>
        <w:rPr/>
        <w:pict>
          <v:shape style="position:absolute;margin-left:531.919678pt;margin-top:59.175774pt;width:27.9pt;height:58.2pt;mso-position-horizontal-relative:page;mso-position-vertical-relative:paragraph;z-index:251774976" type="#_x0000_t202" filled="false" stroked="false">
            <v:textbox inset="0,0,0,0" style="layout-flow:vertical;mso-layout-flow-alt:bottom-to-top">
              <w:txbxContent>
                <w:p>
                  <w:pPr>
                    <w:spacing w:before="21"/>
                    <w:ind w:left="20" w:right="0" w:firstLine="0"/>
                    <w:jc w:val="left"/>
                    <w:rPr>
                      <w:rFonts w:ascii="Cambria" w:hAnsi="Cambria"/>
                      <w:sz w:val="44"/>
                    </w:rPr>
                  </w:pPr>
                  <w:r>
                    <w:rPr>
                      <w:rFonts w:ascii="Cambria" w:hAnsi="Cambria"/>
                      <w:sz w:val="22"/>
                    </w:rPr>
                    <w:t>Página</w:t>
                  </w:r>
                  <w:r>
                    <w:rPr>
                      <w:rFonts w:ascii="Cambria" w:hAnsi="Cambria"/>
                      <w:sz w:val="44"/>
                    </w:rPr>
                    <w:t>18</w:t>
                  </w:r>
                </w:p>
              </w:txbxContent>
            </v:textbox>
            <w10:wrap type="none"/>
          </v:shape>
        </w:pict>
      </w:r>
      <w:r>
        <w:rPr/>
        <w:t>Finalmente, vale mencionar que el presupuesto de la nación que se apruebe para </w:t>
      </w:r>
      <w:r>
        <w:rPr>
          <w:spacing w:val="2"/>
        </w:rPr>
        <w:t>el </w:t>
      </w:r>
      <w:r>
        <w:rPr/>
        <w:t>próximo año, no está exento de los efectos que derivan de la incertidumbre por </w:t>
      </w:r>
      <w:r>
        <w:rPr>
          <w:spacing w:val="2"/>
        </w:rPr>
        <w:t>el </w:t>
      </w:r>
      <w:r>
        <w:rPr/>
        <w:t>tiempo que pueda llevar el que los países cuenten con una vacuna que contrarreste la pandemia del Covid-19, además que pueden surgir rebrotes que impliquen nuevas medidas de contención y de aplicación de estrictos protocolos o  incluso confinamiento, por lo que tales situaciones tendrían que atenuarse desde la perspectiva de la salud, así como de la economía y las finanzas</w:t>
      </w:r>
      <w:r>
        <w:rPr>
          <w:spacing w:val="-16"/>
        </w:rPr>
        <w:t> </w:t>
      </w:r>
      <w:r>
        <w:rPr/>
        <w:t>públicas.</w:t>
      </w:r>
    </w:p>
    <w:p>
      <w:pPr>
        <w:spacing w:after="0" w:line="276" w:lineRule="auto"/>
        <w:jc w:val="both"/>
        <w:sectPr>
          <w:pgSz w:w="11910" w:h="16840"/>
          <w:pgMar w:header="1045" w:footer="872" w:top="2280" w:bottom="1060" w:left="660" w:right="0"/>
        </w:sectPr>
      </w:pPr>
    </w:p>
    <w:p>
      <w:pPr>
        <w:pStyle w:val="BodyText"/>
        <w:rPr>
          <w:sz w:val="20"/>
        </w:rPr>
      </w:pPr>
      <w:r>
        <w:rPr/>
        <w:pict>
          <v:shape style="position:absolute;margin-left:531.919678pt;margin-top:710.579956pt;width:27.9pt;height:58.2pt;mso-position-horizontal-relative:page;mso-position-vertical-relative:page;z-index:251776000" type="#_x0000_t202" filled="false" stroked="false">
            <v:textbox inset="0,0,0,0" style="layout-flow:vertical;mso-layout-flow-alt:bottom-to-top">
              <w:txbxContent>
                <w:p>
                  <w:pPr>
                    <w:spacing w:before="21"/>
                    <w:ind w:left="20" w:right="0" w:firstLine="0"/>
                    <w:jc w:val="left"/>
                    <w:rPr>
                      <w:rFonts w:ascii="Cambria" w:hAnsi="Cambria"/>
                      <w:sz w:val="44"/>
                    </w:rPr>
                  </w:pPr>
                  <w:r>
                    <w:rPr>
                      <w:rFonts w:ascii="Cambria" w:hAnsi="Cambria"/>
                      <w:sz w:val="22"/>
                    </w:rPr>
                    <w:t>Página</w:t>
                  </w:r>
                  <w:r>
                    <w:rPr>
                      <w:rFonts w:ascii="Cambria" w:hAnsi="Cambria"/>
                      <w:sz w:val="44"/>
                    </w:rPr>
                    <w:t>19</w:t>
                  </w:r>
                </w:p>
              </w:txbxContent>
            </v:textbox>
            <w10:wrap type="none"/>
          </v:shape>
        </w:pict>
      </w:r>
    </w:p>
    <w:p>
      <w:pPr>
        <w:pStyle w:val="BodyText"/>
        <w:rPr>
          <w:sz w:val="20"/>
        </w:rPr>
      </w:pPr>
    </w:p>
    <w:p>
      <w:pPr>
        <w:pStyle w:val="BodyText"/>
        <w:spacing w:before="6"/>
        <w:rPr>
          <w:sz w:val="16"/>
        </w:rPr>
      </w:pPr>
    </w:p>
    <w:p>
      <w:pPr>
        <w:spacing w:before="52"/>
        <w:ind w:left="1039" w:right="0" w:firstLine="0"/>
        <w:jc w:val="left"/>
        <w:rPr>
          <w:sz w:val="24"/>
        </w:rPr>
      </w:pPr>
      <w:r>
        <w:rPr>
          <w:b/>
          <w:sz w:val="24"/>
        </w:rPr>
        <w:t>Notas</w:t>
      </w:r>
      <w:r>
        <w:rPr>
          <w:sz w:val="24"/>
        </w:rPr>
        <w:t>:</w:t>
      </w:r>
    </w:p>
    <w:p>
      <w:pPr>
        <w:pStyle w:val="BodyText"/>
      </w:pPr>
    </w:p>
    <w:p>
      <w:pPr>
        <w:pStyle w:val="BodyText"/>
        <w:spacing w:before="7"/>
        <w:rPr>
          <w:sz w:val="23"/>
        </w:rPr>
      </w:pPr>
    </w:p>
    <w:p>
      <w:pPr>
        <w:pStyle w:val="BodyText"/>
        <w:spacing w:line="276" w:lineRule="auto"/>
        <w:ind w:left="1039" w:right="1706"/>
      </w:pPr>
      <w:r>
        <w:rPr/>
        <w:t>Información adicional sobre los planteamientos de las instituciones realizados en los Talleres de Presupuesto Abierto, puede encontrarse en el sitio y página siguientes:</w:t>
      </w:r>
    </w:p>
    <w:p>
      <w:pPr>
        <w:pStyle w:val="BodyText"/>
        <w:rPr>
          <w:sz w:val="20"/>
        </w:rPr>
      </w:pPr>
    </w:p>
    <w:p>
      <w:pPr>
        <w:pStyle w:val="BodyText"/>
        <w:spacing w:before="149"/>
        <w:ind w:left="1399"/>
      </w:pPr>
      <w:r>
        <w:rPr/>
        <w:drawing>
          <wp:inline distT="0" distB="0" distL="0" distR="0">
            <wp:extent cx="177165" cy="176529"/>
            <wp:effectExtent l="0" t="0" r="0" b="0"/>
            <wp:docPr id="13" name="image128.png"/>
            <wp:cNvGraphicFramePr>
              <a:graphicFrameLocks noChangeAspect="1"/>
            </wp:cNvGraphicFramePr>
            <a:graphic>
              <a:graphicData uri="http://schemas.openxmlformats.org/drawingml/2006/picture">
                <pic:pic>
                  <pic:nvPicPr>
                    <pic:cNvPr id="14" name="image128.png"/>
                    <pic:cNvPicPr/>
                  </pic:nvPicPr>
                  <pic:blipFill>
                    <a:blip r:embed="rId136" cstate="print"/>
                    <a:stretch>
                      <a:fillRect/>
                    </a:stretch>
                  </pic:blipFill>
                  <pic:spPr>
                    <a:xfrm>
                      <a:off x="0" y="0"/>
                      <a:ext cx="177165" cy="176529"/>
                    </a:xfrm>
                    <a:prstGeom prst="rect">
                      <a:avLst/>
                    </a:prstGeom>
                  </pic:spPr>
                </pic:pic>
              </a:graphicData>
            </a:graphic>
          </wp:inline>
        </w:drawing>
      </w:r>
      <w:r>
        <w:rPr/>
      </w:r>
      <w:r>
        <w:rPr>
          <w:rFonts w:ascii="Times New Roman"/>
          <w:spacing w:val="17"/>
          <w:sz w:val="20"/>
        </w:rPr>
        <w:t> </w:t>
      </w:r>
      <w:hyperlink r:id="rId11">
        <w:r>
          <w:rPr>
            <w:color w:val="0000FF"/>
            <w:u w:val="single" w:color="0000FF"/>
          </w:rPr>
          <w:t>https://presupuestoabierto.minfin.gob.gt/</w:t>
        </w:r>
      </w:hyperlink>
    </w:p>
    <w:p>
      <w:pPr>
        <w:pStyle w:val="BodyText"/>
        <w:spacing w:before="11"/>
        <w:rPr>
          <w:sz w:val="26"/>
        </w:rPr>
      </w:pPr>
    </w:p>
    <w:p>
      <w:pPr>
        <w:pStyle w:val="BodyText"/>
        <w:spacing w:line="278" w:lineRule="auto" w:before="51"/>
        <w:ind w:left="1039" w:right="1696"/>
        <w:jc w:val="both"/>
      </w:pPr>
      <w:r>
        <w:rPr/>
        <w:t>De igual manera, al ser enviado por parte del Organismo Ejecutivo, el “Proyecto de Presupuesto General de Ingresos y Egresos del Estado para el Ejercicio Fiscal 2021” al Congreso de la República de Guatemala, éste podrá ser consultado en el vínculo:</w:t>
      </w:r>
    </w:p>
    <w:p>
      <w:pPr>
        <w:pStyle w:val="BodyText"/>
        <w:spacing w:before="10"/>
        <w:rPr>
          <w:sz w:val="22"/>
        </w:rPr>
      </w:pPr>
    </w:p>
    <w:p>
      <w:pPr>
        <w:pStyle w:val="BodyText"/>
        <w:spacing w:before="51"/>
        <w:ind w:left="1399"/>
      </w:pPr>
      <w:r>
        <w:rPr/>
        <w:drawing>
          <wp:inline distT="0" distB="0" distL="0" distR="0">
            <wp:extent cx="128269" cy="127635"/>
            <wp:effectExtent l="0" t="0" r="0" b="0"/>
            <wp:docPr id="15" name="image128.png"/>
            <wp:cNvGraphicFramePr>
              <a:graphicFrameLocks noChangeAspect="1"/>
            </wp:cNvGraphicFramePr>
            <a:graphic>
              <a:graphicData uri="http://schemas.openxmlformats.org/drawingml/2006/picture">
                <pic:pic>
                  <pic:nvPicPr>
                    <pic:cNvPr id="16" name="image128.png"/>
                    <pic:cNvPicPr/>
                  </pic:nvPicPr>
                  <pic:blipFill>
                    <a:blip r:embed="rId136" cstate="print"/>
                    <a:stretch>
                      <a:fillRect/>
                    </a:stretch>
                  </pic:blipFill>
                  <pic:spPr>
                    <a:xfrm>
                      <a:off x="0" y="0"/>
                      <a:ext cx="128269" cy="127635"/>
                    </a:xfrm>
                    <a:prstGeom prst="rect">
                      <a:avLst/>
                    </a:prstGeom>
                  </pic:spPr>
                </pic:pic>
              </a:graphicData>
            </a:graphic>
          </wp:inline>
        </w:drawing>
      </w:r>
      <w:r>
        <w:rPr/>
      </w:r>
      <w:r>
        <w:rPr>
          <w:rFonts w:ascii="Times New Roman"/>
          <w:sz w:val="20"/>
        </w:rPr>
        <w:t>  </w:t>
      </w:r>
      <w:r>
        <w:rPr>
          <w:rFonts w:ascii="Times New Roman"/>
          <w:spacing w:val="-6"/>
          <w:sz w:val="20"/>
        </w:rPr>
        <w:t> </w:t>
      </w:r>
      <w:hyperlink r:id="rId9">
        <w:r>
          <w:rPr>
            <w:color w:val="0000FF"/>
            <w:u w:val="single" w:color="0000FF"/>
          </w:rPr>
          <w:t>http://www.minfin.gob.gt/index.php/proyecto-de-presupuesto</w:t>
        </w:r>
      </w:hyperlink>
    </w:p>
    <w:p>
      <w:pPr>
        <w:spacing w:after="0"/>
        <w:sectPr>
          <w:pgSz w:w="11910" w:h="16840"/>
          <w:pgMar w:header="1045" w:footer="872" w:top="2280" w:bottom="1060" w:left="660" w:right="0"/>
        </w:sectPr>
      </w:pPr>
    </w:p>
    <w:p>
      <w:pPr>
        <w:pStyle w:val="BodyText"/>
        <w:rPr>
          <w:sz w:val="20"/>
        </w:rPr>
      </w:pPr>
    </w:p>
    <w:p>
      <w:pPr>
        <w:pStyle w:val="BodyText"/>
        <w:spacing w:before="1"/>
        <w:rPr>
          <w:sz w:val="16"/>
        </w:rPr>
      </w:pPr>
    </w:p>
    <w:p>
      <w:pPr>
        <w:pStyle w:val="Heading1"/>
        <w:ind w:left="1039" w:firstLine="0"/>
      </w:pPr>
      <w:bookmarkStart w:name="Glosario" w:id="47"/>
      <w:bookmarkEnd w:id="47"/>
      <w:r>
        <w:rPr>
          <w:b w:val="0"/>
        </w:rPr>
      </w:r>
      <w:bookmarkStart w:name="_bookmark16" w:id="48"/>
      <w:bookmarkEnd w:id="48"/>
      <w:r>
        <w:rPr>
          <w:b w:val="0"/>
        </w:rPr>
      </w:r>
      <w:r>
        <w:rPr/>
        <w:t>Glosario</w:t>
      </w:r>
    </w:p>
    <w:p>
      <w:pPr>
        <w:pStyle w:val="BodyText"/>
        <w:rPr>
          <w:b/>
          <w:sz w:val="28"/>
        </w:rPr>
      </w:pPr>
    </w:p>
    <w:p>
      <w:pPr>
        <w:pStyle w:val="ListParagraph"/>
        <w:numPr>
          <w:ilvl w:val="2"/>
          <w:numId w:val="7"/>
        </w:numPr>
        <w:tabs>
          <w:tab w:pos="1746" w:val="left" w:leader="none"/>
        </w:tabs>
        <w:spacing w:line="240" w:lineRule="auto" w:before="235" w:after="0"/>
        <w:ind w:left="1755" w:right="1708" w:hanging="360"/>
        <w:jc w:val="both"/>
        <w:rPr>
          <w:sz w:val="24"/>
        </w:rPr>
      </w:pPr>
      <w:r>
        <w:rPr>
          <w:b/>
          <w:sz w:val="24"/>
        </w:rPr>
        <w:t>Carga Tributaria: </w:t>
      </w:r>
      <w:r>
        <w:rPr>
          <w:sz w:val="24"/>
        </w:rPr>
        <w:t>Es el porcentaje que representa el monto de los ingresos tributarios, con relación al Producto Interno Bruto (PIB) del</w:t>
      </w:r>
      <w:r>
        <w:rPr>
          <w:spacing w:val="-11"/>
          <w:sz w:val="24"/>
        </w:rPr>
        <w:t> </w:t>
      </w:r>
      <w:r>
        <w:rPr>
          <w:sz w:val="24"/>
        </w:rPr>
        <w:t>país.</w:t>
      </w:r>
    </w:p>
    <w:p>
      <w:pPr>
        <w:pStyle w:val="ListParagraph"/>
        <w:numPr>
          <w:ilvl w:val="2"/>
          <w:numId w:val="7"/>
        </w:numPr>
        <w:tabs>
          <w:tab w:pos="1746" w:val="left" w:leader="none"/>
        </w:tabs>
        <w:spacing w:line="240" w:lineRule="auto" w:before="1" w:after="0"/>
        <w:ind w:left="1755" w:right="1708" w:hanging="360"/>
        <w:jc w:val="both"/>
        <w:rPr>
          <w:sz w:val="24"/>
        </w:rPr>
      </w:pPr>
      <w:r>
        <w:rPr>
          <w:b/>
          <w:sz w:val="24"/>
        </w:rPr>
        <w:t>Déficit Fiscal</w:t>
      </w:r>
      <w:r>
        <w:rPr>
          <w:sz w:val="24"/>
        </w:rPr>
        <w:t>: Es la diferencia (negativa) entre los ingresos y los egresos públicos en un período</w:t>
      </w:r>
      <w:r>
        <w:rPr>
          <w:spacing w:val="2"/>
          <w:sz w:val="24"/>
        </w:rPr>
        <w:t> </w:t>
      </w:r>
      <w:r>
        <w:rPr>
          <w:sz w:val="24"/>
        </w:rPr>
        <w:t>determinado.</w:t>
      </w:r>
    </w:p>
    <w:p>
      <w:pPr>
        <w:pStyle w:val="ListParagraph"/>
        <w:numPr>
          <w:ilvl w:val="2"/>
          <w:numId w:val="7"/>
        </w:numPr>
        <w:tabs>
          <w:tab w:pos="1746" w:val="left" w:leader="none"/>
        </w:tabs>
        <w:spacing w:line="240" w:lineRule="auto" w:before="0" w:after="0"/>
        <w:ind w:left="1755" w:right="1696" w:hanging="360"/>
        <w:jc w:val="both"/>
        <w:rPr>
          <w:sz w:val="24"/>
        </w:rPr>
      </w:pPr>
      <w:r>
        <w:rPr>
          <w:b/>
          <w:sz w:val="24"/>
        </w:rPr>
        <w:t>Deuda Pública</w:t>
      </w:r>
      <w:r>
        <w:rPr>
          <w:sz w:val="24"/>
        </w:rPr>
        <w:t>: Obligaciones financieras (bonos, préstamos) contraídas por </w:t>
      </w:r>
      <w:r>
        <w:rPr>
          <w:spacing w:val="4"/>
          <w:sz w:val="24"/>
        </w:rPr>
        <w:t>el </w:t>
      </w:r>
      <w:r>
        <w:rPr>
          <w:sz w:val="24"/>
        </w:rPr>
        <w:t>gobierno, a través de las cuales se compromete a pagar intereses y </w:t>
      </w:r>
      <w:r>
        <w:rPr>
          <w:spacing w:val="2"/>
          <w:sz w:val="24"/>
        </w:rPr>
        <w:t>el </w:t>
      </w:r>
      <w:r>
        <w:rPr>
          <w:sz w:val="24"/>
        </w:rPr>
        <w:t>capital original en las fechas</w:t>
      </w:r>
      <w:r>
        <w:rPr>
          <w:spacing w:val="-2"/>
          <w:sz w:val="24"/>
        </w:rPr>
        <w:t> </w:t>
      </w:r>
      <w:r>
        <w:rPr>
          <w:sz w:val="24"/>
        </w:rPr>
        <w:t>determinadas.</w:t>
      </w:r>
    </w:p>
    <w:p>
      <w:pPr>
        <w:pStyle w:val="ListParagraph"/>
        <w:numPr>
          <w:ilvl w:val="2"/>
          <w:numId w:val="7"/>
        </w:numPr>
        <w:tabs>
          <w:tab w:pos="1746" w:val="left" w:leader="none"/>
        </w:tabs>
        <w:spacing w:line="240" w:lineRule="auto" w:before="0" w:after="0"/>
        <w:ind w:left="1755" w:right="1701" w:hanging="360"/>
        <w:jc w:val="both"/>
        <w:rPr>
          <w:sz w:val="24"/>
        </w:rPr>
      </w:pPr>
      <w:r>
        <w:rPr>
          <w:b/>
          <w:sz w:val="24"/>
        </w:rPr>
        <w:t>Gasto Presupuestario: </w:t>
      </w:r>
      <w:r>
        <w:rPr>
          <w:sz w:val="24"/>
        </w:rPr>
        <w:t>Incluye el gasto total de la Administración Central más </w:t>
      </w:r>
      <w:r>
        <w:rPr>
          <w:spacing w:val="2"/>
          <w:sz w:val="24"/>
        </w:rPr>
        <w:t>el </w:t>
      </w:r>
      <w:r>
        <w:rPr>
          <w:sz w:val="24"/>
        </w:rPr>
        <w:t>pago de amortizaciones de deuda pública, que están incluidas dentro del presupuesto de ingresos y gastos de cada</w:t>
      </w:r>
      <w:r>
        <w:rPr>
          <w:spacing w:val="-5"/>
          <w:sz w:val="24"/>
        </w:rPr>
        <w:t> </w:t>
      </w:r>
      <w:r>
        <w:rPr>
          <w:sz w:val="24"/>
        </w:rPr>
        <w:t>año.</w:t>
      </w:r>
    </w:p>
    <w:p>
      <w:pPr>
        <w:pStyle w:val="ListParagraph"/>
        <w:numPr>
          <w:ilvl w:val="2"/>
          <w:numId w:val="7"/>
        </w:numPr>
        <w:tabs>
          <w:tab w:pos="1746" w:val="left" w:leader="none"/>
        </w:tabs>
        <w:spacing w:line="240" w:lineRule="auto" w:before="0" w:after="0"/>
        <w:ind w:left="1755" w:right="1703" w:hanging="360"/>
        <w:jc w:val="both"/>
        <w:rPr>
          <w:sz w:val="24"/>
        </w:rPr>
      </w:pPr>
      <w:r>
        <w:rPr>
          <w:b/>
          <w:sz w:val="24"/>
        </w:rPr>
        <w:t>Gasto Total: </w:t>
      </w:r>
      <w:r>
        <w:rPr>
          <w:sz w:val="24"/>
        </w:rPr>
        <w:t>Se refiere al gasto de la Administración Central para </w:t>
      </w:r>
      <w:r>
        <w:rPr>
          <w:spacing w:val="4"/>
          <w:sz w:val="24"/>
        </w:rPr>
        <w:t>el </w:t>
      </w:r>
      <w:r>
        <w:rPr>
          <w:sz w:val="24"/>
        </w:rPr>
        <w:t>cumplimiento de sus funciones y la inversión, así como </w:t>
      </w:r>
      <w:r>
        <w:rPr>
          <w:spacing w:val="2"/>
          <w:sz w:val="24"/>
        </w:rPr>
        <w:t>el </w:t>
      </w:r>
      <w:r>
        <w:rPr>
          <w:sz w:val="24"/>
        </w:rPr>
        <w:t>pago de intereses de deuda</w:t>
      </w:r>
      <w:r>
        <w:rPr>
          <w:spacing w:val="-3"/>
          <w:sz w:val="24"/>
        </w:rPr>
        <w:t> </w:t>
      </w:r>
      <w:r>
        <w:rPr>
          <w:sz w:val="24"/>
        </w:rPr>
        <w:t>pública.</w:t>
      </w:r>
    </w:p>
    <w:p>
      <w:pPr>
        <w:pStyle w:val="ListParagraph"/>
        <w:numPr>
          <w:ilvl w:val="2"/>
          <w:numId w:val="7"/>
        </w:numPr>
        <w:tabs>
          <w:tab w:pos="1746" w:val="left" w:leader="none"/>
        </w:tabs>
        <w:spacing w:line="240" w:lineRule="auto" w:before="1" w:after="0"/>
        <w:ind w:left="1755" w:right="1698" w:hanging="360"/>
        <w:jc w:val="both"/>
        <w:rPr>
          <w:sz w:val="24"/>
        </w:rPr>
      </w:pPr>
      <w:r>
        <w:rPr>
          <w:b/>
          <w:sz w:val="24"/>
        </w:rPr>
        <w:t>Importaciones y Exportaciones FOB: </w:t>
      </w:r>
      <w:r>
        <w:rPr>
          <w:sz w:val="24"/>
        </w:rPr>
        <w:t>En economía, una “exportación” </w:t>
      </w:r>
      <w:r>
        <w:rPr>
          <w:spacing w:val="2"/>
          <w:sz w:val="24"/>
        </w:rPr>
        <w:t>es </w:t>
      </w:r>
      <w:r>
        <w:rPr>
          <w:sz w:val="24"/>
        </w:rPr>
        <w:t>cualquier bien o servicio enviado fuera del territorio nacional. La “importación” es el transporte legítimo de bienes y servicios que vienen de otro país. En ambas acciones comerciales FOB se refiere a que luego de sobrepasar la borda del buque (ó “franco a bordo”), el costo y riesgos de pérdida o daño de los bienes embarcados corresponde al</w:t>
      </w:r>
      <w:r>
        <w:rPr>
          <w:spacing w:val="-2"/>
          <w:sz w:val="24"/>
        </w:rPr>
        <w:t> </w:t>
      </w:r>
      <w:r>
        <w:rPr>
          <w:sz w:val="24"/>
        </w:rPr>
        <w:t>comprador.</w:t>
      </w:r>
    </w:p>
    <w:p>
      <w:pPr>
        <w:pStyle w:val="ListParagraph"/>
        <w:numPr>
          <w:ilvl w:val="2"/>
          <w:numId w:val="7"/>
        </w:numPr>
        <w:tabs>
          <w:tab w:pos="1746" w:val="left" w:leader="none"/>
        </w:tabs>
        <w:spacing w:line="240" w:lineRule="auto" w:before="0" w:after="0"/>
        <w:ind w:left="1755" w:right="1708" w:hanging="360"/>
        <w:jc w:val="both"/>
        <w:rPr>
          <w:sz w:val="24"/>
        </w:rPr>
      </w:pPr>
      <w:r>
        <w:rPr>
          <w:b/>
          <w:sz w:val="24"/>
        </w:rPr>
        <w:t>Inflación: </w:t>
      </w:r>
      <w:r>
        <w:rPr>
          <w:sz w:val="24"/>
        </w:rPr>
        <w:t>Es el crecimiento continuo y generalizado de los precios de los bienes y servicios y factores productivos de una economía a lo largo del</w:t>
      </w:r>
      <w:r>
        <w:rPr>
          <w:spacing w:val="-18"/>
          <w:sz w:val="24"/>
        </w:rPr>
        <w:t> </w:t>
      </w:r>
      <w:r>
        <w:rPr>
          <w:sz w:val="24"/>
        </w:rPr>
        <w:t>tiempo.</w:t>
      </w:r>
    </w:p>
    <w:p>
      <w:pPr>
        <w:pStyle w:val="ListParagraph"/>
        <w:numPr>
          <w:ilvl w:val="2"/>
          <w:numId w:val="7"/>
        </w:numPr>
        <w:tabs>
          <w:tab w:pos="1746" w:val="left" w:leader="none"/>
        </w:tabs>
        <w:spacing w:line="240" w:lineRule="auto" w:before="0" w:after="0"/>
        <w:ind w:left="1755" w:right="1705" w:hanging="360"/>
        <w:jc w:val="both"/>
        <w:rPr>
          <w:sz w:val="24"/>
        </w:rPr>
      </w:pPr>
      <w:r>
        <w:rPr>
          <w:b/>
          <w:sz w:val="24"/>
        </w:rPr>
        <w:t>Presupuesto Aprobado: </w:t>
      </w:r>
      <w:r>
        <w:rPr>
          <w:sz w:val="24"/>
        </w:rPr>
        <w:t>Se refiere a las asignaciones autorizadas a las entidades públicas para que, a partir del inicio del año, realicen la ejecución de los programas y proyectos que benefician a la población. Dichas asignaciones son autorizadas por el Congreso de la República de Guatemala, en </w:t>
      </w:r>
      <w:r>
        <w:rPr>
          <w:spacing w:val="2"/>
          <w:sz w:val="24"/>
        </w:rPr>
        <w:t>el </w:t>
      </w:r>
      <w:r>
        <w:rPr>
          <w:sz w:val="24"/>
        </w:rPr>
        <w:t>Decreto que aprueba el Presupuesto General de Ingresos y Egresos del Estado, y que entra a regir a partir del 1 de enero de cada</w:t>
      </w:r>
      <w:r>
        <w:rPr>
          <w:spacing w:val="-13"/>
          <w:sz w:val="24"/>
        </w:rPr>
        <w:t> </w:t>
      </w:r>
      <w:r>
        <w:rPr>
          <w:sz w:val="24"/>
        </w:rPr>
        <w:t>año.</w:t>
      </w:r>
    </w:p>
    <w:p>
      <w:pPr>
        <w:pStyle w:val="ListParagraph"/>
        <w:numPr>
          <w:ilvl w:val="2"/>
          <w:numId w:val="7"/>
        </w:numPr>
        <w:tabs>
          <w:tab w:pos="1746" w:val="left" w:leader="none"/>
        </w:tabs>
        <w:spacing w:line="240" w:lineRule="auto" w:before="0" w:after="0"/>
        <w:ind w:left="1755" w:right="1704" w:hanging="360"/>
        <w:jc w:val="both"/>
        <w:rPr>
          <w:sz w:val="24"/>
        </w:rPr>
      </w:pPr>
      <w:r>
        <w:rPr>
          <w:b/>
          <w:sz w:val="24"/>
        </w:rPr>
        <w:t>Presupuesto Ejecutado: </w:t>
      </w:r>
      <w:r>
        <w:rPr>
          <w:sz w:val="24"/>
        </w:rPr>
        <w:t>Es el monto de recursos que efectivamente se utilizaron en la producción de bienes y prestación de los servicios públicos en un período de tiempo, o al cierre del ejercicio fiscal. Puede analizarse a nivel total del presupuesto, por instituciones, programas, proyectos, actividades, insumos, entre</w:t>
      </w:r>
      <w:r>
        <w:rPr>
          <w:spacing w:val="-2"/>
          <w:sz w:val="24"/>
        </w:rPr>
        <w:t> </w:t>
      </w:r>
      <w:r>
        <w:rPr>
          <w:sz w:val="24"/>
        </w:rPr>
        <w:t>otros.</w:t>
      </w:r>
    </w:p>
    <w:p>
      <w:pPr>
        <w:pStyle w:val="ListParagraph"/>
        <w:numPr>
          <w:ilvl w:val="2"/>
          <w:numId w:val="7"/>
        </w:numPr>
        <w:tabs>
          <w:tab w:pos="1746" w:val="left" w:leader="none"/>
        </w:tabs>
        <w:spacing w:line="240" w:lineRule="auto" w:before="0" w:after="0"/>
        <w:ind w:left="1755" w:right="1701" w:hanging="360"/>
        <w:jc w:val="both"/>
        <w:rPr>
          <w:sz w:val="24"/>
        </w:rPr>
      </w:pPr>
      <w:r>
        <w:rPr>
          <w:b/>
          <w:sz w:val="24"/>
        </w:rPr>
        <w:t>Presupuesto Indicativo: </w:t>
      </w:r>
      <w:r>
        <w:rPr>
          <w:sz w:val="24"/>
        </w:rPr>
        <w:t>Llamado también “techos presupuestarios”; es el monto máximo de gasto autorizado por el Gabinete de Gobierno para </w:t>
      </w:r>
      <w:r>
        <w:rPr>
          <w:spacing w:val="2"/>
          <w:sz w:val="24"/>
        </w:rPr>
        <w:t>el </w:t>
      </w:r>
      <w:r>
        <w:rPr>
          <w:sz w:val="24"/>
        </w:rPr>
        <w:t>anteproyecto de presupuesto que elabora cada</w:t>
      </w:r>
      <w:r>
        <w:rPr>
          <w:spacing w:val="-7"/>
          <w:sz w:val="24"/>
        </w:rPr>
        <w:t> </w:t>
      </w:r>
      <w:r>
        <w:rPr>
          <w:sz w:val="24"/>
        </w:rPr>
        <w:t>entidad.</w:t>
      </w:r>
    </w:p>
    <w:p>
      <w:pPr>
        <w:pStyle w:val="ListParagraph"/>
        <w:numPr>
          <w:ilvl w:val="2"/>
          <w:numId w:val="7"/>
        </w:numPr>
        <w:tabs>
          <w:tab w:pos="1746" w:val="left" w:leader="none"/>
        </w:tabs>
        <w:spacing w:line="240" w:lineRule="auto" w:before="2" w:after="0"/>
        <w:ind w:left="1755" w:right="1701" w:hanging="360"/>
        <w:jc w:val="both"/>
        <w:rPr>
          <w:sz w:val="24"/>
        </w:rPr>
      </w:pPr>
      <w:r>
        <w:rPr/>
        <w:pict>
          <v:shape style="position:absolute;margin-left:531.919678pt;margin-top:7.084453pt;width:27.9pt;height:58.2pt;mso-position-horizontal-relative:page;mso-position-vertical-relative:paragraph;z-index:251777024" type="#_x0000_t202" filled="false" stroked="false">
            <v:textbox inset="0,0,0,0" style="layout-flow:vertical;mso-layout-flow-alt:bottom-to-top">
              <w:txbxContent>
                <w:p>
                  <w:pPr>
                    <w:spacing w:before="21"/>
                    <w:ind w:left="20" w:right="0" w:firstLine="0"/>
                    <w:jc w:val="left"/>
                    <w:rPr>
                      <w:rFonts w:ascii="Cambria" w:hAnsi="Cambria"/>
                      <w:sz w:val="44"/>
                    </w:rPr>
                  </w:pPr>
                  <w:r>
                    <w:rPr>
                      <w:rFonts w:ascii="Cambria" w:hAnsi="Cambria"/>
                      <w:sz w:val="22"/>
                    </w:rPr>
                    <w:t>Página</w:t>
                  </w:r>
                  <w:r>
                    <w:rPr>
                      <w:rFonts w:ascii="Cambria" w:hAnsi="Cambria"/>
                      <w:sz w:val="44"/>
                    </w:rPr>
                    <w:t>20</w:t>
                  </w:r>
                </w:p>
              </w:txbxContent>
            </v:textbox>
            <w10:wrap type="none"/>
          </v:shape>
        </w:pict>
      </w:r>
      <w:r>
        <w:rPr>
          <w:b/>
          <w:sz w:val="24"/>
        </w:rPr>
        <w:t>Presupuesto: </w:t>
      </w:r>
      <w:r>
        <w:rPr>
          <w:sz w:val="24"/>
        </w:rPr>
        <w:t>Es un supuesto previo sobre los ingresos que se esperan obtener y los egresos que se programan realizar para alcanzar los objetivos de</w:t>
      </w:r>
      <w:r>
        <w:rPr>
          <w:spacing w:val="-39"/>
          <w:sz w:val="24"/>
        </w:rPr>
        <w:t> </w:t>
      </w:r>
      <w:r>
        <w:rPr>
          <w:sz w:val="24"/>
        </w:rPr>
        <w:t>gobierno.</w:t>
      </w:r>
    </w:p>
    <w:p>
      <w:pPr>
        <w:spacing w:after="0" w:line="240" w:lineRule="auto"/>
        <w:jc w:val="both"/>
        <w:rPr>
          <w:sz w:val="24"/>
        </w:rPr>
        <w:sectPr>
          <w:pgSz w:w="11910" w:h="16840"/>
          <w:pgMar w:header="1045" w:footer="872" w:top="2280" w:bottom="1060" w:left="660" w:right="0"/>
        </w:sectPr>
      </w:pPr>
    </w:p>
    <w:p>
      <w:pPr>
        <w:pStyle w:val="BodyText"/>
        <w:rPr>
          <w:sz w:val="20"/>
        </w:rPr>
      </w:pPr>
    </w:p>
    <w:p>
      <w:pPr>
        <w:pStyle w:val="BodyText"/>
        <w:spacing w:before="5"/>
        <w:rPr>
          <w:sz w:val="16"/>
        </w:rPr>
      </w:pPr>
    </w:p>
    <w:p>
      <w:pPr>
        <w:pStyle w:val="Heading2"/>
        <w:spacing w:before="52"/>
        <w:ind w:right="3201"/>
        <w:jc w:val="center"/>
      </w:pPr>
      <w:bookmarkStart w:name="ANEXO" w:id="49"/>
      <w:bookmarkEnd w:id="49"/>
      <w:r>
        <w:rPr>
          <w:b w:val="0"/>
        </w:rPr>
      </w:r>
      <w:bookmarkStart w:name="_bookmark17" w:id="50"/>
      <w:bookmarkEnd w:id="50"/>
      <w:r>
        <w:rPr>
          <w:b w:val="0"/>
        </w:rPr>
      </w:r>
      <w:r>
        <w:rPr/>
        <w:t>ANEXO</w:t>
      </w:r>
    </w:p>
    <w:p>
      <w:pPr>
        <w:spacing w:line="266" w:lineRule="auto" w:before="28"/>
        <w:ind w:left="3196" w:right="3839" w:firstLine="0"/>
        <w:jc w:val="center"/>
        <w:rPr>
          <w:b/>
          <w:sz w:val="21"/>
        </w:rPr>
      </w:pPr>
      <w:r>
        <w:rPr>
          <w:b/>
          <w:sz w:val="21"/>
        </w:rPr>
        <w:t>Estimación de cierre 2020, al 01 de julio de 2020 (Millones de Q. en términos netos)</w:t>
      </w:r>
    </w:p>
    <w:p>
      <w:pPr>
        <w:pStyle w:val="BodyText"/>
        <w:spacing w:before="2"/>
        <w:rPr>
          <w:b/>
          <w:sz w:val="21"/>
        </w:rPr>
      </w:pPr>
    </w:p>
    <w:tbl>
      <w:tblPr>
        <w:tblW w:w="0" w:type="auto"/>
        <w:jc w:val="left"/>
        <w:tblInd w:w="1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92"/>
        <w:gridCol w:w="1045"/>
        <w:gridCol w:w="1141"/>
        <w:gridCol w:w="1108"/>
      </w:tblGrid>
      <w:tr>
        <w:trPr>
          <w:trHeight w:val="555" w:hRule="atLeast"/>
        </w:trPr>
        <w:tc>
          <w:tcPr>
            <w:tcW w:w="6237" w:type="dxa"/>
            <w:gridSpan w:val="2"/>
            <w:tcBorders>
              <w:top w:val="single" w:sz="12" w:space="0" w:color="000000"/>
              <w:left w:val="single" w:sz="6" w:space="0" w:color="000000"/>
            </w:tcBorders>
          </w:tcPr>
          <w:p>
            <w:pPr>
              <w:pStyle w:val="TableParagraph"/>
              <w:spacing w:before="13"/>
              <w:ind w:left="5193" w:right="177"/>
              <w:jc w:val="center"/>
              <w:rPr>
                <w:b/>
                <w:sz w:val="21"/>
              </w:rPr>
            </w:pPr>
            <w:r>
              <w:rPr>
                <w:b/>
                <w:sz w:val="21"/>
              </w:rPr>
              <w:t>Cierre</w:t>
            </w:r>
          </w:p>
          <w:p>
            <w:pPr>
              <w:pStyle w:val="TableParagraph"/>
              <w:spacing w:line="237" w:lineRule="exact" w:before="29"/>
              <w:ind w:left="5199" w:right="177"/>
              <w:jc w:val="center"/>
              <w:rPr>
                <w:b/>
                <w:sz w:val="21"/>
              </w:rPr>
            </w:pPr>
            <w:r>
              <w:rPr>
                <w:b/>
                <w:sz w:val="21"/>
              </w:rPr>
              <w:t>esperado</w:t>
            </w:r>
          </w:p>
        </w:tc>
        <w:tc>
          <w:tcPr>
            <w:tcW w:w="1141" w:type="dxa"/>
            <w:tcBorders>
              <w:top w:val="single" w:sz="12" w:space="0" w:color="000000"/>
            </w:tcBorders>
          </w:tcPr>
          <w:p>
            <w:pPr>
              <w:pStyle w:val="TableParagraph"/>
              <w:spacing w:before="13"/>
              <w:ind w:left="50" w:right="99"/>
              <w:jc w:val="center"/>
              <w:rPr>
                <w:b/>
                <w:sz w:val="21"/>
              </w:rPr>
            </w:pPr>
            <w:r>
              <w:rPr>
                <w:b/>
                <w:sz w:val="21"/>
              </w:rPr>
              <w:t>Estimación</w:t>
            </w:r>
          </w:p>
          <w:p>
            <w:pPr>
              <w:pStyle w:val="TableParagraph"/>
              <w:spacing w:line="237" w:lineRule="exact" w:before="29"/>
              <w:ind w:left="50" w:right="93"/>
              <w:jc w:val="center"/>
              <w:rPr>
                <w:b/>
                <w:sz w:val="21"/>
              </w:rPr>
            </w:pPr>
            <w:r>
              <w:rPr>
                <w:b/>
                <w:sz w:val="21"/>
              </w:rPr>
              <w:t>pasiva</w:t>
            </w:r>
          </w:p>
        </w:tc>
        <w:tc>
          <w:tcPr>
            <w:tcW w:w="1108" w:type="dxa"/>
            <w:tcBorders>
              <w:top w:val="single" w:sz="12" w:space="0" w:color="000000"/>
              <w:right w:val="single" w:sz="6" w:space="0" w:color="000000"/>
            </w:tcBorders>
          </w:tcPr>
          <w:p>
            <w:pPr>
              <w:pStyle w:val="TableParagraph"/>
              <w:spacing w:before="13"/>
              <w:ind w:left="50" w:right="59"/>
              <w:jc w:val="center"/>
              <w:rPr>
                <w:b/>
                <w:sz w:val="21"/>
              </w:rPr>
            </w:pPr>
            <w:r>
              <w:rPr>
                <w:b/>
                <w:sz w:val="21"/>
              </w:rPr>
              <w:t>Estimación</w:t>
            </w:r>
          </w:p>
          <w:p>
            <w:pPr>
              <w:pStyle w:val="TableParagraph"/>
              <w:spacing w:line="237" w:lineRule="exact" w:before="29"/>
              <w:ind w:left="50" w:right="41"/>
              <w:jc w:val="center"/>
              <w:rPr>
                <w:b/>
                <w:sz w:val="21"/>
              </w:rPr>
            </w:pPr>
            <w:r>
              <w:rPr>
                <w:b/>
                <w:sz w:val="21"/>
              </w:rPr>
              <w:t>Activa</w:t>
            </w:r>
          </w:p>
        </w:tc>
      </w:tr>
      <w:tr>
        <w:trPr>
          <w:trHeight w:val="285" w:hRule="atLeast"/>
        </w:trPr>
        <w:tc>
          <w:tcPr>
            <w:tcW w:w="5192" w:type="dxa"/>
            <w:tcBorders>
              <w:left w:val="single" w:sz="6" w:space="0" w:color="000000"/>
              <w:bottom w:val="single" w:sz="6" w:space="0" w:color="000000"/>
            </w:tcBorders>
            <w:shd w:val="clear" w:color="auto" w:fill="FFE49B"/>
          </w:tcPr>
          <w:p>
            <w:pPr>
              <w:pStyle w:val="TableParagraph"/>
              <w:spacing w:line="237" w:lineRule="exact" w:before="28"/>
              <w:ind w:left="2004" w:right="2125"/>
              <w:jc w:val="center"/>
              <w:rPr>
                <w:b/>
                <w:sz w:val="21"/>
              </w:rPr>
            </w:pPr>
            <w:r>
              <w:rPr>
                <w:b/>
                <w:sz w:val="21"/>
              </w:rPr>
              <w:t>Descripción</w:t>
            </w:r>
          </w:p>
        </w:tc>
        <w:tc>
          <w:tcPr>
            <w:tcW w:w="1045" w:type="dxa"/>
            <w:tcBorders>
              <w:bottom w:val="single" w:sz="6" w:space="0" w:color="000000"/>
            </w:tcBorders>
            <w:shd w:val="clear" w:color="auto" w:fill="FFE49B"/>
          </w:tcPr>
          <w:p>
            <w:pPr>
              <w:pStyle w:val="TableParagraph"/>
              <w:spacing w:line="237" w:lineRule="exact" w:before="28"/>
              <w:ind w:left="256"/>
              <w:rPr>
                <w:b/>
                <w:sz w:val="21"/>
              </w:rPr>
            </w:pPr>
            <w:r>
              <w:rPr>
                <w:b/>
                <w:sz w:val="21"/>
              </w:rPr>
              <w:t>2020</w:t>
            </w:r>
          </w:p>
        </w:tc>
        <w:tc>
          <w:tcPr>
            <w:tcW w:w="1141" w:type="dxa"/>
            <w:tcBorders>
              <w:bottom w:val="single" w:sz="6" w:space="0" w:color="000000"/>
            </w:tcBorders>
            <w:shd w:val="clear" w:color="auto" w:fill="FFE49B"/>
          </w:tcPr>
          <w:p>
            <w:pPr>
              <w:pStyle w:val="TableParagraph"/>
              <w:spacing w:line="237" w:lineRule="exact" w:before="28"/>
              <w:ind w:left="352"/>
              <w:rPr>
                <w:b/>
                <w:sz w:val="21"/>
              </w:rPr>
            </w:pPr>
            <w:r>
              <w:rPr>
                <w:b/>
                <w:sz w:val="21"/>
              </w:rPr>
              <w:t>2021</w:t>
            </w:r>
          </w:p>
        </w:tc>
        <w:tc>
          <w:tcPr>
            <w:tcW w:w="1108" w:type="dxa"/>
            <w:tcBorders>
              <w:bottom w:val="single" w:sz="6" w:space="0" w:color="000000"/>
              <w:right w:val="single" w:sz="6" w:space="0" w:color="000000"/>
            </w:tcBorders>
            <w:shd w:val="clear" w:color="auto" w:fill="FFE49B"/>
          </w:tcPr>
          <w:p>
            <w:pPr>
              <w:pStyle w:val="TableParagraph"/>
              <w:spacing w:line="237" w:lineRule="exact" w:before="28"/>
              <w:ind w:left="352"/>
              <w:rPr>
                <w:b/>
                <w:sz w:val="21"/>
              </w:rPr>
            </w:pPr>
            <w:r>
              <w:rPr>
                <w:b/>
                <w:sz w:val="21"/>
              </w:rPr>
              <w:t>2021</w:t>
            </w:r>
          </w:p>
        </w:tc>
      </w:tr>
      <w:tr>
        <w:trPr>
          <w:trHeight w:val="730" w:hRule="atLeast"/>
        </w:trPr>
        <w:tc>
          <w:tcPr>
            <w:tcW w:w="5192" w:type="dxa"/>
            <w:tcBorders>
              <w:top w:val="single" w:sz="6" w:space="0" w:color="000000"/>
              <w:left w:val="single" w:sz="6" w:space="0" w:color="000000"/>
            </w:tcBorders>
          </w:tcPr>
          <w:p>
            <w:pPr>
              <w:pStyle w:val="TableParagraph"/>
              <w:spacing w:before="5"/>
              <w:rPr>
                <w:b/>
                <w:sz w:val="24"/>
              </w:rPr>
            </w:pPr>
          </w:p>
          <w:p>
            <w:pPr>
              <w:pStyle w:val="TableParagraph"/>
              <w:spacing w:before="1"/>
              <w:ind w:left="35"/>
              <w:rPr>
                <w:b/>
                <w:sz w:val="21"/>
              </w:rPr>
            </w:pPr>
            <w:r>
              <w:rPr>
                <w:b/>
                <w:sz w:val="21"/>
              </w:rPr>
              <w:t>Recaudación tributaria / SAT</w:t>
            </w:r>
          </w:p>
        </w:tc>
        <w:tc>
          <w:tcPr>
            <w:tcW w:w="1045" w:type="dxa"/>
            <w:tcBorders>
              <w:top w:val="single" w:sz="6" w:space="0" w:color="000000"/>
            </w:tcBorders>
          </w:tcPr>
          <w:p>
            <w:pPr>
              <w:pStyle w:val="TableParagraph"/>
              <w:spacing w:before="5"/>
              <w:rPr>
                <w:b/>
                <w:sz w:val="24"/>
              </w:rPr>
            </w:pPr>
          </w:p>
          <w:p>
            <w:pPr>
              <w:pStyle w:val="TableParagraph"/>
              <w:spacing w:before="1"/>
              <w:ind w:right="51"/>
              <w:jc w:val="right"/>
              <w:rPr>
                <w:b/>
                <w:sz w:val="21"/>
              </w:rPr>
            </w:pPr>
            <w:r>
              <w:rPr>
                <w:b/>
                <w:sz w:val="21"/>
                <w:u w:val="single"/>
              </w:rPr>
              <w:t>56,886.0</w:t>
            </w:r>
          </w:p>
        </w:tc>
        <w:tc>
          <w:tcPr>
            <w:tcW w:w="1141" w:type="dxa"/>
            <w:tcBorders>
              <w:top w:val="single" w:sz="6" w:space="0" w:color="000000"/>
            </w:tcBorders>
          </w:tcPr>
          <w:p>
            <w:pPr>
              <w:pStyle w:val="TableParagraph"/>
              <w:spacing w:before="5"/>
              <w:rPr>
                <w:b/>
                <w:sz w:val="24"/>
              </w:rPr>
            </w:pPr>
          </w:p>
          <w:p>
            <w:pPr>
              <w:pStyle w:val="TableParagraph"/>
              <w:spacing w:before="1"/>
              <w:ind w:right="51"/>
              <w:jc w:val="right"/>
              <w:rPr>
                <w:b/>
                <w:sz w:val="21"/>
              </w:rPr>
            </w:pPr>
            <w:r>
              <w:rPr>
                <w:b/>
                <w:sz w:val="21"/>
                <w:u w:val="single"/>
              </w:rPr>
              <w:t>59,569.5</w:t>
            </w:r>
          </w:p>
        </w:tc>
        <w:tc>
          <w:tcPr>
            <w:tcW w:w="1108" w:type="dxa"/>
            <w:tcBorders>
              <w:top w:val="single" w:sz="6" w:space="0" w:color="000000"/>
              <w:right w:val="single" w:sz="6" w:space="0" w:color="000000"/>
            </w:tcBorders>
          </w:tcPr>
          <w:p>
            <w:pPr>
              <w:pStyle w:val="TableParagraph"/>
              <w:spacing w:before="5"/>
              <w:rPr>
                <w:b/>
                <w:sz w:val="24"/>
              </w:rPr>
            </w:pPr>
          </w:p>
          <w:p>
            <w:pPr>
              <w:pStyle w:val="TableParagraph"/>
              <w:spacing w:before="1"/>
              <w:ind w:right="10"/>
              <w:jc w:val="right"/>
              <w:rPr>
                <w:b/>
                <w:sz w:val="21"/>
              </w:rPr>
            </w:pPr>
            <w:r>
              <w:rPr>
                <w:b/>
                <w:sz w:val="21"/>
                <w:u w:val="single"/>
              </w:rPr>
              <w:t>61,089.9</w:t>
            </w:r>
          </w:p>
        </w:tc>
      </w:tr>
      <w:tr>
        <w:trPr>
          <w:trHeight w:val="427" w:hRule="atLeast"/>
        </w:trPr>
        <w:tc>
          <w:tcPr>
            <w:tcW w:w="5192" w:type="dxa"/>
            <w:tcBorders>
              <w:left w:val="single" w:sz="6" w:space="0" w:color="000000"/>
            </w:tcBorders>
          </w:tcPr>
          <w:p>
            <w:pPr>
              <w:pStyle w:val="TableParagraph"/>
              <w:spacing w:before="139"/>
              <w:ind w:left="35"/>
              <w:rPr>
                <w:b/>
                <w:sz w:val="21"/>
              </w:rPr>
            </w:pPr>
            <w:r>
              <w:rPr>
                <w:b/>
                <w:sz w:val="21"/>
              </w:rPr>
              <w:t>Impuesto al comercio exterior</w:t>
            </w:r>
          </w:p>
        </w:tc>
        <w:tc>
          <w:tcPr>
            <w:tcW w:w="1045" w:type="dxa"/>
          </w:tcPr>
          <w:p>
            <w:pPr>
              <w:pStyle w:val="TableParagraph"/>
              <w:spacing w:before="139"/>
              <w:ind w:right="51"/>
              <w:jc w:val="right"/>
              <w:rPr>
                <w:b/>
                <w:sz w:val="21"/>
              </w:rPr>
            </w:pPr>
            <w:r>
              <w:rPr>
                <w:b/>
                <w:sz w:val="21"/>
                <w:u w:val="single"/>
              </w:rPr>
              <w:t>15,687.2</w:t>
            </w:r>
          </w:p>
        </w:tc>
        <w:tc>
          <w:tcPr>
            <w:tcW w:w="1141" w:type="dxa"/>
          </w:tcPr>
          <w:p>
            <w:pPr>
              <w:pStyle w:val="TableParagraph"/>
              <w:spacing w:before="139"/>
              <w:ind w:right="51"/>
              <w:jc w:val="right"/>
              <w:rPr>
                <w:b/>
                <w:sz w:val="21"/>
              </w:rPr>
            </w:pPr>
            <w:r>
              <w:rPr>
                <w:b/>
                <w:sz w:val="21"/>
                <w:u w:val="single"/>
              </w:rPr>
              <w:t>16,709.5</w:t>
            </w:r>
          </w:p>
        </w:tc>
        <w:tc>
          <w:tcPr>
            <w:tcW w:w="1108" w:type="dxa"/>
            <w:tcBorders>
              <w:right w:val="single" w:sz="6" w:space="0" w:color="000000"/>
            </w:tcBorders>
          </w:tcPr>
          <w:p>
            <w:pPr>
              <w:pStyle w:val="TableParagraph"/>
              <w:spacing w:before="139"/>
              <w:ind w:right="10"/>
              <w:jc w:val="right"/>
              <w:rPr>
                <w:b/>
                <w:sz w:val="21"/>
              </w:rPr>
            </w:pPr>
            <w:r>
              <w:rPr>
                <w:b/>
                <w:sz w:val="21"/>
                <w:u w:val="single"/>
              </w:rPr>
              <w:t>16,709.5</w:t>
            </w:r>
          </w:p>
        </w:tc>
      </w:tr>
      <w:tr>
        <w:trPr>
          <w:trHeight w:val="285" w:hRule="atLeast"/>
        </w:trPr>
        <w:tc>
          <w:tcPr>
            <w:tcW w:w="5192" w:type="dxa"/>
            <w:tcBorders>
              <w:left w:val="single" w:sz="6" w:space="0" w:color="000000"/>
            </w:tcBorders>
          </w:tcPr>
          <w:p>
            <w:pPr>
              <w:pStyle w:val="TableParagraph"/>
              <w:spacing w:line="252" w:lineRule="exact"/>
              <w:ind w:left="35"/>
              <w:rPr>
                <w:sz w:val="21"/>
              </w:rPr>
            </w:pPr>
            <w:r>
              <w:rPr>
                <w:sz w:val="21"/>
              </w:rPr>
              <w:t>Al valor agregado importaciones</w:t>
            </w:r>
          </w:p>
        </w:tc>
        <w:tc>
          <w:tcPr>
            <w:tcW w:w="1045" w:type="dxa"/>
          </w:tcPr>
          <w:p>
            <w:pPr>
              <w:pStyle w:val="TableParagraph"/>
              <w:spacing w:line="252" w:lineRule="exact"/>
              <w:ind w:right="51"/>
              <w:jc w:val="right"/>
              <w:rPr>
                <w:sz w:val="21"/>
              </w:rPr>
            </w:pPr>
            <w:r>
              <w:rPr>
                <w:sz w:val="21"/>
              </w:rPr>
              <w:t>13,309.5</w:t>
            </w:r>
          </w:p>
        </w:tc>
        <w:tc>
          <w:tcPr>
            <w:tcW w:w="1141" w:type="dxa"/>
          </w:tcPr>
          <w:p>
            <w:pPr>
              <w:pStyle w:val="TableParagraph"/>
              <w:spacing w:line="252" w:lineRule="exact"/>
              <w:ind w:right="51"/>
              <w:jc w:val="right"/>
              <w:rPr>
                <w:sz w:val="21"/>
              </w:rPr>
            </w:pPr>
            <w:r>
              <w:rPr>
                <w:sz w:val="21"/>
              </w:rPr>
              <w:t>14,144.7</w:t>
            </w:r>
          </w:p>
        </w:tc>
        <w:tc>
          <w:tcPr>
            <w:tcW w:w="1108" w:type="dxa"/>
            <w:tcBorders>
              <w:right w:val="single" w:sz="6" w:space="0" w:color="000000"/>
            </w:tcBorders>
          </w:tcPr>
          <w:p>
            <w:pPr>
              <w:pStyle w:val="TableParagraph"/>
              <w:spacing w:line="252" w:lineRule="exact"/>
              <w:ind w:right="10"/>
              <w:jc w:val="right"/>
              <w:rPr>
                <w:sz w:val="21"/>
              </w:rPr>
            </w:pPr>
            <w:r>
              <w:rPr>
                <w:sz w:val="21"/>
              </w:rPr>
              <w:t>14,144.7</w:t>
            </w:r>
          </w:p>
        </w:tc>
      </w:tr>
      <w:tr>
        <w:trPr>
          <w:trHeight w:val="428" w:hRule="atLeast"/>
        </w:trPr>
        <w:tc>
          <w:tcPr>
            <w:tcW w:w="5192" w:type="dxa"/>
            <w:tcBorders>
              <w:left w:val="single" w:sz="6" w:space="0" w:color="000000"/>
            </w:tcBorders>
          </w:tcPr>
          <w:p>
            <w:pPr>
              <w:pStyle w:val="TableParagraph"/>
              <w:spacing w:line="253" w:lineRule="exact"/>
              <w:ind w:left="35"/>
              <w:rPr>
                <w:sz w:val="21"/>
              </w:rPr>
            </w:pPr>
            <w:r>
              <w:rPr>
                <w:sz w:val="21"/>
              </w:rPr>
              <w:t>Derechos arancelarios</w:t>
            </w:r>
          </w:p>
        </w:tc>
        <w:tc>
          <w:tcPr>
            <w:tcW w:w="1045" w:type="dxa"/>
          </w:tcPr>
          <w:p>
            <w:pPr>
              <w:pStyle w:val="TableParagraph"/>
              <w:spacing w:line="253" w:lineRule="exact"/>
              <w:ind w:right="51"/>
              <w:jc w:val="right"/>
              <w:rPr>
                <w:sz w:val="21"/>
              </w:rPr>
            </w:pPr>
            <w:r>
              <w:rPr>
                <w:sz w:val="21"/>
              </w:rPr>
              <w:t>2,377.7</w:t>
            </w:r>
          </w:p>
        </w:tc>
        <w:tc>
          <w:tcPr>
            <w:tcW w:w="1141" w:type="dxa"/>
          </w:tcPr>
          <w:p>
            <w:pPr>
              <w:pStyle w:val="TableParagraph"/>
              <w:spacing w:line="253" w:lineRule="exact"/>
              <w:ind w:right="51"/>
              <w:jc w:val="right"/>
              <w:rPr>
                <w:sz w:val="21"/>
              </w:rPr>
            </w:pPr>
            <w:r>
              <w:rPr>
                <w:sz w:val="21"/>
              </w:rPr>
              <w:t>2,564.8</w:t>
            </w:r>
          </w:p>
        </w:tc>
        <w:tc>
          <w:tcPr>
            <w:tcW w:w="1108" w:type="dxa"/>
            <w:tcBorders>
              <w:right w:val="single" w:sz="6" w:space="0" w:color="000000"/>
            </w:tcBorders>
          </w:tcPr>
          <w:p>
            <w:pPr>
              <w:pStyle w:val="TableParagraph"/>
              <w:spacing w:line="253" w:lineRule="exact"/>
              <w:ind w:right="10"/>
              <w:jc w:val="right"/>
              <w:rPr>
                <w:sz w:val="21"/>
              </w:rPr>
            </w:pPr>
            <w:r>
              <w:rPr>
                <w:sz w:val="21"/>
              </w:rPr>
              <w:t>2,564.8</w:t>
            </w:r>
          </w:p>
        </w:tc>
      </w:tr>
      <w:tr>
        <w:trPr>
          <w:trHeight w:val="428" w:hRule="atLeast"/>
        </w:trPr>
        <w:tc>
          <w:tcPr>
            <w:tcW w:w="5192" w:type="dxa"/>
            <w:tcBorders>
              <w:left w:val="single" w:sz="6" w:space="0" w:color="000000"/>
            </w:tcBorders>
          </w:tcPr>
          <w:p>
            <w:pPr>
              <w:pStyle w:val="TableParagraph"/>
              <w:spacing w:before="139"/>
              <w:ind w:left="35"/>
              <w:rPr>
                <w:b/>
                <w:sz w:val="21"/>
              </w:rPr>
            </w:pPr>
            <w:r>
              <w:rPr>
                <w:b/>
                <w:sz w:val="21"/>
              </w:rPr>
              <w:t>Impuestos internos</w:t>
            </w:r>
          </w:p>
        </w:tc>
        <w:tc>
          <w:tcPr>
            <w:tcW w:w="1045" w:type="dxa"/>
          </w:tcPr>
          <w:p>
            <w:pPr>
              <w:pStyle w:val="TableParagraph"/>
              <w:spacing w:before="139"/>
              <w:ind w:right="51"/>
              <w:jc w:val="right"/>
              <w:rPr>
                <w:b/>
                <w:sz w:val="21"/>
              </w:rPr>
            </w:pPr>
            <w:r>
              <w:rPr>
                <w:b/>
                <w:sz w:val="21"/>
                <w:u w:val="single"/>
              </w:rPr>
              <w:t>41,198.8</w:t>
            </w:r>
          </w:p>
        </w:tc>
        <w:tc>
          <w:tcPr>
            <w:tcW w:w="1141" w:type="dxa"/>
          </w:tcPr>
          <w:p>
            <w:pPr>
              <w:pStyle w:val="TableParagraph"/>
              <w:spacing w:before="139"/>
              <w:ind w:right="51"/>
              <w:jc w:val="right"/>
              <w:rPr>
                <w:b/>
                <w:sz w:val="21"/>
              </w:rPr>
            </w:pPr>
            <w:r>
              <w:rPr>
                <w:b/>
                <w:sz w:val="21"/>
                <w:u w:val="single"/>
              </w:rPr>
              <w:t>42,860.0</w:t>
            </w:r>
          </w:p>
        </w:tc>
        <w:tc>
          <w:tcPr>
            <w:tcW w:w="1108" w:type="dxa"/>
            <w:tcBorders>
              <w:right w:val="single" w:sz="6" w:space="0" w:color="000000"/>
            </w:tcBorders>
          </w:tcPr>
          <w:p>
            <w:pPr>
              <w:pStyle w:val="TableParagraph"/>
              <w:spacing w:before="139"/>
              <w:ind w:right="10"/>
              <w:jc w:val="right"/>
              <w:rPr>
                <w:b/>
                <w:sz w:val="21"/>
              </w:rPr>
            </w:pPr>
            <w:r>
              <w:rPr>
                <w:b/>
                <w:sz w:val="21"/>
                <w:u w:val="single"/>
              </w:rPr>
              <w:t>42,860.0</w:t>
            </w:r>
          </w:p>
        </w:tc>
      </w:tr>
      <w:tr>
        <w:trPr>
          <w:trHeight w:val="285" w:hRule="atLeast"/>
        </w:trPr>
        <w:tc>
          <w:tcPr>
            <w:tcW w:w="5192" w:type="dxa"/>
            <w:tcBorders>
              <w:left w:val="single" w:sz="6" w:space="0" w:color="000000"/>
            </w:tcBorders>
          </w:tcPr>
          <w:p>
            <w:pPr>
              <w:pStyle w:val="TableParagraph"/>
              <w:spacing w:line="253" w:lineRule="exact"/>
              <w:ind w:left="35"/>
              <w:rPr>
                <w:sz w:val="21"/>
              </w:rPr>
            </w:pPr>
            <w:r>
              <w:rPr>
                <w:sz w:val="21"/>
              </w:rPr>
              <w:t>Sobre la Renta</w:t>
            </w:r>
          </w:p>
        </w:tc>
        <w:tc>
          <w:tcPr>
            <w:tcW w:w="1045" w:type="dxa"/>
          </w:tcPr>
          <w:p>
            <w:pPr>
              <w:pStyle w:val="TableParagraph"/>
              <w:spacing w:line="253" w:lineRule="exact"/>
              <w:ind w:right="51"/>
              <w:jc w:val="right"/>
              <w:rPr>
                <w:sz w:val="21"/>
              </w:rPr>
            </w:pPr>
            <w:r>
              <w:rPr>
                <w:sz w:val="21"/>
              </w:rPr>
              <w:t>16,207.2</w:t>
            </w:r>
          </w:p>
        </w:tc>
        <w:tc>
          <w:tcPr>
            <w:tcW w:w="1141" w:type="dxa"/>
          </w:tcPr>
          <w:p>
            <w:pPr>
              <w:pStyle w:val="TableParagraph"/>
              <w:spacing w:line="253" w:lineRule="exact"/>
              <w:ind w:right="51"/>
              <w:jc w:val="right"/>
              <w:rPr>
                <w:sz w:val="21"/>
              </w:rPr>
            </w:pPr>
            <w:r>
              <w:rPr>
                <w:sz w:val="21"/>
              </w:rPr>
              <w:t>16,882.2</w:t>
            </w:r>
          </w:p>
        </w:tc>
        <w:tc>
          <w:tcPr>
            <w:tcW w:w="1108" w:type="dxa"/>
            <w:tcBorders>
              <w:right w:val="single" w:sz="6" w:space="0" w:color="000000"/>
            </w:tcBorders>
          </w:tcPr>
          <w:p>
            <w:pPr>
              <w:pStyle w:val="TableParagraph"/>
              <w:spacing w:line="253" w:lineRule="exact"/>
              <w:ind w:right="10"/>
              <w:jc w:val="right"/>
              <w:rPr>
                <w:sz w:val="21"/>
              </w:rPr>
            </w:pPr>
            <w:r>
              <w:rPr>
                <w:sz w:val="21"/>
              </w:rPr>
              <w:t>16,882.2</w:t>
            </w:r>
          </w:p>
        </w:tc>
      </w:tr>
      <w:tr>
        <w:trPr>
          <w:trHeight w:val="285" w:hRule="atLeast"/>
        </w:trPr>
        <w:tc>
          <w:tcPr>
            <w:tcW w:w="5192" w:type="dxa"/>
            <w:tcBorders>
              <w:left w:val="single" w:sz="6" w:space="0" w:color="000000"/>
            </w:tcBorders>
          </w:tcPr>
          <w:p>
            <w:pPr>
              <w:pStyle w:val="TableParagraph"/>
              <w:spacing w:line="252" w:lineRule="exact"/>
              <w:ind w:left="35"/>
              <w:rPr>
                <w:sz w:val="21"/>
              </w:rPr>
            </w:pPr>
            <w:r>
              <w:rPr>
                <w:sz w:val="21"/>
              </w:rPr>
              <w:t>De Solidaridad</w:t>
            </w:r>
          </w:p>
        </w:tc>
        <w:tc>
          <w:tcPr>
            <w:tcW w:w="1045" w:type="dxa"/>
          </w:tcPr>
          <w:p>
            <w:pPr>
              <w:pStyle w:val="TableParagraph"/>
              <w:spacing w:line="252" w:lineRule="exact"/>
              <w:ind w:right="51"/>
              <w:jc w:val="right"/>
              <w:rPr>
                <w:sz w:val="21"/>
              </w:rPr>
            </w:pPr>
            <w:r>
              <w:rPr>
                <w:sz w:val="21"/>
              </w:rPr>
              <w:t>4,799.1</w:t>
            </w:r>
          </w:p>
        </w:tc>
        <w:tc>
          <w:tcPr>
            <w:tcW w:w="1141" w:type="dxa"/>
          </w:tcPr>
          <w:p>
            <w:pPr>
              <w:pStyle w:val="TableParagraph"/>
              <w:spacing w:line="252" w:lineRule="exact"/>
              <w:ind w:right="51"/>
              <w:jc w:val="right"/>
              <w:rPr>
                <w:sz w:val="21"/>
              </w:rPr>
            </w:pPr>
            <w:r>
              <w:rPr>
                <w:sz w:val="21"/>
              </w:rPr>
              <w:t>4,985.3</w:t>
            </w:r>
          </w:p>
        </w:tc>
        <w:tc>
          <w:tcPr>
            <w:tcW w:w="1108" w:type="dxa"/>
            <w:tcBorders>
              <w:right w:val="single" w:sz="6" w:space="0" w:color="000000"/>
            </w:tcBorders>
          </w:tcPr>
          <w:p>
            <w:pPr>
              <w:pStyle w:val="TableParagraph"/>
              <w:spacing w:line="252" w:lineRule="exact"/>
              <w:ind w:right="10"/>
              <w:jc w:val="right"/>
              <w:rPr>
                <w:sz w:val="21"/>
              </w:rPr>
            </w:pPr>
            <w:r>
              <w:rPr>
                <w:sz w:val="21"/>
              </w:rPr>
              <w:t>4,985.3</w:t>
            </w:r>
          </w:p>
        </w:tc>
      </w:tr>
      <w:tr>
        <w:trPr>
          <w:trHeight w:val="285" w:hRule="atLeast"/>
        </w:trPr>
        <w:tc>
          <w:tcPr>
            <w:tcW w:w="5192" w:type="dxa"/>
            <w:tcBorders>
              <w:left w:val="single" w:sz="6" w:space="0" w:color="000000"/>
            </w:tcBorders>
          </w:tcPr>
          <w:p>
            <w:pPr>
              <w:pStyle w:val="TableParagraph"/>
              <w:spacing w:line="253" w:lineRule="exact"/>
              <w:ind w:left="35"/>
              <w:rPr>
                <w:sz w:val="21"/>
              </w:rPr>
            </w:pPr>
            <w:r>
              <w:rPr>
                <w:sz w:val="21"/>
              </w:rPr>
              <w:t>Sobre Patrimonio</w:t>
            </w:r>
          </w:p>
        </w:tc>
        <w:tc>
          <w:tcPr>
            <w:tcW w:w="1045" w:type="dxa"/>
          </w:tcPr>
          <w:p>
            <w:pPr>
              <w:pStyle w:val="TableParagraph"/>
              <w:spacing w:line="253" w:lineRule="exact"/>
              <w:ind w:right="50"/>
              <w:jc w:val="right"/>
              <w:rPr>
                <w:sz w:val="21"/>
              </w:rPr>
            </w:pPr>
            <w:r>
              <w:rPr>
                <w:sz w:val="21"/>
              </w:rPr>
              <w:t>31.7</w:t>
            </w:r>
          </w:p>
        </w:tc>
        <w:tc>
          <w:tcPr>
            <w:tcW w:w="1141" w:type="dxa"/>
          </w:tcPr>
          <w:p>
            <w:pPr>
              <w:pStyle w:val="TableParagraph"/>
              <w:spacing w:line="253" w:lineRule="exact"/>
              <w:ind w:right="50"/>
              <w:jc w:val="right"/>
              <w:rPr>
                <w:sz w:val="21"/>
              </w:rPr>
            </w:pPr>
            <w:r>
              <w:rPr>
                <w:sz w:val="21"/>
              </w:rPr>
              <w:t>33.2</w:t>
            </w:r>
          </w:p>
        </w:tc>
        <w:tc>
          <w:tcPr>
            <w:tcW w:w="1108" w:type="dxa"/>
            <w:tcBorders>
              <w:right w:val="single" w:sz="6" w:space="0" w:color="000000"/>
            </w:tcBorders>
          </w:tcPr>
          <w:p>
            <w:pPr>
              <w:pStyle w:val="TableParagraph"/>
              <w:spacing w:line="253" w:lineRule="exact"/>
              <w:ind w:right="10"/>
              <w:jc w:val="right"/>
              <w:rPr>
                <w:sz w:val="21"/>
              </w:rPr>
            </w:pPr>
            <w:r>
              <w:rPr>
                <w:sz w:val="21"/>
              </w:rPr>
              <w:t>33.2</w:t>
            </w:r>
          </w:p>
        </w:tc>
      </w:tr>
      <w:tr>
        <w:trPr>
          <w:trHeight w:val="285" w:hRule="atLeast"/>
        </w:trPr>
        <w:tc>
          <w:tcPr>
            <w:tcW w:w="5192" w:type="dxa"/>
            <w:tcBorders>
              <w:left w:val="single" w:sz="6" w:space="0" w:color="000000"/>
            </w:tcBorders>
          </w:tcPr>
          <w:p>
            <w:pPr>
              <w:pStyle w:val="TableParagraph"/>
              <w:spacing w:line="253" w:lineRule="exact"/>
              <w:ind w:left="35"/>
              <w:rPr>
                <w:sz w:val="21"/>
              </w:rPr>
            </w:pPr>
            <w:r>
              <w:rPr>
                <w:sz w:val="21"/>
              </w:rPr>
              <w:t>Al Valor Agregado Doméstico</w:t>
            </w:r>
          </w:p>
        </w:tc>
        <w:tc>
          <w:tcPr>
            <w:tcW w:w="1045" w:type="dxa"/>
          </w:tcPr>
          <w:p>
            <w:pPr>
              <w:pStyle w:val="TableParagraph"/>
              <w:spacing w:line="253" w:lineRule="exact"/>
              <w:ind w:right="51"/>
              <w:jc w:val="right"/>
              <w:rPr>
                <w:sz w:val="21"/>
              </w:rPr>
            </w:pPr>
            <w:r>
              <w:rPr>
                <w:sz w:val="21"/>
              </w:rPr>
              <w:t>14,047.2</w:t>
            </w:r>
          </w:p>
        </w:tc>
        <w:tc>
          <w:tcPr>
            <w:tcW w:w="1141" w:type="dxa"/>
          </w:tcPr>
          <w:p>
            <w:pPr>
              <w:pStyle w:val="TableParagraph"/>
              <w:spacing w:line="253" w:lineRule="exact"/>
              <w:ind w:right="51"/>
              <w:jc w:val="right"/>
              <w:rPr>
                <w:sz w:val="21"/>
              </w:rPr>
            </w:pPr>
            <w:r>
              <w:rPr>
                <w:sz w:val="21"/>
              </w:rPr>
              <w:t>14,678.1</w:t>
            </w:r>
          </w:p>
        </w:tc>
        <w:tc>
          <w:tcPr>
            <w:tcW w:w="1108" w:type="dxa"/>
            <w:tcBorders>
              <w:right w:val="single" w:sz="6" w:space="0" w:color="000000"/>
            </w:tcBorders>
          </w:tcPr>
          <w:p>
            <w:pPr>
              <w:pStyle w:val="TableParagraph"/>
              <w:spacing w:line="253" w:lineRule="exact"/>
              <w:ind w:right="10"/>
              <w:jc w:val="right"/>
              <w:rPr>
                <w:sz w:val="21"/>
              </w:rPr>
            </w:pPr>
            <w:r>
              <w:rPr>
                <w:sz w:val="21"/>
              </w:rPr>
              <w:t>14,678.1</w:t>
            </w:r>
          </w:p>
        </w:tc>
      </w:tr>
      <w:tr>
        <w:trPr>
          <w:trHeight w:val="285" w:hRule="atLeast"/>
        </w:trPr>
        <w:tc>
          <w:tcPr>
            <w:tcW w:w="5192" w:type="dxa"/>
            <w:tcBorders>
              <w:left w:val="single" w:sz="6" w:space="0" w:color="000000"/>
            </w:tcBorders>
          </w:tcPr>
          <w:p>
            <w:pPr>
              <w:pStyle w:val="TableParagraph"/>
              <w:spacing w:line="253" w:lineRule="exact"/>
              <w:ind w:left="35"/>
              <w:rPr>
                <w:sz w:val="21"/>
              </w:rPr>
            </w:pPr>
            <w:r>
              <w:rPr>
                <w:sz w:val="21"/>
              </w:rPr>
              <w:t>Sobre Distribución de Bebidas</w:t>
            </w:r>
          </w:p>
        </w:tc>
        <w:tc>
          <w:tcPr>
            <w:tcW w:w="1045" w:type="dxa"/>
          </w:tcPr>
          <w:p>
            <w:pPr>
              <w:pStyle w:val="TableParagraph"/>
              <w:spacing w:line="253" w:lineRule="exact"/>
              <w:ind w:right="51"/>
              <w:jc w:val="right"/>
              <w:rPr>
                <w:sz w:val="21"/>
              </w:rPr>
            </w:pPr>
            <w:r>
              <w:rPr>
                <w:sz w:val="21"/>
              </w:rPr>
              <w:t>850.0</w:t>
            </w:r>
          </w:p>
        </w:tc>
        <w:tc>
          <w:tcPr>
            <w:tcW w:w="1141" w:type="dxa"/>
          </w:tcPr>
          <w:p>
            <w:pPr>
              <w:pStyle w:val="TableParagraph"/>
              <w:spacing w:line="253" w:lineRule="exact"/>
              <w:ind w:right="51"/>
              <w:jc w:val="right"/>
              <w:rPr>
                <w:sz w:val="21"/>
              </w:rPr>
            </w:pPr>
            <w:r>
              <w:rPr>
                <w:sz w:val="21"/>
              </w:rPr>
              <w:t>867.1</w:t>
            </w:r>
          </w:p>
        </w:tc>
        <w:tc>
          <w:tcPr>
            <w:tcW w:w="1108" w:type="dxa"/>
            <w:tcBorders>
              <w:right w:val="single" w:sz="6" w:space="0" w:color="000000"/>
            </w:tcBorders>
          </w:tcPr>
          <w:p>
            <w:pPr>
              <w:pStyle w:val="TableParagraph"/>
              <w:spacing w:line="253" w:lineRule="exact"/>
              <w:ind w:right="10"/>
              <w:jc w:val="right"/>
              <w:rPr>
                <w:sz w:val="21"/>
              </w:rPr>
            </w:pPr>
            <w:r>
              <w:rPr>
                <w:sz w:val="21"/>
              </w:rPr>
              <w:t>867.1</w:t>
            </w:r>
          </w:p>
        </w:tc>
      </w:tr>
      <w:tr>
        <w:trPr>
          <w:trHeight w:val="285" w:hRule="atLeast"/>
        </w:trPr>
        <w:tc>
          <w:tcPr>
            <w:tcW w:w="5192" w:type="dxa"/>
            <w:tcBorders>
              <w:left w:val="single" w:sz="6" w:space="0" w:color="000000"/>
            </w:tcBorders>
          </w:tcPr>
          <w:p>
            <w:pPr>
              <w:pStyle w:val="TableParagraph"/>
              <w:spacing w:line="252" w:lineRule="exact"/>
              <w:ind w:left="35"/>
              <w:rPr>
                <w:sz w:val="21"/>
              </w:rPr>
            </w:pPr>
            <w:r>
              <w:rPr>
                <w:sz w:val="21"/>
              </w:rPr>
              <w:t>Sobre el Tabaco y sus Productos</w:t>
            </w:r>
          </w:p>
        </w:tc>
        <w:tc>
          <w:tcPr>
            <w:tcW w:w="1045" w:type="dxa"/>
          </w:tcPr>
          <w:p>
            <w:pPr>
              <w:pStyle w:val="TableParagraph"/>
              <w:spacing w:line="252" w:lineRule="exact"/>
              <w:ind w:right="51"/>
              <w:jc w:val="right"/>
              <w:rPr>
                <w:sz w:val="21"/>
              </w:rPr>
            </w:pPr>
            <w:r>
              <w:rPr>
                <w:sz w:val="21"/>
              </w:rPr>
              <w:t>297.7</w:t>
            </w:r>
          </w:p>
        </w:tc>
        <w:tc>
          <w:tcPr>
            <w:tcW w:w="1141" w:type="dxa"/>
          </w:tcPr>
          <w:p>
            <w:pPr>
              <w:pStyle w:val="TableParagraph"/>
              <w:spacing w:line="252" w:lineRule="exact"/>
              <w:ind w:right="51"/>
              <w:jc w:val="right"/>
              <w:rPr>
                <w:sz w:val="21"/>
              </w:rPr>
            </w:pPr>
            <w:r>
              <w:rPr>
                <w:sz w:val="21"/>
              </w:rPr>
              <w:t>303.6</w:t>
            </w:r>
          </w:p>
        </w:tc>
        <w:tc>
          <w:tcPr>
            <w:tcW w:w="1108" w:type="dxa"/>
            <w:tcBorders>
              <w:right w:val="single" w:sz="6" w:space="0" w:color="000000"/>
            </w:tcBorders>
          </w:tcPr>
          <w:p>
            <w:pPr>
              <w:pStyle w:val="TableParagraph"/>
              <w:spacing w:line="252" w:lineRule="exact"/>
              <w:ind w:right="10"/>
              <w:jc w:val="right"/>
              <w:rPr>
                <w:sz w:val="21"/>
              </w:rPr>
            </w:pPr>
            <w:r>
              <w:rPr>
                <w:sz w:val="21"/>
              </w:rPr>
              <w:t>303.6</w:t>
            </w:r>
          </w:p>
        </w:tc>
      </w:tr>
      <w:tr>
        <w:trPr>
          <w:trHeight w:val="285" w:hRule="atLeast"/>
        </w:trPr>
        <w:tc>
          <w:tcPr>
            <w:tcW w:w="5192" w:type="dxa"/>
            <w:tcBorders>
              <w:left w:val="single" w:sz="6" w:space="0" w:color="000000"/>
            </w:tcBorders>
          </w:tcPr>
          <w:p>
            <w:pPr>
              <w:pStyle w:val="TableParagraph"/>
              <w:spacing w:line="253" w:lineRule="exact"/>
              <w:ind w:left="35"/>
              <w:rPr>
                <w:sz w:val="21"/>
              </w:rPr>
            </w:pPr>
            <w:r>
              <w:rPr>
                <w:sz w:val="21"/>
              </w:rPr>
              <w:t>Sobre Distribución de Petróleo y sus Derivados</w:t>
            </w:r>
          </w:p>
        </w:tc>
        <w:tc>
          <w:tcPr>
            <w:tcW w:w="1045" w:type="dxa"/>
          </w:tcPr>
          <w:p>
            <w:pPr>
              <w:pStyle w:val="TableParagraph"/>
              <w:spacing w:line="253" w:lineRule="exact"/>
              <w:ind w:right="51"/>
              <w:jc w:val="right"/>
              <w:rPr>
                <w:sz w:val="21"/>
              </w:rPr>
            </w:pPr>
            <w:r>
              <w:rPr>
                <w:sz w:val="21"/>
              </w:rPr>
              <w:t>2,693.1</w:t>
            </w:r>
          </w:p>
        </w:tc>
        <w:tc>
          <w:tcPr>
            <w:tcW w:w="1141" w:type="dxa"/>
          </w:tcPr>
          <w:p>
            <w:pPr>
              <w:pStyle w:val="TableParagraph"/>
              <w:spacing w:line="253" w:lineRule="exact"/>
              <w:ind w:right="51"/>
              <w:jc w:val="right"/>
              <w:rPr>
                <w:sz w:val="21"/>
              </w:rPr>
            </w:pPr>
            <w:r>
              <w:rPr>
                <w:sz w:val="21"/>
              </w:rPr>
              <w:t>2,732.9</w:t>
            </w:r>
          </w:p>
        </w:tc>
        <w:tc>
          <w:tcPr>
            <w:tcW w:w="1108" w:type="dxa"/>
            <w:tcBorders>
              <w:right w:val="single" w:sz="6" w:space="0" w:color="000000"/>
            </w:tcBorders>
          </w:tcPr>
          <w:p>
            <w:pPr>
              <w:pStyle w:val="TableParagraph"/>
              <w:spacing w:line="253" w:lineRule="exact"/>
              <w:ind w:right="10"/>
              <w:jc w:val="right"/>
              <w:rPr>
                <w:sz w:val="21"/>
              </w:rPr>
            </w:pPr>
            <w:r>
              <w:rPr>
                <w:sz w:val="21"/>
              </w:rPr>
              <w:t>2,732.9</w:t>
            </w:r>
          </w:p>
        </w:tc>
      </w:tr>
      <w:tr>
        <w:trPr>
          <w:trHeight w:val="285" w:hRule="atLeast"/>
        </w:trPr>
        <w:tc>
          <w:tcPr>
            <w:tcW w:w="5192" w:type="dxa"/>
            <w:tcBorders>
              <w:left w:val="single" w:sz="6" w:space="0" w:color="000000"/>
            </w:tcBorders>
          </w:tcPr>
          <w:p>
            <w:pPr>
              <w:pStyle w:val="TableParagraph"/>
              <w:spacing w:line="253" w:lineRule="exact"/>
              <w:ind w:left="35"/>
              <w:rPr>
                <w:sz w:val="21"/>
              </w:rPr>
            </w:pPr>
            <w:r>
              <w:rPr>
                <w:sz w:val="21"/>
              </w:rPr>
              <w:t>Sobre Distribución de Cemento</w:t>
            </w:r>
          </w:p>
        </w:tc>
        <w:tc>
          <w:tcPr>
            <w:tcW w:w="1045" w:type="dxa"/>
          </w:tcPr>
          <w:p>
            <w:pPr>
              <w:pStyle w:val="TableParagraph"/>
              <w:spacing w:line="253" w:lineRule="exact"/>
              <w:ind w:right="51"/>
              <w:jc w:val="right"/>
              <w:rPr>
                <w:sz w:val="21"/>
              </w:rPr>
            </w:pPr>
            <w:r>
              <w:rPr>
                <w:sz w:val="21"/>
              </w:rPr>
              <w:t>131.4</w:t>
            </w:r>
          </w:p>
        </w:tc>
        <w:tc>
          <w:tcPr>
            <w:tcW w:w="1141" w:type="dxa"/>
          </w:tcPr>
          <w:p>
            <w:pPr>
              <w:pStyle w:val="TableParagraph"/>
              <w:spacing w:line="253" w:lineRule="exact"/>
              <w:ind w:right="51"/>
              <w:jc w:val="right"/>
              <w:rPr>
                <w:sz w:val="21"/>
              </w:rPr>
            </w:pPr>
            <w:r>
              <w:rPr>
                <w:sz w:val="21"/>
              </w:rPr>
              <w:t>134.1</w:t>
            </w:r>
          </w:p>
        </w:tc>
        <w:tc>
          <w:tcPr>
            <w:tcW w:w="1108" w:type="dxa"/>
            <w:tcBorders>
              <w:right w:val="single" w:sz="6" w:space="0" w:color="000000"/>
            </w:tcBorders>
          </w:tcPr>
          <w:p>
            <w:pPr>
              <w:pStyle w:val="TableParagraph"/>
              <w:spacing w:line="253" w:lineRule="exact"/>
              <w:ind w:right="10"/>
              <w:jc w:val="right"/>
              <w:rPr>
                <w:sz w:val="21"/>
              </w:rPr>
            </w:pPr>
            <w:r>
              <w:rPr>
                <w:sz w:val="21"/>
              </w:rPr>
              <w:t>134.1</w:t>
            </w:r>
          </w:p>
        </w:tc>
      </w:tr>
      <w:tr>
        <w:trPr>
          <w:trHeight w:val="285" w:hRule="atLeast"/>
        </w:trPr>
        <w:tc>
          <w:tcPr>
            <w:tcW w:w="5192" w:type="dxa"/>
            <w:tcBorders>
              <w:left w:val="single" w:sz="6" w:space="0" w:color="000000"/>
            </w:tcBorders>
          </w:tcPr>
          <w:p>
            <w:pPr>
              <w:pStyle w:val="TableParagraph"/>
              <w:spacing w:line="253" w:lineRule="exact"/>
              <w:ind w:left="35"/>
              <w:rPr>
                <w:sz w:val="21"/>
              </w:rPr>
            </w:pPr>
            <w:r>
              <w:rPr>
                <w:sz w:val="21"/>
              </w:rPr>
              <w:t>Timbres Fiscales y Papel Sellado</w:t>
            </w:r>
          </w:p>
        </w:tc>
        <w:tc>
          <w:tcPr>
            <w:tcW w:w="1045" w:type="dxa"/>
          </w:tcPr>
          <w:p>
            <w:pPr>
              <w:pStyle w:val="TableParagraph"/>
              <w:spacing w:line="253" w:lineRule="exact"/>
              <w:ind w:right="51"/>
              <w:jc w:val="right"/>
              <w:rPr>
                <w:sz w:val="21"/>
              </w:rPr>
            </w:pPr>
            <w:r>
              <w:rPr>
                <w:sz w:val="21"/>
              </w:rPr>
              <w:t>393.0</w:t>
            </w:r>
          </w:p>
        </w:tc>
        <w:tc>
          <w:tcPr>
            <w:tcW w:w="1141" w:type="dxa"/>
          </w:tcPr>
          <w:p>
            <w:pPr>
              <w:pStyle w:val="TableParagraph"/>
              <w:spacing w:line="253" w:lineRule="exact"/>
              <w:ind w:right="51"/>
              <w:jc w:val="right"/>
              <w:rPr>
                <w:sz w:val="21"/>
              </w:rPr>
            </w:pPr>
            <w:r>
              <w:rPr>
                <w:sz w:val="21"/>
              </w:rPr>
              <w:t>410.2</w:t>
            </w:r>
          </w:p>
        </w:tc>
        <w:tc>
          <w:tcPr>
            <w:tcW w:w="1108" w:type="dxa"/>
            <w:tcBorders>
              <w:right w:val="single" w:sz="6" w:space="0" w:color="000000"/>
            </w:tcBorders>
          </w:tcPr>
          <w:p>
            <w:pPr>
              <w:pStyle w:val="TableParagraph"/>
              <w:spacing w:line="253" w:lineRule="exact"/>
              <w:ind w:right="10"/>
              <w:jc w:val="right"/>
              <w:rPr>
                <w:sz w:val="21"/>
              </w:rPr>
            </w:pPr>
            <w:r>
              <w:rPr>
                <w:sz w:val="21"/>
              </w:rPr>
              <w:t>410.2</w:t>
            </w:r>
          </w:p>
        </w:tc>
      </w:tr>
      <w:tr>
        <w:trPr>
          <w:trHeight w:val="285" w:hRule="atLeast"/>
        </w:trPr>
        <w:tc>
          <w:tcPr>
            <w:tcW w:w="5192" w:type="dxa"/>
            <w:tcBorders>
              <w:left w:val="single" w:sz="6" w:space="0" w:color="000000"/>
            </w:tcBorders>
          </w:tcPr>
          <w:p>
            <w:pPr>
              <w:pStyle w:val="TableParagraph"/>
              <w:spacing w:line="253" w:lineRule="exact"/>
              <w:ind w:left="35"/>
              <w:rPr>
                <w:sz w:val="21"/>
              </w:rPr>
            </w:pPr>
            <w:r>
              <w:rPr>
                <w:sz w:val="21"/>
              </w:rPr>
              <w:t>Sobre Circulación de Vehículos</w:t>
            </w:r>
          </w:p>
        </w:tc>
        <w:tc>
          <w:tcPr>
            <w:tcW w:w="1045" w:type="dxa"/>
          </w:tcPr>
          <w:p>
            <w:pPr>
              <w:pStyle w:val="TableParagraph"/>
              <w:spacing w:line="253" w:lineRule="exact"/>
              <w:ind w:right="51"/>
              <w:jc w:val="right"/>
              <w:rPr>
                <w:sz w:val="21"/>
              </w:rPr>
            </w:pPr>
            <w:r>
              <w:rPr>
                <w:sz w:val="21"/>
              </w:rPr>
              <w:t>910.1</w:t>
            </w:r>
          </w:p>
        </w:tc>
        <w:tc>
          <w:tcPr>
            <w:tcW w:w="1141" w:type="dxa"/>
          </w:tcPr>
          <w:p>
            <w:pPr>
              <w:pStyle w:val="TableParagraph"/>
              <w:spacing w:line="253" w:lineRule="exact"/>
              <w:ind w:right="51"/>
              <w:jc w:val="right"/>
              <w:rPr>
                <w:sz w:val="21"/>
              </w:rPr>
            </w:pPr>
            <w:r>
              <w:rPr>
                <w:sz w:val="21"/>
              </w:rPr>
              <w:t>928.4</w:t>
            </w:r>
          </w:p>
        </w:tc>
        <w:tc>
          <w:tcPr>
            <w:tcW w:w="1108" w:type="dxa"/>
            <w:tcBorders>
              <w:right w:val="single" w:sz="6" w:space="0" w:color="000000"/>
            </w:tcBorders>
          </w:tcPr>
          <w:p>
            <w:pPr>
              <w:pStyle w:val="TableParagraph"/>
              <w:spacing w:line="253" w:lineRule="exact"/>
              <w:ind w:right="10"/>
              <w:jc w:val="right"/>
              <w:rPr>
                <w:sz w:val="21"/>
              </w:rPr>
            </w:pPr>
            <w:r>
              <w:rPr>
                <w:sz w:val="21"/>
              </w:rPr>
              <w:t>928.4</w:t>
            </w:r>
          </w:p>
        </w:tc>
      </w:tr>
      <w:tr>
        <w:trPr>
          <w:trHeight w:val="285" w:hRule="atLeast"/>
        </w:trPr>
        <w:tc>
          <w:tcPr>
            <w:tcW w:w="5192" w:type="dxa"/>
            <w:tcBorders>
              <w:left w:val="single" w:sz="6" w:space="0" w:color="000000"/>
            </w:tcBorders>
          </w:tcPr>
          <w:p>
            <w:pPr>
              <w:pStyle w:val="TableParagraph"/>
              <w:spacing w:line="252" w:lineRule="exact"/>
              <w:ind w:left="35"/>
              <w:rPr>
                <w:sz w:val="21"/>
              </w:rPr>
            </w:pPr>
            <w:r>
              <w:rPr>
                <w:sz w:val="21"/>
              </w:rPr>
              <w:t>Específico a la Primera Matrícula de Vehículos Terrestres</w:t>
            </w:r>
          </w:p>
        </w:tc>
        <w:tc>
          <w:tcPr>
            <w:tcW w:w="1045" w:type="dxa"/>
          </w:tcPr>
          <w:p>
            <w:pPr>
              <w:pStyle w:val="TableParagraph"/>
              <w:spacing w:line="252" w:lineRule="exact"/>
              <w:ind w:right="51"/>
              <w:jc w:val="right"/>
              <w:rPr>
                <w:sz w:val="21"/>
              </w:rPr>
            </w:pPr>
            <w:r>
              <w:rPr>
                <w:sz w:val="21"/>
              </w:rPr>
              <w:t>831.0</w:t>
            </w:r>
          </w:p>
        </w:tc>
        <w:tc>
          <w:tcPr>
            <w:tcW w:w="1141" w:type="dxa"/>
          </w:tcPr>
          <w:p>
            <w:pPr>
              <w:pStyle w:val="TableParagraph"/>
              <w:spacing w:line="252" w:lineRule="exact"/>
              <w:ind w:right="51"/>
              <w:jc w:val="right"/>
              <w:rPr>
                <w:sz w:val="21"/>
              </w:rPr>
            </w:pPr>
            <w:r>
              <w:rPr>
                <w:sz w:val="21"/>
              </w:rPr>
              <w:t>897.4</w:t>
            </w:r>
          </w:p>
        </w:tc>
        <w:tc>
          <w:tcPr>
            <w:tcW w:w="1108" w:type="dxa"/>
            <w:tcBorders>
              <w:right w:val="single" w:sz="6" w:space="0" w:color="000000"/>
            </w:tcBorders>
          </w:tcPr>
          <w:p>
            <w:pPr>
              <w:pStyle w:val="TableParagraph"/>
              <w:spacing w:line="252" w:lineRule="exact"/>
              <w:ind w:right="10"/>
              <w:jc w:val="right"/>
              <w:rPr>
                <w:sz w:val="21"/>
              </w:rPr>
            </w:pPr>
            <w:r>
              <w:rPr>
                <w:sz w:val="21"/>
              </w:rPr>
              <w:t>897.4</w:t>
            </w:r>
          </w:p>
        </w:tc>
      </w:tr>
      <w:tr>
        <w:trPr>
          <w:trHeight w:val="428" w:hRule="atLeast"/>
        </w:trPr>
        <w:tc>
          <w:tcPr>
            <w:tcW w:w="5192" w:type="dxa"/>
            <w:tcBorders>
              <w:left w:val="single" w:sz="6" w:space="0" w:color="000000"/>
            </w:tcBorders>
          </w:tcPr>
          <w:p>
            <w:pPr>
              <w:pStyle w:val="TableParagraph"/>
              <w:spacing w:line="253" w:lineRule="exact"/>
              <w:ind w:left="35"/>
              <w:rPr>
                <w:sz w:val="21"/>
              </w:rPr>
            </w:pPr>
            <w:r>
              <w:rPr>
                <w:sz w:val="21"/>
              </w:rPr>
              <w:t>Otros</w:t>
            </w:r>
          </w:p>
        </w:tc>
        <w:tc>
          <w:tcPr>
            <w:tcW w:w="1045" w:type="dxa"/>
          </w:tcPr>
          <w:p>
            <w:pPr>
              <w:pStyle w:val="TableParagraph"/>
              <w:spacing w:line="253" w:lineRule="exact"/>
              <w:ind w:right="50"/>
              <w:jc w:val="right"/>
              <w:rPr>
                <w:sz w:val="21"/>
              </w:rPr>
            </w:pPr>
            <w:r>
              <w:rPr>
                <w:sz w:val="21"/>
              </w:rPr>
              <w:t>7.3</w:t>
            </w:r>
          </w:p>
        </w:tc>
        <w:tc>
          <w:tcPr>
            <w:tcW w:w="1141" w:type="dxa"/>
          </w:tcPr>
          <w:p>
            <w:pPr>
              <w:pStyle w:val="TableParagraph"/>
              <w:spacing w:line="253" w:lineRule="exact"/>
              <w:ind w:right="50"/>
              <w:jc w:val="right"/>
              <w:rPr>
                <w:sz w:val="21"/>
              </w:rPr>
            </w:pPr>
            <w:r>
              <w:rPr>
                <w:sz w:val="21"/>
              </w:rPr>
              <w:t>7.5</w:t>
            </w:r>
          </w:p>
        </w:tc>
        <w:tc>
          <w:tcPr>
            <w:tcW w:w="1108" w:type="dxa"/>
            <w:tcBorders>
              <w:right w:val="single" w:sz="6" w:space="0" w:color="000000"/>
            </w:tcBorders>
          </w:tcPr>
          <w:p>
            <w:pPr>
              <w:pStyle w:val="TableParagraph"/>
              <w:spacing w:line="253" w:lineRule="exact"/>
              <w:ind w:right="10"/>
              <w:jc w:val="right"/>
              <w:rPr>
                <w:sz w:val="21"/>
              </w:rPr>
            </w:pPr>
            <w:r>
              <w:rPr>
                <w:sz w:val="21"/>
              </w:rPr>
              <w:t>7.5</w:t>
            </w:r>
          </w:p>
        </w:tc>
      </w:tr>
      <w:tr>
        <w:trPr>
          <w:trHeight w:val="427" w:hRule="atLeast"/>
        </w:trPr>
        <w:tc>
          <w:tcPr>
            <w:tcW w:w="5192" w:type="dxa"/>
            <w:tcBorders>
              <w:left w:val="single" w:sz="6" w:space="0" w:color="000000"/>
            </w:tcBorders>
          </w:tcPr>
          <w:p>
            <w:pPr>
              <w:pStyle w:val="TableParagraph"/>
              <w:spacing w:before="139"/>
              <w:ind w:left="35"/>
              <w:rPr>
                <w:b/>
                <w:sz w:val="21"/>
              </w:rPr>
            </w:pPr>
            <w:r>
              <w:rPr>
                <w:b/>
                <w:sz w:val="21"/>
              </w:rPr>
              <w:t>Otros Indirectos y otros Directos</w:t>
            </w:r>
          </w:p>
        </w:tc>
        <w:tc>
          <w:tcPr>
            <w:tcW w:w="1045" w:type="dxa"/>
          </w:tcPr>
          <w:p>
            <w:pPr>
              <w:pStyle w:val="TableParagraph"/>
              <w:rPr>
                <w:rFonts w:ascii="Times New Roman"/>
                <w:sz w:val="20"/>
              </w:rPr>
            </w:pPr>
          </w:p>
        </w:tc>
        <w:tc>
          <w:tcPr>
            <w:tcW w:w="1141" w:type="dxa"/>
          </w:tcPr>
          <w:p>
            <w:pPr>
              <w:pStyle w:val="TableParagraph"/>
              <w:rPr>
                <w:rFonts w:ascii="Times New Roman"/>
                <w:sz w:val="20"/>
              </w:rPr>
            </w:pPr>
          </w:p>
        </w:tc>
        <w:tc>
          <w:tcPr>
            <w:tcW w:w="1108" w:type="dxa"/>
            <w:tcBorders>
              <w:right w:val="single" w:sz="6" w:space="0" w:color="000000"/>
            </w:tcBorders>
          </w:tcPr>
          <w:p>
            <w:pPr>
              <w:pStyle w:val="TableParagraph"/>
              <w:spacing w:before="139"/>
              <w:ind w:right="10"/>
              <w:jc w:val="right"/>
              <w:rPr>
                <w:sz w:val="21"/>
              </w:rPr>
            </w:pPr>
            <w:r>
              <w:rPr>
                <w:sz w:val="21"/>
              </w:rPr>
              <w:t>1,520.4</w:t>
            </w:r>
          </w:p>
        </w:tc>
      </w:tr>
      <w:tr>
        <w:trPr>
          <w:trHeight w:val="285" w:hRule="atLeast"/>
        </w:trPr>
        <w:tc>
          <w:tcPr>
            <w:tcW w:w="5192" w:type="dxa"/>
            <w:tcBorders>
              <w:left w:val="single" w:sz="6" w:space="0" w:color="000000"/>
            </w:tcBorders>
          </w:tcPr>
          <w:p>
            <w:pPr>
              <w:pStyle w:val="TableParagraph"/>
              <w:spacing w:line="252" w:lineRule="exact"/>
              <w:ind w:left="35"/>
              <w:rPr>
                <w:b/>
                <w:sz w:val="21"/>
              </w:rPr>
            </w:pPr>
            <w:r>
              <w:rPr>
                <w:b/>
                <w:sz w:val="21"/>
              </w:rPr>
              <w:t>Otras Instituciones</w:t>
            </w:r>
          </w:p>
        </w:tc>
        <w:tc>
          <w:tcPr>
            <w:tcW w:w="1045" w:type="dxa"/>
          </w:tcPr>
          <w:p>
            <w:pPr>
              <w:pStyle w:val="TableParagraph"/>
              <w:spacing w:line="252" w:lineRule="exact"/>
              <w:ind w:right="50"/>
              <w:jc w:val="right"/>
              <w:rPr>
                <w:b/>
                <w:sz w:val="21"/>
              </w:rPr>
            </w:pPr>
            <w:r>
              <w:rPr>
                <w:b/>
                <w:sz w:val="21"/>
                <w:u w:val="single"/>
              </w:rPr>
              <w:t>221.8</w:t>
            </w:r>
          </w:p>
        </w:tc>
        <w:tc>
          <w:tcPr>
            <w:tcW w:w="1141" w:type="dxa"/>
          </w:tcPr>
          <w:p>
            <w:pPr>
              <w:pStyle w:val="TableParagraph"/>
              <w:spacing w:line="252" w:lineRule="exact"/>
              <w:ind w:right="50"/>
              <w:jc w:val="right"/>
              <w:rPr>
                <w:b/>
                <w:sz w:val="21"/>
              </w:rPr>
            </w:pPr>
            <w:r>
              <w:rPr>
                <w:b/>
                <w:sz w:val="21"/>
                <w:u w:val="single"/>
              </w:rPr>
              <w:t>336.3</w:t>
            </w:r>
          </w:p>
        </w:tc>
        <w:tc>
          <w:tcPr>
            <w:tcW w:w="1108" w:type="dxa"/>
            <w:tcBorders>
              <w:right w:val="single" w:sz="6" w:space="0" w:color="000000"/>
            </w:tcBorders>
          </w:tcPr>
          <w:p>
            <w:pPr>
              <w:pStyle w:val="TableParagraph"/>
              <w:spacing w:line="252" w:lineRule="exact"/>
              <w:ind w:right="10"/>
              <w:jc w:val="right"/>
              <w:rPr>
                <w:b/>
                <w:sz w:val="21"/>
              </w:rPr>
            </w:pPr>
            <w:r>
              <w:rPr>
                <w:b/>
                <w:sz w:val="21"/>
                <w:u w:val="single"/>
              </w:rPr>
              <w:t>336.3</w:t>
            </w:r>
          </w:p>
        </w:tc>
      </w:tr>
      <w:tr>
        <w:trPr>
          <w:trHeight w:val="285" w:hRule="atLeast"/>
        </w:trPr>
        <w:tc>
          <w:tcPr>
            <w:tcW w:w="5192" w:type="dxa"/>
            <w:tcBorders>
              <w:left w:val="single" w:sz="6" w:space="0" w:color="000000"/>
            </w:tcBorders>
          </w:tcPr>
          <w:p>
            <w:pPr>
              <w:pStyle w:val="TableParagraph"/>
              <w:spacing w:line="253" w:lineRule="exact"/>
              <w:ind w:left="35"/>
              <w:rPr>
                <w:sz w:val="21"/>
              </w:rPr>
            </w:pPr>
            <w:r>
              <w:rPr>
                <w:sz w:val="21"/>
              </w:rPr>
              <w:t>Regalías e Hidrocarburos Compartibles</w:t>
            </w:r>
          </w:p>
        </w:tc>
        <w:tc>
          <w:tcPr>
            <w:tcW w:w="1045" w:type="dxa"/>
          </w:tcPr>
          <w:p>
            <w:pPr>
              <w:pStyle w:val="TableParagraph"/>
              <w:spacing w:line="253" w:lineRule="exact"/>
              <w:ind w:right="51"/>
              <w:jc w:val="right"/>
              <w:rPr>
                <w:sz w:val="21"/>
              </w:rPr>
            </w:pPr>
            <w:r>
              <w:rPr>
                <w:sz w:val="21"/>
              </w:rPr>
              <w:t>111.9</w:t>
            </w:r>
          </w:p>
        </w:tc>
        <w:tc>
          <w:tcPr>
            <w:tcW w:w="1141" w:type="dxa"/>
          </w:tcPr>
          <w:p>
            <w:pPr>
              <w:pStyle w:val="TableParagraph"/>
              <w:spacing w:line="253" w:lineRule="exact"/>
              <w:ind w:right="51"/>
              <w:jc w:val="right"/>
              <w:rPr>
                <w:sz w:val="21"/>
              </w:rPr>
            </w:pPr>
            <w:r>
              <w:rPr>
                <w:sz w:val="21"/>
              </w:rPr>
              <w:t>144.2</w:t>
            </w:r>
          </w:p>
        </w:tc>
        <w:tc>
          <w:tcPr>
            <w:tcW w:w="1108" w:type="dxa"/>
            <w:tcBorders>
              <w:right w:val="single" w:sz="6" w:space="0" w:color="000000"/>
            </w:tcBorders>
          </w:tcPr>
          <w:p>
            <w:pPr>
              <w:pStyle w:val="TableParagraph"/>
              <w:spacing w:line="253" w:lineRule="exact"/>
              <w:ind w:right="10"/>
              <w:jc w:val="right"/>
              <w:rPr>
                <w:sz w:val="21"/>
              </w:rPr>
            </w:pPr>
            <w:r>
              <w:rPr>
                <w:sz w:val="21"/>
              </w:rPr>
              <w:t>144.2</w:t>
            </w:r>
          </w:p>
        </w:tc>
      </w:tr>
      <w:tr>
        <w:trPr>
          <w:trHeight w:val="427" w:hRule="atLeast"/>
        </w:trPr>
        <w:tc>
          <w:tcPr>
            <w:tcW w:w="5192" w:type="dxa"/>
            <w:tcBorders>
              <w:left w:val="single" w:sz="6" w:space="0" w:color="000000"/>
            </w:tcBorders>
          </w:tcPr>
          <w:p>
            <w:pPr>
              <w:pStyle w:val="TableParagraph"/>
              <w:spacing w:line="253" w:lineRule="exact"/>
              <w:ind w:left="35"/>
              <w:rPr>
                <w:sz w:val="21"/>
              </w:rPr>
            </w:pPr>
            <w:r>
              <w:rPr>
                <w:sz w:val="21"/>
              </w:rPr>
              <w:t>Salida del País</w:t>
            </w:r>
          </w:p>
        </w:tc>
        <w:tc>
          <w:tcPr>
            <w:tcW w:w="1045" w:type="dxa"/>
          </w:tcPr>
          <w:p>
            <w:pPr>
              <w:pStyle w:val="TableParagraph"/>
              <w:spacing w:line="253" w:lineRule="exact"/>
              <w:ind w:right="51"/>
              <w:jc w:val="right"/>
              <w:rPr>
                <w:sz w:val="21"/>
              </w:rPr>
            </w:pPr>
            <w:r>
              <w:rPr>
                <w:sz w:val="21"/>
              </w:rPr>
              <w:t>109.9</w:t>
            </w:r>
          </w:p>
        </w:tc>
        <w:tc>
          <w:tcPr>
            <w:tcW w:w="1141" w:type="dxa"/>
          </w:tcPr>
          <w:p>
            <w:pPr>
              <w:pStyle w:val="TableParagraph"/>
              <w:spacing w:line="253" w:lineRule="exact"/>
              <w:ind w:right="51"/>
              <w:jc w:val="right"/>
              <w:rPr>
                <w:sz w:val="21"/>
              </w:rPr>
            </w:pPr>
            <w:r>
              <w:rPr>
                <w:sz w:val="21"/>
              </w:rPr>
              <w:t>192.1</w:t>
            </w:r>
          </w:p>
        </w:tc>
        <w:tc>
          <w:tcPr>
            <w:tcW w:w="1108" w:type="dxa"/>
            <w:tcBorders>
              <w:right w:val="single" w:sz="6" w:space="0" w:color="000000"/>
            </w:tcBorders>
          </w:tcPr>
          <w:p>
            <w:pPr>
              <w:pStyle w:val="TableParagraph"/>
              <w:spacing w:line="253" w:lineRule="exact"/>
              <w:ind w:right="10"/>
              <w:jc w:val="right"/>
              <w:rPr>
                <w:sz w:val="21"/>
              </w:rPr>
            </w:pPr>
            <w:r>
              <w:rPr>
                <w:sz w:val="21"/>
              </w:rPr>
              <w:t>192.1</w:t>
            </w:r>
          </w:p>
        </w:tc>
      </w:tr>
      <w:tr>
        <w:trPr>
          <w:trHeight w:val="694" w:hRule="atLeast"/>
        </w:trPr>
        <w:tc>
          <w:tcPr>
            <w:tcW w:w="5192" w:type="dxa"/>
            <w:tcBorders>
              <w:left w:val="single" w:sz="6" w:space="0" w:color="000000"/>
              <w:bottom w:val="single" w:sz="12" w:space="0" w:color="000000"/>
            </w:tcBorders>
          </w:tcPr>
          <w:p>
            <w:pPr>
              <w:pStyle w:val="TableParagraph"/>
              <w:spacing w:before="138"/>
              <w:ind w:left="35"/>
              <w:rPr>
                <w:b/>
                <w:sz w:val="21"/>
              </w:rPr>
            </w:pPr>
            <w:r>
              <w:rPr>
                <w:b/>
                <w:sz w:val="21"/>
              </w:rPr>
              <w:t>Total de Ingresos Netos</w:t>
            </w:r>
          </w:p>
        </w:tc>
        <w:tc>
          <w:tcPr>
            <w:tcW w:w="1045" w:type="dxa"/>
            <w:tcBorders>
              <w:bottom w:val="single" w:sz="12" w:space="0" w:color="000000"/>
            </w:tcBorders>
          </w:tcPr>
          <w:p>
            <w:pPr>
              <w:pStyle w:val="TableParagraph"/>
              <w:spacing w:before="138"/>
              <w:ind w:right="51"/>
              <w:jc w:val="right"/>
              <w:rPr>
                <w:sz w:val="21"/>
              </w:rPr>
            </w:pPr>
            <w:r>
              <w:rPr>
                <w:sz w:val="21"/>
                <w:u w:val="single"/>
              </w:rPr>
              <w:t>57,107.8</w:t>
            </w:r>
          </w:p>
        </w:tc>
        <w:tc>
          <w:tcPr>
            <w:tcW w:w="1141" w:type="dxa"/>
            <w:tcBorders>
              <w:bottom w:val="single" w:sz="12" w:space="0" w:color="000000"/>
            </w:tcBorders>
          </w:tcPr>
          <w:p>
            <w:pPr>
              <w:pStyle w:val="TableParagraph"/>
              <w:spacing w:before="138"/>
              <w:ind w:right="51"/>
              <w:jc w:val="right"/>
              <w:rPr>
                <w:sz w:val="21"/>
              </w:rPr>
            </w:pPr>
            <w:r>
              <w:rPr>
                <w:sz w:val="21"/>
                <w:u w:val="single"/>
              </w:rPr>
              <w:t>59,905.8</w:t>
            </w:r>
          </w:p>
        </w:tc>
        <w:tc>
          <w:tcPr>
            <w:tcW w:w="1108" w:type="dxa"/>
            <w:tcBorders>
              <w:bottom w:val="single" w:sz="12" w:space="0" w:color="000000"/>
              <w:right w:val="single" w:sz="6" w:space="0" w:color="000000"/>
            </w:tcBorders>
          </w:tcPr>
          <w:p>
            <w:pPr>
              <w:pStyle w:val="TableParagraph"/>
              <w:spacing w:before="138"/>
              <w:ind w:right="10"/>
              <w:jc w:val="right"/>
              <w:rPr>
                <w:sz w:val="21"/>
              </w:rPr>
            </w:pPr>
            <w:r>
              <w:rPr>
                <w:sz w:val="21"/>
                <w:u w:val="single"/>
              </w:rPr>
              <w:t>61,426.2</w:t>
            </w:r>
          </w:p>
        </w:tc>
      </w:tr>
    </w:tbl>
    <w:p>
      <w:pPr>
        <w:pStyle w:val="BodyText"/>
        <w:spacing w:before="8"/>
        <w:rPr>
          <w:b/>
        </w:rPr>
      </w:pPr>
    </w:p>
    <w:p>
      <w:pPr>
        <w:spacing w:line="314" w:lineRule="auto" w:before="1"/>
        <w:ind w:left="1084" w:right="1706" w:firstLine="0"/>
        <w:jc w:val="left"/>
        <w:rPr>
          <w:rFonts w:ascii="Arial" w:hAnsi="Arial"/>
          <w:sz w:val="18"/>
        </w:rPr>
      </w:pPr>
      <w:r>
        <w:rPr>
          <w:rFonts w:ascii="Arial" w:hAnsi="Arial"/>
          <w:w w:val="105"/>
          <w:sz w:val="18"/>
        </w:rPr>
        <w:t>Fuente:</w:t>
      </w:r>
      <w:r>
        <w:rPr>
          <w:rFonts w:ascii="Arial" w:hAnsi="Arial"/>
          <w:spacing w:val="-10"/>
          <w:w w:val="105"/>
          <w:sz w:val="18"/>
        </w:rPr>
        <w:t> </w:t>
      </w:r>
      <w:r>
        <w:rPr>
          <w:rFonts w:ascii="Arial" w:hAnsi="Arial"/>
          <w:spacing w:val="2"/>
          <w:w w:val="105"/>
          <w:sz w:val="18"/>
        </w:rPr>
        <w:t>SAT</w:t>
      </w:r>
      <w:r>
        <w:rPr>
          <w:rFonts w:ascii="Arial" w:hAnsi="Arial"/>
          <w:spacing w:val="17"/>
          <w:w w:val="105"/>
          <w:sz w:val="18"/>
        </w:rPr>
        <w:t> </w:t>
      </w:r>
      <w:r>
        <w:rPr>
          <w:rFonts w:ascii="Arial" w:hAnsi="Arial"/>
          <w:w w:val="105"/>
          <w:sz w:val="18"/>
        </w:rPr>
        <w:t>Elaboración</w:t>
      </w:r>
      <w:r>
        <w:rPr>
          <w:rFonts w:ascii="Arial" w:hAnsi="Arial"/>
          <w:spacing w:val="-15"/>
          <w:w w:val="105"/>
          <w:sz w:val="18"/>
        </w:rPr>
        <w:t> </w:t>
      </w:r>
      <w:r>
        <w:rPr>
          <w:rFonts w:ascii="Arial" w:hAnsi="Arial"/>
          <w:w w:val="105"/>
          <w:sz w:val="18"/>
        </w:rPr>
        <w:t>con</w:t>
      </w:r>
      <w:r>
        <w:rPr>
          <w:rFonts w:ascii="Arial" w:hAnsi="Arial"/>
          <w:spacing w:val="-15"/>
          <w:w w:val="105"/>
          <w:sz w:val="18"/>
        </w:rPr>
        <w:t> </w:t>
      </w:r>
      <w:r>
        <w:rPr>
          <w:rFonts w:ascii="Arial" w:hAnsi="Arial"/>
          <w:w w:val="105"/>
          <w:sz w:val="18"/>
        </w:rPr>
        <w:t>datos</w:t>
      </w:r>
      <w:r>
        <w:rPr>
          <w:rFonts w:ascii="Arial" w:hAnsi="Arial"/>
          <w:spacing w:val="-8"/>
          <w:w w:val="105"/>
          <w:sz w:val="18"/>
        </w:rPr>
        <w:t> </w:t>
      </w:r>
      <w:r>
        <w:rPr>
          <w:rFonts w:ascii="Arial" w:hAnsi="Arial"/>
          <w:w w:val="105"/>
          <w:sz w:val="18"/>
        </w:rPr>
        <w:t>de</w:t>
      </w:r>
      <w:r>
        <w:rPr>
          <w:rFonts w:ascii="Arial" w:hAnsi="Arial"/>
          <w:spacing w:val="-15"/>
          <w:w w:val="105"/>
          <w:sz w:val="18"/>
        </w:rPr>
        <w:t> </w:t>
      </w:r>
      <w:r>
        <w:rPr>
          <w:rFonts w:ascii="Arial" w:hAnsi="Arial"/>
          <w:w w:val="105"/>
          <w:sz w:val="18"/>
        </w:rPr>
        <w:t>Intendencia</w:t>
      </w:r>
      <w:r>
        <w:rPr>
          <w:rFonts w:ascii="Arial" w:hAnsi="Arial"/>
          <w:spacing w:val="-16"/>
          <w:w w:val="105"/>
          <w:sz w:val="18"/>
        </w:rPr>
        <w:t> </w:t>
      </w:r>
      <w:r>
        <w:rPr>
          <w:rFonts w:ascii="Arial" w:hAnsi="Arial"/>
          <w:w w:val="105"/>
          <w:sz w:val="18"/>
        </w:rPr>
        <w:t>de</w:t>
      </w:r>
      <w:r>
        <w:rPr>
          <w:rFonts w:ascii="Arial" w:hAnsi="Arial"/>
          <w:spacing w:val="-15"/>
          <w:w w:val="105"/>
          <w:sz w:val="18"/>
        </w:rPr>
        <w:t> </w:t>
      </w:r>
      <w:r>
        <w:rPr>
          <w:rFonts w:ascii="Arial" w:hAnsi="Arial"/>
          <w:w w:val="105"/>
          <w:sz w:val="18"/>
        </w:rPr>
        <w:t>Recaudación.</w:t>
      </w:r>
      <w:r>
        <w:rPr>
          <w:rFonts w:ascii="Arial" w:hAnsi="Arial"/>
          <w:spacing w:val="-9"/>
          <w:w w:val="105"/>
          <w:sz w:val="18"/>
        </w:rPr>
        <w:t> </w:t>
      </w:r>
      <w:r>
        <w:rPr>
          <w:rFonts w:ascii="Arial" w:hAnsi="Arial"/>
          <w:w w:val="105"/>
          <w:sz w:val="18"/>
        </w:rPr>
        <w:t>Estimación</w:t>
      </w:r>
      <w:r>
        <w:rPr>
          <w:rFonts w:ascii="Arial" w:hAnsi="Arial"/>
          <w:spacing w:val="-15"/>
          <w:w w:val="105"/>
          <w:sz w:val="18"/>
        </w:rPr>
        <w:t> </w:t>
      </w:r>
      <w:r>
        <w:rPr>
          <w:rFonts w:ascii="Arial" w:hAnsi="Arial"/>
          <w:spacing w:val="-4"/>
          <w:w w:val="105"/>
          <w:sz w:val="18"/>
        </w:rPr>
        <w:t>para</w:t>
      </w:r>
      <w:r>
        <w:rPr>
          <w:rFonts w:ascii="Arial" w:hAnsi="Arial"/>
          <w:spacing w:val="-16"/>
          <w:w w:val="105"/>
          <w:sz w:val="18"/>
        </w:rPr>
        <w:t> </w:t>
      </w:r>
      <w:r>
        <w:rPr>
          <w:rFonts w:ascii="Arial" w:hAnsi="Arial"/>
          <w:w w:val="105"/>
          <w:sz w:val="18"/>
        </w:rPr>
        <w:t>escenarios macroeconómicos a</w:t>
      </w:r>
      <w:r>
        <w:rPr>
          <w:rFonts w:ascii="Arial" w:hAnsi="Arial"/>
          <w:spacing w:val="10"/>
          <w:w w:val="105"/>
          <w:sz w:val="18"/>
        </w:rPr>
        <w:t> </w:t>
      </w:r>
      <w:r>
        <w:rPr>
          <w:rFonts w:ascii="Arial" w:hAnsi="Arial"/>
          <w:spacing w:val="-4"/>
          <w:w w:val="105"/>
          <w:sz w:val="18"/>
        </w:rPr>
        <w:t>Julio-2020</w:t>
      </w:r>
    </w:p>
    <w:p>
      <w:pPr>
        <w:spacing w:before="13"/>
        <w:ind w:left="1084" w:right="0" w:firstLine="0"/>
        <w:jc w:val="left"/>
        <w:rPr>
          <w:rFonts w:ascii="Arial"/>
          <w:sz w:val="18"/>
        </w:rPr>
      </w:pPr>
      <w:r>
        <w:rPr/>
        <w:pict>
          <v:shape style="position:absolute;margin-left:531.919678pt;margin-top:26.728119pt;width:27.9pt;height:58.2pt;mso-position-horizontal-relative:page;mso-position-vertical-relative:paragraph;z-index:251778048" type="#_x0000_t202" filled="false" stroked="false">
            <v:textbox inset="0,0,0,0" style="layout-flow:vertical;mso-layout-flow-alt:bottom-to-top">
              <w:txbxContent>
                <w:p>
                  <w:pPr>
                    <w:spacing w:before="21"/>
                    <w:ind w:left="20" w:right="0" w:firstLine="0"/>
                    <w:jc w:val="left"/>
                    <w:rPr>
                      <w:rFonts w:ascii="Cambria" w:hAnsi="Cambria"/>
                      <w:sz w:val="44"/>
                    </w:rPr>
                  </w:pPr>
                  <w:r>
                    <w:rPr>
                      <w:rFonts w:ascii="Cambria" w:hAnsi="Cambria"/>
                      <w:sz w:val="22"/>
                    </w:rPr>
                    <w:t>Página</w:t>
                  </w:r>
                  <w:r>
                    <w:rPr>
                      <w:rFonts w:ascii="Cambria" w:hAnsi="Cambria"/>
                      <w:sz w:val="44"/>
                    </w:rPr>
                    <w:t>21</w:t>
                  </w:r>
                </w:p>
              </w:txbxContent>
            </v:textbox>
            <w10:wrap type="none"/>
          </v:shape>
        </w:pict>
      </w:r>
      <w:r>
        <w:rPr>
          <w:rFonts w:ascii="Arial"/>
          <w:w w:val="105"/>
          <w:sz w:val="18"/>
        </w:rPr>
        <w:t>Pueden existir diferencias por redondeo.</w:t>
      </w:r>
    </w:p>
    <w:sectPr>
      <w:pgSz w:w="11910" w:h="16840"/>
      <w:pgMar w:header="1045" w:footer="872" w:top="2280" w:bottom="1060" w:left="6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Calibri">
    <w:altName w:val="Calibri"/>
    <w:charset w:val="0"/>
    <w:family w:val="swiss"/>
    <w:pitch w:val="variable"/>
  </w:font>
  <w:font w:name="Courier New">
    <w:altName w:val="Courier New"/>
    <w:charset w:val="0"/>
    <w:family w:val="modern"/>
    <w:pitch w:val="fixed"/>
  </w:font>
  <w:font w:name="Wingdings">
    <w:altName w:val="Wingdings"/>
    <w:charset w:val="2"/>
    <w:family w:val="auto"/>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543999pt;margin-top:784.295959pt;width:428.35pt;height:4.350pt;mso-position-horizontal-relative:page;mso-position-vertical-relative:page;z-index:-254974976" coordorigin="1671,15686" coordsize="8567,87">
          <v:line style="position:absolute" from="1671,15715" to="10237,15715" stroked="true" strokeweight="2.88pt" strokecolor="#612322">
            <v:stroke dashstyle="solid"/>
          </v:line>
          <v:line style="position:absolute" from="1671,15765" to="10237,15765" stroked="true" strokeweight=".72003pt" strokecolor="#612322">
            <v:stroke dashstyle="solid"/>
          </v:line>
          <w10:wrap type="none"/>
        </v:group>
      </w:pict>
    </w:r>
    <w:r>
      <w:rPr/>
      <w:pict>
        <v:shape style="position:absolute;margin-left:220.619995pt;margin-top:791.359985pt;width:153.75pt;height:14pt;mso-position-horizontal-relative:page;mso-position-vertical-relative:page;z-index:-254973952" type="#_x0000_t202" filled="false" stroked="false">
          <v:textbox inset="0,0,0,0">
            <w:txbxContent>
              <w:p>
                <w:pPr>
                  <w:pStyle w:val="BodyText"/>
                  <w:spacing w:line="264" w:lineRule="exact"/>
                  <w:ind w:left="20"/>
                </w:pPr>
                <w:r>
                  <w:rPr/>
                  <w:t>Ministerio de Finanzas Públicas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8338432">
          <wp:simplePos x="0" y="0"/>
          <wp:positionH relativeFrom="page">
            <wp:posOffset>1196358</wp:posOffset>
          </wp:positionH>
          <wp:positionV relativeFrom="page">
            <wp:posOffset>663447</wp:posOffset>
          </wp:positionV>
          <wp:extent cx="1533595" cy="480314"/>
          <wp:effectExtent l="0" t="0" r="0" b="0"/>
          <wp:wrapNone/>
          <wp:docPr id="5" name="image1.jpeg"/>
          <wp:cNvGraphicFramePr>
            <a:graphicFrameLocks noChangeAspect="1"/>
          </wp:cNvGraphicFramePr>
          <a:graphic>
            <a:graphicData uri="http://schemas.openxmlformats.org/drawingml/2006/picture">
              <pic:pic>
                <pic:nvPicPr>
                  <pic:cNvPr id="6" name="image1.jpeg"/>
                  <pic:cNvPicPr/>
                </pic:nvPicPr>
                <pic:blipFill>
                  <a:blip r:embed="rId1" cstate="print"/>
                  <a:stretch>
                    <a:fillRect/>
                  </a:stretch>
                </pic:blipFill>
                <pic:spPr>
                  <a:xfrm>
                    <a:off x="0" y="0"/>
                    <a:ext cx="1533595" cy="480314"/>
                  </a:xfrm>
                  <a:prstGeom prst="rect">
                    <a:avLst/>
                  </a:prstGeom>
                </pic:spPr>
              </pic:pic>
            </a:graphicData>
          </a:graphic>
        </wp:anchor>
      </w:drawing>
    </w:r>
    <w:r>
      <w:rPr/>
      <w:pict>
        <v:group style="position:absolute;margin-left:83.543999pt;margin-top:109.93998pt;width:428.35pt;height:4.350pt;mso-position-horizontal-relative:page;mso-position-vertical-relative:page;z-index:-254977024" coordorigin="1671,2199" coordsize="8567,87">
          <v:line style="position:absolute" from="1671,2256" to="10237,2256" stroked="true" strokeweight="2.88pt" strokecolor="#612322">
            <v:stroke dashstyle="solid"/>
          </v:line>
          <v:line style="position:absolute" from="1671,2206" to="10237,2206" stroked="true" strokeweight=".72pt" strokecolor="#612322">
            <v:stroke dashstyle="solid"/>
          </v:line>
          <w10:wrap type="none"/>
        </v:group>
      </w:pict>
    </w:r>
    <w:r>
      <w:rPr/>
      <w:pict>
        <v:shapetype id="_x0000_t202" o:spt="202" coordsize="21600,21600" path="m,l,21600r21600,l21600,xe">
          <v:stroke joinstyle="miter"/>
          <v:path gradientshapeok="t" o:connecttype="rect"/>
        </v:shapetype>
        <v:shape style="position:absolute;margin-left:382.899994pt;margin-top:93.699982pt;width:120.85pt;height:14pt;mso-position-horizontal-relative:page;mso-position-vertical-relative:page;z-index:-254976000" type="#_x0000_t202" filled="false" stroked="false">
          <v:textbox inset="0,0,0,0">
            <w:txbxContent>
              <w:p>
                <w:pPr>
                  <w:pStyle w:val="BodyText"/>
                  <w:spacing w:line="264" w:lineRule="exact"/>
                  <w:ind w:left="20"/>
                </w:pPr>
                <w:r>
                  <w:rPr/>
                  <w:t>Informe Preliminar 2021</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4"/>
      <w:numFmt w:val="decimal"/>
      <w:lvlText w:val="%1"/>
      <w:lvlJc w:val="left"/>
      <w:pPr>
        <w:ind w:left="1395" w:hanging="356"/>
        <w:jc w:val="left"/>
      </w:pPr>
      <w:rPr>
        <w:rFonts w:hint="default"/>
        <w:lang w:val="es-ES" w:eastAsia="es-ES" w:bidi="es-ES"/>
      </w:rPr>
    </w:lvl>
    <w:lvl w:ilvl="1">
      <w:start w:val="1"/>
      <w:numFmt w:val="decimal"/>
      <w:lvlText w:val="%1.%2"/>
      <w:lvlJc w:val="left"/>
      <w:pPr>
        <w:ind w:left="1395" w:hanging="356"/>
        <w:jc w:val="left"/>
      </w:pPr>
      <w:rPr>
        <w:rFonts w:hint="default" w:ascii="Calibri" w:hAnsi="Calibri" w:eastAsia="Calibri" w:cs="Calibri"/>
        <w:b/>
        <w:bCs/>
        <w:spacing w:val="-2"/>
        <w:w w:val="100"/>
        <w:sz w:val="24"/>
        <w:szCs w:val="24"/>
        <w:lang w:val="es-ES" w:eastAsia="es-ES" w:bidi="es-ES"/>
      </w:rPr>
    </w:lvl>
    <w:lvl w:ilvl="2">
      <w:start w:val="0"/>
      <w:numFmt w:val="bullet"/>
      <w:lvlText w:val=""/>
      <w:lvlJc w:val="left"/>
      <w:pPr>
        <w:ind w:left="1755" w:hanging="351"/>
      </w:pPr>
      <w:rPr>
        <w:rFonts w:hint="default" w:ascii="Symbol" w:hAnsi="Symbol" w:eastAsia="Symbol" w:cs="Symbol"/>
        <w:w w:val="100"/>
        <w:sz w:val="24"/>
        <w:szCs w:val="24"/>
        <w:lang w:val="es-ES" w:eastAsia="es-ES" w:bidi="es-ES"/>
      </w:rPr>
    </w:lvl>
    <w:lvl w:ilvl="3">
      <w:start w:val="0"/>
      <w:numFmt w:val="bullet"/>
      <w:lvlText w:val="•"/>
      <w:lvlJc w:val="left"/>
      <w:pPr>
        <w:ind w:left="3867" w:hanging="351"/>
      </w:pPr>
      <w:rPr>
        <w:rFonts w:hint="default"/>
        <w:lang w:val="es-ES" w:eastAsia="es-ES" w:bidi="es-ES"/>
      </w:rPr>
    </w:lvl>
    <w:lvl w:ilvl="4">
      <w:start w:val="0"/>
      <w:numFmt w:val="bullet"/>
      <w:lvlText w:val="•"/>
      <w:lvlJc w:val="left"/>
      <w:pPr>
        <w:ind w:left="4921" w:hanging="351"/>
      </w:pPr>
      <w:rPr>
        <w:rFonts w:hint="default"/>
        <w:lang w:val="es-ES" w:eastAsia="es-ES" w:bidi="es-ES"/>
      </w:rPr>
    </w:lvl>
    <w:lvl w:ilvl="5">
      <w:start w:val="0"/>
      <w:numFmt w:val="bullet"/>
      <w:lvlText w:val="•"/>
      <w:lvlJc w:val="left"/>
      <w:pPr>
        <w:ind w:left="5975" w:hanging="351"/>
      </w:pPr>
      <w:rPr>
        <w:rFonts w:hint="default"/>
        <w:lang w:val="es-ES" w:eastAsia="es-ES" w:bidi="es-ES"/>
      </w:rPr>
    </w:lvl>
    <w:lvl w:ilvl="6">
      <w:start w:val="0"/>
      <w:numFmt w:val="bullet"/>
      <w:lvlText w:val="•"/>
      <w:lvlJc w:val="left"/>
      <w:pPr>
        <w:ind w:left="7028" w:hanging="351"/>
      </w:pPr>
      <w:rPr>
        <w:rFonts w:hint="default"/>
        <w:lang w:val="es-ES" w:eastAsia="es-ES" w:bidi="es-ES"/>
      </w:rPr>
    </w:lvl>
    <w:lvl w:ilvl="7">
      <w:start w:val="0"/>
      <w:numFmt w:val="bullet"/>
      <w:lvlText w:val="•"/>
      <w:lvlJc w:val="left"/>
      <w:pPr>
        <w:ind w:left="8082" w:hanging="351"/>
      </w:pPr>
      <w:rPr>
        <w:rFonts w:hint="default"/>
        <w:lang w:val="es-ES" w:eastAsia="es-ES" w:bidi="es-ES"/>
      </w:rPr>
    </w:lvl>
    <w:lvl w:ilvl="8">
      <w:start w:val="0"/>
      <w:numFmt w:val="bullet"/>
      <w:lvlText w:val="•"/>
      <w:lvlJc w:val="left"/>
      <w:pPr>
        <w:ind w:left="9136" w:hanging="351"/>
      </w:pPr>
      <w:rPr>
        <w:rFonts w:hint="default"/>
        <w:lang w:val="es-ES" w:eastAsia="es-ES" w:bidi="es-ES"/>
      </w:rPr>
    </w:lvl>
  </w:abstractNum>
  <w:abstractNum w:abstractNumId="5">
    <w:multiLevelType w:val="hybridMultilevel"/>
    <w:lvl w:ilvl="0">
      <w:start w:val="3"/>
      <w:numFmt w:val="decimal"/>
      <w:lvlText w:val="%1"/>
      <w:lvlJc w:val="left"/>
      <w:pPr>
        <w:ind w:left="1395" w:hanging="356"/>
        <w:jc w:val="left"/>
      </w:pPr>
      <w:rPr>
        <w:rFonts w:hint="default"/>
        <w:lang w:val="es-ES" w:eastAsia="es-ES" w:bidi="es-ES"/>
      </w:rPr>
    </w:lvl>
    <w:lvl w:ilvl="1">
      <w:start w:val="5"/>
      <w:numFmt w:val="decimal"/>
      <w:lvlText w:val="%1.%2"/>
      <w:lvlJc w:val="left"/>
      <w:pPr>
        <w:ind w:left="1395" w:hanging="356"/>
        <w:jc w:val="left"/>
      </w:pPr>
      <w:rPr>
        <w:rFonts w:hint="default" w:ascii="Calibri" w:hAnsi="Calibri" w:eastAsia="Calibri" w:cs="Calibri"/>
        <w:b/>
        <w:bCs/>
        <w:spacing w:val="-2"/>
        <w:w w:val="100"/>
        <w:sz w:val="24"/>
        <w:szCs w:val="24"/>
        <w:lang w:val="es-ES" w:eastAsia="es-ES" w:bidi="es-ES"/>
      </w:rPr>
    </w:lvl>
    <w:lvl w:ilvl="2">
      <w:start w:val="0"/>
      <w:numFmt w:val="bullet"/>
      <w:lvlText w:val="•"/>
      <w:lvlJc w:val="left"/>
      <w:pPr>
        <w:ind w:left="3368" w:hanging="356"/>
      </w:pPr>
      <w:rPr>
        <w:rFonts w:hint="default"/>
        <w:lang w:val="es-ES" w:eastAsia="es-ES" w:bidi="es-ES"/>
      </w:rPr>
    </w:lvl>
    <w:lvl w:ilvl="3">
      <w:start w:val="0"/>
      <w:numFmt w:val="bullet"/>
      <w:lvlText w:val="•"/>
      <w:lvlJc w:val="left"/>
      <w:pPr>
        <w:ind w:left="4353" w:hanging="356"/>
      </w:pPr>
      <w:rPr>
        <w:rFonts w:hint="default"/>
        <w:lang w:val="es-ES" w:eastAsia="es-ES" w:bidi="es-ES"/>
      </w:rPr>
    </w:lvl>
    <w:lvl w:ilvl="4">
      <w:start w:val="0"/>
      <w:numFmt w:val="bullet"/>
      <w:lvlText w:val="•"/>
      <w:lvlJc w:val="left"/>
      <w:pPr>
        <w:ind w:left="5337" w:hanging="356"/>
      </w:pPr>
      <w:rPr>
        <w:rFonts w:hint="default"/>
        <w:lang w:val="es-ES" w:eastAsia="es-ES" w:bidi="es-ES"/>
      </w:rPr>
    </w:lvl>
    <w:lvl w:ilvl="5">
      <w:start w:val="0"/>
      <w:numFmt w:val="bullet"/>
      <w:lvlText w:val="•"/>
      <w:lvlJc w:val="left"/>
      <w:pPr>
        <w:ind w:left="6322" w:hanging="356"/>
      </w:pPr>
      <w:rPr>
        <w:rFonts w:hint="default"/>
        <w:lang w:val="es-ES" w:eastAsia="es-ES" w:bidi="es-ES"/>
      </w:rPr>
    </w:lvl>
    <w:lvl w:ilvl="6">
      <w:start w:val="0"/>
      <w:numFmt w:val="bullet"/>
      <w:lvlText w:val="•"/>
      <w:lvlJc w:val="left"/>
      <w:pPr>
        <w:ind w:left="7306" w:hanging="356"/>
      </w:pPr>
      <w:rPr>
        <w:rFonts w:hint="default"/>
        <w:lang w:val="es-ES" w:eastAsia="es-ES" w:bidi="es-ES"/>
      </w:rPr>
    </w:lvl>
    <w:lvl w:ilvl="7">
      <w:start w:val="0"/>
      <w:numFmt w:val="bullet"/>
      <w:lvlText w:val="•"/>
      <w:lvlJc w:val="left"/>
      <w:pPr>
        <w:ind w:left="8290" w:hanging="356"/>
      </w:pPr>
      <w:rPr>
        <w:rFonts w:hint="default"/>
        <w:lang w:val="es-ES" w:eastAsia="es-ES" w:bidi="es-ES"/>
      </w:rPr>
    </w:lvl>
    <w:lvl w:ilvl="8">
      <w:start w:val="0"/>
      <w:numFmt w:val="bullet"/>
      <w:lvlText w:val="•"/>
      <w:lvlJc w:val="left"/>
      <w:pPr>
        <w:ind w:left="9275" w:hanging="356"/>
      </w:pPr>
      <w:rPr>
        <w:rFonts w:hint="default"/>
        <w:lang w:val="es-ES" w:eastAsia="es-ES" w:bidi="es-ES"/>
      </w:rPr>
    </w:lvl>
  </w:abstractNum>
  <w:abstractNum w:abstractNumId="4">
    <w:multiLevelType w:val="hybridMultilevel"/>
    <w:lvl w:ilvl="0">
      <w:start w:val="3"/>
      <w:numFmt w:val="decimal"/>
      <w:lvlText w:val="%1"/>
      <w:lvlJc w:val="left"/>
      <w:pPr>
        <w:ind w:left="1400" w:hanging="361"/>
        <w:jc w:val="left"/>
      </w:pPr>
      <w:rPr>
        <w:rFonts w:hint="default"/>
        <w:lang w:val="es-ES" w:eastAsia="es-ES" w:bidi="es-ES"/>
      </w:rPr>
    </w:lvl>
    <w:lvl w:ilvl="1">
      <w:start w:val="1"/>
      <w:numFmt w:val="decimal"/>
      <w:lvlText w:val="%1.%2"/>
      <w:lvlJc w:val="left"/>
      <w:pPr>
        <w:ind w:left="1400" w:hanging="361"/>
        <w:jc w:val="left"/>
      </w:pPr>
      <w:rPr>
        <w:rFonts w:hint="default" w:ascii="Calibri" w:hAnsi="Calibri" w:eastAsia="Calibri" w:cs="Calibri"/>
        <w:b/>
        <w:bCs/>
        <w:spacing w:val="-2"/>
        <w:w w:val="100"/>
        <w:sz w:val="24"/>
        <w:szCs w:val="24"/>
        <w:lang w:val="es-ES" w:eastAsia="es-ES" w:bidi="es-ES"/>
      </w:rPr>
    </w:lvl>
    <w:lvl w:ilvl="2">
      <w:start w:val="0"/>
      <w:numFmt w:val="bullet"/>
      <w:lvlText w:val="•"/>
      <w:lvlJc w:val="left"/>
      <w:pPr>
        <w:ind w:left="3368" w:hanging="361"/>
      </w:pPr>
      <w:rPr>
        <w:rFonts w:hint="default"/>
        <w:lang w:val="es-ES" w:eastAsia="es-ES" w:bidi="es-ES"/>
      </w:rPr>
    </w:lvl>
    <w:lvl w:ilvl="3">
      <w:start w:val="0"/>
      <w:numFmt w:val="bullet"/>
      <w:lvlText w:val="•"/>
      <w:lvlJc w:val="left"/>
      <w:pPr>
        <w:ind w:left="4353" w:hanging="361"/>
      </w:pPr>
      <w:rPr>
        <w:rFonts w:hint="default"/>
        <w:lang w:val="es-ES" w:eastAsia="es-ES" w:bidi="es-ES"/>
      </w:rPr>
    </w:lvl>
    <w:lvl w:ilvl="4">
      <w:start w:val="0"/>
      <w:numFmt w:val="bullet"/>
      <w:lvlText w:val="•"/>
      <w:lvlJc w:val="left"/>
      <w:pPr>
        <w:ind w:left="5337" w:hanging="361"/>
      </w:pPr>
      <w:rPr>
        <w:rFonts w:hint="default"/>
        <w:lang w:val="es-ES" w:eastAsia="es-ES" w:bidi="es-ES"/>
      </w:rPr>
    </w:lvl>
    <w:lvl w:ilvl="5">
      <w:start w:val="0"/>
      <w:numFmt w:val="bullet"/>
      <w:lvlText w:val="•"/>
      <w:lvlJc w:val="left"/>
      <w:pPr>
        <w:ind w:left="6322" w:hanging="361"/>
      </w:pPr>
      <w:rPr>
        <w:rFonts w:hint="default"/>
        <w:lang w:val="es-ES" w:eastAsia="es-ES" w:bidi="es-ES"/>
      </w:rPr>
    </w:lvl>
    <w:lvl w:ilvl="6">
      <w:start w:val="0"/>
      <w:numFmt w:val="bullet"/>
      <w:lvlText w:val="•"/>
      <w:lvlJc w:val="left"/>
      <w:pPr>
        <w:ind w:left="7306" w:hanging="361"/>
      </w:pPr>
      <w:rPr>
        <w:rFonts w:hint="default"/>
        <w:lang w:val="es-ES" w:eastAsia="es-ES" w:bidi="es-ES"/>
      </w:rPr>
    </w:lvl>
    <w:lvl w:ilvl="7">
      <w:start w:val="0"/>
      <w:numFmt w:val="bullet"/>
      <w:lvlText w:val="•"/>
      <w:lvlJc w:val="left"/>
      <w:pPr>
        <w:ind w:left="8290" w:hanging="361"/>
      </w:pPr>
      <w:rPr>
        <w:rFonts w:hint="default"/>
        <w:lang w:val="es-ES" w:eastAsia="es-ES" w:bidi="es-ES"/>
      </w:rPr>
    </w:lvl>
    <w:lvl w:ilvl="8">
      <w:start w:val="0"/>
      <w:numFmt w:val="bullet"/>
      <w:lvlText w:val="•"/>
      <w:lvlJc w:val="left"/>
      <w:pPr>
        <w:ind w:left="9275" w:hanging="361"/>
      </w:pPr>
      <w:rPr>
        <w:rFonts w:hint="default"/>
        <w:lang w:val="es-ES" w:eastAsia="es-ES" w:bidi="es-ES"/>
      </w:rPr>
    </w:lvl>
  </w:abstractNum>
  <w:abstractNum w:abstractNumId="3">
    <w:multiLevelType w:val="hybridMultilevel"/>
    <w:lvl w:ilvl="0">
      <w:start w:val="0"/>
      <w:numFmt w:val="bullet"/>
      <w:lvlText w:val=""/>
      <w:lvlJc w:val="left"/>
      <w:pPr>
        <w:ind w:left="1760" w:hanging="346"/>
      </w:pPr>
      <w:rPr>
        <w:rFonts w:hint="default" w:ascii="Wingdings" w:hAnsi="Wingdings" w:eastAsia="Wingdings" w:cs="Wingdings"/>
        <w:w w:val="100"/>
        <w:sz w:val="24"/>
        <w:szCs w:val="24"/>
        <w:lang w:val="es-ES" w:eastAsia="es-ES" w:bidi="es-ES"/>
      </w:rPr>
    </w:lvl>
    <w:lvl w:ilvl="1">
      <w:start w:val="0"/>
      <w:numFmt w:val="bullet"/>
      <w:lvlText w:val="•"/>
      <w:lvlJc w:val="left"/>
      <w:pPr>
        <w:ind w:left="2708" w:hanging="346"/>
      </w:pPr>
      <w:rPr>
        <w:rFonts w:hint="default"/>
        <w:lang w:val="es-ES" w:eastAsia="es-ES" w:bidi="es-ES"/>
      </w:rPr>
    </w:lvl>
    <w:lvl w:ilvl="2">
      <w:start w:val="0"/>
      <w:numFmt w:val="bullet"/>
      <w:lvlText w:val="•"/>
      <w:lvlJc w:val="left"/>
      <w:pPr>
        <w:ind w:left="3656" w:hanging="346"/>
      </w:pPr>
      <w:rPr>
        <w:rFonts w:hint="default"/>
        <w:lang w:val="es-ES" w:eastAsia="es-ES" w:bidi="es-ES"/>
      </w:rPr>
    </w:lvl>
    <w:lvl w:ilvl="3">
      <w:start w:val="0"/>
      <w:numFmt w:val="bullet"/>
      <w:lvlText w:val="•"/>
      <w:lvlJc w:val="left"/>
      <w:pPr>
        <w:ind w:left="4605" w:hanging="346"/>
      </w:pPr>
      <w:rPr>
        <w:rFonts w:hint="default"/>
        <w:lang w:val="es-ES" w:eastAsia="es-ES" w:bidi="es-ES"/>
      </w:rPr>
    </w:lvl>
    <w:lvl w:ilvl="4">
      <w:start w:val="0"/>
      <w:numFmt w:val="bullet"/>
      <w:lvlText w:val="•"/>
      <w:lvlJc w:val="left"/>
      <w:pPr>
        <w:ind w:left="5553" w:hanging="346"/>
      </w:pPr>
      <w:rPr>
        <w:rFonts w:hint="default"/>
        <w:lang w:val="es-ES" w:eastAsia="es-ES" w:bidi="es-ES"/>
      </w:rPr>
    </w:lvl>
    <w:lvl w:ilvl="5">
      <w:start w:val="0"/>
      <w:numFmt w:val="bullet"/>
      <w:lvlText w:val="•"/>
      <w:lvlJc w:val="left"/>
      <w:pPr>
        <w:ind w:left="6502" w:hanging="346"/>
      </w:pPr>
      <w:rPr>
        <w:rFonts w:hint="default"/>
        <w:lang w:val="es-ES" w:eastAsia="es-ES" w:bidi="es-ES"/>
      </w:rPr>
    </w:lvl>
    <w:lvl w:ilvl="6">
      <w:start w:val="0"/>
      <w:numFmt w:val="bullet"/>
      <w:lvlText w:val="•"/>
      <w:lvlJc w:val="left"/>
      <w:pPr>
        <w:ind w:left="7450" w:hanging="346"/>
      </w:pPr>
      <w:rPr>
        <w:rFonts w:hint="default"/>
        <w:lang w:val="es-ES" w:eastAsia="es-ES" w:bidi="es-ES"/>
      </w:rPr>
    </w:lvl>
    <w:lvl w:ilvl="7">
      <w:start w:val="0"/>
      <w:numFmt w:val="bullet"/>
      <w:lvlText w:val="•"/>
      <w:lvlJc w:val="left"/>
      <w:pPr>
        <w:ind w:left="8398" w:hanging="346"/>
      </w:pPr>
      <w:rPr>
        <w:rFonts w:hint="default"/>
        <w:lang w:val="es-ES" w:eastAsia="es-ES" w:bidi="es-ES"/>
      </w:rPr>
    </w:lvl>
    <w:lvl w:ilvl="8">
      <w:start w:val="0"/>
      <w:numFmt w:val="bullet"/>
      <w:lvlText w:val="•"/>
      <w:lvlJc w:val="left"/>
      <w:pPr>
        <w:ind w:left="9347" w:hanging="346"/>
      </w:pPr>
      <w:rPr>
        <w:rFonts w:hint="default"/>
        <w:lang w:val="es-ES" w:eastAsia="es-ES" w:bidi="es-ES"/>
      </w:rPr>
    </w:lvl>
  </w:abstractNum>
  <w:abstractNum w:abstractNumId="2">
    <w:multiLevelType w:val="hybridMultilevel"/>
    <w:lvl w:ilvl="0">
      <w:start w:val="1"/>
      <w:numFmt w:val="decimal"/>
      <w:lvlText w:val="%1)"/>
      <w:lvlJc w:val="left"/>
      <w:pPr>
        <w:ind w:left="1328" w:hanging="289"/>
        <w:jc w:val="left"/>
      </w:pPr>
      <w:rPr>
        <w:rFonts w:hint="default"/>
        <w:spacing w:val="-2"/>
        <w:w w:val="99"/>
        <w:lang w:val="es-ES" w:eastAsia="es-ES" w:bidi="es-ES"/>
      </w:rPr>
    </w:lvl>
    <w:lvl w:ilvl="1">
      <w:start w:val="0"/>
      <w:numFmt w:val="bullet"/>
      <w:lvlText w:val=""/>
      <w:lvlJc w:val="left"/>
      <w:pPr>
        <w:ind w:left="1760" w:hanging="346"/>
      </w:pPr>
      <w:rPr>
        <w:rFonts w:hint="default" w:ascii="Wingdings" w:hAnsi="Wingdings" w:eastAsia="Wingdings" w:cs="Wingdings"/>
        <w:w w:val="100"/>
        <w:sz w:val="24"/>
        <w:szCs w:val="24"/>
        <w:lang w:val="es-ES" w:eastAsia="es-ES" w:bidi="es-ES"/>
      </w:rPr>
    </w:lvl>
    <w:lvl w:ilvl="2">
      <w:start w:val="0"/>
      <w:numFmt w:val="bullet"/>
      <w:lvlText w:val="o"/>
      <w:lvlJc w:val="left"/>
      <w:pPr>
        <w:ind w:left="2480" w:hanging="337"/>
      </w:pPr>
      <w:rPr>
        <w:rFonts w:hint="default" w:ascii="Courier New" w:hAnsi="Courier New" w:eastAsia="Courier New" w:cs="Courier New"/>
        <w:w w:val="100"/>
        <w:sz w:val="24"/>
        <w:szCs w:val="24"/>
        <w:lang w:val="es-ES" w:eastAsia="es-ES" w:bidi="es-ES"/>
      </w:rPr>
    </w:lvl>
    <w:lvl w:ilvl="3">
      <w:start w:val="0"/>
      <w:numFmt w:val="bullet"/>
      <w:lvlText w:val="•"/>
      <w:lvlJc w:val="left"/>
      <w:pPr>
        <w:ind w:left="3575" w:hanging="337"/>
      </w:pPr>
      <w:rPr>
        <w:rFonts w:hint="default"/>
        <w:lang w:val="es-ES" w:eastAsia="es-ES" w:bidi="es-ES"/>
      </w:rPr>
    </w:lvl>
    <w:lvl w:ilvl="4">
      <w:start w:val="0"/>
      <w:numFmt w:val="bullet"/>
      <w:lvlText w:val="•"/>
      <w:lvlJc w:val="left"/>
      <w:pPr>
        <w:ind w:left="4671" w:hanging="337"/>
      </w:pPr>
      <w:rPr>
        <w:rFonts w:hint="default"/>
        <w:lang w:val="es-ES" w:eastAsia="es-ES" w:bidi="es-ES"/>
      </w:rPr>
    </w:lvl>
    <w:lvl w:ilvl="5">
      <w:start w:val="0"/>
      <w:numFmt w:val="bullet"/>
      <w:lvlText w:val="•"/>
      <w:lvlJc w:val="left"/>
      <w:pPr>
        <w:ind w:left="5766" w:hanging="337"/>
      </w:pPr>
      <w:rPr>
        <w:rFonts w:hint="default"/>
        <w:lang w:val="es-ES" w:eastAsia="es-ES" w:bidi="es-ES"/>
      </w:rPr>
    </w:lvl>
    <w:lvl w:ilvl="6">
      <w:start w:val="0"/>
      <w:numFmt w:val="bullet"/>
      <w:lvlText w:val="•"/>
      <w:lvlJc w:val="left"/>
      <w:pPr>
        <w:ind w:left="6862" w:hanging="337"/>
      </w:pPr>
      <w:rPr>
        <w:rFonts w:hint="default"/>
        <w:lang w:val="es-ES" w:eastAsia="es-ES" w:bidi="es-ES"/>
      </w:rPr>
    </w:lvl>
    <w:lvl w:ilvl="7">
      <w:start w:val="0"/>
      <w:numFmt w:val="bullet"/>
      <w:lvlText w:val="•"/>
      <w:lvlJc w:val="left"/>
      <w:pPr>
        <w:ind w:left="7957" w:hanging="337"/>
      </w:pPr>
      <w:rPr>
        <w:rFonts w:hint="default"/>
        <w:lang w:val="es-ES" w:eastAsia="es-ES" w:bidi="es-ES"/>
      </w:rPr>
    </w:lvl>
    <w:lvl w:ilvl="8">
      <w:start w:val="0"/>
      <w:numFmt w:val="bullet"/>
      <w:lvlText w:val="•"/>
      <w:lvlJc w:val="left"/>
      <w:pPr>
        <w:ind w:left="9053" w:hanging="337"/>
      </w:pPr>
      <w:rPr>
        <w:rFonts w:hint="default"/>
        <w:lang w:val="es-ES" w:eastAsia="es-ES" w:bidi="es-ES"/>
      </w:rPr>
    </w:lvl>
  </w:abstractNum>
  <w:abstractNum w:abstractNumId="1">
    <w:multiLevelType w:val="hybridMultilevel"/>
    <w:lvl w:ilvl="0">
      <w:start w:val="4"/>
      <w:numFmt w:val="decimal"/>
      <w:lvlText w:val="%1."/>
      <w:lvlJc w:val="left"/>
      <w:pPr>
        <w:ind w:left="1255" w:hanging="216"/>
        <w:jc w:val="left"/>
      </w:pPr>
      <w:rPr>
        <w:rFonts w:hint="default" w:ascii="Calibri" w:hAnsi="Calibri" w:eastAsia="Calibri" w:cs="Calibri"/>
        <w:spacing w:val="-2"/>
        <w:w w:val="100"/>
        <w:sz w:val="22"/>
        <w:szCs w:val="22"/>
        <w:lang w:val="es-ES" w:eastAsia="es-ES" w:bidi="es-ES"/>
      </w:rPr>
    </w:lvl>
    <w:lvl w:ilvl="1">
      <w:start w:val="1"/>
      <w:numFmt w:val="decimal"/>
      <w:lvlText w:val="%1.%2"/>
      <w:lvlJc w:val="left"/>
      <w:pPr>
        <w:ind w:left="1587" w:hanging="327"/>
        <w:jc w:val="left"/>
      </w:pPr>
      <w:rPr>
        <w:rFonts w:hint="default" w:ascii="Calibri" w:hAnsi="Calibri" w:eastAsia="Calibri" w:cs="Calibri"/>
        <w:spacing w:val="-2"/>
        <w:w w:val="100"/>
        <w:sz w:val="22"/>
        <w:szCs w:val="22"/>
        <w:lang w:val="es-ES" w:eastAsia="es-ES" w:bidi="es-ES"/>
      </w:rPr>
    </w:lvl>
    <w:lvl w:ilvl="2">
      <w:start w:val="0"/>
      <w:numFmt w:val="bullet"/>
      <w:lvlText w:val="•"/>
      <w:lvlJc w:val="left"/>
      <w:pPr>
        <w:ind w:left="2653" w:hanging="327"/>
      </w:pPr>
      <w:rPr>
        <w:rFonts w:hint="default"/>
        <w:lang w:val="es-ES" w:eastAsia="es-ES" w:bidi="es-ES"/>
      </w:rPr>
    </w:lvl>
    <w:lvl w:ilvl="3">
      <w:start w:val="0"/>
      <w:numFmt w:val="bullet"/>
      <w:lvlText w:val="•"/>
      <w:lvlJc w:val="left"/>
      <w:pPr>
        <w:ind w:left="3727" w:hanging="327"/>
      </w:pPr>
      <w:rPr>
        <w:rFonts w:hint="default"/>
        <w:lang w:val="es-ES" w:eastAsia="es-ES" w:bidi="es-ES"/>
      </w:rPr>
    </w:lvl>
    <w:lvl w:ilvl="4">
      <w:start w:val="0"/>
      <w:numFmt w:val="bullet"/>
      <w:lvlText w:val="•"/>
      <w:lvlJc w:val="left"/>
      <w:pPr>
        <w:ind w:left="4801" w:hanging="327"/>
      </w:pPr>
      <w:rPr>
        <w:rFonts w:hint="default"/>
        <w:lang w:val="es-ES" w:eastAsia="es-ES" w:bidi="es-ES"/>
      </w:rPr>
    </w:lvl>
    <w:lvl w:ilvl="5">
      <w:start w:val="0"/>
      <w:numFmt w:val="bullet"/>
      <w:lvlText w:val="•"/>
      <w:lvlJc w:val="left"/>
      <w:pPr>
        <w:ind w:left="5875" w:hanging="327"/>
      </w:pPr>
      <w:rPr>
        <w:rFonts w:hint="default"/>
        <w:lang w:val="es-ES" w:eastAsia="es-ES" w:bidi="es-ES"/>
      </w:rPr>
    </w:lvl>
    <w:lvl w:ilvl="6">
      <w:start w:val="0"/>
      <w:numFmt w:val="bullet"/>
      <w:lvlText w:val="•"/>
      <w:lvlJc w:val="left"/>
      <w:pPr>
        <w:ind w:left="6948" w:hanging="327"/>
      </w:pPr>
      <w:rPr>
        <w:rFonts w:hint="default"/>
        <w:lang w:val="es-ES" w:eastAsia="es-ES" w:bidi="es-ES"/>
      </w:rPr>
    </w:lvl>
    <w:lvl w:ilvl="7">
      <w:start w:val="0"/>
      <w:numFmt w:val="bullet"/>
      <w:lvlText w:val="•"/>
      <w:lvlJc w:val="left"/>
      <w:pPr>
        <w:ind w:left="8022" w:hanging="327"/>
      </w:pPr>
      <w:rPr>
        <w:rFonts w:hint="default"/>
        <w:lang w:val="es-ES" w:eastAsia="es-ES" w:bidi="es-ES"/>
      </w:rPr>
    </w:lvl>
    <w:lvl w:ilvl="8">
      <w:start w:val="0"/>
      <w:numFmt w:val="bullet"/>
      <w:lvlText w:val="•"/>
      <w:lvlJc w:val="left"/>
      <w:pPr>
        <w:ind w:left="9096" w:hanging="327"/>
      </w:pPr>
      <w:rPr>
        <w:rFonts w:hint="default"/>
        <w:lang w:val="es-ES" w:eastAsia="es-ES" w:bidi="es-ES"/>
      </w:rPr>
    </w:lvl>
  </w:abstractNum>
  <w:abstractNum w:abstractNumId="0">
    <w:multiLevelType w:val="hybridMultilevel"/>
    <w:lvl w:ilvl="0">
      <w:start w:val="1"/>
      <w:numFmt w:val="decimal"/>
      <w:lvlText w:val="%1)"/>
      <w:lvlJc w:val="left"/>
      <w:pPr>
        <w:ind w:left="1265" w:hanging="226"/>
        <w:jc w:val="left"/>
      </w:pPr>
      <w:rPr>
        <w:rFonts w:hint="default" w:ascii="Calibri" w:hAnsi="Calibri" w:eastAsia="Calibri" w:cs="Calibri"/>
        <w:spacing w:val="-2"/>
        <w:w w:val="100"/>
        <w:sz w:val="22"/>
        <w:szCs w:val="22"/>
        <w:lang w:val="es-ES" w:eastAsia="es-ES" w:bidi="es-ES"/>
      </w:rPr>
    </w:lvl>
    <w:lvl w:ilvl="1">
      <w:start w:val="1"/>
      <w:numFmt w:val="decimal"/>
      <w:lvlText w:val="%1.%2"/>
      <w:lvlJc w:val="left"/>
      <w:pPr>
        <w:ind w:left="1587" w:hanging="327"/>
        <w:jc w:val="left"/>
      </w:pPr>
      <w:rPr>
        <w:rFonts w:hint="default" w:ascii="Calibri" w:hAnsi="Calibri" w:eastAsia="Calibri" w:cs="Calibri"/>
        <w:spacing w:val="-2"/>
        <w:w w:val="100"/>
        <w:sz w:val="22"/>
        <w:szCs w:val="22"/>
        <w:lang w:val="es-ES" w:eastAsia="es-ES" w:bidi="es-ES"/>
      </w:rPr>
    </w:lvl>
    <w:lvl w:ilvl="2">
      <w:start w:val="0"/>
      <w:numFmt w:val="bullet"/>
      <w:lvlText w:val="•"/>
      <w:lvlJc w:val="left"/>
      <w:pPr>
        <w:ind w:left="2653" w:hanging="327"/>
      </w:pPr>
      <w:rPr>
        <w:rFonts w:hint="default"/>
        <w:lang w:val="es-ES" w:eastAsia="es-ES" w:bidi="es-ES"/>
      </w:rPr>
    </w:lvl>
    <w:lvl w:ilvl="3">
      <w:start w:val="0"/>
      <w:numFmt w:val="bullet"/>
      <w:lvlText w:val="•"/>
      <w:lvlJc w:val="left"/>
      <w:pPr>
        <w:ind w:left="3727" w:hanging="327"/>
      </w:pPr>
      <w:rPr>
        <w:rFonts w:hint="default"/>
        <w:lang w:val="es-ES" w:eastAsia="es-ES" w:bidi="es-ES"/>
      </w:rPr>
    </w:lvl>
    <w:lvl w:ilvl="4">
      <w:start w:val="0"/>
      <w:numFmt w:val="bullet"/>
      <w:lvlText w:val="•"/>
      <w:lvlJc w:val="left"/>
      <w:pPr>
        <w:ind w:left="4801" w:hanging="327"/>
      </w:pPr>
      <w:rPr>
        <w:rFonts w:hint="default"/>
        <w:lang w:val="es-ES" w:eastAsia="es-ES" w:bidi="es-ES"/>
      </w:rPr>
    </w:lvl>
    <w:lvl w:ilvl="5">
      <w:start w:val="0"/>
      <w:numFmt w:val="bullet"/>
      <w:lvlText w:val="•"/>
      <w:lvlJc w:val="left"/>
      <w:pPr>
        <w:ind w:left="5875" w:hanging="327"/>
      </w:pPr>
      <w:rPr>
        <w:rFonts w:hint="default"/>
        <w:lang w:val="es-ES" w:eastAsia="es-ES" w:bidi="es-ES"/>
      </w:rPr>
    </w:lvl>
    <w:lvl w:ilvl="6">
      <w:start w:val="0"/>
      <w:numFmt w:val="bullet"/>
      <w:lvlText w:val="•"/>
      <w:lvlJc w:val="left"/>
      <w:pPr>
        <w:ind w:left="6948" w:hanging="327"/>
      </w:pPr>
      <w:rPr>
        <w:rFonts w:hint="default"/>
        <w:lang w:val="es-ES" w:eastAsia="es-ES" w:bidi="es-ES"/>
      </w:rPr>
    </w:lvl>
    <w:lvl w:ilvl="7">
      <w:start w:val="0"/>
      <w:numFmt w:val="bullet"/>
      <w:lvlText w:val="•"/>
      <w:lvlJc w:val="left"/>
      <w:pPr>
        <w:ind w:left="8022" w:hanging="327"/>
      </w:pPr>
      <w:rPr>
        <w:rFonts w:hint="default"/>
        <w:lang w:val="es-ES" w:eastAsia="es-ES" w:bidi="es-ES"/>
      </w:rPr>
    </w:lvl>
    <w:lvl w:ilvl="8">
      <w:start w:val="0"/>
      <w:numFmt w:val="bullet"/>
      <w:lvlText w:val="•"/>
      <w:lvlJc w:val="left"/>
      <w:pPr>
        <w:ind w:left="9096" w:hanging="327"/>
      </w:pPr>
      <w:rPr>
        <w:rFonts w:hint="default"/>
        <w:lang w:val="es-ES" w:eastAsia="es-ES" w:bidi="es-ES"/>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s-ES" w:eastAsia="es-ES" w:bidi="es-ES"/>
    </w:rPr>
  </w:style>
  <w:style w:styleId="TOC1" w:type="paragraph">
    <w:name w:val="TOC 1"/>
    <w:basedOn w:val="Normal"/>
    <w:uiPriority w:val="1"/>
    <w:qFormat/>
    <w:pPr>
      <w:spacing w:before="240"/>
      <w:ind w:left="1587" w:right="1703" w:hanging="1588"/>
      <w:jc w:val="right"/>
    </w:pPr>
    <w:rPr>
      <w:rFonts w:ascii="Calibri" w:hAnsi="Calibri" w:eastAsia="Calibri" w:cs="Calibri"/>
      <w:sz w:val="22"/>
      <w:szCs w:val="22"/>
      <w:lang w:val="es-ES" w:eastAsia="es-ES" w:bidi="es-ES"/>
    </w:rPr>
  </w:style>
  <w:style w:styleId="TOC2" w:type="paragraph">
    <w:name w:val="TOC 2"/>
    <w:basedOn w:val="Normal"/>
    <w:uiPriority w:val="1"/>
    <w:qFormat/>
    <w:pPr>
      <w:spacing w:before="240"/>
      <w:ind w:right="1703"/>
      <w:jc w:val="right"/>
    </w:pPr>
    <w:rPr>
      <w:rFonts w:ascii="Calibri" w:hAnsi="Calibri" w:eastAsia="Calibri" w:cs="Calibri"/>
      <w:b/>
      <w:bCs/>
      <w:i/>
      <w:lang w:val="es-ES" w:eastAsia="es-ES" w:bidi="es-ES"/>
    </w:rPr>
  </w:style>
  <w:style w:styleId="BodyText" w:type="paragraph">
    <w:name w:val="Body Text"/>
    <w:basedOn w:val="Normal"/>
    <w:uiPriority w:val="1"/>
    <w:qFormat/>
    <w:pPr/>
    <w:rPr>
      <w:rFonts w:ascii="Calibri" w:hAnsi="Calibri" w:eastAsia="Calibri" w:cs="Calibri"/>
      <w:sz w:val="24"/>
      <w:szCs w:val="24"/>
      <w:lang w:val="es-ES" w:eastAsia="es-ES" w:bidi="es-ES"/>
    </w:rPr>
  </w:style>
  <w:style w:styleId="Heading1" w:type="paragraph">
    <w:name w:val="Heading 1"/>
    <w:basedOn w:val="Normal"/>
    <w:uiPriority w:val="1"/>
    <w:qFormat/>
    <w:pPr>
      <w:spacing w:before="42"/>
      <w:ind w:left="1328" w:hanging="290"/>
      <w:outlineLvl w:val="1"/>
    </w:pPr>
    <w:rPr>
      <w:rFonts w:ascii="Calibri" w:hAnsi="Calibri" w:eastAsia="Calibri" w:cs="Calibri"/>
      <w:b/>
      <w:bCs/>
      <w:sz w:val="28"/>
      <w:szCs w:val="28"/>
      <w:lang w:val="es-ES" w:eastAsia="es-ES" w:bidi="es-ES"/>
    </w:rPr>
  </w:style>
  <w:style w:styleId="Heading2" w:type="paragraph">
    <w:name w:val="Heading 2"/>
    <w:basedOn w:val="Normal"/>
    <w:uiPriority w:val="1"/>
    <w:qFormat/>
    <w:pPr>
      <w:ind w:left="2542"/>
      <w:jc w:val="both"/>
      <w:outlineLvl w:val="2"/>
    </w:pPr>
    <w:rPr>
      <w:rFonts w:ascii="Calibri" w:hAnsi="Calibri" w:eastAsia="Calibri" w:cs="Calibri"/>
      <w:b/>
      <w:bCs/>
      <w:sz w:val="24"/>
      <w:szCs w:val="24"/>
      <w:lang w:val="es-ES" w:eastAsia="es-ES" w:bidi="es-ES"/>
    </w:rPr>
  </w:style>
  <w:style w:styleId="ListParagraph" w:type="paragraph">
    <w:name w:val="List Paragraph"/>
    <w:basedOn w:val="Normal"/>
    <w:uiPriority w:val="1"/>
    <w:qFormat/>
    <w:pPr>
      <w:ind w:left="1760" w:hanging="360"/>
      <w:jc w:val="both"/>
    </w:pPr>
    <w:rPr>
      <w:rFonts w:ascii="Calibri" w:hAnsi="Calibri" w:eastAsia="Calibri" w:cs="Calibri"/>
      <w:lang w:val="es-ES" w:eastAsia="es-ES" w:bidi="es-ES"/>
    </w:rPr>
  </w:style>
  <w:style w:styleId="TableParagraph" w:type="paragraph">
    <w:name w:val="Table Paragraph"/>
    <w:basedOn w:val="Normal"/>
    <w:uiPriority w:val="1"/>
    <w:qFormat/>
    <w:pPr/>
    <w:rPr>
      <w:rFonts w:ascii="Calibri" w:hAnsi="Calibri" w:eastAsia="Calibri" w:cs="Calibri"/>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yperlink" Target="http://www.minfin.gob.gt/index.php/proyecto-de-presupuesto" TargetMode="External"/><Relationship Id="rId10" Type="http://schemas.openxmlformats.org/officeDocument/2006/relationships/image" Target="media/image3.png"/><Relationship Id="rId11" Type="http://schemas.openxmlformats.org/officeDocument/2006/relationships/hyperlink" Target="https://presupuestoabierto.minfin.gob.gt/" TargetMode="External"/><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image" Target="media/image65.png"/><Relationship Id="rId74" Type="http://schemas.openxmlformats.org/officeDocument/2006/relationships/image" Target="media/image66.png"/><Relationship Id="rId75" Type="http://schemas.openxmlformats.org/officeDocument/2006/relationships/image" Target="media/image67.png"/><Relationship Id="rId76" Type="http://schemas.openxmlformats.org/officeDocument/2006/relationships/image" Target="media/image68.png"/><Relationship Id="rId77" Type="http://schemas.openxmlformats.org/officeDocument/2006/relationships/image" Target="media/image69.png"/><Relationship Id="rId78" Type="http://schemas.openxmlformats.org/officeDocument/2006/relationships/image" Target="media/image70.png"/><Relationship Id="rId79" Type="http://schemas.openxmlformats.org/officeDocument/2006/relationships/image" Target="media/image71.png"/><Relationship Id="rId80" Type="http://schemas.openxmlformats.org/officeDocument/2006/relationships/image" Target="media/image72.png"/><Relationship Id="rId81" Type="http://schemas.openxmlformats.org/officeDocument/2006/relationships/image" Target="media/image73.png"/><Relationship Id="rId82" Type="http://schemas.openxmlformats.org/officeDocument/2006/relationships/image" Target="media/image74.png"/><Relationship Id="rId83" Type="http://schemas.openxmlformats.org/officeDocument/2006/relationships/image" Target="media/image75.png"/><Relationship Id="rId84" Type="http://schemas.openxmlformats.org/officeDocument/2006/relationships/image" Target="media/image76.png"/><Relationship Id="rId85" Type="http://schemas.openxmlformats.org/officeDocument/2006/relationships/image" Target="media/image77.png"/><Relationship Id="rId86" Type="http://schemas.openxmlformats.org/officeDocument/2006/relationships/image" Target="media/image78.png"/><Relationship Id="rId87" Type="http://schemas.openxmlformats.org/officeDocument/2006/relationships/image" Target="media/image79.png"/><Relationship Id="rId88" Type="http://schemas.openxmlformats.org/officeDocument/2006/relationships/image" Target="media/image80.png"/><Relationship Id="rId89" Type="http://schemas.openxmlformats.org/officeDocument/2006/relationships/image" Target="media/image81.png"/><Relationship Id="rId90" Type="http://schemas.openxmlformats.org/officeDocument/2006/relationships/image" Target="media/image82.png"/><Relationship Id="rId91" Type="http://schemas.openxmlformats.org/officeDocument/2006/relationships/image" Target="media/image83.png"/><Relationship Id="rId92" Type="http://schemas.openxmlformats.org/officeDocument/2006/relationships/image" Target="media/image84.png"/><Relationship Id="rId93" Type="http://schemas.openxmlformats.org/officeDocument/2006/relationships/image" Target="media/image85.png"/><Relationship Id="rId94" Type="http://schemas.openxmlformats.org/officeDocument/2006/relationships/image" Target="media/image86.png"/><Relationship Id="rId95" Type="http://schemas.openxmlformats.org/officeDocument/2006/relationships/image" Target="media/image87.png"/><Relationship Id="rId96" Type="http://schemas.openxmlformats.org/officeDocument/2006/relationships/image" Target="media/image88.png"/><Relationship Id="rId97" Type="http://schemas.openxmlformats.org/officeDocument/2006/relationships/image" Target="media/image89.png"/><Relationship Id="rId98" Type="http://schemas.openxmlformats.org/officeDocument/2006/relationships/image" Target="media/image90.png"/><Relationship Id="rId99" Type="http://schemas.openxmlformats.org/officeDocument/2006/relationships/image" Target="media/image91.png"/><Relationship Id="rId100" Type="http://schemas.openxmlformats.org/officeDocument/2006/relationships/image" Target="media/image92.png"/><Relationship Id="rId101" Type="http://schemas.openxmlformats.org/officeDocument/2006/relationships/image" Target="media/image93.png"/><Relationship Id="rId102" Type="http://schemas.openxmlformats.org/officeDocument/2006/relationships/image" Target="media/image94.png"/><Relationship Id="rId103" Type="http://schemas.openxmlformats.org/officeDocument/2006/relationships/image" Target="media/image95.png"/><Relationship Id="rId104" Type="http://schemas.openxmlformats.org/officeDocument/2006/relationships/image" Target="media/image96.png"/><Relationship Id="rId105" Type="http://schemas.openxmlformats.org/officeDocument/2006/relationships/image" Target="media/image97.png"/><Relationship Id="rId106" Type="http://schemas.openxmlformats.org/officeDocument/2006/relationships/image" Target="media/image98.png"/><Relationship Id="rId107" Type="http://schemas.openxmlformats.org/officeDocument/2006/relationships/image" Target="media/image99.png"/><Relationship Id="rId108" Type="http://schemas.openxmlformats.org/officeDocument/2006/relationships/image" Target="media/image100.png"/><Relationship Id="rId109" Type="http://schemas.openxmlformats.org/officeDocument/2006/relationships/image" Target="media/image101.png"/><Relationship Id="rId110" Type="http://schemas.openxmlformats.org/officeDocument/2006/relationships/image" Target="media/image102.png"/><Relationship Id="rId111" Type="http://schemas.openxmlformats.org/officeDocument/2006/relationships/image" Target="media/image103.png"/><Relationship Id="rId112" Type="http://schemas.openxmlformats.org/officeDocument/2006/relationships/image" Target="media/image104.png"/><Relationship Id="rId113" Type="http://schemas.openxmlformats.org/officeDocument/2006/relationships/image" Target="media/image105.png"/><Relationship Id="rId114" Type="http://schemas.openxmlformats.org/officeDocument/2006/relationships/image" Target="media/image106.png"/><Relationship Id="rId115" Type="http://schemas.openxmlformats.org/officeDocument/2006/relationships/image" Target="media/image107.png"/><Relationship Id="rId116" Type="http://schemas.openxmlformats.org/officeDocument/2006/relationships/image" Target="media/image108.png"/><Relationship Id="rId117" Type="http://schemas.openxmlformats.org/officeDocument/2006/relationships/image" Target="media/image109.png"/><Relationship Id="rId118" Type="http://schemas.openxmlformats.org/officeDocument/2006/relationships/image" Target="media/image110.png"/><Relationship Id="rId119" Type="http://schemas.openxmlformats.org/officeDocument/2006/relationships/image" Target="media/image111.png"/><Relationship Id="rId120" Type="http://schemas.openxmlformats.org/officeDocument/2006/relationships/image" Target="media/image112.png"/><Relationship Id="rId121" Type="http://schemas.openxmlformats.org/officeDocument/2006/relationships/image" Target="media/image113.png"/><Relationship Id="rId122" Type="http://schemas.openxmlformats.org/officeDocument/2006/relationships/image" Target="media/image114.png"/><Relationship Id="rId123" Type="http://schemas.openxmlformats.org/officeDocument/2006/relationships/image" Target="media/image115.png"/><Relationship Id="rId124" Type="http://schemas.openxmlformats.org/officeDocument/2006/relationships/image" Target="media/image116.png"/><Relationship Id="rId125" Type="http://schemas.openxmlformats.org/officeDocument/2006/relationships/image" Target="media/image117.png"/><Relationship Id="rId126" Type="http://schemas.openxmlformats.org/officeDocument/2006/relationships/image" Target="media/image118.png"/><Relationship Id="rId127" Type="http://schemas.openxmlformats.org/officeDocument/2006/relationships/image" Target="media/image119.png"/><Relationship Id="rId128" Type="http://schemas.openxmlformats.org/officeDocument/2006/relationships/image" Target="media/image120.jpeg"/><Relationship Id="rId129" Type="http://schemas.openxmlformats.org/officeDocument/2006/relationships/image" Target="media/image121.jpeg"/><Relationship Id="rId130" Type="http://schemas.openxmlformats.org/officeDocument/2006/relationships/image" Target="media/image122.jpeg"/><Relationship Id="rId131" Type="http://schemas.openxmlformats.org/officeDocument/2006/relationships/image" Target="media/image123.jpeg"/><Relationship Id="rId132" Type="http://schemas.openxmlformats.org/officeDocument/2006/relationships/image" Target="media/image124.jpeg"/><Relationship Id="rId133" Type="http://schemas.openxmlformats.org/officeDocument/2006/relationships/image" Target="media/image125.jpeg"/><Relationship Id="rId134" Type="http://schemas.openxmlformats.org/officeDocument/2006/relationships/image" Target="media/image126.png"/><Relationship Id="rId135" Type="http://schemas.openxmlformats.org/officeDocument/2006/relationships/image" Target="media/image127.png"/><Relationship Id="rId136" Type="http://schemas.openxmlformats.org/officeDocument/2006/relationships/image" Target="media/image128.png"/><Relationship Id="rId137"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transpfis08</dc:creator>
  <dc:title>Informe Preliminar</dc:title>
  <dcterms:created xsi:type="dcterms:W3CDTF">2020-07-31T21:44:08Z</dcterms:created>
  <dcterms:modified xsi:type="dcterms:W3CDTF">2020-07-31T21:44:08Z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2020-07-31T00:00:00Z</vt:filetime>
  </property>
  <property fmtid="{D5CDD505-2E9C-101B-9397-08002B2CF9AE}" pid="3" name="Creator">
    <vt:lpwstr>Microsoft® Word 2016</vt:lpwstr>
  </property>
  <property fmtid="{D5CDD505-2E9C-101B-9397-08002B2CF9AE}" pid="4" name="LastSaved">
    <vt:filetime>2020-07-31T00:00:00Z</vt:filetime>
  </property>
</Properties>
</file>