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5D" w:rsidRPr="00BF5471" w:rsidRDefault="00BF5471" w:rsidP="00BF5471">
      <w:pPr>
        <w:jc w:val="center"/>
        <w:rPr>
          <w:b/>
          <w:sz w:val="36"/>
          <w:szCs w:val="36"/>
          <w:lang w:val="es-GT"/>
        </w:rPr>
      </w:pPr>
      <w:r w:rsidRPr="00BF5471">
        <w:rPr>
          <w:b/>
          <w:sz w:val="36"/>
          <w:szCs w:val="36"/>
          <w:lang w:val="es-GT"/>
        </w:rPr>
        <w:t>Nota Técnica</w:t>
      </w:r>
    </w:p>
    <w:tbl>
      <w:tblPr>
        <w:tblStyle w:val="Sombreadoclaro-nfasis1"/>
        <w:tblW w:w="0" w:type="auto"/>
        <w:tblLook w:val="04A0" w:firstRow="1" w:lastRow="0" w:firstColumn="1" w:lastColumn="0" w:noHBand="0" w:noVBand="1"/>
      </w:tblPr>
      <w:tblGrid>
        <w:gridCol w:w="2376"/>
        <w:gridCol w:w="6268"/>
      </w:tblGrid>
      <w:tr w:rsidR="00BF5471" w:rsidTr="00661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61EE0" w:rsidRDefault="00661EE0" w:rsidP="00EC32C5">
            <w:pPr>
              <w:rPr>
                <w:color w:val="auto"/>
                <w:lang w:val="es-GT"/>
              </w:rPr>
            </w:pPr>
            <w:r>
              <w:rPr>
                <w:color w:val="auto"/>
                <w:lang w:val="es-GT"/>
              </w:rPr>
              <w:t>3er PAN</w:t>
            </w:r>
          </w:p>
          <w:p w:rsidR="00BF5471" w:rsidRPr="00661EE0" w:rsidRDefault="00453562" w:rsidP="00685574">
            <w:pPr>
              <w:rPr>
                <w:color w:val="auto"/>
                <w:lang w:val="es-GT"/>
              </w:rPr>
            </w:pPr>
            <w:r w:rsidRPr="00661EE0">
              <w:rPr>
                <w:color w:val="auto"/>
                <w:lang w:val="es-GT"/>
              </w:rPr>
              <w:t>Compromiso No. 1</w:t>
            </w:r>
            <w:r w:rsidR="00685574">
              <w:rPr>
                <w:color w:val="auto"/>
                <w:lang w:val="es-GT"/>
              </w:rPr>
              <w:t>7</w:t>
            </w:r>
          </w:p>
        </w:tc>
        <w:tc>
          <w:tcPr>
            <w:tcW w:w="6268" w:type="dxa"/>
          </w:tcPr>
          <w:p w:rsidR="00BF5471" w:rsidRPr="00661EE0" w:rsidRDefault="00453562" w:rsidP="002E4162">
            <w:pPr>
              <w:jc w:val="both"/>
              <w:cnfStyle w:val="100000000000" w:firstRow="1" w:lastRow="0" w:firstColumn="0" w:lastColumn="0" w:oddVBand="0" w:evenVBand="0" w:oddHBand="0" w:evenHBand="0" w:firstRowFirstColumn="0" w:firstRowLastColumn="0" w:lastRowFirstColumn="0" w:lastRowLastColumn="0"/>
              <w:rPr>
                <w:color w:val="auto"/>
                <w:lang w:val="es-GT"/>
              </w:rPr>
            </w:pPr>
            <w:r w:rsidRPr="00661EE0">
              <w:rPr>
                <w:color w:val="auto"/>
                <w:lang w:val="es-GT"/>
              </w:rPr>
              <w:t xml:space="preserve">Acciones para avanzar </w:t>
            </w:r>
            <w:r w:rsidR="00685574">
              <w:rPr>
                <w:color w:val="auto"/>
                <w:lang w:val="es-GT"/>
              </w:rPr>
              <w:t>en el cumplimiento del Código y Manual de Transparencia Fiscal del Fondo Monetario Internacional (FMI)</w:t>
            </w:r>
          </w:p>
        </w:tc>
      </w:tr>
      <w:tr w:rsidR="00BF5471" w:rsidTr="00661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F5471" w:rsidRPr="00661EE0" w:rsidRDefault="00453562" w:rsidP="00EC32C5">
            <w:pPr>
              <w:rPr>
                <w:color w:val="auto"/>
                <w:lang w:val="es-GT"/>
              </w:rPr>
            </w:pPr>
            <w:r w:rsidRPr="00661EE0">
              <w:rPr>
                <w:color w:val="auto"/>
                <w:lang w:val="es-GT"/>
              </w:rPr>
              <w:t xml:space="preserve">Meta No. </w:t>
            </w:r>
            <w:r w:rsidR="002E4162">
              <w:rPr>
                <w:color w:val="auto"/>
                <w:lang w:val="es-GT"/>
              </w:rPr>
              <w:t>3</w:t>
            </w:r>
          </w:p>
        </w:tc>
        <w:tc>
          <w:tcPr>
            <w:tcW w:w="6268" w:type="dxa"/>
          </w:tcPr>
          <w:p w:rsidR="00BF5471" w:rsidRPr="002E4162" w:rsidRDefault="002E4162" w:rsidP="002E4162">
            <w:pPr>
              <w:jc w:val="both"/>
              <w:cnfStyle w:val="000000100000" w:firstRow="0" w:lastRow="0" w:firstColumn="0" w:lastColumn="0" w:oddVBand="0" w:evenVBand="0" w:oddHBand="1" w:evenHBand="0" w:firstRowFirstColumn="0" w:firstRowLastColumn="0" w:lastRowFirstColumn="0" w:lastRowLastColumn="0"/>
              <w:rPr>
                <w:b/>
                <w:color w:val="auto"/>
                <w:lang w:val="es-GT"/>
              </w:rPr>
            </w:pPr>
            <w:r w:rsidRPr="002E4162">
              <w:rPr>
                <w:rFonts w:eastAsia="Times New Roman"/>
                <w:b/>
                <w:color w:val="000000"/>
                <w:szCs w:val="20"/>
              </w:rPr>
              <w:t>Promoción, divulgación e implementación de mecanismos para garantizar el uso de las guías elaboradas por el MINFIN para dar cumplimiento a los artículos 4, 17 Bis y 17 Ter del Decreto 101-97 del Congreso de la República, Ley Orgánica del Presupuesto, que establecen obligaciones específicas para favorecer la rendición de cuentas.</w:t>
            </w:r>
          </w:p>
        </w:tc>
      </w:tr>
      <w:tr w:rsidR="00B263CF" w:rsidTr="00661EE0">
        <w:tc>
          <w:tcPr>
            <w:cnfStyle w:val="001000000000" w:firstRow="0" w:lastRow="0" w:firstColumn="1" w:lastColumn="0" w:oddVBand="0" w:evenVBand="0" w:oddHBand="0" w:evenHBand="0" w:firstRowFirstColumn="0" w:firstRowLastColumn="0" w:lastRowFirstColumn="0" w:lastRowLastColumn="0"/>
            <w:tcW w:w="2376" w:type="dxa"/>
          </w:tcPr>
          <w:p w:rsidR="00B263CF" w:rsidRPr="00B263CF" w:rsidRDefault="00B263CF" w:rsidP="00EC32C5">
            <w:pPr>
              <w:rPr>
                <w:color w:val="auto"/>
                <w:lang w:val="es-GT"/>
              </w:rPr>
            </w:pPr>
            <w:r w:rsidRPr="00B263CF">
              <w:rPr>
                <w:color w:val="auto"/>
                <w:lang w:val="es-GT"/>
              </w:rPr>
              <w:t>Elaborada por:</w:t>
            </w:r>
          </w:p>
        </w:tc>
        <w:tc>
          <w:tcPr>
            <w:tcW w:w="6268" w:type="dxa"/>
          </w:tcPr>
          <w:p w:rsidR="00B263CF" w:rsidRPr="00B263CF" w:rsidRDefault="00B263CF">
            <w:pPr>
              <w:cnfStyle w:val="000000000000" w:firstRow="0" w:lastRow="0" w:firstColumn="0" w:lastColumn="0" w:oddVBand="0" w:evenVBand="0" w:oddHBand="0" w:evenHBand="0" w:firstRowFirstColumn="0" w:firstRowLastColumn="0" w:lastRowFirstColumn="0" w:lastRowLastColumn="0"/>
              <w:rPr>
                <w:b/>
                <w:color w:val="auto"/>
                <w:lang w:val="es-GT"/>
              </w:rPr>
            </w:pPr>
            <w:r w:rsidRPr="00B263CF">
              <w:rPr>
                <w:b/>
                <w:color w:val="auto"/>
                <w:lang w:val="es-GT"/>
              </w:rPr>
              <w:t>Dirección de Evaluación Fiscal, Ministerio de Finanzas Públicas</w:t>
            </w:r>
          </w:p>
        </w:tc>
      </w:tr>
    </w:tbl>
    <w:p w:rsidR="00BF5471" w:rsidRDefault="00BF5471">
      <w:pPr>
        <w:rPr>
          <w:lang w:val="es-GT"/>
        </w:rPr>
      </w:pPr>
    </w:p>
    <w:p w:rsidR="0061088B" w:rsidRPr="005B14D6" w:rsidRDefault="0061088B" w:rsidP="0061088B">
      <w:pPr>
        <w:rPr>
          <w:b/>
          <w:i/>
          <w:sz w:val="24"/>
          <w:szCs w:val="24"/>
          <w:lang w:val="es-GT"/>
        </w:rPr>
      </w:pPr>
      <w:r w:rsidRPr="005B14D6">
        <w:rPr>
          <w:b/>
          <w:i/>
          <w:sz w:val="24"/>
          <w:szCs w:val="24"/>
          <w:lang w:val="es-GT"/>
        </w:rPr>
        <w:t>Antecedentes:</w:t>
      </w:r>
    </w:p>
    <w:p w:rsidR="0061088B" w:rsidRDefault="0061088B" w:rsidP="005F0381">
      <w:pPr>
        <w:jc w:val="both"/>
        <w:rPr>
          <w:lang w:val="es-GT"/>
        </w:rPr>
      </w:pPr>
      <w:r>
        <w:rPr>
          <w:lang w:val="es-GT"/>
        </w:rPr>
        <w:t>E</w:t>
      </w:r>
      <w:r w:rsidR="00F20611">
        <w:rPr>
          <w:lang w:val="es-GT"/>
        </w:rPr>
        <w:t>n e</w:t>
      </w:r>
      <w:r>
        <w:rPr>
          <w:lang w:val="es-GT"/>
        </w:rPr>
        <w:t xml:space="preserve">l 3er. Plan de Acción Nacional 2016-2018, el compromiso y meta enunciados, </w:t>
      </w:r>
      <w:r w:rsidR="005F0381">
        <w:rPr>
          <w:lang w:val="es-GT"/>
        </w:rPr>
        <w:t xml:space="preserve">que </w:t>
      </w:r>
      <w:r w:rsidR="005D573A">
        <w:rPr>
          <w:lang w:val="es-GT"/>
        </w:rPr>
        <w:t xml:space="preserve">fueron </w:t>
      </w:r>
      <w:r w:rsidR="00A27D2D">
        <w:rPr>
          <w:lang w:val="es-GT"/>
        </w:rPr>
        <w:t>plantea</w:t>
      </w:r>
      <w:r w:rsidR="005D573A">
        <w:rPr>
          <w:lang w:val="es-GT"/>
        </w:rPr>
        <w:t>dos</w:t>
      </w:r>
      <w:r w:rsidR="00A27D2D">
        <w:rPr>
          <w:lang w:val="es-GT"/>
        </w:rPr>
        <w:t xml:space="preserve"> para conseguir </w:t>
      </w:r>
      <w:r w:rsidR="000A41D5">
        <w:rPr>
          <w:lang w:val="es-GT"/>
        </w:rPr>
        <w:t>la promoción</w:t>
      </w:r>
      <w:r w:rsidR="005F0381">
        <w:rPr>
          <w:lang w:val="es-GT"/>
        </w:rPr>
        <w:t xml:space="preserve"> y</w:t>
      </w:r>
      <w:r w:rsidR="000A41D5">
        <w:rPr>
          <w:lang w:val="es-GT"/>
        </w:rPr>
        <w:t xml:space="preserve"> divulgación de la guía</w:t>
      </w:r>
      <w:r w:rsidR="002F424B" w:rsidRPr="002F424B">
        <w:rPr>
          <w:lang w:val="es-GT"/>
        </w:rPr>
        <w:t xml:space="preserve"> </w:t>
      </w:r>
      <w:r w:rsidR="00C06515">
        <w:rPr>
          <w:lang w:val="es-GT"/>
        </w:rPr>
        <w:t>relacionada a los informes de rendición de cuentas, a</w:t>
      </w:r>
      <w:r w:rsidR="00B46F94">
        <w:rPr>
          <w:lang w:val="es-GT"/>
        </w:rPr>
        <w:t>cceso a la información de la g</w:t>
      </w:r>
      <w:r w:rsidR="00C06515" w:rsidRPr="00C06515">
        <w:rPr>
          <w:lang w:val="es-GT"/>
        </w:rPr>
        <w:t xml:space="preserve">estión </w:t>
      </w:r>
      <w:r w:rsidR="00B46F94">
        <w:rPr>
          <w:lang w:val="es-GT"/>
        </w:rPr>
        <w:t>p</w:t>
      </w:r>
      <w:r w:rsidR="00C06515" w:rsidRPr="00C06515">
        <w:rPr>
          <w:lang w:val="es-GT"/>
        </w:rPr>
        <w:t xml:space="preserve">resupuestaria por </w:t>
      </w:r>
      <w:r w:rsidR="00B46F94">
        <w:rPr>
          <w:lang w:val="es-GT"/>
        </w:rPr>
        <w:t>r</w:t>
      </w:r>
      <w:r w:rsidR="00C06515" w:rsidRPr="00C06515">
        <w:rPr>
          <w:lang w:val="es-GT"/>
        </w:rPr>
        <w:t>esultado</w:t>
      </w:r>
      <w:r w:rsidR="00C06515">
        <w:rPr>
          <w:lang w:val="es-GT"/>
        </w:rPr>
        <w:t xml:space="preserve">s, </w:t>
      </w:r>
      <w:r w:rsidR="00B46F94">
        <w:rPr>
          <w:lang w:val="es-GT"/>
        </w:rPr>
        <w:t>e</w:t>
      </w:r>
      <w:r w:rsidR="00C06515">
        <w:rPr>
          <w:lang w:val="es-GT"/>
        </w:rPr>
        <w:t xml:space="preserve"> </w:t>
      </w:r>
      <w:r w:rsidR="00B46F94">
        <w:rPr>
          <w:lang w:val="es-GT"/>
        </w:rPr>
        <w:t>i</w:t>
      </w:r>
      <w:r w:rsidR="00B46F94" w:rsidRPr="00B46F94">
        <w:rPr>
          <w:lang w:val="es-GT"/>
        </w:rPr>
        <w:t xml:space="preserve">nformes en </w:t>
      </w:r>
      <w:r w:rsidR="00B46F94">
        <w:rPr>
          <w:lang w:val="es-GT"/>
        </w:rPr>
        <w:t>s</w:t>
      </w:r>
      <w:r w:rsidR="00B46F94" w:rsidRPr="00B46F94">
        <w:rPr>
          <w:lang w:val="es-GT"/>
        </w:rPr>
        <w:t xml:space="preserve">itios </w:t>
      </w:r>
      <w:r w:rsidR="00B46F94">
        <w:rPr>
          <w:lang w:val="es-GT"/>
        </w:rPr>
        <w:t>w</w:t>
      </w:r>
      <w:r w:rsidR="00B46F94" w:rsidRPr="00B46F94">
        <w:rPr>
          <w:lang w:val="es-GT"/>
        </w:rPr>
        <w:t xml:space="preserve">eb y </w:t>
      </w:r>
      <w:r w:rsidR="006433B2">
        <w:rPr>
          <w:lang w:val="es-GT"/>
        </w:rPr>
        <w:t xml:space="preserve">para </w:t>
      </w:r>
      <w:r w:rsidR="005D573A">
        <w:rPr>
          <w:lang w:val="es-GT"/>
        </w:rPr>
        <w:t>tres c</w:t>
      </w:r>
      <w:r w:rsidR="00B46F94" w:rsidRPr="00B46F94">
        <w:rPr>
          <w:lang w:val="es-GT"/>
        </w:rPr>
        <w:t xml:space="preserve">omisiones de </w:t>
      </w:r>
      <w:r w:rsidR="005D573A">
        <w:rPr>
          <w:lang w:val="es-GT"/>
        </w:rPr>
        <w:t>t</w:t>
      </w:r>
      <w:r w:rsidR="00B46F94" w:rsidRPr="00B46F94">
        <w:rPr>
          <w:lang w:val="es-GT"/>
        </w:rPr>
        <w:t>rabajo del Congreso de la República</w:t>
      </w:r>
      <w:r w:rsidR="005D573A">
        <w:rPr>
          <w:lang w:val="es-GT"/>
        </w:rPr>
        <w:t xml:space="preserve">, </w:t>
      </w:r>
      <w:r w:rsidR="005F0381">
        <w:rPr>
          <w:lang w:val="es-GT"/>
        </w:rPr>
        <w:t xml:space="preserve">se </w:t>
      </w:r>
      <w:r w:rsidR="0098515F">
        <w:rPr>
          <w:lang w:val="es-GT"/>
        </w:rPr>
        <w:t xml:space="preserve">integra por </w:t>
      </w:r>
      <w:r w:rsidR="000A41D5">
        <w:rPr>
          <w:lang w:val="es-GT"/>
        </w:rPr>
        <w:t xml:space="preserve">las </w:t>
      </w:r>
      <w:r w:rsidR="00B857D1">
        <w:rPr>
          <w:lang w:val="es-GT"/>
        </w:rPr>
        <w:t>acciones</w:t>
      </w:r>
      <w:r w:rsidR="005F0381">
        <w:rPr>
          <w:lang w:val="es-GT"/>
        </w:rPr>
        <w:t xml:space="preserve"> siguientes</w:t>
      </w:r>
      <w:r w:rsidR="000A41D5">
        <w:rPr>
          <w:lang w:val="es-GT"/>
        </w:rPr>
        <w:t>:</w:t>
      </w:r>
    </w:p>
    <w:p w:rsidR="00843267" w:rsidRPr="00843267" w:rsidRDefault="00843267" w:rsidP="00F84445">
      <w:pPr>
        <w:pStyle w:val="Prrafodelista"/>
        <w:numPr>
          <w:ilvl w:val="0"/>
          <w:numId w:val="1"/>
        </w:numPr>
        <w:jc w:val="both"/>
        <w:rPr>
          <w:lang w:val="es-GT"/>
        </w:rPr>
      </w:pPr>
      <w:r>
        <w:t>Envío de nota u oficio circular a las entidades para la utilización de las guías identificadas, indicando la responsabilidad de su utilización</w:t>
      </w:r>
      <w:r w:rsidR="0098515F">
        <w:t>, y</w:t>
      </w:r>
    </w:p>
    <w:p w:rsidR="00843267" w:rsidRPr="00F84445" w:rsidRDefault="00843267" w:rsidP="00843267">
      <w:pPr>
        <w:pStyle w:val="Prrafodelista"/>
        <w:numPr>
          <w:ilvl w:val="0"/>
          <w:numId w:val="1"/>
        </w:numPr>
        <w:rPr>
          <w:lang w:val="es-GT"/>
        </w:rPr>
      </w:pPr>
      <w:r>
        <w:t>Matriz de publicación de las entidades que dan cumplimiento o no a la utilización de las guías</w:t>
      </w:r>
      <w:r w:rsidR="00F84445">
        <w:t>.</w:t>
      </w:r>
    </w:p>
    <w:p w:rsidR="000A41D5" w:rsidRPr="000A41D5" w:rsidRDefault="000A41D5" w:rsidP="000A41D5">
      <w:pPr>
        <w:jc w:val="both"/>
        <w:rPr>
          <w:b/>
          <w:bCs/>
        </w:rPr>
      </w:pPr>
    </w:p>
    <w:p w:rsidR="000A41D5" w:rsidRPr="000A41D5" w:rsidRDefault="000A41D5" w:rsidP="000A41D5">
      <w:pPr>
        <w:jc w:val="both"/>
        <w:rPr>
          <w:b/>
          <w:bCs/>
          <w:i/>
        </w:rPr>
      </w:pPr>
      <w:r w:rsidRPr="000A41D5">
        <w:rPr>
          <w:b/>
          <w:bCs/>
          <w:i/>
        </w:rPr>
        <w:t>Acciones realizadas:</w:t>
      </w:r>
    </w:p>
    <w:p w:rsidR="00682FD5" w:rsidRDefault="00717B37" w:rsidP="00A94E7F">
      <w:pPr>
        <w:pStyle w:val="Prrafodelista"/>
        <w:numPr>
          <w:ilvl w:val="0"/>
          <w:numId w:val="4"/>
        </w:numPr>
        <w:jc w:val="both"/>
      </w:pPr>
      <w:r w:rsidRPr="00A94E7F">
        <w:rPr>
          <w:lang w:val="es-GT"/>
        </w:rPr>
        <w:t xml:space="preserve">Para </w:t>
      </w:r>
      <w:r w:rsidR="00130AFA" w:rsidRPr="00A94E7F">
        <w:rPr>
          <w:lang w:val="es-GT"/>
        </w:rPr>
        <w:t>orientar a las instituciones</w:t>
      </w:r>
      <w:r w:rsidR="00682FD5" w:rsidRPr="00A94E7F">
        <w:rPr>
          <w:lang w:val="es-GT"/>
        </w:rPr>
        <w:t xml:space="preserve"> sobre el cumplimiento de las disposiciones contenidas en el Decreto No. 50-2016, Ley del Presupuesto General de Ingresos y Egresos del Estado para el Ejercicio Fiscal 2017, </w:t>
      </w:r>
      <w:r w:rsidR="00130AFA" w:rsidRPr="00A94E7F">
        <w:rPr>
          <w:lang w:val="es-GT"/>
        </w:rPr>
        <w:t xml:space="preserve">la Dirección Técnica del Presupuesto del Ministerio de Finanzas Públicas, </w:t>
      </w:r>
      <w:r w:rsidR="009D24F7" w:rsidRPr="00A94E7F">
        <w:rPr>
          <w:lang w:val="es-GT"/>
        </w:rPr>
        <w:t>emitió</w:t>
      </w:r>
      <w:r w:rsidR="004F2A0B" w:rsidRPr="00A94E7F">
        <w:rPr>
          <w:lang w:val="es-GT"/>
        </w:rPr>
        <w:t xml:space="preserve"> </w:t>
      </w:r>
      <w:r w:rsidR="001972A7" w:rsidRPr="00A94E7F">
        <w:rPr>
          <w:lang w:val="es-GT"/>
        </w:rPr>
        <w:t>el</w:t>
      </w:r>
      <w:r>
        <w:t xml:space="preserve"> oficio circular</w:t>
      </w:r>
      <w:r w:rsidR="00682FD5">
        <w:t xml:space="preserve"> </w:t>
      </w:r>
      <w:r w:rsidR="005345E2">
        <w:t>de fecha 23 de enero</w:t>
      </w:r>
      <w:r w:rsidR="00167480">
        <w:t xml:space="preserve"> de </w:t>
      </w:r>
      <w:r w:rsidR="005345E2">
        <w:t xml:space="preserve">2017 en el </w:t>
      </w:r>
      <w:r w:rsidR="00682FD5">
        <w:t xml:space="preserve">que enumera los aspectos a considerar en la ejecución presupuestaria. </w:t>
      </w:r>
      <w:r w:rsidR="004F2A0B">
        <w:t xml:space="preserve">El documento en referencia </w:t>
      </w:r>
      <w:r w:rsidR="00167480">
        <w:t xml:space="preserve">se puso a disposición de las personas en </w:t>
      </w:r>
      <w:r w:rsidR="004F2A0B" w:rsidRPr="00A94E7F">
        <w:rPr>
          <w:lang w:val="es-GT"/>
        </w:rPr>
        <w:t>la página del MINFIN en el vínculo siguiente:</w:t>
      </w:r>
    </w:p>
    <w:p w:rsidR="00717B37" w:rsidRDefault="00626A40" w:rsidP="00A94E7F">
      <w:pPr>
        <w:ind w:left="360"/>
        <w:jc w:val="both"/>
      </w:pPr>
      <w:hyperlink r:id="rId8" w:history="1">
        <w:r w:rsidR="00717B37" w:rsidRPr="00F26D58">
          <w:rPr>
            <w:rStyle w:val="Hipervnculo"/>
          </w:rPr>
          <w:t>http://www.minfin.gob.gt/images/downloads/leyes_presupuesto/presupuesto_circulares/2017/oficio_circular_1dtp.pdf</w:t>
        </w:r>
      </w:hyperlink>
      <w:r w:rsidR="00760FCA">
        <w:t xml:space="preserve"> </w:t>
      </w:r>
    </w:p>
    <w:p w:rsidR="00167480" w:rsidRDefault="00167480" w:rsidP="00682FD5">
      <w:pPr>
        <w:jc w:val="both"/>
      </w:pPr>
    </w:p>
    <w:p w:rsidR="00167480" w:rsidRDefault="00167480" w:rsidP="00A94E7F">
      <w:pPr>
        <w:pStyle w:val="Prrafodelista"/>
        <w:numPr>
          <w:ilvl w:val="0"/>
          <w:numId w:val="4"/>
        </w:numPr>
        <w:jc w:val="both"/>
      </w:pPr>
      <w:r>
        <w:t xml:space="preserve">Por otro lado, respecto a las guías relacionadas a los artículos </w:t>
      </w:r>
      <w:r w:rsidR="00760FCA">
        <w:t>1</w:t>
      </w:r>
      <w:r>
        <w:t xml:space="preserve">7 Bis y 17 Ter de la Ley Orgánica del Presupuesto, la misma fue puesta </w:t>
      </w:r>
      <w:r w:rsidR="009955B5">
        <w:t>a disposición de las instituciones en el vínculo siguiente:</w:t>
      </w:r>
    </w:p>
    <w:p w:rsidR="009955B5" w:rsidRPr="00F84445" w:rsidRDefault="00626A40" w:rsidP="00760FCA">
      <w:pPr>
        <w:ind w:left="360"/>
        <w:jc w:val="both"/>
        <w:rPr>
          <w:lang w:val="es-GT"/>
        </w:rPr>
      </w:pPr>
      <w:hyperlink r:id="rId9" w:history="1">
        <w:r w:rsidR="00760FCA" w:rsidRPr="00F26D58">
          <w:rPr>
            <w:rStyle w:val="Hipervnculo"/>
            <w:lang w:val="es-GT"/>
          </w:rPr>
          <w:t>http://www.minfin.gob.gt/images/downloads/informes_gestion/guia_060715.pdf</w:t>
        </w:r>
      </w:hyperlink>
      <w:r w:rsidR="00760FCA">
        <w:rPr>
          <w:lang w:val="es-GT"/>
        </w:rPr>
        <w:t xml:space="preserve"> </w:t>
      </w:r>
    </w:p>
    <w:p w:rsidR="00F84445" w:rsidRDefault="009D24F7" w:rsidP="00A94E7F">
      <w:pPr>
        <w:ind w:left="360"/>
        <w:jc w:val="center"/>
        <w:rPr>
          <w:lang w:val="es-GT"/>
        </w:rPr>
      </w:pPr>
      <w:r w:rsidRPr="009D24F7">
        <w:rPr>
          <w:noProof/>
          <w:lang w:eastAsia="es-ES"/>
        </w:rPr>
        <w:drawing>
          <wp:inline distT="0" distB="0" distL="0" distR="0">
            <wp:extent cx="4305300" cy="3084128"/>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306638" cy="3085087"/>
                    </a:xfrm>
                    <a:prstGeom prst="rect">
                      <a:avLst/>
                    </a:prstGeom>
                    <a:noFill/>
                    <a:ln w="9525">
                      <a:noFill/>
                      <a:miter lim="800000"/>
                      <a:headEnd/>
                      <a:tailEnd/>
                    </a:ln>
                  </pic:spPr>
                </pic:pic>
              </a:graphicData>
            </a:graphic>
          </wp:inline>
        </w:drawing>
      </w:r>
    </w:p>
    <w:p w:rsidR="00F84445" w:rsidRDefault="00F84445" w:rsidP="00F84445">
      <w:pPr>
        <w:rPr>
          <w:lang w:val="es-GT"/>
        </w:rPr>
      </w:pPr>
    </w:p>
    <w:p w:rsidR="005106A3" w:rsidRDefault="005106A3" w:rsidP="00820E1B">
      <w:pPr>
        <w:pStyle w:val="Prrafodelista"/>
        <w:numPr>
          <w:ilvl w:val="0"/>
          <w:numId w:val="4"/>
        </w:numPr>
        <w:jc w:val="both"/>
        <w:rPr>
          <w:bCs/>
          <w:sz w:val="24"/>
          <w:szCs w:val="24"/>
        </w:rPr>
      </w:pPr>
      <w:r>
        <w:rPr>
          <w:bCs/>
          <w:sz w:val="24"/>
          <w:szCs w:val="24"/>
        </w:rPr>
        <w:t xml:space="preserve">Sobre la información recibida por el MINFIN acerca de los informes de gestión y rendición de cuentas, </w:t>
      </w:r>
      <w:r w:rsidR="00820E1B">
        <w:rPr>
          <w:bCs/>
          <w:sz w:val="24"/>
          <w:szCs w:val="24"/>
        </w:rPr>
        <w:t xml:space="preserve">la misma se incorpora </w:t>
      </w:r>
      <w:r>
        <w:rPr>
          <w:bCs/>
          <w:sz w:val="24"/>
          <w:szCs w:val="24"/>
        </w:rPr>
        <w:t xml:space="preserve">en </w:t>
      </w:r>
      <w:r w:rsidR="003E01A5">
        <w:rPr>
          <w:bCs/>
          <w:sz w:val="24"/>
          <w:szCs w:val="24"/>
        </w:rPr>
        <w:t>los</w:t>
      </w:r>
      <w:r>
        <w:rPr>
          <w:bCs/>
          <w:sz w:val="24"/>
          <w:szCs w:val="24"/>
        </w:rPr>
        <w:t xml:space="preserve"> vínculo</w:t>
      </w:r>
      <w:r w:rsidR="003E01A5">
        <w:rPr>
          <w:bCs/>
          <w:sz w:val="24"/>
          <w:szCs w:val="24"/>
        </w:rPr>
        <w:t>s</w:t>
      </w:r>
      <w:r>
        <w:rPr>
          <w:bCs/>
          <w:sz w:val="24"/>
          <w:szCs w:val="24"/>
        </w:rPr>
        <w:t xml:space="preserve"> que se indica</w:t>
      </w:r>
      <w:r w:rsidR="003E01A5">
        <w:rPr>
          <w:bCs/>
          <w:sz w:val="24"/>
          <w:szCs w:val="24"/>
        </w:rPr>
        <w:t>n</w:t>
      </w:r>
      <w:r>
        <w:rPr>
          <w:bCs/>
          <w:sz w:val="24"/>
          <w:szCs w:val="24"/>
        </w:rPr>
        <w:t xml:space="preserve"> a continuaci</w:t>
      </w:r>
      <w:r w:rsidR="00820E1B">
        <w:rPr>
          <w:bCs/>
          <w:sz w:val="24"/>
          <w:szCs w:val="24"/>
        </w:rPr>
        <w:t>ón:</w:t>
      </w:r>
    </w:p>
    <w:p w:rsidR="00740414" w:rsidRPr="005106A3" w:rsidRDefault="00626A40" w:rsidP="00740414">
      <w:pPr>
        <w:pStyle w:val="Prrafodelista"/>
        <w:ind w:left="360"/>
        <w:jc w:val="both"/>
        <w:rPr>
          <w:bCs/>
          <w:sz w:val="24"/>
          <w:szCs w:val="24"/>
        </w:rPr>
      </w:pPr>
      <w:hyperlink r:id="rId11" w:history="1">
        <w:r w:rsidR="00740414" w:rsidRPr="00F0496E">
          <w:rPr>
            <w:rStyle w:val="Hipervnculo"/>
            <w:bCs/>
            <w:sz w:val="24"/>
            <w:szCs w:val="24"/>
          </w:rPr>
          <w:t>http://www.minfin.gob.gt/index.php/?option=com_content&amp;view=article&amp;id=3508&amp;Itemid=356</w:t>
        </w:r>
      </w:hyperlink>
    </w:p>
    <w:p w:rsidR="00740414" w:rsidRDefault="00740414" w:rsidP="005106A3">
      <w:pPr>
        <w:pStyle w:val="Prrafodelista"/>
        <w:ind w:left="360"/>
      </w:pPr>
    </w:p>
    <w:p w:rsidR="005106A3" w:rsidRPr="005106A3" w:rsidRDefault="00626A40" w:rsidP="005106A3">
      <w:pPr>
        <w:pStyle w:val="Prrafodelista"/>
        <w:ind w:left="360"/>
        <w:rPr>
          <w:lang w:val="es-GT"/>
        </w:rPr>
      </w:pPr>
      <w:hyperlink r:id="rId12" w:history="1">
        <w:r w:rsidR="005106A3" w:rsidRPr="005106A3">
          <w:rPr>
            <w:rStyle w:val="Hipervnculo"/>
            <w:lang w:val="es-GT"/>
          </w:rPr>
          <w:t>http://www.minfin.gob.gt/index.php/?option=com_content&amp;view=article&amp;id=1755&amp;Itemid=195</w:t>
        </w:r>
      </w:hyperlink>
    </w:p>
    <w:p w:rsidR="005106A3" w:rsidRDefault="005106A3" w:rsidP="001F58B3">
      <w:pPr>
        <w:pStyle w:val="Prrafodelista"/>
        <w:ind w:left="360"/>
        <w:rPr>
          <w:bCs/>
          <w:sz w:val="24"/>
          <w:szCs w:val="24"/>
          <w:lang w:val="es-GT"/>
        </w:rPr>
      </w:pPr>
    </w:p>
    <w:p w:rsidR="001F58B3" w:rsidRDefault="001F58B3" w:rsidP="001F58B3">
      <w:pPr>
        <w:pStyle w:val="Prrafodelista"/>
        <w:ind w:left="360"/>
        <w:jc w:val="center"/>
        <w:rPr>
          <w:bCs/>
          <w:sz w:val="24"/>
          <w:szCs w:val="24"/>
          <w:lang w:val="es-GT"/>
        </w:rPr>
      </w:pPr>
      <w:r w:rsidRPr="001F58B3">
        <w:rPr>
          <w:noProof/>
          <w:lang w:eastAsia="es-ES"/>
        </w:rPr>
        <w:drawing>
          <wp:inline distT="0" distB="0" distL="0" distR="0">
            <wp:extent cx="4222571" cy="3050090"/>
            <wp:effectExtent l="19050" t="0" r="6529"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228241" cy="3054186"/>
                    </a:xfrm>
                    <a:prstGeom prst="rect">
                      <a:avLst/>
                    </a:prstGeom>
                    <a:noFill/>
                    <a:ln w="9525">
                      <a:noFill/>
                      <a:miter lim="800000"/>
                      <a:headEnd/>
                      <a:tailEnd/>
                    </a:ln>
                  </pic:spPr>
                </pic:pic>
              </a:graphicData>
            </a:graphic>
          </wp:inline>
        </w:drawing>
      </w:r>
    </w:p>
    <w:p w:rsidR="00312BF1" w:rsidRPr="005106A3" w:rsidRDefault="00312BF1" w:rsidP="001F58B3">
      <w:pPr>
        <w:pStyle w:val="Prrafodelista"/>
        <w:ind w:left="360"/>
        <w:jc w:val="center"/>
        <w:rPr>
          <w:bCs/>
          <w:sz w:val="24"/>
          <w:szCs w:val="24"/>
          <w:lang w:val="es-GT"/>
        </w:rPr>
      </w:pPr>
    </w:p>
    <w:p w:rsidR="00DE17C5" w:rsidRDefault="0042007E" w:rsidP="00DE17C5">
      <w:pPr>
        <w:pStyle w:val="Prrafodelista"/>
        <w:ind w:left="360"/>
        <w:jc w:val="both"/>
      </w:pPr>
      <w:r>
        <w:rPr>
          <w:lang w:val="es-GT"/>
        </w:rPr>
        <w:t xml:space="preserve">Vale indicar que la matriz </w:t>
      </w:r>
      <w:r>
        <w:t xml:space="preserve">de publicación de las entidades que dan cumplimiento o no a la utilización de las guías, no fue posible </w:t>
      </w:r>
      <w:r w:rsidR="008E6CC8">
        <w:t xml:space="preserve">generarla por la Dirección Técnica del Presupuesto, </w:t>
      </w:r>
      <w:r>
        <w:t>en virtud que desde el MINFIN no es factible establecer con precisión los aspectos de cumplimient</w:t>
      </w:r>
      <w:r w:rsidR="00DE17C5">
        <w:t>o de cada entidad.</w:t>
      </w:r>
    </w:p>
    <w:p w:rsidR="00B90043" w:rsidRDefault="00B90043" w:rsidP="00DE17C5">
      <w:pPr>
        <w:pStyle w:val="Prrafodelista"/>
        <w:ind w:left="360"/>
        <w:jc w:val="both"/>
      </w:pPr>
    </w:p>
    <w:p w:rsidR="008168E2" w:rsidRPr="005B14D6" w:rsidRDefault="008168E2" w:rsidP="00636350">
      <w:pPr>
        <w:jc w:val="both"/>
        <w:rPr>
          <w:b/>
          <w:bCs/>
          <w:i/>
          <w:sz w:val="24"/>
          <w:szCs w:val="24"/>
        </w:rPr>
      </w:pPr>
      <w:r w:rsidRPr="005B14D6">
        <w:rPr>
          <w:b/>
          <w:bCs/>
          <w:i/>
          <w:sz w:val="24"/>
          <w:szCs w:val="24"/>
        </w:rPr>
        <w:t>Conclusión:</w:t>
      </w:r>
    </w:p>
    <w:p w:rsidR="00B90043" w:rsidRDefault="0042007E" w:rsidP="005167C0">
      <w:pPr>
        <w:tabs>
          <w:tab w:val="left" w:pos="1875"/>
        </w:tabs>
        <w:jc w:val="both"/>
        <w:rPr>
          <w:bCs/>
          <w:sz w:val="24"/>
          <w:szCs w:val="24"/>
        </w:rPr>
      </w:pPr>
      <w:r>
        <w:rPr>
          <w:bCs/>
          <w:sz w:val="24"/>
          <w:szCs w:val="24"/>
        </w:rPr>
        <w:t xml:space="preserve">Con base a lo anterior, </w:t>
      </w:r>
      <w:r w:rsidR="008168E2" w:rsidRPr="005B14D6">
        <w:rPr>
          <w:bCs/>
          <w:sz w:val="24"/>
          <w:szCs w:val="24"/>
        </w:rPr>
        <w:t>el Ministerio de Finanzas Públicas</w:t>
      </w:r>
      <w:r>
        <w:rPr>
          <w:bCs/>
          <w:sz w:val="24"/>
          <w:szCs w:val="24"/>
        </w:rPr>
        <w:t xml:space="preserve"> </w:t>
      </w:r>
      <w:r w:rsidR="00B90043" w:rsidRPr="005B14D6">
        <w:rPr>
          <w:bCs/>
          <w:sz w:val="24"/>
          <w:szCs w:val="24"/>
        </w:rPr>
        <w:t>deja constancia de las acciones realizadas</w:t>
      </w:r>
      <w:r w:rsidR="00B90043">
        <w:rPr>
          <w:bCs/>
          <w:sz w:val="24"/>
          <w:szCs w:val="24"/>
        </w:rPr>
        <w:t xml:space="preserve"> en el marco de Gobierno Abierto, </w:t>
      </w:r>
      <w:r>
        <w:rPr>
          <w:bCs/>
          <w:sz w:val="24"/>
          <w:szCs w:val="24"/>
        </w:rPr>
        <w:t>acerca de</w:t>
      </w:r>
      <w:r w:rsidR="005167C0" w:rsidRPr="005B14D6">
        <w:rPr>
          <w:bCs/>
          <w:sz w:val="24"/>
          <w:szCs w:val="24"/>
        </w:rPr>
        <w:t xml:space="preserve">l </w:t>
      </w:r>
      <w:r w:rsidR="008168E2" w:rsidRPr="005B14D6">
        <w:rPr>
          <w:bCs/>
          <w:sz w:val="24"/>
          <w:szCs w:val="24"/>
        </w:rPr>
        <w:t xml:space="preserve">cumplimiento del compromiso </w:t>
      </w:r>
      <w:r w:rsidR="008168E2" w:rsidRPr="005B47AC">
        <w:rPr>
          <w:b/>
          <w:bCs/>
          <w:i/>
          <w:sz w:val="24"/>
          <w:szCs w:val="24"/>
        </w:rPr>
        <w:t>1</w:t>
      </w:r>
      <w:r w:rsidR="001F58B3">
        <w:rPr>
          <w:b/>
          <w:bCs/>
          <w:i/>
          <w:sz w:val="24"/>
          <w:szCs w:val="24"/>
        </w:rPr>
        <w:t>7, meta 3</w:t>
      </w:r>
      <w:r w:rsidR="008168E2" w:rsidRPr="005B47AC">
        <w:rPr>
          <w:b/>
          <w:bCs/>
          <w:i/>
          <w:sz w:val="24"/>
          <w:szCs w:val="24"/>
        </w:rPr>
        <w:t xml:space="preserve">. </w:t>
      </w:r>
      <w:r w:rsidR="001F58B3" w:rsidRPr="006037C0">
        <w:rPr>
          <w:b/>
          <w:bCs/>
          <w:i/>
          <w:sz w:val="24"/>
          <w:szCs w:val="24"/>
        </w:rPr>
        <w:t>“</w:t>
      </w:r>
      <w:r w:rsidR="001F58B3" w:rsidRPr="006037C0">
        <w:rPr>
          <w:rFonts w:eastAsia="Times New Roman"/>
          <w:b/>
          <w:i/>
          <w:color w:val="000000"/>
          <w:szCs w:val="20"/>
        </w:rPr>
        <w:t>Promoción, divulgación e implementación de mecanismos para garantizar el uso de las guías elaboradas por el MINFIN para dar cumplimiento a los artículos 4, 17 Bis y 17 Ter del Decreto 101-97 del Congreso de la República, Ley Orgánica del Presupuesto, que establecen obligaciones específicas para favorecer la rendición de cuentas</w:t>
      </w:r>
      <w:r w:rsidR="00B90043">
        <w:rPr>
          <w:rFonts w:eastAsia="Times New Roman"/>
          <w:b/>
          <w:i/>
          <w:color w:val="000000"/>
          <w:szCs w:val="20"/>
        </w:rPr>
        <w:t>.</w:t>
      </w:r>
      <w:r w:rsidR="008549A8">
        <w:rPr>
          <w:bCs/>
          <w:sz w:val="24"/>
          <w:szCs w:val="24"/>
        </w:rPr>
        <w:t xml:space="preserve"> </w:t>
      </w:r>
    </w:p>
    <w:p w:rsidR="005167C0" w:rsidRDefault="005167C0" w:rsidP="005167C0">
      <w:pPr>
        <w:tabs>
          <w:tab w:val="left" w:pos="1875"/>
        </w:tabs>
        <w:jc w:val="both"/>
        <w:rPr>
          <w:bCs/>
          <w:sz w:val="24"/>
          <w:szCs w:val="24"/>
        </w:rPr>
      </w:pPr>
      <w:r w:rsidRPr="005B14D6">
        <w:rPr>
          <w:bCs/>
          <w:sz w:val="24"/>
          <w:szCs w:val="24"/>
        </w:rPr>
        <w:t xml:space="preserve">Sirva esta </w:t>
      </w:r>
      <w:r w:rsidR="00DF0DF8">
        <w:rPr>
          <w:bCs/>
          <w:sz w:val="24"/>
          <w:szCs w:val="24"/>
        </w:rPr>
        <w:t xml:space="preserve">nota </w:t>
      </w:r>
      <w:r w:rsidRPr="005B14D6">
        <w:rPr>
          <w:bCs/>
          <w:sz w:val="24"/>
          <w:szCs w:val="24"/>
        </w:rPr>
        <w:t>aclara</w:t>
      </w:r>
      <w:r w:rsidR="00DF0DF8">
        <w:rPr>
          <w:bCs/>
          <w:sz w:val="24"/>
          <w:szCs w:val="24"/>
        </w:rPr>
        <w:t>toria</w:t>
      </w:r>
      <w:r w:rsidRPr="005B14D6">
        <w:rPr>
          <w:bCs/>
          <w:sz w:val="24"/>
          <w:szCs w:val="24"/>
        </w:rPr>
        <w:t xml:space="preserve"> para toda persona o ciudadano que le sea de su interés, el conocer el alcance del compromiso antes relacionado.</w:t>
      </w:r>
    </w:p>
    <w:p w:rsidR="008549A8" w:rsidRDefault="00B12587" w:rsidP="008549A8">
      <w:pPr>
        <w:tabs>
          <w:tab w:val="left" w:pos="1875"/>
        </w:tabs>
        <w:spacing w:after="0"/>
        <w:jc w:val="both"/>
        <w:rPr>
          <w:bCs/>
          <w:i/>
          <w:color w:val="0070C0"/>
          <w:sz w:val="24"/>
          <w:szCs w:val="24"/>
        </w:rPr>
      </w:pPr>
      <w:r w:rsidRPr="00B12587">
        <w:rPr>
          <w:bCs/>
          <w:i/>
          <w:color w:val="0070C0"/>
          <w:sz w:val="24"/>
          <w:szCs w:val="24"/>
        </w:rPr>
        <w:t xml:space="preserve">Nota: </w:t>
      </w:r>
    </w:p>
    <w:p w:rsidR="00B12587" w:rsidRPr="005B14D6" w:rsidRDefault="00B12587" w:rsidP="008549A8">
      <w:pPr>
        <w:tabs>
          <w:tab w:val="left" w:pos="1875"/>
        </w:tabs>
        <w:spacing w:after="0"/>
        <w:jc w:val="both"/>
        <w:rPr>
          <w:bCs/>
          <w:sz w:val="24"/>
          <w:szCs w:val="24"/>
        </w:rPr>
      </w:pPr>
      <w:r w:rsidRPr="00B12587">
        <w:rPr>
          <w:bCs/>
          <w:i/>
          <w:color w:val="0070C0"/>
          <w:sz w:val="24"/>
          <w:szCs w:val="24"/>
        </w:rPr>
        <w:t xml:space="preserve">En los medios de verificación </w:t>
      </w:r>
      <w:r w:rsidR="008549A8">
        <w:rPr>
          <w:bCs/>
          <w:i/>
          <w:color w:val="0070C0"/>
          <w:sz w:val="24"/>
          <w:szCs w:val="24"/>
        </w:rPr>
        <w:t xml:space="preserve">del compromiso, </w:t>
      </w:r>
      <w:r w:rsidRPr="00B12587">
        <w:rPr>
          <w:bCs/>
          <w:i/>
          <w:color w:val="0070C0"/>
          <w:sz w:val="24"/>
          <w:szCs w:val="24"/>
        </w:rPr>
        <w:t>se incluyen l</w:t>
      </w:r>
      <w:r w:rsidR="008549A8">
        <w:rPr>
          <w:bCs/>
          <w:i/>
          <w:color w:val="0070C0"/>
          <w:sz w:val="24"/>
          <w:szCs w:val="24"/>
        </w:rPr>
        <w:t>os vínculos y documentos relacionados.</w:t>
      </w:r>
    </w:p>
    <w:p w:rsidR="00012B15" w:rsidRDefault="005148C8" w:rsidP="008549A8">
      <w:pPr>
        <w:spacing w:after="0"/>
        <w:jc w:val="right"/>
        <w:rPr>
          <w:bCs/>
          <w:sz w:val="24"/>
          <w:szCs w:val="24"/>
        </w:rPr>
      </w:pPr>
      <w:r>
        <w:rPr>
          <w:bCs/>
          <w:sz w:val="24"/>
          <w:szCs w:val="24"/>
        </w:rPr>
        <w:t xml:space="preserve">Guatemala, </w:t>
      </w:r>
      <w:r w:rsidR="008549A8">
        <w:rPr>
          <w:bCs/>
          <w:sz w:val="24"/>
          <w:szCs w:val="24"/>
        </w:rPr>
        <w:t>Octubre</w:t>
      </w:r>
      <w:r>
        <w:rPr>
          <w:bCs/>
          <w:sz w:val="24"/>
          <w:szCs w:val="24"/>
        </w:rPr>
        <w:t>-2017</w:t>
      </w:r>
    </w:p>
    <w:p w:rsidR="00ED7CA5" w:rsidRDefault="00ED7CA5">
      <w:pPr>
        <w:rPr>
          <w:bCs/>
          <w:sz w:val="24"/>
          <w:szCs w:val="24"/>
        </w:rPr>
      </w:pPr>
      <w:r>
        <w:rPr>
          <w:bCs/>
          <w:sz w:val="24"/>
          <w:szCs w:val="24"/>
        </w:rPr>
        <w:br w:type="page"/>
      </w:r>
    </w:p>
    <w:p w:rsidR="000F5E14" w:rsidRDefault="000F5E14">
      <w:pPr>
        <w:rPr>
          <w:bCs/>
          <w:sz w:val="24"/>
          <w:szCs w:val="24"/>
        </w:rPr>
      </w:pPr>
    </w:p>
    <w:p w:rsidR="000F5E14" w:rsidRPr="00ED7CA5" w:rsidRDefault="000F5E14" w:rsidP="000F5E14">
      <w:pPr>
        <w:jc w:val="center"/>
        <w:rPr>
          <w:b/>
          <w:bCs/>
          <w:sz w:val="28"/>
          <w:szCs w:val="24"/>
        </w:rPr>
      </w:pPr>
      <w:r w:rsidRPr="00ED7CA5">
        <w:rPr>
          <w:b/>
          <w:bCs/>
          <w:sz w:val="28"/>
          <w:szCs w:val="24"/>
        </w:rPr>
        <w:t>Anexo</w:t>
      </w:r>
    </w:p>
    <w:p w:rsidR="000F5E14" w:rsidRPr="00ED7CA5" w:rsidRDefault="000F5E14" w:rsidP="000F5E14">
      <w:pPr>
        <w:pStyle w:val="Prrafodelista"/>
        <w:ind w:left="360"/>
        <w:jc w:val="center"/>
        <w:rPr>
          <w:b/>
          <w:sz w:val="24"/>
          <w:lang w:val="es-GT"/>
        </w:rPr>
      </w:pPr>
      <w:r w:rsidRPr="00ED7CA5">
        <w:rPr>
          <w:b/>
          <w:sz w:val="24"/>
          <w:lang w:val="es-GT"/>
        </w:rPr>
        <w:t>Ley Orgánica del Presupuesto, Decreto No. 101-97 y sus reformas</w:t>
      </w:r>
    </w:p>
    <w:tbl>
      <w:tblPr>
        <w:tblStyle w:val="Tablaconcuadrcula"/>
        <w:tblW w:w="0" w:type="auto"/>
        <w:tblLook w:val="04A0" w:firstRow="1" w:lastRow="0" w:firstColumn="1" w:lastColumn="0" w:noHBand="0" w:noVBand="1"/>
      </w:tblPr>
      <w:tblGrid>
        <w:gridCol w:w="595"/>
        <w:gridCol w:w="8049"/>
      </w:tblGrid>
      <w:tr w:rsidR="000F5E14" w:rsidRPr="00D21BA6" w:rsidTr="005C10D7">
        <w:trPr>
          <w:tblHeader/>
        </w:trPr>
        <w:tc>
          <w:tcPr>
            <w:tcW w:w="595" w:type="dxa"/>
          </w:tcPr>
          <w:p w:rsidR="000F5E14" w:rsidRPr="00D21BA6" w:rsidRDefault="000F5E14" w:rsidP="005C10D7">
            <w:pPr>
              <w:jc w:val="center"/>
              <w:rPr>
                <w:b/>
                <w:sz w:val="20"/>
                <w:szCs w:val="20"/>
                <w:lang w:val="es-GT"/>
              </w:rPr>
            </w:pPr>
            <w:r w:rsidRPr="00D21BA6">
              <w:rPr>
                <w:b/>
                <w:sz w:val="20"/>
                <w:szCs w:val="20"/>
                <w:lang w:val="es-GT"/>
              </w:rPr>
              <w:t>Art</w:t>
            </w:r>
            <w:r w:rsidR="005C10D7" w:rsidRPr="00D21BA6">
              <w:rPr>
                <w:b/>
                <w:sz w:val="20"/>
                <w:szCs w:val="20"/>
                <w:lang w:val="es-GT"/>
              </w:rPr>
              <w:t>.</w:t>
            </w:r>
          </w:p>
        </w:tc>
        <w:tc>
          <w:tcPr>
            <w:tcW w:w="8049" w:type="dxa"/>
          </w:tcPr>
          <w:p w:rsidR="000F5E14" w:rsidRPr="00D21BA6" w:rsidRDefault="000F5E14" w:rsidP="007B62BA">
            <w:pPr>
              <w:jc w:val="center"/>
              <w:rPr>
                <w:b/>
                <w:sz w:val="20"/>
                <w:szCs w:val="20"/>
                <w:lang w:val="es-GT"/>
              </w:rPr>
            </w:pPr>
            <w:r w:rsidRPr="00D21BA6">
              <w:rPr>
                <w:b/>
                <w:sz w:val="20"/>
                <w:szCs w:val="20"/>
                <w:lang w:val="es-GT"/>
              </w:rPr>
              <w:t>Texto</w:t>
            </w:r>
          </w:p>
        </w:tc>
      </w:tr>
      <w:tr w:rsidR="000F5E14" w:rsidRPr="00D21BA6" w:rsidTr="005C10D7">
        <w:trPr>
          <w:cantSplit/>
          <w:trHeight w:val="1134"/>
        </w:trPr>
        <w:tc>
          <w:tcPr>
            <w:tcW w:w="595" w:type="dxa"/>
            <w:textDirection w:val="btLr"/>
            <w:vAlign w:val="center"/>
          </w:tcPr>
          <w:p w:rsidR="000F5E14" w:rsidRPr="00D21BA6" w:rsidRDefault="000F5E14" w:rsidP="005C10D7">
            <w:pPr>
              <w:ind w:left="113" w:right="113"/>
              <w:jc w:val="center"/>
              <w:rPr>
                <w:b/>
                <w:sz w:val="20"/>
                <w:szCs w:val="20"/>
                <w:lang w:val="es-GT"/>
              </w:rPr>
            </w:pPr>
            <w:r w:rsidRPr="00ED7CA5">
              <w:rPr>
                <w:b/>
                <w:sz w:val="24"/>
                <w:szCs w:val="20"/>
                <w:lang w:val="es-GT"/>
              </w:rPr>
              <w:t>Artículo 4</w:t>
            </w:r>
          </w:p>
        </w:tc>
        <w:tc>
          <w:tcPr>
            <w:tcW w:w="8049" w:type="dxa"/>
          </w:tcPr>
          <w:p w:rsidR="000F5E14" w:rsidRPr="00D21BA6" w:rsidRDefault="000F5E14" w:rsidP="00D21BA6">
            <w:pPr>
              <w:jc w:val="both"/>
              <w:rPr>
                <w:sz w:val="20"/>
                <w:szCs w:val="20"/>
                <w:lang w:val="es-MX"/>
              </w:rPr>
            </w:pPr>
            <w:r w:rsidRPr="00D21BA6">
              <w:rPr>
                <w:b/>
                <w:sz w:val="20"/>
                <w:szCs w:val="20"/>
                <w:u w:val="single"/>
                <w:lang w:val="es-MX"/>
              </w:rPr>
              <w:t xml:space="preserve">Rendición de Cuentas. </w:t>
            </w:r>
            <w:r w:rsidRPr="00D21BA6">
              <w:rPr>
                <w:sz w:val="20"/>
                <w:szCs w:val="20"/>
                <w:lang w:val="es-MX"/>
              </w:rPr>
              <w:t xml:space="preserve"> Todos los entes contemplados en el artículo 2 de la presente Ley, que manejen, administren o ejecuten recursos, valores públicos o bienes del Estado, así como los que realicen funciones de dirección superior, deben elaborar anualmente un informe de rendición de cuentas del ejercicio fiscal anterior, que como mínimo contenga:</w:t>
            </w:r>
          </w:p>
          <w:p w:rsidR="000F5E14" w:rsidRPr="00D21BA6" w:rsidRDefault="000F5E14" w:rsidP="00D21BA6">
            <w:pPr>
              <w:pStyle w:val="Prrafodelista"/>
              <w:numPr>
                <w:ilvl w:val="0"/>
                <w:numId w:val="2"/>
              </w:numPr>
              <w:ind w:left="319" w:hanging="319"/>
              <w:jc w:val="both"/>
              <w:rPr>
                <w:sz w:val="20"/>
                <w:szCs w:val="20"/>
                <w:lang w:val="es-MX"/>
              </w:rPr>
            </w:pPr>
            <w:r w:rsidRPr="00D21BA6">
              <w:rPr>
                <w:sz w:val="20"/>
                <w:szCs w:val="20"/>
                <w:lang w:val="es-MX"/>
              </w:rPr>
              <w:t>Presupuesto solicitado, asignado, modificado y ejecutado con detalle por renglón de gasto, así como la totalidad de los recursos en cada proyecto o política comprometidos en el ejercicio fiscal sujeto del informe y en futuros ejercicios fiscales,</w:t>
            </w:r>
          </w:p>
          <w:p w:rsidR="000F5E14" w:rsidRPr="00D21BA6" w:rsidRDefault="000F5E14" w:rsidP="00D21BA6">
            <w:pPr>
              <w:pStyle w:val="Prrafodelista"/>
              <w:numPr>
                <w:ilvl w:val="0"/>
                <w:numId w:val="2"/>
              </w:numPr>
              <w:ind w:left="319" w:hanging="319"/>
              <w:jc w:val="both"/>
              <w:rPr>
                <w:sz w:val="20"/>
                <w:szCs w:val="20"/>
                <w:lang w:val="es-MX"/>
              </w:rPr>
            </w:pPr>
            <w:r w:rsidRPr="00D21BA6">
              <w:rPr>
                <w:sz w:val="20"/>
                <w:szCs w:val="20"/>
                <w:lang w:val="es-MX"/>
              </w:rPr>
              <w:t>Metas, indicadores, productos y resultados que miden el impacto de las políticas públicas,</w:t>
            </w:r>
          </w:p>
          <w:p w:rsidR="000F5E14" w:rsidRPr="00D21BA6" w:rsidRDefault="000F5E14" w:rsidP="00D21BA6">
            <w:pPr>
              <w:pStyle w:val="Prrafodelista"/>
              <w:numPr>
                <w:ilvl w:val="0"/>
                <w:numId w:val="2"/>
              </w:numPr>
              <w:ind w:left="319" w:hanging="319"/>
              <w:jc w:val="both"/>
              <w:rPr>
                <w:sz w:val="20"/>
                <w:szCs w:val="20"/>
                <w:lang w:val="es-MX"/>
              </w:rPr>
            </w:pPr>
            <w:r w:rsidRPr="00D21BA6">
              <w:rPr>
                <w:sz w:val="20"/>
                <w:szCs w:val="20"/>
                <w:lang w:val="es-MX"/>
              </w:rPr>
              <w:t>Número de beneficiarios, ubicación y mecanismos de cumplimiento de metas;</w:t>
            </w:r>
          </w:p>
          <w:p w:rsidR="000F5E14" w:rsidRPr="00D21BA6" w:rsidRDefault="000F5E14" w:rsidP="00D21BA6">
            <w:pPr>
              <w:pStyle w:val="Prrafodelista"/>
              <w:numPr>
                <w:ilvl w:val="0"/>
                <w:numId w:val="2"/>
              </w:numPr>
              <w:ind w:left="319" w:hanging="319"/>
              <w:jc w:val="both"/>
              <w:rPr>
                <w:sz w:val="20"/>
                <w:szCs w:val="20"/>
                <w:lang w:val="es-MX"/>
              </w:rPr>
            </w:pPr>
            <w:r w:rsidRPr="00D21BA6">
              <w:rPr>
                <w:sz w:val="20"/>
                <w:szCs w:val="20"/>
                <w:lang w:val="es-MX"/>
              </w:rPr>
              <w:t>Medidas de transparencia y calidad del gasto implementadas.</w:t>
            </w:r>
          </w:p>
          <w:p w:rsidR="000F5E14" w:rsidRPr="00D21BA6" w:rsidRDefault="000F5E14" w:rsidP="00D21BA6">
            <w:pPr>
              <w:pStyle w:val="Prrafodelista"/>
              <w:ind w:left="319"/>
              <w:jc w:val="both"/>
              <w:rPr>
                <w:sz w:val="20"/>
                <w:szCs w:val="20"/>
                <w:lang w:val="es-MX"/>
              </w:rPr>
            </w:pPr>
          </w:p>
          <w:p w:rsidR="000F5E14" w:rsidRPr="00D21BA6" w:rsidRDefault="000F5E14" w:rsidP="00D21BA6">
            <w:pPr>
              <w:jc w:val="both"/>
              <w:rPr>
                <w:sz w:val="20"/>
                <w:szCs w:val="20"/>
                <w:lang w:val="es-MX"/>
              </w:rPr>
            </w:pPr>
            <w:r w:rsidRPr="00D21BA6">
              <w:rPr>
                <w:sz w:val="20"/>
                <w:szCs w:val="20"/>
                <w:lang w:val="es-MX"/>
              </w:rPr>
              <w:t>El informe será publicado  en el primer trimestre de cada año, por cada entidad en su sitio web de acceso libre, abierto y gratuito de datos y en el que el Ministerio de Finanzas Públicas  establezca.</w:t>
            </w:r>
          </w:p>
          <w:p w:rsidR="000F5E14" w:rsidRPr="00D21BA6" w:rsidRDefault="000F5E14" w:rsidP="00D21BA6">
            <w:pPr>
              <w:jc w:val="both"/>
              <w:rPr>
                <w:b/>
                <w:sz w:val="20"/>
                <w:szCs w:val="20"/>
                <w:lang w:val="es-GT"/>
              </w:rPr>
            </w:pPr>
            <w:r w:rsidRPr="00D21BA6">
              <w:rPr>
                <w:sz w:val="20"/>
                <w:szCs w:val="20"/>
                <w:lang w:val="es-MX"/>
              </w:rPr>
              <w:t>En el reglamento respectivo deberá desarrollarse la metodología del mismo para asegurar que la información se encuentre organizada y de fácil acceso y búsqueda para que pueda ser consultada, utilizada y evaluada por cualquier ciudadano. Dicha información se considerará información pública de oficio de acuerdo a la Ley de Acceso a la Información Pública.</w:t>
            </w:r>
          </w:p>
        </w:tc>
      </w:tr>
      <w:tr w:rsidR="000F5E14" w:rsidRPr="00D21BA6" w:rsidTr="005C10D7">
        <w:trPr>
          <w:cantSplit/>
          <w:trHeight w:val="1134"/>
        </w:trPr>
        <w:tc>
          <w:tcPr>
            <w:tcW w:w="595" w:type="dxa"/>
            <w:textDirection w:val="btLr"/>
            <w:vAlign w:val="center"/>
          </w:tcPr>
          <w:p w:rsidR="000F5E14" w:rsidRPr="00D21BA6" w:rsidRDefault="000F5E14" w:rsidP="005C10D7">
            <w:pPr>
              <w:ind w:left="113" w:right="113"/>
              <w:jc w:val="center"/>
              <w:rPr>
                <w:b/>
                <w:sz w:val="20"/>
                <w:szCs w:val="20"/>
                <w:lang w:val="es-GT"/>
              </w:rPr>
            </w:pPr>
            <w:r w:rsidRPr="00ED7CA5">
              <w:rPr>
                <w:b/>
                <w:sz w:val="24"/>
                <w:szCs w:val="20"/>
                <w:lang w:val="es-GT"/>
              </w:rPr>
              <w:t>17 BIS</w:t>
            </w:r>
          </w:p>
        </w:tc>
        <w:tc>
          <w:tcPr>
            <w:tcW w:w="8049" w:type="dxa"/>
          </w:tcPr>
          <w:p w:rsidR="000F5E14" w:rsidRPr="00D21BA6" w:rsidRDefault="000F5E14" w:rsidP="00D21BA6">
            <w:pPr>
              <w:jc w:val="both"/>
              <w:rPr>
                <w:sz w:val="20"/>
                <w:szCs w:val="20"/>
                <w:lang w:val="es-MX"/>
              </w:rPr>
            </w:pPr>
            <w:r w:rsidRPr="00D21BA6">
              <w:rPr>
                <w:b/>
                <w:sz w:val="20"/>
                <w:szCs w:val="20"/>
                <w:u w:val="single"/>
                <w:lang w:val="es-MX"/>
              </w:rPr>
              <w:t>Acceso a la Información de la Gestión Presupuestaria por Resultados</w:t>
            </w:r>
            <w:r w:rsidRPr="00D21BA6">
              <w:rPr>
                <w:sz w:val="20"/>
                <w:szCs w:val="20"/>
                <w:lang w:val="es-MX"/>
              </w:rPr>
              <w:t>. Las entidades del sector público, para fines de consolidación de cuentas, pondrán a disposición del Ministerio de Finanzas Pública, por cualquier medio electrónico, la información referente a la ejecución física y financiera registrada en el Sistema de Contabilidad Integrada (SICOIN).</w:t>
            </w:r>
          </w:p>
          <w:p w:rsidR="000F5E14" w:rsidRPr="00D21BA6" w:rsidRDefault="000F5E14" w:rsidP="00D21BA6">
            <w:pPr>
              <w:jc w:val="both"/>
              <w:rPr>
                <w:sz w:val="20"/>
                <w:szCs w:val="20"/>
                <w:lang w:val="es-MX"/>
              </w:rPr>
            </w:pPr>
            <w:r w:rsidRPr="00D21BA6">
              <w:rPr>
                <w:sz w:val="20"/>
                <w:szCs w:val="20"/>
                <w:lang w:val="es-MX"/>
              </w:rPr>
              <w:t>La máxima autoridad de cada entidad pública publicará en su sitio web de acceso libre, abierto y gratuito de datos: el plan estratégico y operativo anual, y las actualizaciones oportunas en función de sus reprogramaciones, los indicadores de resultados y sus productos asociados. La información en referencia también deberá permanecer publicada en detalle en sitio web de acceso libre, abierto y gratuito de datos del Ministerio de Finanzas Públicas, para conocimiento de la ciudadanía.</w:t>
            </w:r>
          </w:p>
          <w:p w:rsidR="000F5E14" w:rsidRPr="00D21BA6" w:rsidRDefault="000F5E14" w:rsidP="00D21BA6">
            <w:pPr>
              <w:jc w:val="both"/>
              <w:rPr>
                <w:sz w:val="20"/>
                <w:szCs w:val="20"/>
                <w:lang w:val="es-MX"/>
              </w:rPr>
            </w:pPr>
            <w:r w:rsidRPr="00D21BA6">
              <w:rPr>
                <w:sz w:val="20"/>
                <w:szCs w:val="20"/>
                <w:lang w:val="es-MX"/>
              </w:rPr>
              <w:t>La Presidencia de la República por medio de la Secretaría de Planificación y Programación de la Presidencia con el objeto de efectuar un adecuado seguimiento que permita verificar la calidad del gasto público, deberá entregar en los primeros quince días de finalizado cada cuatrimestre del ejercicio fiscal, al Congreso de la República, las metas y sus respectivos indicadores de desempeño y calidad del gasto, así como la información oportuna que actualice los avances cada cuatro meses. También facilitará el acceso a los sistemas informáticos en que se operen los mismos y los planes operativos anuales.</w:t>
            </w:r>
          </w:p>
          <w:p w:rsidR="000F5E14" w:rsidRPr="00D21BA6" w:rsidRDefault="000F5E14" w:rsidP="00D21BA6">
            <w:pPr>
              <w:jc w:val="both"/>
              <w:rPr>
                <w:sz w:val="20"/>
                <w:szCs w:val="20"/>
                <w:lang w:val="es-MX"/>
              </w:rPr>
            </w:pPr>
            <w:r w:rsidRPr="00D21BA6">
              <w:rPr>
                <w:sz w:val="20"/>
                <w:szCs w:val="20"/>
                <w:lang w:val="es-MX"/>
              </w:rPr>
              <w:t>Se exceptúa el último informe de cuatrimestre que deberá estar incluido en el informe anual contenido en el artículo 8 de esta Ley.</w:t>
            </w:r>
          </w:p>
          <w:p w:rsidR="000F5E14" w:rsidRPr="00D21BA6" w:rsidRDefault="000F5E14" w:rsidP="00D21BA6">
            <w:pPr>
              <w:jc w:val="both"/>
              <w:rPr>
                <w:b/>
                <w:sz w:val="20"/>
                <w:szCs w:val="20"/>
                <w:lang w:val="es-MX"/>
              </w:rPr>
            </w:pPr>
          </w:p>
        </w:tc>
      </w:tr>
      <w:tr w:rsidR="000F5E14" w:rsidRPr="005C10D7" w:rsidTr="00D21BA6">
        <w:trPr>
          <w:cantSplit/>
          <w:trHeight w:val="1134"/>
        </w:trPr>
        <w:tc>
          <w:tcPr>
            <w:tcW w:w="595" w:type="dxa"/>
            <w:textDirection w:val="btLr"/>
            <w:vAlign w:val="center"/>
          </w:tcPr>
          <w:p w:rsidR="000F5E14" w:rsidRPr="00D21BA6" w:rsidRDefault="000F5E14" w:rsidP="005C10D7">
            <w:pPr>
              <w:ind w:left="113" w:right="113"/>
              <w:jc w:val="center"/>
              <w:rPr>
                <w:b/>
                <w:sz w:val="20"/>
                <w:szCs w:val="20"/>
                <w:lang w:val="es-GT"/>
              </w:rPr>
            </w:pPr>
            <w:r w:rsidRPr="00ED7CA5">
              <w:rPr>
                <w:b/>
                <w:sz w:val="24"/>
                <w:szCs w:val="20"/>
                <w:lang w:val="es-GT"/>
              </w:rPr>
              <w:t>17 Ter</w:t>
            </w:r>
          </w:p>
        </w:tc>
        <w:tc>
          <w:tcPr>
            <w:tcW w:w="8049" w:type="dxa"/>
            <w:shd w:val="clear" w:color="auto" w:fill="auto"/>
          </w:tcPr>
          <w:p w:rsidR="000F5E14" w:rsidRPr="00D21BA6" w:rsidRDefault="000F5E14" w:rsidP="00D21BA6">
            <w:pPr>
              <w:jc w:val="both"/>
              <w:rPr>
                <w:sz w:val="20"/>
                <w:szCs w:val="20"/>
                <w:lang w:val="es-MX"/>
              </w:rPr>
            </w:pPr>
            <w:r w:rsidRPr="00D21BA6">
              <w:rPr>
                <w:b/>
                <w:sz w:val="20"/>
                <w:szCs w:val="20"/>
                <w:u w:val="single"/>
                <w:lang w:val="es-MX"/>
              </w:rPr>
              <w:t>Informes en Sitios Web y Comisiones de Trabajo del Congreso de la República</w:t>
            </w:r>
            <w:r w:rsidRPr="00D21BA6">
              <w:rPr>
                <w:sz w:val="20"/>
                <w:szCs w:val="20"/>
                <w:lang w:val="es-MX"/>
              </w:rPr>
              <w:t>.  Los sujetos obligados a las disposiciones de la presente Ley, con el propósito de brindar a la ciudadanía guatemalteca transparencia en la gestión pública, además de cumplir con la entrega de información y documentación con la periodicidad que establece esta Ley, deberán mostrar y actualizar por lo menos cada treinta (30) días, a través de sus sitios web de acceso libre, abierto y gratuito de datos, y por escrito a las comisiones de Probidad, de Finanzas Públicas y Moneda y a la Extraordinaria Nacional por la Transparencia, del Congreso de la República de Guatemala, la información y documentación siguiente, sin perjuicio de lo que al respecto establece la Ley de Acceso a la Información Pública:</w:t>
            </w:r>
          </w:p>
          <w:p w:rsidR="000F5E14" w:rsidRPr="00D21BA6" w:rsidRDefault="000F5E14" w:rsidP="00D21BA6">
            <w:pPr>
              <w:pStyle w:val="Prrafodelista"/>
              <w:numPr>
                <w:ilvl w:val="0"/>
                <w:numId w:val="3"/>
              </w:numPr>
              <w:ind w:left="317" w:hanging="283"/>
              <w:jc w:val="both"/>
              <w:rPr>
                <w:sz w:val="20"/>
                <w:szCs w:val="20"/>
                <w:lang w:val="es-MX"/>
              </w:rPr>
            </w:pPr>
            <w:r w:rsidRPr="00D21BA6">
              <w:rPr>
                <w:sz w:val="20"/>
                <w:szCs w:val="20"/>
                <w:lang w:val="es-MX"/>
              </w:rPr>
              <w:t>Programación y reprogramaciones de asesorías contratadas, detallando nombres, montos y el origen de los recursos para el pago, incluyendo los que provienen de la cooperación reembolsable y no reembolsable;</w:t>
            </w:r>
          </w:p>
          <w:p w:rsidR="000F5E14" w:rsidRPr="00D21BA6" w:rsidRDefault="000F5E14" w:rsidP="00D21BA6">
            <w:pPr>
              <w:pStyle w:val="Prrafodelista"/>
              <w:numPr>
                <w:ilvl w:val="0"/>
                <w:numId w:val="3"/>
              </w:numPr>
              <w:ind w:left="317" w:hanging="283"/>
              <w:jc w:val="both"/>
              <w:rPr>
                <w:sz w:val="20"/>
                <w:szCs w:val="20"/>
                <w:lang w:val="es-MX"/>
              </w:rPr>
            </w:pPr>
            <w:r w:rsidRPr="00D21BA6">
              <w:rPr>
                <w:sz w:val="20"/>
                <w:szCs w:val="20"/>
                <w:lang w:val="es-MX"/>
              </w:rPr>
              <w:t>Programación y reprogramación de jornales;</w:t>
            </w:r>
          </w:p>
          <w:p w:rsidR="000F5E14" w:rsidRPr="00D21BA6" w:rsidRDefault="000F5E14" w:rsidP="00D21BA6">
            <w:pPr>
              <w:pStyle w:val="Prrafodelista"/>
              <w:numPr>
                <w:ilvl w:val="0"/>
                <w:numId w:val="3"/>
              </w:numPr>
              <w:ind w:left="317" w:hanging="283"/>
              <w:jc w:val="both"/>
              <w:rPr>
                <w:sz w:val="20"/>
                <w:szCs w:val="20"/>
                <w:lang w:val="es-MX"/>
              </w:rPr>
            </w:pPr>
            <w:r w:rsidRPr="00D21BA6">
              <w:rPr>
                <w:sz w:val="20"/>
                <w:szCs w:val="20"/>
                <w:lang w:val="es-MX"/>
              </w:rPr>
              <w:t xml:space="preserve">Documentos que respalden bonos o beneficios salariales, derivados o no de pactos colectivos de trabajo u otros similares; </w:t>
            </w:r>
          </w:p>
          <w:p w:rsidR="000F5E14" w:rsidRPr="00D21BA6" w:rsidRDefault="000F5E14" w:rsidP="00D21BA6">
            <w:pPr>
              <w:pStyle w:val="Prrafodelista"/>
              <w:numPr>
                <w:ilvl w:val="0"/>
                <w:numId w:val="3"/>
              </w:numPr>
              <w:ind w:left="317" w:hanging="283"/>
              <w:jc w:val="both"/>
              <w:rPr>
                <w:sz w:val="20"/>
                <w:szCs w:val="20"/>
                <w:lang w:val="es-MX"/>
              </w:rPr>
            </w:pPr>
            <w:r w:rsidRPr="00D21BA6">
              <w:rPr>
                <w:sz w:val="20"/>
                <w:szCs w:val="20"/>
                <w:lang w:val="es-MX"/>
              </w:rPr>
              <w:t>Programación de arrendamiento de edificios;</w:t>
            </w:r>
          </w:p>
          <w:p w:rsidR="000F5E14" w:rsidRPr="00D21BA6" w:rsidRDefault="000F5E14" w:rsidP="00D21BA6">
            <w:pPr>
              <w:pStyle w:val="Prrafodelista"/>
              <w:numPr>
                <w:ilvl w:val="0"/>
                <w:numId w:val="3"/>
              </w:numPr>
              <w:ind w:left="317" w:hanging="283"/>
              <w:jc w:val="both"/>
              <w:rPr>
                <w:sz w:val="20"/>
                <w:szCs w:val="20"/>
                <w:lang w:val="es-MX"/>
              </w:rPr>
            </w:pPr>
            <w:r w:rsidRPr="00D21BA6">
              <w:rPr>
                <w:sz w:val="20"/>
                <w:szCs w:val="20"/>
                <w:lang w:val="es-MX"/>
              </w:rPr>
              <w:t>Todo tipo de convenios suscritos con Organizaciones No Gubernamentales, Asociaciones legalmente constituidas, Organismos Regionales o Internacionales, así como informes correspondientes de avances físicos y financieros que se deriven de tales convenios;</w:t>
            </w:r>
          </w:p>
          <w:p w:rsidR="000F5E14" w:rsidRPr="00D21BA6" w:rsidRDefault="000F5E14" w:rsidP="00D21BA6">
            <w:pPr>
              <w:pStyle w:val="Prrafodelista"/>
              <w:numPr>
                <w:ilvl w:val="0"/>
                <w:numId w:val="3"/>
              </w:numPr>
              <w:ind w:left="317" w:hanging="283"/>
              <w:jc w:val="both"/>
              <w:rPr>
                <w:sz w:val="20"/>
                <w:szCs w:val="20"/>
                <w:lang w:val="es-MX"/>
              </w:rPr>
            </w:pPr>
            <w:r w:rsidRPr="00D21BA6">
              <w:rPr>
                <w:sz w:val="20"/>
                <w:szCs w:val="20"/>
                <w:lang w:val="es-MX"/>
              </w:rPr>
              <w:t>Programación y reprogramación de aportes al sector privado y al sector externo, así como los respectivos informes de avance físico y financiero;</w:t>
            </w:r>
          </w:p>
          <w:p w:rsidR="000F5E14" w:rsidRPr="00D21BA6" w:rsidRDefault="000F5E14" w:rsidP="00D21BA6">
            <w:pPr>
              <w:pStyle w:val="Prrafodelista"/>
              <w:numPr>
                <w:ilvl w:val="0"/>
                <w:numId w:val="3"/>
              </w:numPr>
              <w:ind w:left="317" w:hanging="283"/>
              <w:jc w:val="both"/>
              <w:rPr>
                <w:sz w:val="20"/>
                <w:szCs w:val="20"/>
                <w:lang w:val="es-MX"/>
              </w:rPr>
            </w:pPr>
            <w:r w:rsidRPr="00D21BA6">
              <w:rPr>
                <w:sz w:val="20"/>
                <w:szCs w:val="20"/>
                <w:lang w:val="es-MX"/>
              </w:rPr>
              <w:t>Informes de avance físico y financiero de programas y proyectos financiados con recursos provenientes de la cooperación externa reembolsable y no reembolsable; y</w:t>
            </w:r>
          </w:p>
          <w:p w:rsidR="000F5E14" w:rsidRPr="00D21BA6" w:rsidRDefault="000F5E14" w:rsidP="00D21BA6">
            <w:pPr>
              <w:pStyle w:val="Prrafodelista"/>
              <w:numPr>
                <w:ilvl w:val="0"/>
                <w:numId w:val="3"/>
              </w:numPr>
              <w:ind w:left="317" w:hanging="283"/>
              <w:jc w:val="both"/>
              <w:rPr>
                <w:sz w:val="20"/>
                <w:szCs w:val="20"/>
                <w:lang w:val="es-MX"/>
              </w:rPr>
            </w:pPr>
            <w:r w:rsidRPr="00D21BA6">
              <w:rPr>
                <w:sz w:val="20"/>
                <w:szCs w:val="20"/>
                <w:lang w:val="es-MX"/>
              </w:rPr>
              <w:t>Informes de liquidación presupuestaria del ejercicio fiscal anterior.</w:t>
            </w:r>
          </w:p>
          <w:p w:rsidR="000F5E14" w:rsidRPr="00D21BA6" w:rsidRDefault="000F5E14" w:rsidP="00D21BA6">
            <w:pPr>
              <w:jc w:val="both"/>
              <w:rPr>
                <w:sz w:val="20"/>
                <w:szCs w:val="20"/>
                <w:lang w:val="es-MX"/>
              </w:rPr>
            </w:pPr>
            <w:r w:rsidRPr="00D21BA6">
              <w:rPr>
                <w:sz w:val="20"/>
                <w:szCs w:val="20"/>
                <w:lang w:val="es-MX"/>
              </w:rPr>
              <w:t>Son responsables del cumplimiento del presente artículo, cada entidad a través de su Unidad de Administración Financiera, de Planificación y de su Unidad de Información Pública.</w:t>
            </w:r>
          </w:p>
          <w:p w:rsidR="000F5E14" w:rsidRPr="00D21BA6" w:rsidRDefault="000F5E14" w:rsidP="00D21BA6">
            <w:pPr>
              <w:jc w:val="both"/>
              <w:rPr>
                <w:b/>
                <w:sz w:val="20"/>
                <w:szCs w:val="20"/>
                <w:lang w:val="es-GT"/>
              </w:rPr>
            </w:pPr>
            <w:r w:rsidRPr="00D21BA6">
              <w:rPr>
                <w:sz w:val="20"/>
                <w:szCs w:val="20"/>
                <w:lang w:val="es-MX"/>
              </w:rPr>
              <w:t>Toda la información que se publique en sitios web de acceso libre, abierto y gratuito de datos deberá ser publicada en un formato que asegure que se encuentre organizada, de fácil acceso y búsqueda para que pueda ser consultada, utilizada y evaluada por cualquier ciudadano. Dicha información se considerará información pública de oficio de acuerdo a la Ley de Acceso a la Información Pública.</w:t>
            </w:r>
          </w:p>
        </w:tc>
      </w:tr>
    </w:tbl>
    <w:p w:rsidR="00F7475D" w:rsidRDefault="00F7475D">
      <w:pPr>
        <w:rPr>
          <w:bCs/>
          <w:sz w:val="24"/>
          <w:szCs w:val="24"/>
        </w:rPr>
      </w:pPr>
    </w:p>
    <w:sectPr w:rsidR="00F7475D" w:rsidSect="00463C5D">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40" w:rsidRDefault="00626A40" w:rsidP="00BF5471">
      <w:pPr>
        <w:spacing w:after="0" w:line="240" w:lineRule="auto"/>
      </w:pPr>
      <w:r>
        <w:separator/>
      </w:r>
    </w:p>
  </w:endnote>
  <w:endnote w:type="continuationSeparator" w:id="0">
    <w:p w:rsidR="00626A40" w:rsidRDefault="00626A40" w:rsidP="00BF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40" w:rsidRDefault="00626A40" w:rsidP="00BF5471">
      <w:pPr>
        <w:spacing w:after="0" w:line="240" w:lineRule="auto"/>
      </w:pPr>
      <w:r>
        <w:separator/>
      </w:r>
    </w:p>
  </w:footnote>
  <w:footnote w:type="continuationSeparator" w:id="0">
    <w:p w:rsidR="00626A40" w:rsidRDefault="00626A40" w:rsidP="00BF5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71" w:rsidRDefault="00626A40">
    <w:pPr>
      <w:pStyle w:val="Encabezado"/>
    </w:pPr>
    <w:sdt>
      <w:sdtPr>
        <w:id w:val="26388563"/>
        <w:docPartObj>
          <w:docPartGallery w:val="Page Numbers (Margins)"/>
          <w:docPartUnique/>
        </w:docPartObj>
      </w:sdtPr>
      <w:sdtEndPr/>
      <w:sdtContent>
        <w:r w:rsidR="00C5725A">
          <w:rPr>
            <w:noProof/>
            <w:lang w:eastAsia="zh-TW"/>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E29" w:rsidRDefault="00503E29">
                              <w:pPr>
                                <w:pStyle w:val="Piedepgina"/>
                                <w:rPr>
                                  <w:rFonts w:asciiTheme="majorHAnsi" w:hAnsiTheme="majorHAnsi"/>
                                  <w:sz w:val="44"/>
                                  <w:szCs w:val="44"/>
                                </w:rPr>
                              </w:pPr>
                              <w:r>
                                <w:rPr>
                                  <w:rFonts w:asciiTheme="majorHAnsi" w:hAnsiTheme="majorHAnsi"/>
                                </w:rPr>
                                <w:t>Página</w:t>
                              </w:r>
                              <w:r w:rsidR="00626A40">
                                <w:fldChar w:fldCharType="begin"/>
                              </w:r>
                              <w:r w:rsidR="00626A40">
                                <w:instrText xml:space="preserve"> PAGE    \* MERGEFORMAT </w:instrText>
                              </w:r>
                              <w:r w:rsidR="00626A40">
                                <w:fldChar w:fldCharType="separate"/>
                              </w:r>
                              <w:r w:rsidR="003F448A" w:rsidRPr="003F448A">
                                <w:rPr>
                                  <w:rFonts w:asciiTheme="majorHAnsi" w:hAnsiTheme="majorHAnsi"/>
                                  <w:noProof/>
                                  <w:sz w:val="44"/>
                                  <w:szCs w:val="44"/>
                                </w:rPr>
                                <w:t>1</w:t>
                              </w:r>
                              <w:r w:rsidR="00626A40">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9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503E29" w:rsidRDefault="00503E29">
                        <w:pPr>
                          <w:pStyle w:val="Piedepgina"/>
                          <w:rPr>
                            <w:rFonts w:asciiTheme="majorHAnsi" w:hAnsiTheme="majorHAnsi"/>
                            <w:sz w:val="44"/>
                            <w:szCs w:val="44"/>
                          </w:rPr>
                        </w:pPr>
                        <w:r>
                          <w:rPr>
                            <w:rFonts w:asciiTheme="majorHAnsi" w:hAnsiTheme="majorHAnsi"/>
                          </w:rPr>
                          <w:t>Página</w:t>
                        </w:r>
                        <w:r w:rsidR="00626A40">
                          <w:fldChar w:fldCharType="begin"/>
                        </w:r>
                        <w:r w:rsidR="00626A40">
                          <w:instrText xml:space="preserve"> PAGE    \* MERGEFORMAT </w:instrText>
                        </w:r>
                        <w:r w:rsidR="00626A40">
                          <w:fldChar w:fldCharType="separate"/>
                        </w:r>
                        <w:r w:rsidR="003F448A" w:rsidRPr="003F448A">
                          <w:rPr>
                            <w:rFonts w:asciiTheme="majorHAnsi" w:hAnsiTheme="majorHAnsi"/>
                            <w:noProof/>
                            <w:sz w:val="44"/>
                            <w:szCs w:val="44"/>
                          </w:rPr>
                          <w:t>1</w:t>
                        </w:r>
                        <w:r w:rsidR="00626A40">
                          <w:rPr>
                            <w:rFonts w:asciiTheme="majorHAnsi" w:hAnsiTheme="majorHAnsi"/>
                            <w:noProof/>
                            <w:sz w:val="44"/>
                            <w:szCs w:val="44"/>
                          </w:rPr>
                          <w:fldChar w:fldCharType="end"/>
                        </w:r>
                      </w:p>
                    </w:txbxContent>
                  </v:textbox>
                  <w10:wrap anchorx="margin" anchory="margin"/>
                </v:rect>
              </w:pict>
            </mc:Fallback>
          </mc:AlternateContent>
        </w:r>
      </w:sdtContent>
    </w:sdt>
    <w:r w:rsidR="00BF5471">
      <w:rPr>
        <w:noProof/>
        <w:lang w:eastAsia="es-ES"/>
      </w:rPr>
      <w:drawing>
        <wp:anchor distT="0" distB="0" distL="114300" distR="114300" simplePos="0" relativeHeight="251659264" behindDoc="1" locked="0" layoutInCell="1" allowOverlap="1">
          <wp:simplePos x="0" y="0"/>
          <wp:positionH relativeFrom="column">
            <wp:posOffset>4987290</wp:posOffset>
          </wp:positionH>
          <wp:positionV relativeFrom="paragraph">
            <wp:posOffset>-249555</wp:posOffset>
          </wp:positionV>
          <wp:extent cx="962660" cy="1066800"/>
          <wp:effectExtent l="19050" t="0" r="8890" b="0"/>
          <wp:wrapTight wrapText="bothSides">
            <wp:wrapPolygon edited="0">
              <wp:start x="2565" y="0"/>
              <wp:lineTo x="2565" y="12343"/>
              <wp:lineTo x="-427" y="17743"/>
              <wp:lineTo x="-427" y="19286"/>
              <wp:lineTo x="1282" y="21214"/>
              <wp:lineTo x="2137" y="21214"/>
              <wp:lineTo x="3847" y="21214"/>
              <wp:lineTo x="5557" y="21214"/>
              <wp:lineTo x="21799" y="18900"/>
              <wp:lineTo x="21799" y="17357"/>
              <wp:lineTo x="20517" y="0"/>
              <wp:lineTo x="2565" y="0"/>
            </wp:wrapPolygon>
          </wp:wrapTight>
          <wp:docPr id="5" name="Imagen 1" descr="C:\Users\USER\Downloads\GA-G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A-GT (1).png"/>
                  <pic:cNvPicPr>
                    <a:picLocks noChangeAspect="1" noChangeArrowheads="1"/>
                  </pic:cNvPicPr>
                </pic:nvPicPr>
                <pic:blipFill>
                  <a:blip r:embed="rId1" cstate="print"/>
                  <a:srcRect/>
                  <a:stretch>
                    <a:fillRect/>
                  </a:stretch>
                </pic:blipFill>
                <pic:spPr bwMode="auto">
                  <a:xfrm>
                    <a:off x="0" y="0"/>
                    <a:ext cx="962660" cy="1066800"/>
                  </a:xfrm>
                  <a:prstGeom prst="rect">
                    <a:avLst/>
                  </a:prstGeom>
                  <a:noFill/>
                  <a:ln w="9525">
                    <a:noFill/>
                    <a:miter lim="800000"/>
                    <a:headEnd/>
                    <a:tailEnd/>
                  </a:ln>
                </pic:spPr>
              </pic:pic>
            </a:graphicData>
          </a:graphic>
        </wp:anchor>
      </w:drawing>
    </w:r>
    <w:r w:rsidR="00BF5471" w:rsidRPr="00BF5471">
      <w:rPr>
        <w:noProof/>
        <w:lang w:eastAsia="es-ES"/>
      </w:rPr>
      <w:drawing>
        <wp:inline distT="0" distB="0" distL="0" distR="0">
          <wp:extent cx="1276350" cy="647700"/>
          <wp:effectExtent l="19050" t="0" r="0" b="0"/>
          <wp:docPr id="3" name="Imagen 2" descr="Macintosh HD:Users:Administrador:Desktop:baja.jpg"/>
          <wp:cNvGraphicFramePr/>
          <a:graphic xmlns:a="http://schemas.openxmlformats.org/drawingml/2006/main">
            <a:graphicData uri="http://schemas.openxmlformats.org/drawingml/2006/picture">
              <pic:pic xmlns:pic="http://schemas.openxmlformats.org/drawingml/2006/picture">
                <pic:nvPicPr>
                  <pic:cNvPr id="4" name="3 Imagen" descr="Macintosh HD:Users:Administrador:Desktop:baja.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r w:rsidR="00BF5471">
      <w:t xml:space="preserve">      </w:t>
    </w:r>
  </w:p>
  <w:p w:rsidR="00BF5471" w:rsidRDefault="00BF54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5D9F"/>
    <w:multiLevelType w:val="hybridMultilevel"/>
    <w:tmpl w:val="E8C68D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1AD39F9"/>
    <w:multiLevelType w:val="hybridMultilevel"/>
    <w:tmpl w:val="45C2A5D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E83219"/>
    <w:multiLevelType w:val="hybridMultilevel"/>
    <w:tmpl w:val="C538958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9425A0D"/>
    <w:multiLevelType w:val="hybridMultilevel"/>
    <w:tmpl w:val="64C663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1"/>
    <w:rsid w:val="00005643"/>
    <w:rsid w:val="00010FC7"/>
    <w:rsid w:val="00012B15"/>
    <w:rsid w:val="000A41D5"/>
    <w:rsid w:val="000C0137"/>
    <w:rsid w:val="000F5E14"/>
    <w:rsid w:val="00122B81"/>
    <w:rsid w:val="00130AFA"/>
    <w:rsid w:val="00134A38"/>
    <w:rsid w:val="00143D99"/>
    <w:rsid w:val="00165ABB"/>
    <w:rsid w:val="00167480"/>
    <w:rsid w:val="001825D2"/>
    <w:rsid w:val="001972A7"/>
    <w:rsid w:val="001D01A9"/>
    <w:rsid w:val="001F58B3"/>
    <w:rsid w:val="00200D08"/>
    <w:rsid w:val="00225FF4"/>
    <w:rsid w:val="0023407F"/>
    <w:rsid w:val="002473BE"/>
    <w:rsid w:val="0025182F"/>
    <w:rsid w:val="002E368C"/>
    <w:rsid w:val="002E4162"/>
    <w:rsid w:val="002F3F80"/>
    <w:rsid w:val="002F424B"/>
    <w:rsid w:val="002F6D2D"/>
    <w:rsid w:val="00312BF1"/>
    <w:rsid w:val="00312F86"/>
    <w:rsid w:val="00366187"/>
    <w:rsid w:val="003C5940"/>
    <w:rsid w:val="003D173D"/>
    <w:rsid w:val="003E01A5"/>
    <w:rsid w:val="003E1A47"/>
    <w:rsid w:val="003F448A"/>
    <w:rsid w:val="0042007E"/>
    <w:rsid w:val="00453562"/>
    <w:rsid w:val="00460954"/>
    <w:rsid w:val="00463C5D"/>
    <w:rsid w:val="004C2EC7"/>
    <w:rsid w:val="004C437F"/>
    <w:rsid w:val="004D0E21"/>
    <w:rsid w:val="004E51F6"/>
    <w:rsid w:val="004F2A0B"/>
    <w:rsid w:val="00503E29"/>
    <w:rsid w:val="005106A3"/>
    <w:rsid w:val="005148C8"/>
    <w:rsid w:val="005167C0"/>
    <w:rsid w:val="005345E2"/>
    <w:rsid w:val="005522BB"/>
    <w:rsid w:val="00583985"/>
    <w:rsid w:val="005A3CF6"/>
    <w:rsid w:val="005B1260"/>
    <w:rsid w:val="005B14D6"/>
    <w:rsid w:val="005B1BA5"/>
    <w:rsid w:val="005B47AC"/>
    <w:rsid w:val="005C10D7"/>
    <w:rsid w:val="005D573A"/>
    <w:rsid w:val="005F0381"/>
    <w:rsid w:val="006037C0"/>
    <w:rsid w:val="0061088B"/>
    <w:rsid w:val="0062378F"/>
    <w:rsid w:val="00626A40"/>
    <w:rsid w:val="00636350"/>
    <w:rsid w:val="006433B2"/>
    <w:rsid w:val="00654AEB"/>
    <w:rsid w:val="00661EE0"/>
    <w:rsid w:val="006805AA"/>
    <w:rsid w:val="00682FD5"/>
    <w:rsid w:val="00685574"/>
    <w:rsid w:val="006A35D9"/>
    <w:rsid w:val="006E7FD6"/>
    <w:rsid w:val="007003EF"/>
    <w:rsid w:val="00717B37"/>
    <w:rsid w:val="00723628"/>
    <w:rsid w:val="00740414"/>
    <w:rsid w:val="00760FCA"/>
    <w:rsid w:val="00774B93"/>
    <w:rsid w:val="00776FC6"/>
    <w:rsid w:val="007B74D2"/>
    <w:rsid w:val="008168E2"/>
    <w:rsid w:val="00820E1B"/>
    <w:rsid w:val="00833410"/>
    <w:rsid w:val="00843267"/>
    <w:rsid w:val="008543B2"/>
    <w:rsid w:val="008549A8"/>
    <w:rsid w:val="0088296E"/>
    <w:rsid w:val="00896D77"/>
    <w:rsid w:val="008A7437"/>
    <w:rsid w:val="008C0597"/>
    <w:rsid w:val="008E5E3A"/>
    <w:rsid w:val="008E6CC8"/>
    <w:rsid w:val="0098515F"/>
    <w:rsid w:val="009955B5"/>
    <w:rsid w:val="009A09F7"/>
    <w:rsid w:val="009D22DA"/>
    <w:rsid w:val="009D24F7"/>
    <w:rsid w:val="00A15E60"/>
    <w:rsid w:val="00A2671C"/>
    <w:rsid w:val="00A27D2D"/>
    <w:rsid w:val="00A552B1"/>
    <w:rsid w:val="00A94E7F"/>
    <w:rsid w:val="00AE0CE5"/>
    <w:rsid w:val="00B12587"/>
    <w:rsid w:val="00B263CF"/>
    <w:rsid w:val="00B32944"/>
    <w:rsid w:val="00B41A72"/>
    <w:rsid w:val="00B46F94"/>
    <w:rsid w:val="00B5358A"/>
    <w:rsid w:val="00B857D1"/>
    <w:rsid w:val="00B90043"/>
    <w:rsid w:val="00BF43C9"/>
    <w:rsid w:val="00BF5471"/>
    <w:rsid w:val="00C06515"/>
    <w:rsid w:val="00C1681C"/>
    <w:rsid w:val="00C5725A"/>
    <w:rsid w:val="00C82C5C"/>
    <w:rsid w:val="00CE7E4B"/>
    <w:rsid w:val="00CF30D4"/>
    <w:rsid w:val="00D21BA6"/>
    <w:rsid w:val="00D45B29"/>
    <w:rsid w:val="00DA2A4C"/>
    <w:rsid w:val="00DB1611"/>
    <w:rsid w:val="00DE17C5"/>
    <w:rsid w:val="00DF0DF8"/>
    <w:rsid w:val="00E119DF"/>
    <w:rsid w:val="00E131D2"/>
    <w:rsid w:val="00E34655"/>
    <w:rsid w:val="00E523DE"/>
    <w:rsid w:val="00E55C04"/>
    <w:rsid w:val="00E72053"/>
    <w:rsid w:val="00E8326E"/>
    <w:rsid w:val="00E9011C"/>
    <w:rsid w:val="00EB3F3A"/>
    <w:rsid w:val="00EC32C5"/>
    <w:rsid w:val="00ED7CA5"/>
    <w:rsid w:val="00F10126"/>
    <w:rsid w:val="00F20611"/>
    <w:rsid w:val="00F66995"/>
    <w:rsid w:val="00F7475D"/>
    <w:rsid w:val="00F84445"/>
    <w:rsid w:val="00F84F70"/>
    <w:rsid w:val="00F920AE"/>
    <w:rsid w:val="00F93758"/>
    <w:rsid w:val="00FE5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928C5-8593-47F3-9B4E-F9194DC7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C5D"/>
  </w:style>
  <w:style w:type="paragraph" w:styleId="Ttulo1">
    <w:name w:val="heading 1"/>
    <w:basedOn w:val="Normal"/>
    <w:link w:val="Ttulo1Car"/>
    <w:uiPriority w:val="9"/>
    <w:qFormat/>
    <w:rsid w:val="00460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BF54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F5471"/>
  </w:style>
  <w:style w:type="paragraph" w:styleId="Piedepgina">
    <w:name w:val="footer"/>
    <w:basedOn w:val="Normal"/>
    <w:link w:val="PiedepginaCar"/>
    <w:uiPriority w:val="99"/>
    <w:unhideWhenUsed/>
    <w:rsid w:val="00BF54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5471"/>
  </w:style>
  <w:style w:type="paragraph" w:styleId="Textodeglobo">
    <w:name w:val="Balloon Text"/>
    <w:basedOn w:val="Normal"/>
    <w:link w:val="TextodegloboCar"/>
    <w:uiPriority w:val="99"/>
    <w:semiHidden/>
    <w:unhideWhenUsed/>
    <w:rsid w:val="00BF54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471"/>
    <w:rPr>
      <w:rFonts w:ascii="Tahoma" w:hAnsi="Tahoma" w:cs="Tahoma"/>
      <w:sz w:val="16"/>
      <w:szCs w:val="16"/>
    </w:rPr>
  </w:style>
  <w:style w:type="table" w:styleId="Sombreadoclaro-nfasis1">
    <w:name w:val="Light Shading Accent 1"/>
    <w:basedOn w:val="Tablanormal"/>
    <w:uiPriority w:val="60"/>
    <w:rsid w:val="00661EE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6363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460954"/>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843267"/>
    <w:pPr>
      <w:ind w:left="720"/>
      <w:contextualSpacing/>
    </w:pPr>
  </w:style>
  <w:style w:type="character" w:styleId="Hipervnculo">
    <w:name w:val="Hyperlink"/>
    <w:basedOn w:val="Fuentedeprrafopredeter"/>
    <w:uiPriority w:val="99"/>
    <w:unhideWhenUsed/>
    <w:rsid w:val="00843267"/>
    <w:rPr>
      <w:color w:val="0000FF" w:themeColor="hyperlink"/>
      <w:u w:val="single"/>
    </w:rPr>
  </w:style>
  <w:style w:type="character" w:styleId="Hipervnculovisitado">
    <w:name w:val="FollowedHyperlink"/>
    <w:basedOn w:val="Fuentedeprrafopredeter"/>
    <w:uiPriority w:val="99"/>
    <w:semiHidden/>
    <w:unhideWhenUsed/>
    <w:rsid w:val="00197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54032">
      <w:bodyDiv w:val="1"/>
      <w:marLeft w:val="0"/>
      <w:marRight w:val="0"/>
      <w:marTop w:val="0"/>
      <w:marBottom w:val="0"/>
      <w:divBdr>
        <w:top w:val="none" w:sz="0" w:space="0" w:color="auto"/>
        <w:left w:val="none" w:sz="0" w:space="0" w:color="auto"/>
        <w:bottom w:val="none" w:sz="0" w:space="0" w:color="auto"/>
        <w:right w:val="none" w:sz="0" w:space="0" w:color="auto"/>
      </w:divBdr>
    </w:div>
    <w:div w:id="1583491326">
      <w:bodyDiv w:val="1"/>
      <w:marLeft w:val="0"/>
      <w:marRight w:val="0"/>
      <w:marTop w:val="0"/>
      <w:marBottom w:val="0"/>
      <w:divBdr>
        <w:top w:val="none" w:sz="0" w:space="0" w:color="auto"/>
        <w:left w:val="none" w:sz="0" w:space="0" w:color="auto"/>
        <w:bottom w:val="none" w:sz="0" w:space="0" w:color="auto"/>
        <w:right w:val="none" w:sz="0" w:space="0" w:color="auto"/>
      </w:divBdr>
    </w:div>
    <w:div w:id="1955207268">
      <w:bodyDiv w:val="1"/>
      <w:marLeft w:val="0"/>
      <w:marRight w:val="0"/>
      <w:marTop w:val="0"/>
      <w:marBottom w:val="0"/>
      <w:divBdr>
        <w:top w:val="none" w:sz="0" w:space="0" w:color="auto"/>
        <w:left w:val="none" w:sz="0" w:space="0" w:color="auto"/>
        <w:bottom w:val="none" w:sz="0" w:space="0" w:color="auto"/>
        <w:right w:val="none" w:sz="0" w:space="0" w:color="auto"/>
      </w:divBdr>
    </w:div>
    <w:div w:id="20756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fin.gob.gt/images/downloads/leyes_presupuesto/presupuesto_circulares/2017/oficio_circular_1dtp.pdf"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gob.gt/index.php/?option=com_content&amp;view=article&amp;id=1755&amp;Itemid=1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gob.gt/index.php/?option=com_content&amp;view=article&amp;id=3508&amp;Itemid=3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minfin.gob.gt/images/downloads/informes_gestion/guia_060715.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08E9-779F-4C99-B769-D464607A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1467</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transpfis08</dc:creator>
  <cp:keywords/>
  <dc:description/>
  <cp:lastModifiedBy>Javier Augusto  Estrada Gordillo</cp:lastModifiedBy>
  <cp:revision>1</cp:revision>
  <dcterms:created xsi:type="dcterms:W3CDTF">2017-10-25T15:44:00Z</dcterms:created>
  <dcterms:modified xsi:type="dcterms:W3CDTF">2017-10-25T15:44:00Z</dcterms:modified>
</cp:coreProperties>
</file>