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8F312E" w:rsidRDefault="008F312E"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8F312E" w:rsidSect="00754057">
          <w:headerReference w:type="default" r:id="rId8"/>
          <w:footerReference w:type="default" r:id="rId9"/>
          <w:pgSz w:w="12240" w:h="15840" w:code="1"/>
          <w:pgMar w:top="1418" w:right="1418" w:bottom="1418" w:left="1418" w:header="709" w:footer="709" w:gutter="0"/>
          <w:cols w:space="708"/>
          <w:docGrid w:linePitch="360"/>
        </w:sectPr>
      </w:pPr>
      <w:r w:rsidRPr="008F312E">
        <w:rPr>
          <w:rFonts w:ascii="Times New Roman" w:hAnsi="Times New Roman" w:cs="Times New Roman"/>
          <w:b/>
          <w:lang w:val="es-MX"/>
        </w:rPr>
        <w:t xml:space="preserve">Gestión </w:t>
      </w:r>
      <w:r>
        <w:rPr>
          <w:rFonts w:ascii="Times New Roman" w:hAnsi="Times New Roman" w:cs="Times New Roman"/>
          <w:b/>
          <w:lang w:val="es-MX"/>
        </w:rPr>
        <w:t>financiera seguirá mostrando superávit fiscal en los próximos dos meses</w:t>
      </w:r>
    </w:p>
    <w:p w:rsidR="007D4651" w:rsidRPr="0034700C" w:rsidRDefault="007D4651" w:rsidP="007D4651">
      <w:pPr>
        <w:pStyle w:val="Sinespaciado"/>
        <w:rPr>
          <w:rFonts w:ascii="Times New Roman" w:hAnsi="Times New Roman" w:cs="Times New Roman"/>
          <w:b/>
          <w:color w:val="FF0000"/>
          <w:sz w:val="18"/>
          <w:lang w:val="es-MX"/>
        </w:rPr>
      </w:pPr>
    </w:p>
    <w:p w:rsidR="007D4651" w:rsidRPr="0034700C" w:rsidRDefault="007D4651" w:rsidP="007D4651">
      <w:pPr>
        <w:pStyle w:val="Sinespaciado"/>
        <w:jc w:val="center"/>
        <w:rPr>
          <w:rFonts w:ascii="Times New Roman" w:hAnsi="Times New Roman" w:cs="Times New Roman"/>
          <w:b/>
          <w:color w:val="FF0000"/>
          <w:lang w:val="es-MX"/>
        </w:rPr>
        <w:sectPr w:rsidR="007D4651" w:rsidRPr="0034700C" w:rsidSect="00213F7F">
          <w:type w:val="continuous"/>
          <w:pgSz w:w="12240" w:h="15840"/>
          <w:pgMar w:top="1417" w:right="1701" w:bottom="1417" w:left="1701" w:header="708" w:footer="708" w:gutter="0"/>
          <w:cols w:space="708"/>
          <w:docGrid w:linePitch="360"/>
        </w:sectPr>
      </w:pPr>
    </w:p>
    <w:p w:rsidR="008F312E" w:rsidRDefault="008F312E" w:rsidP="008F312E">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lastRenderedPageBreak/>
        <w:t xml:space="preserve">La baja ejecución de gasto público que se ha observado a lo largo del año y la leve recuperación en mayo de la recaudación tributaria como resultado de los pagos de algunas empresas, han incidido en que el resultado fiscal del gobierno se mantenga superavitario y se prevé que este prevalezca al menos por dos meses más. </w:t>
      </w:r>
    </w:p>
    <w:p w:rsidR="008F312E" w:rsidRDefault="008F312E" w:rsidP="008F312E">
      <w:pPr>
        <w:pStyle w:val="Sinespaciado"/>
        <w:jc w:val="both"/>
        <w:rPr>
          <w:rFonts w:ascii="Times New Roman" w:hAnsi="Times New Roman" w:cs="Times New Roman"/>
          <w:color w:val="000000" w:themeColor="text1"/>
          <w:lang w:val="es-MX"/>
        </w:rPr>
      </w:pPr>
    </w:p>
    <w:p w:rsidR="008F312E" w:rsidRDefault="008F312E" w:rsidP="008F312E">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De esa cuenta, e</w:t>
      </w:r>
      <w:r w:rsidRPr="00A77A7C">
        <w:rPr>
          <w:rFonts w:ascii="Times New Roman" w:hAnsi="Times New Roman" w:cs="Times New Roman"/>
          <w:color w:val="000000" w:themeColor="text1"/>
          <w:lang w:val="es-MX"/>
        </w:rPr>
        <w:t>l superávit fiscal se sit</w:t>
      </w:r>
      <w:r>
        <w:rPr>
          <w:rFonts w:ascii="Times New Roman" w:hAnsi="Times New Roman" w:cs="Times New Roman"/>
          <w:color w:val="000000" w:themeColor="text1"/>
          <w:lang w:val="es-MX"/>
        </w:rPr>
        <w:t>uó</w:t>
      </w:r>
      <w:r w:rsidRPr="00A77A7C">
        <w:rPr>
          <w:rFonts w:ascii="Times New Roman" w:hAnsi="Times New Roman" w:cs="Times New Roman"/>
          <w:color w:val="000000" w:themeColor="text1"/>
          <w:lang w:val="es-MX"/>
        </w:rPr>
        <w:t xml:space="preserve"> al cierre </w:t>
      </w:r>
      <w:r>
        <w:rPr>
          <w:rFonts w:ascii="Times New Roman" w:hAnsi="Times New Roman" w:cs="Times New Roman"/>
          <w:color w:val="000000" w:themeColor="text1"/>
          <w:lang w:val="es-MX"/>
        </w:rPr>
        <w:t xml:space="preserve">de mayo del presente </w:t>
      </w:r>
      <w:r w:rsidRPr="00A77A7C">
        <w:rPr>
          <w:rFonts w:ascii="Times New Roman" w:hAnsi="Times New Roman" w:cs="Times New Roman"/>
          <w:color w:val="000000" w:themeColor="text1"/>
          <w:lang w:val="es-MX"/>
        </w:rPr>
        <w:t xml:space="preserve"> año en Q</w:t>
      </w:r>
      <w:r>
        <w:rPr>
          <w:rFonts w:ascii="Times New Roman" w:hAnsi="Times New Roman" w:cs="Times New Roman"/>
          <w:color w:val="000000" w:themeColor="text1"/>
          <w:lang w:val="es-MX"/>
        </w:rPr>
        <w:t xml:space="preserve"> 1,428.3</w:t>
      </w:r>
      <w:r w:rsidRPr="00A77A7C">
        <w:rPr>
          <w:rFonts w:ascii="Times New Roman" w:hAnsi="Times New Roman" w:cs="Times New Roman"/>
          <w:color w:val="000000" w:themeColor="text1"/>
          <w:lang w:val="es-MX"/>
        </w:rPr>
        <w:t xml:space="preserve"> millones, en igual fecha del año anterior se obtuvo un déficit de </w:t>
      </w:r>
      <w:r>
        <w:rPr>
          <w:rFonts w:ascii="Times New Roman" w:hAnsi="Times New Roman" w:cs="Times New Roman"/>
          <w:color w:val="000000" w:themeColor="text1"/>
          <w:lang w:val="es-MX"/>
        </w:rPr>
        <w:t xml:space="preserve">Q 2,795.6 millones.  Es </w:t>
      </w:r>
      <w:r>
        <w:rPr>
          <w:rFonts w:ascii="Times New Roman" w:hAnsi="Times New Roman" w:cs="Times New Roman"/>
          <w:color w:val="000000" w:themeColor="text1"/>
          <w:lang w:val="es-MX"/>
        </w:rPr>
        <w:lastRenderedPageBreak/>
        <w:t>importante indicar que si el nivel de gasto y de los ingresos mostrará el comportamiento estacional de los últimos años el déficit fiscal se hubiera situado en cerca de Q 2,408.6 millones.</w:t>
      </w:r>
    </w:p>
    <w:p w:rsidR="008F312E" w:rsidRPr="00A77A7C" w:rsidRDefault="008F312E" w:rsidP="008F312E">
      <w:pPr>
        <w:pStyle w:val="Sinespaciado"/>
        <w:jc w:val="both"/>
        <w:rPr>
          <w:rFonts w:ascii="Times New Roman" w:hAnsi="Times New Roman" w:cs="Times New Roman"/>
          <w:color w:val="000000" w:themeColor="text1"/>
          <w:lang w:val="es-MX"/>
        </w:rPr>
      </w:pPr>
    </w:p>
    <w:p w:rsidR="007D4651" w:rsidRPr="0034700C" w:rsidRDefault="008F312E" w:rsidP="008F312E">
      <w:pPr>
        <w:pStyle w:val="Sinespaciado"/>
        <w:jc w:val="both"/>
        <w:rPr>
          <w:rFonts w:ascii="Times New Roman" w:hAnsi="Times New Roman" w:cs="Times New Roman"/>
          <w:color w:val="FF0000"/>
          <w:lang w:val="es-MX"/>
        </w:rPr>
      </w:pPr>
      <w:r>
        <w:rPr>
          <w:rFonts w:ascii="Times New Roman" w:hAnsi="Times New Roman" w:cs="Times New Roman"/>
          <w:color w:val="000000" w:themeColor="text1"/>
          <w:lang w:val="es-MX"/>
        </w:rPr>
        <w:t>De acuerdo a la cuota financiera aprobada para junio y las expectativas de ingresos y gastos para julio se prevé que el superávit fiscal se mantenga aunque con un nivel más bajo cercano al equilibrio.</w:t>
      </w:r>
      <w:r w:rsidR="007D4651" w:rsidRPr="0034700C">
        <w:rPr>
          <w:rFonts w:ascii="Times New Roman" w:hAnsi="Times New Roman" w:cs="Times New Roman"/>
          <w:color w:val="FF0000"/>
          <w:lang w:val="es-MX"/>
        </w:rPr>
        <w:t xml:space="preserve"> </w:t>
      </w:r>
    </w:p>
    <w:p w:rsidR="007D4651" w:rsidRPr="0034700C" w:rsidRDefault="007D4651" w:rsidP="007D4651">
      <w:pPr>
        <w:pStyle w:val="Sinespaciado"/>
        <w:jc w:val="both"/>
        <w:rPr>
          <w:rFonts w:ascii="Times New Roman" w:hAnsi="Times New Roman" w:cs="Times New Roman"/>
          <w:color w:val="FF0000"/>
          <w:lang w:val="es-MX"/>
        </w:rPr>
      </w:pPr>
    </w:p>
    <w:p w:rsidR="007D4651" w:rsidRPr="0034700C" w:rsidRDefault="007D4651" w:rsidP="007D4651">
      <w:pPr>
        <w:pStyle w:val="Sinespaciado"/>
        <w:jc w:val="center"/>
        <w:rPr>
          <w:rFonts w:ascii="Times New Roman" w:hAnsi="Times New Roman" w:cs="Times New Roman"/>
          <w:b/>
          <w:color w:val="FF0000"/>
          <w:lang w:val="es-MX"/>
        </w:rPr>
        <w:sectPr w:rsidR="007D4651" w:rsidRPr="0034700C" w:rsidSect="005D6A2E">
          <w:type w:val="continuous"/>
          <w:pgSz w:w="12240" w:h="15840"/>
          <w:pgMar w:top="1417" w:right="1701" w:bottom="1417" w:left="1701" w:header="708" w:footer="708" w:gutter="0"/>
          <w:cols w:num="2" w:space="708"/>
          <w:docGrid w:linePitch="360"/>
        </w:sectPr>
      </w:pPr>
    </w:p>
    <w:p w:rsidR="007D4651" w:rsidRPr="0034700C" w:rsidRDefault="007D4651" w:rsidP="007D4651">
      <w:pPr>
        <w:pStyle w:val="Sinespaciado"/>
        <w:jc w:val="center"/>
        <w:rPr>
          <w:rFonts w:ascii="Times New Roman" w:hAnsi="Times New Roman" w:cs="Times New Roman"/>
          <w:b/>
          <w:color w:val="FF0000"/>
          <w:lang w:val="es-MX"/>
        </w:rPr>
      </w:pPr>
    </w:p>
    <w:p w:rsidR="007D4651" w:rsidRPr="0034700C" w:rsidRDefault="007D4651" w:rsidP="007D4651">
      <w:pPr>
        <w:pStyle w:val="Sinespaciado"/>
        <w:jc w:val="center"/>
        <w:rPr>
          <w:rFonts w:ascii="Times New Roman" w:hAnsi="Times New Roman" w:cs="Times New Roman"/>
          <w:b/>
          <w:color w:val="FF0000"/>
          <w:lang w:val="es-MX"/>
        </w:rPr>
        <w:sectPr w:rsidR="007D4651" w:rsidRPr="0034700C" w:rsidSect="007D4651">
          <w:type w:val="continuous"/>
          <w:pgSz w:w="12240" w:h="15840" w:code="1"/>
          <w:pgMar w:top="1418" w:right="1418" w:bottom="1418" w:left="1418" w:header="709" w:footer="709" w:gutter="0"/>
          <w:cols w:num="2" w:space="708"/>
          <w:docGrid w:linePitch="360"/>
        </w:sectPr>
      </w:pPr>
    </w:p>
    <w:p w:rsidR="007D4651" w:rsidRPr="008F312E" w:rsidRDefault="007D4651" w:rsidP="00910163">
      <w:pPr>
        <w:pStyle w:val="Sinespaciado"/>
        <w:jc w:val="center"/>
        <w:rPr>
          <w:rFonts w:ascii="Times New Roman" w:hAnsi="Times New Roman" w:cs="Times New Roman"/>
          <w:b/>
          <w:lang w:val="es-MX"/>
        </w:rPr>
      </w:pPr>
      <w:r w:rsidRPr="008F312E">
        <w:rPr>
          <w:rFonts w:ascii="Times New Roman" w:hAnsi="Times New Roman" w:cs="Times New Roman"/>
          <w:b/>
          <w:lang w:val="es-MX"/>
        </w:rPr>
        <w:lastRenderedPageBreak/>
        <w:t>Resultado Presupuestario</w:t>
      </w:r>
    </w:p>
    <w:p w:rsidR="00BC79C1" w:rsidRPr="008F312E" w:rsidRDefault="008F312E" w:rsidP="00BC79C1">
      <w:pPr>
        <w:pStyle w:val="Sinespaciado"/>
        <w:jc w:val="center"/>
        <w:rPr>
          <w:rFonts w:ascii="Times New Roman" w:hAnsi="Times New Roman" w:cs="Times New Roman"/>
          <w:b/>
          <w:lang w:val="es-MX"/>
        </w:rPr>
      </w:pPr>
      <w:r w:rsidRPr="008F312E">
        <w:rPr>
          <w:rFonts w:ascii="Times New Roman" w:hAnsi="Times New Roman" w:cs="Times New Roman"/>
          <w:b/>
          <w:lang w:val="es-MX"/>
        </w:rPr>
        <w:t>Al 31</w:t>
      </w:r>
      <w:r w:rsidR="00BC79C1" w:rsidRPr="008F312E">
        <w:rPr>
          <w:rFonts w:ascii="Times New Roman" w:hAnsi="Times New Roman" w:cs="Times New Roman"/>
          <w:b/>
          <w:lang w:val="es-MX"/>
        </w:rPr>
        <w:t xml:space="preserve"> de </w:t>
      </w:r>
      <w:r w:rsidRPr="008F312E">
        <w:rPr>
          <w:rFonts w:ascii="Times New Roman" w:hAnsi="Times New Roman" w:cs="Times New Roman"/>
          <w:b/>
          <w:lang w:val="es-MX"/>
        </w:rPr>
        <w:t>mayo</w:t>
      </w:r>
      <w:r w:rsidR="00BC79C1" w:rsidRPr="008F312E">
        <w:rPr>
          <w:rFonts w:ascii="Times New Roman" w:hAnsi="Times New Roman" w:cs="Times New Roman"/>
          <w:b/>
          <w:lang w:val="es-MX"/>
        </w:rPr>
        <w:t xml:space="preserve"> de cada año</w:t>
      </w:r>
    </w:p>
    <w:p w:rsidR="00BC79C1" w:rsidRPr="008F312E" w:rsidRDefault="00BC79C1" w:rsidP="00BC79C1">
      <w:pPr>
        <w:pStyle w:val="Sinespaciado"/>
        <w:jc w:val="center"/>
        <w:rPr>
          <w:rFonts w:ascii="Times New Roman" w:hAnsi="Times New Roman" w:cs="Times New Roman"/>
          <w:sz w:val="18"/>
          <w:lang w:val="es-MX"/>
        </w:rPr>
      </w:pPr>
      <w:r w:rsidRPr="008F312E">
        <w:rPr>
          <w:rFonts w:ascii="Times New Roman" w:hAnsi="Times New Roman" w:cs="Times New Roman"/>
          <w:sz w:val="18"/>
          <w:lang w:val="es-MX"/>
        </w:rPr>
        <w:t>Millones de quetzales</w:t>
      </w:r>
    </w:p>
    <w:p w:rsidR="007D4651" w:rsidRPr="0034700C" w:rsidRDefault="008F312E" w:rsidP="007D4651">
      <w:pPr>
        <w:pStyle w:val="Sinespaciado"/>
        <w:jc w:val="center"/>
        <w:rPr>
          <w:rFonts w:ascii="Times New Roman" w:hAnsi="Times New Roman" w:cs="Times New Roman"/>
          <w:color w:val="FF0000"/>
          <w:lang w:val="es-MX"/>
        </w:rPr>
      </w:pPr>
      <w:r>
        <w:rPr>
          <w:rFonts w:ascii="Times New Roman" w:hAnsi="Times New Roman" w:cs="Times New Roman"/>
          <w:noProof/>
          <w:lang w:eastAsia="es-GT"/>
        </w:rPr>
        <w:drawing>
          <wp:inline distT="0" distB="0" distL="0" distR="0" wp14:anchorId="78C14B46" wp14:editId="2A71A555">
            <wp:extent cx="3254188" cy="2426136"/>
            <wp:effectExtent l="0" t="0" r="381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4730" cy="2426540"/>
                    </a:xfrm>
                    <a:prstGeom prst="rect">
                      <a:avLst/>
                    </a:prstGeom>
                    <a:noFill/>
                  </pic:spPr>
                </pic:pic>
              </a:graphicData>
            </a:graphic>
          </wp:inline>
        </w:drawing>
      </w:r>
    </w:p>
    <w:p w:rsidR="007D4651" w:rsidRPr="008F312E" w:rsidRDefault="007D4651" w:rsidP="00CC3420">
      <w:pPr>
        <w:pStyle w:val="Sinespaciado"/>
        <w:ind w:left="1416" w:firstLine="708"/>
        <w:jc w:val="both"/>
        <w:rPr>
          <w:rFonts w:ascii="Times New Roman" w:hAnsi="Times New Roman" w:cs="Times New Roman"/>
          <w:sz w:val="16"/>
        </w:rPr>
      </w:pPr>
      <w:r w:rsidRPr="008F312E">
        <w:rPr>
          <w:rFonts w:ascii="Times New Roman" w:hAnsi="Times New Roman" w:cs="Times New Roman"/>
          <w:sz w:val="16"/>
        </w:rPr>
        <w:t>Fuente: Dirección de Análisis y Política fiscal</w:t>
      </w:r>
    </w:p>
    <w:p w:rsidR="00DF71A8" w:rsidRPr="0034700C" w:rsidRDefault="00DF71A8" w:rsidP="007D4651">
      <w:pPr>
        <w:spacing w:after="0" w:line="240" w:lineRule="auto"/>
        <w:rPr>
          <w:rFonts w:ascii="Times New Roman" w:hAnsi="Times New Roman" w:cs="Times New Roman"/>
          <w:color w:val="FF0000"/>
          <w:lang w:val="es-MX"/>
        </w:rPr>
      </w:pPr>
    </w:p>
    <w:p w:rsidR="00DF71A8" w:rsidRPr="0034700C" w:rsidRDefault="00DF71A8" w:rsidP="007D4651">
      <w:pPr>
        <w:spacing w:after="0" w:line="240" w:lineRule="auto"/>
        <w:rPr>
          <w:rFonts w:ascii="Times New Roman" w:hAnsi="Times New Roman" w:cs="Times New Roman"/>
          <w:color w:val="FF0000"/>
          <w:lang w:val="es-MX"/>
        </w:rPr>
        <w:sectPr w:rsidR="00DF71A8" w:rsidRPr="0034700C" w:rsidSect="007D4651">
          <w:type w:val="continuous"/>
          <w:pgSz w:w="12240" w:h="15840" w:code="1"/>
          <w:pgMar w:top="1418" w:right="1418" w:bottom="1418" w:left="1418" w:header="709" w:footer="709" w:gutter="0"/>
          <w:cols w:space="708"/>
          <w:docGrid w:linePitch="360"/>
        </w:sectPr>
      </w:pPr>
    </w:p>
    <w:p w:rsidR="00E16925" w:rsidRPr="003C7085" w:rsidRDefault="00C442DC" w:rsidP="00CC3420">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Pr>
          <w:rFonts w:ascii="Times New Roman" w:hAnsi="Times New Roman" w:cs="Times New Roman"/>
          <w:b/>
          <w:lang w:val="es-MX"/>
        </w:rPr>
        <w:lastRenderedPageBreak/>
        <w:t>Aumento importante en la r</w:t>
      </w:r>
      <w:r w:rsidR="003C7085" w:rsidRPr="003C7085">
        <w:rPr>
          <w:rFonts w:ascii="Times New Roman" w:hAnsi="Times New Roman" w:cs="Times New Roman"/>
          <w:b/>
          <w:lang w:val="es-MX"/>
        </w:rPr>
        <w:t xml:space="preserve">ecaudación </w:t>
      </w:r>
      <w:r>
        <w:rPr>
          <w:rFonts w:ascii="Times New Roman" w:hAnsi="Times New Roman" w:cs="Times New Roman"/>
          <w:b/>
          <w:lang w:val="es-MX"/>
        </w:rPr>
        <w:t>tributaria</w:t>
      </w:r>
    </w:p>
    <w:p w:rsidR="00E16925" w:rsidRPr="0034700C" w:rsidRDefault="00E16925" w:rsidP="00E16925">
      <w:pPr>
        <w:rPr>
          <w:rFonts w:ascii="Times New Roman" w:hAnsi="Times New Roman" w:cs="Times New Roman"/>
          <w:b/>
          <w:color w:val="FF0000"/>
          <w:lang w:val="es-MX"/>
        </w:rPr>
        <w:sectPr w:rsidR="00E16925" w:rsidRPr="0034700C"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p>
    <w:p w:rsidR="00E16925" w:rsidRPr="0034700C" w:rsidRDefault="00E16925" w:rsidP="00E16925">
      <w:pPr>
        <w:pStyle w:val="Sinespaciado"/>
        <w:rPr>
          <w:rFonts w:ascii="Times New Roman" w:hAnsi="Times New Roman" w:cs="Times New Roman"/>
          <w:b/>
          <w:color w:val="FF0000"/>
          <w:sz w:val="18"/>
          <w:lang w:val="es-MX"/>
        </w:rPr>
      </w:pPr>
    </w:p>
    <w:p w:rsidR="00E16925" w:rsidRPr="0034700C" w:rsidRDefault="00E16925" w:rsidP="00E16925">
      <w:pPr>
        <w:pStyle w:val="Sinespaciado"/>
        <w:jc w:val="center"/>
        <w:rPr>
          <w:rFonts w:ascii="Times New Roman" w:hAnsi="Times New Roman" w:cs="Times New Roman"/>
          <w:b/>
          <w:color w:val="FF0000"/>
          <w:lang w:val="es-MX"/>
        </w:rPr>
        <w:sectPr w:rsidR="00E16925" w:rsidRPr="0034700C" w:rsidSect="00213F7F">
          <w:type w:val="continuous"/>
          <w:pgSz w:w="12240" w:h="15840"/>
          <w:pgMar w:top="1417" w:right="1701" w:bottom="1417" w:left="1701" w:header="708" w:footer="708" w:gutter="0"/>
          <w:cols w:space="708"/>
          <w:docGrid w:linePitch="360"/>
        </w:sectPr>
      </w:pPr>
    </w:p>
    <w:p w:rsidR="00C442DC" w:rsidRDefault="00C442DC" w:rsidP="003C7085">
      <w:pPr>
        <w:spacing w:after="0" w:line="240" w:lineRule="auto"/>
        <w:jc w:val="both"/>
        <w:rPr>
          <w:rFonts w:ascii="Times New Roman" w:hAnsi="Times New Roman" w:cs="Times New Roman"/>
          <w:lang w:val="es-MX"/>
        </w:rPr>
      </w:pPr>
      <w:r>
        <w:rPr>
          <w:rFonts w:ascii="Times New Roman" w:hAnsi="Times New Roman" w:cs="Times New Roman"/>
          <w:lang w:val="es-MX"/>
        </w:rPr>
        <w:lastRenderedPageBreak/>
        <w:t xml:space="preserve">Información preliminar de recaudación acumulada a mayo da cuenta de un crecimiento de 6.3% (Q1,317.8 millones) respecto a lo observado a la misma fecha del año anterior, dicho crecimiento se basa en el desempeño positivo del ISR, ISO, el IVA doméstico, los derechos arancelarios, los derivados del petróleo y los </w:t>
      </w:r>
      <w:r>
        <w:rPr>
          <w:rFonts w:ascii="Times New Roman" w:hAnsi="Times New Roman" w:cs="Times New Roman"/>
          <w:lang w:val="es-MX"/>
        </w:rPr>
        <w:lastRenderedPageBreak/>
        <w:t>impuestos específicos (excepto el cemento por cambio de tasa que pasó de Q5.00 por saco a Q1.50 por saco, de conformidad a lo resuelto por la Corte de Constitucionalidad).</w:t>
      </w:r>
    </w:p>
    <w:p w:rsidR="00C442DC" w:rsidRDefault="00C442DC" w:rsidP="003C7085">
      <w:pPr>
        <w:spacing w:after="0" w:line="240" w:lineRule="auto"/>
        <w:jc w:val="both"/>
        <w:rPr>
          <w:rFonts w:ascii="Times New Roman" w:hAnsi="Times New Roman" w:cs="Times New Roman"/>
          <w:lang w:val="es-MX"/>
        </w:rPr>
      </w:pPr>
    </w:p>
    <w:p w:rsidR="003C7085" w:rsidRDefault="003C7085" w:rsidP="003C7085">
      <w:pPr>
        <w:spacing w:after="0" w:line="240" w:lineRule="auto"/>
        <w:jc w:val="both"/>
        <w:rPr>
          <w:rFonts w:ascii="Times New Roman" w:hAnsi="Times New Roman" w:cs="Times New Roman"/>
          <w:lang w:val="es-MX"/>
        </w:rPr>
      </w:pPr>
    </w:p>
    <w:p w:rsidR="007A3497" w:rsidRDefault="007A3497" w:rsidP="003C7085">
      <w:pPr>
        <w:spacing w:after="0" w:line="240" w:lineRule="auto"/>
        <w:jc w:val="both"/>
        <w:rPr>
          <w:rFonts w:ascii="Times New Roman" w:hAnsi="Times New Roman" w:cs="Times New Roman"/>
          <w:lang w:val="es-MX"/>
        </w:rPr>
      </w:pPr>
    </w:p>
    <w:p w:rsidR="003C7085" w:rsidRPr="005A694E" w:rsidRDefault="003C7085" w:rsidP="003C7085">
      <w:pPr>
        <w:spacing w:after="0" w:line="240" w:lineRule="auto"/>
        <w:jc w:val="center"/>
        <w:rPr>
          <w:rFonts w:ascii="Times New Roman" w:hAnsi="Times New Roman" w:cs="Times New Roman"/>
          <w:b/>
          <w:lang w:val="es-MX"/>
        </w:rPr>
      </w:pPr>
      <w:r w:rsidRPr="005A694E">
        <w:rPr>
          <w:rFonts w:ascii="Times New Roman" w:hAnsi="Times New Roman" w:cs="Times New Roman"/>
          <w:b/>
          <w:lang w:val="es-MX"/>
        </w:rPr>
        <w:lastRenderedPageBreak/>
        <w:t>Variación de la recaudación tributaria</w:t>
      </w:r>
    </w:p>
    <w:p w:rsidR="00C64C51" w:rsidRDefault="00C64C51" w:rsidP="00053517">
      <w:pPr>
        <w:spacing w:after="0" w:line="240" w:lineRule="auto"/>
        <w:jc w:val="center"/>
        <w:rPr>
          <w:rFonts w:ascii="Times New Roman" w:hAnsi="Times New Roman" w:cs="Times New Roman"/>
          <w:sz w:val="18"/>
          <w:lang w:val="es-MX"/>
        </w:rPr>
      </w:pPr>
      <w:r>
        <w:rPr>
          <w:rFonts w:ascii="Times New Roman" w:hAnsi="Times New Roman" w:cs="Times New Roman"/>
          <w:sz w:val="18"/>
          <w:lang w:val="es-MX"/>
        </w:rPr>
        <w:t>2016-2015</w:t>
      </w:r>
    </w:p>
    <w:p w:rsidR="003C7085" w:rsidRDefault="00C442DC" w:rsidP="00053517">
      <w:pPr>
        <w:spacing w:after="0" w:line="240" w:lineRule="auto"/>
        <w:jc w:val="center"/>
        <w:rPr>
          <w:rFonts w:ascii="Times New Roman" w:hAnsi="Times New Roman" w:cs="Times New Roman"/>
          <w:sz w:val="18"/>
          <w:lang w:val="es-MX"/>
        </w:rPr>
      </w:pPr>
      <w:r>
        <w:rPr>
          <w:noProof/>
          <w:lang w:eastAsia="es-GT"/>
        </w:rPr>
        <w:drawing>
          <wp:anchor distT="0" distB="0" distL="114300" distR="114300" simplePos="0" relativeHeight="251659264" behindDoc="0" locked="0" layoutInCell="1" allowOverlap="1" wp14:anchorId="107B1BB3" wp14:editId="5DE268C2">
            <wp:simplePos x="0" y="0"/>
            <wp:positionH relativeFrom="column">
              <wp:posOffset>-62230</wp:posOffset>
            </wp:positionH>
            <wp:positionV relativeFrom="paragraph">
              <wp:posOffset>135255</wp:posOffset>
            </wp:positionV>
            <wp:extent cx="2581275" cy="3695700"/>
            <wp:effectExtent l="0" t="0" r="0" b="0"/>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3C7085" w:rsidRPr="00053517">
        <w:rPr>
          <w:rFonts w:ascii="Times New Roman" w:hAnsi="Times New Roman" w:cs="Times New Roman"/>
          <w:sz w:val="18"/>
          <w:lang w:val="es-MX"/>
        </w:rPr>
        <w:t>Millones de quetzales</w:t>
      </w:r>
    </w:p>
    <w:p w:rsidR="00C64C51" w:rsidRDefault="00C64C51"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C442DC" w:rsidRDefault="00C442DC" w:rsidP="00053517">
      <w:pPr>
        <w:spacing w:after="0" w:line="240" w:lineRule="auto"/>
        <w:jc w:val="center"/>
        <w:rPr>
          <w:rFonts w:ascii="Times New Roman" w:hAnsi="Times New Roman" w:cs="Times New Roman"/>
          <w:sz w:val="18"/>
          <w:lang w:val="es-MX"/>
        </w:rPr>
      </w:pPr>
    </w:p>
    <w:p w:rsidR="003C7085" w:rsidRDefault="003C7085" w:rsidP="003C7085">
      <w:pPr>
        <w:spacing w:after="0" w:line="240" w:lineRule="auto"/>
        <w:jc w:val="both"/>
        <w:rPr>
          <w:rFonts w:ascii="Times New Roman" w:hAnsi="Times New Roman" w:cs="Times New Roman"/>
          <w:sz w:val="18"/>
          <w:lang w:val="es-MX"/>
        </w:rPr>
      </w:pPr>
    </w:p>
    <w:p w:rsidR="00C64C51" w:rsidRDefault="00C64C51" w:rsidP="003C7085">
      <w:pPr>
        <w:spacing w:after="0" w:line="240" w:lineRule="auto"/>
        <w:jc w:val="both"/>
        <w:rPr>
          <w:rFonts w:ascii="Times New Roman" w:hAnsi="Times New Roman" w:cs="Times New Roman"/>
          <w:lang w:val="es-MX"/>
        </w:rPr>
      </w:pPr>
    </w:p>
    <w:p w:rsidR="007A3497" w:rsidRDefault="007A3497" w:rsidP="003C7085">
      <w:pPr>
        <w:spacing w:after="0" w:line="240" w:lineRule="auto"/>
        <w:jc w:val="both"/>
        <w:rPr>
          <w:rFonts w:ascii="Times New Roman" w:hAnsi="Times New Roman" w:cs="Times New Roman"/>
          <w:lang w:val="es-MX"/>
        </w:rPr>
      </w:pPr>
    </w:p>
    <w:p w:rsidR="007A3497" w:rsidRPr="005A694E" w:rsidRDefault="007A3497" w:rsidP="003C7085">
      <w:pPr>
        <w:spacing w:after="0" w:line="240" w:lineRule="auto"/>
        <w:jc w:val="both"/>
        <w:rPr>
          <w:rFonts w:ascii="Times New Roman" w:hAnsi="Times New Roman" w:cs="Times New Roman"/>
          <w:lang w:val="es-MX"/>
        </w:rPr>
      </w:pPr>
    </w:p>
    <w:p w:rsidR="003C7085" w:rsidRPr="00053517" w:rsidRDefault="003C7085" w:rsidP="003C7085">
      <w:pPr>
        <w:spacing w:after="0" w:line="240" w:lineRule="auto"/>
        <w:jc w:val="both"/>
        <w:rPr>
          <w:rFonts w:ascii="Times New Roman" w:hAnsi="Times New Roman" w:cs="Times New Roman"/>
          <w:lang w:val="es-MX"/>
        </w:rPr>
      </w:pPr>
      <w:r w:rsidRPr="00053517">
        <w:rPr>
          <w:rFonts w:ascii="Times New Roman" w:hAnsi="Times New Roman" w:cs="Times New Roman"/>
          <w:sz w:val="16"/>
          <w:lang w:val="es-MX"/>
        </w:rPr>
        <w:t>Fuente: Dirección de análisis y política fiscal</w:t>
      </w:r>
    </w:p>
    <w:p w:rsidR="003C7085" w:rsidRDefault="003C7085" w:rsidP="003C7085">
      <w:pPr>
        <w:spacing w:after="0" w:line="240" w:lineRule="auto"/>
        <w:jc w:val="both"/>
        <w:rPr>
          <w:rFonts w:ascii="Times New Roman" w:hAnsi="Times New Roman" w:cs="Times New Roman"/>
          <w:lang w:val="es-MX"/>
        </w:rPr>
      </w:pPr>
    </w:p>
    <w:p w:rsidR="00A66B96" w:rsidRDefault="00A66B96" w:rsidP="003C7085">
      <w:pPr>
        <w:spacing w:after="0" w:line="240" w:lineRule="auto"/>
        <w:jc w:val="both"/>
        <w:rPr>
          <w:rFonts w:ascii="Times New Roman" w:hAnsi="Times New Roman" w:cs="Times New Roman"/>
          <w:lang w:val="es-MX"/>
        </w:rPr>
      </w:pPr>
      <w:r>
        <w:rPr>
          <w:rFonts w:ascii="Times New Roman" w:hAnsi="Times New Roman" w:cs="Times New Roman"/>
          <w:lang w:val="es-MX"/>
        </w:rPr>
        <w:t>En la recaudación del Impuesto sobre la Renta, a mayo se observa un desempeño positivo, la cual logra superar lo observado el año anterior por Q716 millones (incluyendo la recaudación extraordinaria por concepto de adeudos tributarios de Q589.9 millones), este impuesto representa cerca del 30% del total de la recaudación observada (Q22,279.9 millones).</w:t>
      </w:r>
    </w:p>
    <w:p w:rsidR="00A66B96" w:rsidRDefault="00A66B96" w:rsidP="003C7085">
      <w:pPr>
        <w:spacing w:after="0" w:line="240" w:lineRule="auto"/>
        <w:jc w:val="both"/>
        <w:rPr>
          <w:rFonts w:ascii="Times New Roman" w:hAnsi="Times New Roman" w:cs="Times New Roman"/>
          <w:lang w:val="es-MX"/>
        </w:rPr>
      </w:pPr>
    </w:p>
    <w:p w:rsidR="001B6751" w:rsidRDefault="00A66B96" w:rsidP="00A66B96">
      <w:pPr>
        <w:spacing w:after="0" w:line="240" w:lineRule="auto"/>
        <w:jc w:val="center"/>
        <w:rPr>
          <w:rFonts w:ascii="Times New Roman" w:hAnsi="Times New Roman" w:cs="Times New Roman"/>
          <w:b/>
          <w:lang w:val="es-MX"/>
        </w:rPr>
      </w:pPr>
      <w:r>
        <w:rPr>
          <w:rFonts w:ascii="Times New Roman" w:hAnsi="Times New Roman" w:cs="Times New Roman"/>
          <w:b/>
          <w:lang w:val="es-MX"/>
        </w:rPr>
        <w:lastRenderedPageBreak/>
        <w:t>Impuesto</w:t>
      </w:r>
      <w:r w:rsidR="001B6751">
        <w:rPr>
          <w:rFonts w:ascii="Times New Roman" w:hAnsi="Times New Roman" w:cs="Times New Roman"/>
          <w:b/>
          <w:lang w:val="es-MX"/>
        </w:rPr>
        <w:t xml:space="preserve"> sobre la renta</w:t>
      </w:r>
    </w:p>
    <w:p w:rsidR="00A66B96" w:rsidRDefault="00A66B96" w:rsidP="00A66B96">
      <w:pPr>
        <w:spacing w:after="0" w:line="240" w:lineRule="auto"/>
        <w:jc w:val="center"/>
        <w:rPr>
          <w:rFonts w:ascii="Times New Roman" w:hAnsi="Times New Roman" w:cs="Times New Roman"/>
          <w:sz w:val="18"/>
          <w:lang w:val="es-MX"/>
        </w:rPr>
      </w:pPr>
      <w:r>
        <w:rPr>
          <w:noProof/>
          <w:lang w:eastAsia="es-GT"/>
        </w:rPr>
        <w:drawing>
          <wp:anchor distT="0" distB="0" distL="114300" distR="114300" simplePos="0" relativeHeight="251661312" behindDoc="0" locked="0" layoutInCell="1" allowOverlap="1" wp14:anchorId="06C912CB" wp14:editId="6AE2BBA7">
            <wp:simplePos x="0" y="0"/>
            <wp:positionH relativeFrom="column">
              <wp:posOffset>3810</wp:posOffset>
            </wp:positionH>
            <wp:positionV relativeFrom="paragraph">
              <wp:posOffset>124460</wp:posOffset>
            </wp:positionV>
            <wp:extent cx="2581275" cy="1809750"/>
            <wp:effectExtent l="0" t="0" r="0" b="0"/>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1B6751">
        <w:rPr>
          <w:rFonts w:ascii="Times New Roman" w:hAnsi="Times New Roman" w:cs="Times New Roman"/>
          <w:sz w:val="18"/>
          <w:lang w:val="es-MX"/>
        </w:rPr>
        <w:t>Millones de quetzales</w:t>
      </w:r>
    </w:p>
    <w:p w:rsidR="001B6751" w:rsidRDefault="001B6751" w:rsidP="00A66B96">
      <w:pPr>
        <w:spacing w:after="0" w:line="240" w:lineRule="auto"/>
        <w:jc w:val="center"/>
        <w:rPr>
          <w:rFonts w:ascii="Times New Roman" w:hAnsi="Times New Roman" w:cs="Times New Roman"/>
          <w:sz w:val="18"/>
          <w:lang w:val="es-MX"/>
        </w:rPr>
      </w:pPr>
    </w:p>
    <w:p w:rsidR="001B6751" w:rsidRDefault="001B6751" w:rsidP="00A66B96">
      <w:pPr>
        <w:spacing w:after="0" w:line="240" w:lineRule="auto"/>
        <w:jc w:val="center"/>
        <w:rPr>
          <w:rFonts w:ascii="Times New Roman" w:hAnsi="Times New Roman" w:cs="Times New Roman"/>
          <w:sz w:val="18"/>
          <w:lang w:val="es-MX"/>
        </w:rPr>
      </w:pPr>
    </w:p>
    <w:p w:rsidR="001B6751" w:rsidRDefault="001B6751" w:rsidP="00A66B96">
      <w:pPr>
        <w:spacing w:after="0" w:line="240" w:lineRule="auto"/>
        <w:jc w:val="center"/>
        <w:rPr>
          <w:rFonts w:ascii="Times New Roman" w:hAnsi="Times New Roman" w:cs="Times New Roman"/>
          <w:sz w:val="18"/>
          <w:lang w:val="es-MX"/>
        </w:rPr>
      </w:pPr>
    </w:p>
    <w:p w:rsidR="001B6751" w:rsidRDefault="001B6751" w:rsidP="00A66B96">
      <w:pPr>
        <w:spacing w:after="0" w:line="240" w:lineRule="auto"/>
        <w:jc w:val="center"/>
        <w:rPr>
          <w:rFonts w:ascii="Times New Roman" w:hAnsi="Times New Roman" w:cs="Times New Roman"/>
          <w:sz w:val="18"/>
          <w:lang w:val="es-MX"/>
        </w:rPr>
      </w:pPr>
    </w:p>
    <w:p w:rsidR="001B6751" w:rsidRDefault="001B6751" w:rsidP="00A66B96">
      <w:pPr>
        <w:spacing w:after="0" w:line="240" w:lineRule="auto"/>
        <w:jc w:val="center"/>
        <w:rPr>
          <w:rFonts w:ascii="Times New Roman" w:hAnsi="Times New Roman" w:cs="Times New Roman"/>
          <w:sz w:val="18"/>
          <w:lang w:val="es-MX"/>
        </w:rPr>
      </w:pPr>
    </w:p>
    <w:p w:rsidR="001B6751" w:rsidRDefault="001B6751" w:rsidP="00A66B96">
      <w:pPr>
        <w:spacing w:after="0" w:line="240" w:lineRule="auto"/>
        <w:jc w:val="center"/>
        <w:rPr>
          <w:rFonts w:ascii="Times New Roman" w:hAnsi="Times New Roman" w:cs="Times New Roman"/>
          <w:sz w:val="18"/>
          <w:lang w:val="es-MX"/>
        </w:rPr>
      </w:pPr>
    </w:p>
    <w:p w:rsidR="001B6751" w:rsidRDefault="001B6751" w:rsidP="00A66B96">
      <w:pPr>
        <w:spacing w:after="0" w:line="240" w:lineRule="auto"/>
        <w:jc w:val="center"/>
        <w:rPr>
          <w:rFonts w:ascii="Times New Roman" w:hAnsi="Times New Roman" w:cs="Times New Roman"/>
          <w:sz w:val="18"/>
          <w:lang w:val="es-MX"/>
        </w:rPr>
      </w:pPr>
    </w:p>
    <w:p w:rsidR="001B6751" w:rsidRDefault="001B6751" w:rsidP="00A66B96">
      <w:pPr>
        <w:spacing w:after="0" w:line="240" w:lineRule="auto"/>
        <w:jc w:val="center"/>
        <w:rPr>
          <w:rFonts w:ascii="Times New Roman" w:hAnsi="Times New Roman" w:cs="Times New Roman"/>
          <w:sz w:val="18"/>
          <w:lang w:val="es-MX"/>
        </w:rPr>
      </w:pPr>
    </w:p>
    <w:p w:rsidR="001B6751" w:rsidRDefault="001B6751" w:rsidP="00A66B96">
      <w:pPr>
        <w:spacing w:after="0" w:line="240" w:lineRule="auto"/>
        <w:jc w:val="center"/>
        <w:rPr>
          <w:rFonts w:ascii="Times New Roman" w:hAnsi="Times New Roman" w:cs="Times New Roman"/>
          <w:sz w:val="18"/>
          <w:lang w:val="es-MX"/>
        </w:rPr>
      </w:pPr>
    </w:p>
    <w:p w:rsidR="001B6751" w:rsidRDefault="001B6751" w:rsidP="00A66B96">
      <w:pPr>
        <w:spacing w:after="0" w:line="240" w:lineRule="auto"/>
        <w:jc w:val="center"/>
        <w:rPr>
          <w:rFonts w:ascii="Times New Roman" w:hAnsi="Times New Roman" w:cs="Times New Roman"/>
          <w:sz w:val="18"/>
          <w:lang w:val="es-MX"/>
        </w:rPr>
      </w:pPr>
    </w:p>
    <w:p w:rsidR="00A66B96" w:rsidRDefault="00A66B96" w:rsidP="003C7085">
      <w:pPr>
        <w:spacing w:after="0" w:line="240" w:lineRule="auto"/>
        <w:jc w:val="both"/>
        <w:rPr>
          <w:rFonts w:ascii="Times New Roman" w:hAnsi="Times New Roman" w:cs="Times New Roman"/>
          <w:lang w:val="es-MX"/>
        </w:rPr>
      </w:pPr>
    </w:p>
    <w:p w:rsidR="00A66B96" w:rsidRDefault="00A66B96" w:rsidP="003C7085">
      <w:pPr>
        <w:spacing w:after="0" w:line="240" w:lineRule="auto"/>
        <w:jc w:val="both"/>
        <w:rPr>
          <w:rFonts w:ascii="Times New Roman" w:hAnsi="Times New Roman" w:cs="Times New Roman"/>
          <w:lang w:val="es-MX"/>
        </w:rPr>
      </w:pPr>
    </w:p>
    <w:p w:rsidR="00A66B96" w:rsidRDefault="00A66B96" w:rsidP="003C7085">
      <w:pPr>
        <w:spacing w:after="0" w:line="240" w:lineRule="auto"/>
        <w:jc w:val="both"/>
        <w:rPr>
          <w:rFonts w:ascii="Times New Roman" w:hAnsi="Times New Roman" w:cs="Times New Roman"/>
          <w:lang w:val="es-MX"/>
        </w:rPr>
      </w:pPr>
    </w:p>
    <w:p w:rsidR="001B6751" w:rsidRPr="00053517" w:rsidRDefault="001B6751" w:rsidP="001B6751">
      <w:pPr>
        <w:spacing w:after="0" w:line="240" w:lineRule="auto"/>
        <w:jc w:val="both"/>
        <w:rPr>
          <w:rFonts w:ascii="Times New Roman" w:hAnsi="Times New Roman" w:cs="Times New Roman"/>
          <w:lang w:val="es-MX"/>
        </w:rPr>
      </w:pPr>
      <w:r w:rsidRPr="00053517">
        <w:rPr>
          <w:rFonts w:ascii="Times New Roman" w:hAnsi="Times New Roman" w:cs="Times New Roman"/>
          <w:sz w:val="16"/>
          <w:lang w:val="es-MX"/>
        </w:rPr>
        <w:t>Fuente: Dirección de análisis y política fiscal</w:t>
      </w:r>
    </w:p>
    <w:p w:rsidR="003C7085" w:rsidRPr="00053517" w:rsidRDefault="003C7085" w:rsidP="00053517">
      <w:pPr>
        <w:spacing w:after="0"/>
        <w:jc w:val="both"/>
        <w:rPr>
          <w:rFonts w:ascii="Times New Roman" w:hAnsi="Times New Roman" w:cs="Times New Roman"/>
          <w:lang w:val="es-MX"/>
        </w:rPr>
      </w:pPr>
    </w:p>
    <w:p w:rsidR="007F3E8D" w:rsidRDefault="007A3497" w:rsidP="007A3497">
      <w:pPr>
        <w:spacing w:after="0" w:line="240" w:lineRule="auto"/>
        <w:jc w:val="both"/>
        <w:rPr>
          <w:rFonts w:ascii="Times New Roman" w:hAnsi="Times New Roman" w:cs="Times New Roman"/>
          <w:lang w:val="es-MX"/>
        </w:rPr>
      </w:pPr>
      <w:r w:rsidRPr="007A3497">
        <w:rPr>
          <w:rFonts w:ascii="Times New Roman" w:hAnsi="Times New Roman" w:cs="Times New Roman"/>
          <w:lang w:val="es-MX"/>
        </w:rPr>
        <w:t>Por su parte, la recaudación acumulada del</w:t>
      </w:r>
      <w:r>
        <w:rPr>
          <w:rFonts w:ascii="Times New Roman" w:hAnsi="Times New Roman" w:cs="Times New Roman"/>
          <w:lang w:val="es-MX"/>
        </w:rPr>
        <w:t xml:space="preserve"> </w:t>
      </w:r>
      <w:r w:rsidRPr="007A3497">
        <w:rPr>
          <w:rFonts w:ascii="Times New Roman" w:hAnsi="Times New Roman" w:cs="Times New Roman"/>
          <w:lang w:val="es-MX"/>
        </w:rPr>
        <w:t>IVA total superó lo observado en 2015</w:t>
      </w:r>
      <w:r>
        <w:rPr>
          <w:rFonts w:ascii="Times New Roman" w:hAnsi="Times New Roman" w:cs="Times New Roman"/>
          <w:lang w:val="es-MX"/>
        </w:rPr>
        <w:t xml:space="preserve"> </w:t>
      </w:r>
      <w:r w:rsidRPr="007A3497">
        <w:rPr>
          <w:rFonts w:ascii="Times New Roman" w:hAnsi="Times New Roman" w:cs="Times New Roman"/>
          <w:lang w:val="es-MX"/>
        </w:rPr>
        <w:t>generando una brecha positiva de Q268</w:t>
      </w:r>
      <w:r>
        <w:rPr>
          <w:rFonts w:ascii="Times New Roman" w:hAnsi="Times New Roman" w:cs="Times New Roman"/>
          <w:lang w:val="es-MX"/>
        </w:rPr>
        <w:t xml:space="preserve"> </w:t>
      </w:r>
      <w:r w:rsidRPr="007A3497">
        <w:rPr>
          <w:rFonts w:ascii="Times New Roman" w:hAnsi="Times New Roman" w:cs="Times New Roman"/>
          <w:lang w:val="es-MX"/>
        </w:rPr>
        <w:t>millones (2.8%), dicho crecimiento se ve</w:t>
      </w:r>
      <w:r>
        <w:rPr>
          <w:rFonts w:ascii="Times New Roman" w:hAnsi="Times New Roman" w:cs="Times New Roman"/>
          <w:lang w:val="es-MX"/>
        </w:rPr>
        <w:t xml:space="preserve"> </w:t>
      </w:r>
      <w:r w:rsidRPr="007A3497">
        <w:rPr>
          <w:rFonts w:ascii="Times New Roman" w:hAnsi="Times New Roman" w:cs="Times New Roman"/>
          <w:lang w:val="es-MX"/>
        </w:rPr>
        <w:t>afectado por el bajo rendimiento en la</w:t>
      </w:r>
      <w:r>
        <w:rPr>
          <w:rFonts w:ascii="Times New Roman" w:hAnsi="Times New Roman" w:cs="Times New Roman"/>
          <w:lang w:val="es-MX"/>
        </w:rPr>
        <w:t xml:space="preserve"> </w:t>
      </w:r>
      <w:r w:rsidRPr="007A3497">
        <w:rPr>
          <w:rFonts w:ascii="Times New Roman" w:hAnsi="Times New Roman" w:cs="Times New Roman"/>
          <w:lang w:val="es-MX"/>
        </w:rPr>
        <w:t>recaudación del IVA asociado a las</w:t>
      </w:r>
      <w:r>
        <w:rPr>
          <w:rFonts w:ascii="Times New Roman" w:hAnsi="Times New Roman" w:cs="Times New Roman"/>
          <w:lang w:val="es-MX"/>
        </w:rPr>
        <w:t xml:space="preserve"> </w:t>
      </w:r>
      <w:r w:rsidRPr="007A3497">
        <w:rPr>
          <w:rFonts w:ascii="Times New Roman" w:hAnsi="Times New Roman" w:cs="Times New Roman"/>
          <w:lang w:val="es-MX"/>
        </w:rPr>
        <w:t>importaciones el cual dejó de percibir Q156.4</w:t>
      </w:r>
      <w:r>
        <w:rPr>
          <w:rFonts w:ascii="Times New Roman" w:hAnsi="Times New Roman" w:cs="Times New Roman"/>
          <w:lang w:val="es-MX"/>
        </w:rPr>
        <w:t xml:space="preserve"> </w:t>
      </w:r>
      <w:r w:rsidRPr="007A3497">
        <w:rPr>
          <w:rFonts w:ascii="Times New Roman" w:hAnsi="Times New Roman" w:cs="Times New Roman"/>
          <w:lang w:val="es-MX"/>
        </w:rPr>
        <w:t>millones (-3.1%) respecto a lo observado a la</w:t>
      </w:r>
      <w:r>
        <w:rPr>
          <w:rFonts w:ascii="Times New Roman" w:hAnsi="Times New Roman" w:cs="Times New Roman"/>
          <w:lang w:val="es-MX"/>
        </w:rPr>
        <w:t xml:space="preserve"> </w:t>
      </w:r>
      <w:r w:rsidRPr="007A3497">
        <w:rPr>
          <w:rFonts w:ascii="Times New Roman" w:hAnsi="Times New Roman" w:cs="Times New Roman"/>
          <w:lang w:val="es-MX"/>
        </w:rPr>
        <w:t>misma fecha del año anterior, las razones de</w:t>
      </w:r>
      <w:r>
        <w:rPr>
          <w:rFonts w:ascii="Times New Roman" w:hAnsi="Times New Roman" w:cs="Times New Roman"/>
          <w:lang w:val="es-MX"/>
        </w:rPr>
        <w:t xml:space="preserve"> </w:t>
      </w:r>
      <w:r w:rsidRPr="007A3497">
        <w:rPr>
          <w:rFonts w:ascii="Times New Roman" w:hAnsi="Times New Roman" w:cs="Times New Roman"/>
          <w:lang w:val="es-MX"/>
        </w:rPr>
        <w:t>esta caída obedecen principalmente a una</w:t>
      </w:r>
      <w:r>
        <w:rPr>
          <w:rFonts w:ascii="Times New Roman" w:hAnsi="Times New Roman" w:cs="Times New Roman"/>
          <w:lang w:val="es-MX"/>
        </w:rPr>
        <w:t xml:space="preserve"> </w:t>
      </w:r>
      <w:r w:rsidRPr="007A3497">
        <w:rPr>
          <w:rFonts w:ascii="Times New Roman" w:hAnsi="Times New Roman" w:cs="Times New Roman"/>
          <w:lang w:val="es-MX"/>
        </w:rPr>
        <w:t>baja en los precios de las importaciones</w:t>
      </w:r>
      <w:r>
        <w:rPr>
          <w:rFonts w:ascii="Times New Roman" w:hAnsi="Times New Roman" w:cs="Times New Roman"/>
          <w:lang w:val="es-MX"/>
        </w:rPr>
        <w:t xml:space="preserve"> </w:t>
      </w:r>
      <w:r w:rsidRPr="007A3497">
        <w:rPr>
          <w:rFonts w:ascii="Times New Roman" w:hAnsi="Times New Roman" w:cs="Times New Roman"/>
          <w:lang w:val="es-MX"/>
        </w:rPr>
        <w:t>petroleras.</w:t>
      </w:r>
    </w:p>
    <w:p w:rsidR="007A3497" w:rsidRDefault="007A3497" w:rsidP="003C7085">
      <w:pPr>
        <w:pStyle w:val="Prrafodelista"/>
        <w:ind w:left="0"/>
        <w:jc w:val="both"/>
        <w:rPr>
          <w:rFonts w:ascii="Times New Roman" w:hAnsi="Times New Roman" w:cs="Times New Roman"/>
          <w:lang w:val="es-MX"/>
        </w:rPr>
      </w:pPr>
    </w:p>
    <w:p w:rsidR="007A3497" w:rsidRDefault="007A3497" w:rsidP="007A3497">
      <w:pPr>
        <w:spacing w:after="0" w:line="240" w:lineRule="auto"/>
        <w:jc w:val="both"/>
        <w:rPr>
          <w:rFonts w:ascii="Times New Roman" w:hAnsi="Times New Roman" w:cs="Times New Roman"/>
          <w:lang w:val="es-MX"/>
        </w:rPr>
      </w:pPr>
      <w:r w:rsidRPr="007A3497">
        <w:rPr>
          <w:rFonts w:ascii="Times New Roman" w:hAnsi="Times New Roman" w:cs="Times New Roman"/>
          <w:lang w:val="es-MX"/>
        </w:rPr>
        <w:t>El resto de los impuestos presentan un</w:t>
      </w:r>
      <w:r>
        <w:rPr>
          <w:rFonts w:ascii="Times New Roman" w:hAnsi="Times New Roman" w:cs="Times New Roman"/>
          <w:lang w:val="es-MX"/>
        </w:rPr>
        <w:t xml:space="preserve"> </w:t>
      </w:r>
      <w:r w:rsidRPr="007A3497">
        <w:rPr>
          <w:rFonts w:ascii="Times New Roman" w:hAnsi="Times New Roman" w:cs="Times New Roman"/>
          <w:lang w:val="es-MX"/>
        </w:rPr>
        <w:t>comportamiento normal, incluso superando</w:t>
      </w:r>
      <w:r>
        <w:rPr>
          <w:rFonts w:ascii="Times New Roman" w:hAnsi="Times New Roman" w:cs="Times New Roman"/>
          <w:lang w:val="es-MX"/>
        </w:rPr>
        <w:t xml:space="preserve"> </w:t>
      </w:r>
      <w:r w:rsidRPr="007A3497">
        <w:rPr>
          <w:rFonts w:ascii="Times New Roman" w:hAnsi="Times New Roman" w:cs="Times New Roman"/>
          <w:lang w:val="es-MX"/>
        </w:rPr>
        <w:t>las expectativas planteadas en la meta de</w:t>
      </w:r>
      <w:r>
        <w:rPr>
          <w:rFonts w:ascii="Times New Roman" w:hAnsi="Times New Roman" w:cs="Times New Roman"/>
          <w:lang w:val="es-MX"/>
        </w:rPr>
        <w:t xml:space="preserve"> </w:t>
      </w:r>
      <w:r w:rsidRPr="007A3497">
        <w:rPr>
          <w:rFonts w:ascii="Times New Roman" w:hAnsi="Times New Roman" w:cs="Times New Roman"/>
          <w:lang w:val="es-MX"/>
        </w:rPr>
        <w:t>presupuesto, tal el caso del impuesto a los</w:t>
      </w:r>
      <w:r>
        <w:rPr>
          <w:rFonts w:ascii="Times New Roman" w:hAnsi="Times New Roman" w:cs="Times New Roman"/>
          <w:lang w:val="es-MX"/>
        </w:rPr>
        <w:t xml:space="preserve"> </w:t>
      </w:r>
      <w:r w:rsidRPr="007A3497">
        <w:rPr>
          <w:rFonts w:ascii="Times New Roman" w:hAnsi="Times New Roman" w:cs="Times New Roman"/>
          <w:lang w:val="es-MX"/>
        </w:rPr>
        <w:t>derivados del petróleo que supera la</w:t>
      </w:r>
      <w:r>
        <w:rPr>
          <w:rFonts w:ascii="Times New Roman" w:hAnsi="Times New Roman" w:cs="Times New Roman"/>
          <w:lang w:val="es-MX"/>
        </w:rPr>
        <w:t xml:space="preserve"> </w:t>
      </w:r>
      <w:r w:rsidRPr="007A3497">
        <w:rPr>
          <w:rFonts w:ascii="Times New Roman" w:hAnsi="Times New Roman" w:cs="Times New Roman"/>
          <w:lang w:val="es-MX"/>
        </w:rPr>
        <w:t>recaudación del año anterior en Q108.6</w:t>
      </w:r>
      <w:r>
        <w:rPr>
          <w:rFonts w:ascii="Times New Roman" w:hAnsi="Times New Roman" w:cs="Times New Roman"/>
          <w:lang w:val="es-MX"/>
        </w:rPr>
        <w:t xml:space="preserve"> </w:t>
      </w:r>
      <w:r w:rsidRPr="007A3497">
        <w:rPr>
          <w:rFonts w:ascii="Times New Roman" w:hAnsi="Times New Roman" w:cs="Times New Roman"/>
          <w:lang w:val="es-MX"/>
        </w:rPr>
        <w:t>millones, para el caso del cemento se observa</w:t>
      </w:r>
      <w:r>
        <w:rPr>
          <w:rFonts w:ascii="Times New Roman" w:hAnsi="Times New Roman" w:cs="Times New Roman"/>
          <w:lang w:val="es-MX"/>
        </w:rPr>
        <w:t xml:space="preserve"> </w:t>
      </w:r>
      <w:r w:rsidRPr="007A3497">
        <w:rPr>
          <w:rFonts w:ascii="Times New Roman" w:hAnsi="Times New Roman" w:cs="Times New Roman"/>
          <w:lang w:val="es-MX"/>
        </w:rPr>
        <w:t>una caída del 64.2% (Q81.1 millones), y para</w:t>
      </w:r>
      <w:r>
        <w:rPr>
          <w:rFonts w:ascii="Times New Roman" w:hAnsi="Times New Roman" w:cs="Times New Roman"/>
          <w:lang w:val="es-MX"/>
        </w:rPr>
        <w:t xml:space="preserve"> </w:t>
      </w:r>
      <w:r w:rsidRPr="007A3497">
        <w:rPr>
          <w:rFonts w:ascii="Times New Roman" w:hAnsi="Times New Roman" w:cs="Times New Roman"/>
          <w:lang w:val="es-MX"/>
        </w:rPr>
        <w:t>las regalías e hidrocarburos compartibles</w:t>
      </w:r>
      <w:r>
        <w:rPr>
          <w:rFonts w:ascii="Times New Roman" w:hAnsi="Times New Roman" w:cs="Times New Roman"/>
          <w:lang w:val="es-MX"/>
        </w:rPr>
        <w:t xml:space="preserve"> </w:t>
      </w:r>
      <w:r w:rsidRPr="007A3497">
        <w:rPr>
          <w:rFonts w:ascii="Times New Roman" w:hAnsi="Times New Roman" w:cs="Times New Roman"/>
          <w:lang w:val="es-MX"/>
        </w:rPr>
        <w:t>estos continúan siendo afectados por la caída</w:t>
      </w:r>
      <w:r>
        <w:rPr>
          <w:rFonts w:ascii="Times New Roman" w:hAnsi="Times New Roman" w:cs="Times New Roman"/>
          <w:lang w:val="es-MX"/>
        </w:rPr>
        <w:t xml:space="preserve"> </w:t>
      </w:r>
      <w:r w:rsidRPr="007A3497">
        <w:rPr>
          <w:rFonts w:ascii="Times New Roman" w:hAnsi="Times New Roman" w:cs="Times New Roman"/>
          <w:lang w:val="es-MX"/>
        </w:rPr>
        <w:t>en el precio internacional del petróleo.</w:t>
      </w:r>
    </w:p>
    <w:p w:rsidR="007A3497" w:rsidRDefault="007A3497" w:rsidP="003C7085">
      <w:pPr>
        <w:pStyle w:val="Prrafodelista"/>
        <w:ind w:left="0"/>
        <w:jc w:val="both"/>
        <w:rPr>
          <w:rFonts w:ascii="Times New Roman" w:hAnsi="Times New Roman" w:cs="Times New Roman"/>
          <w:lang w:val="es-MX"/>
        </w:rPr>
        <w:sectPr w:rsidR="007A3497" w:rsidSect="007A3497">
          <w:headerReference w:type="default" r:id="rId15"/>
          <w:footerReference w:type="default" r:id="rId16"/>
          <w:type w:val="continuous"/>
          <w:pgSz w:w="12240" w:h="15840" w:code="1"/>
          <w:pgMar w:top="1418" w:right="1418" w:bottom="1418" w:left="1418" w:header="709" w:footer="709" w:gutter="0"/>
          <w:cols w:num="2" w:space="708"/>
          <w:docGrid w:linePitch="360"/>
        </w:sectPr>
      </w:pPr>
    </w:p>
    <w:p w:rsidR="007A3497" w:rsidRDefault="007A3497" w:rsidP="003C7085">
      <w:pPr>
        <w:pStyle w:val="Prrafodelista"/>
        <w:ind w:left="0"/>
        <w:jc w:val="both"/>
        <w:rPr>
          <w:rFonts w:ascii="Times New Roman" w:hAnsi="Times New Roman" w:cs="Times New Roman"/>
          <w:lang w:val="es-MX"/>
        </w:rPr>
      </w:pPr>
    </w:p>
    <w:p w:rsidR="00FA3B81" w:rsidRPr="004F72F9" w:rsidRDefault="004F72F9"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4F72F9" w:rsidSect="00FA3B81">
          <w:type w:val="continuous"/>
          <w:pgSz w:w="12240" w:h="15840" w:code="1"/>
          <w:pgMar w:top="1418" w:right="1418" w:bottom="1418" w:left="1418" w:header="709" w:footer="709" w:gutter="0"/>
          <w:cols w:space="708"/>
          <w:docGrid w:linePitch="360"/>
        </w:sectPr>
      </w:pPr>
      <w:r w:rsidRPr="004F72F9">
        <w:rPr>
          <w:rFonts w:ascii="Times New Roman" w:hAnsi="Times New Roman" w:cs="Times New Roman"/>
          <w:b/>
          <w:lang w:val="es-MX"/>
        </w:rPr>
        <w:t>E</w:t>
      </w:r>
      <w:r>
        <w:rPr>
          <w:rFonts w:ascii="Times New Roman" w:hAnsi="Times New Roman" w:cs="Times New Roman"/>
          <w:b/>
          <w:lang w:val="es-MX"/>
        </w:rPr>
        <w:t>jecución en mayo no responde al incremento en la cuota financiera</w:t>
      </w:r>
    </w:p>
    <w:p w:rsidR="00FA3B81" w:rsidRPr="0034700C" w:rsidRDefault="00FA3B81" w:rsidP="00FA3B81">
      <w:pPr>
        <w:pStyle w:val="Sinespaciado"/>
        <w:rPr>
          <w:rFonts w:ascii="Times New Roman" w:hAnsi="Times New Roman" w:cs="Times New Roman"/>
          <w:b/>
          <w:color w:val="FF0000"/>
          <w:sz w:val="18"/>
          <w:lang w:val="es-MX"/>
        </w:rPr>
      </w:pPr>
    </w:p>
    <w:p w:rsidR="00FA3B81" w:rsidRPr="0034700C" w:rsidRDefault="00FA3B81" w:rsidP="00FA3B81">
      <w:pPr>
        <w:pStyle w:val="Sinespaciado"/>
        <w:jc w:val="center"/>
        <w:rPr>
          <w:rFonts w:ascii="Times New Roman" w:hAnsi="Times New Roman" w:cs="Times New Roman"/>
          <w:b/>
          <w:color w:val="FF0000"/>
          <w:lang w:val="es-MX"/>
        </w:rPr>
        <w:sectPr w:rsidR="00FA3B81" w:rsidRPr="0034700C" w:rsidSect="00213F7F">
          <w:type w:val="continuous"/>
          <w:pgSz w:w="12240" w:h="15840"/>
          <w:pgMar w:top="1417" w:right="1701" w:bottom="1417" w:left="1701" w:header="708" w:footer="708" w:gutter="0"/>
          <w:cols w:space="708"/>
          <w:docGrid w:linePitch="360"/>
        </w:sectPr>
      </w:pPr>
    </w:p>
    <w:p w:rsidR="004F72F9" w:rsidRDefault="004F72F9" w:rsidP="004F72F9">
      <w:pPr>
        <w:pStyle w:val="Sinespaciado"/>
        <w:jc w:val="both"/>
        <w:rPr>
          <w:rFonts w:ascii="Times New Roman" w:hAnsi="Times New Roman" w:cs="Times New Roman"/>
        </w:rPr>
      </w:pPr>
      <w:r>
        <w:rPr>
          <w:rFonts w:ascii="Times New Roman" w:hAnsi="Times New Roman" w:cs="Times New Roman"/>
        </w:rPr>
        <w:lastRenderedPageBreak/>
        <w:t xml:space="preserve">En mayo se esperaba un repunte importante en la ejecución de gasto público, como resultado del relativo relajamiento en la cuota financiera de dicho mes, la cual mostraba el nivel más alto autorizado en lo que va del año.  Este leve </w:t>
      </w:r>
      <w:r>
        <w:rPr>
          <w:rFonts w:ascii="Times New Roman" w:hAnsi="Times New Roman" w:cs="Times New Roman"/>
        </w:rPr>
        <w:lastRenderedPageBreak/>
        <w:t xml:space="preserve">relajamiento en la aprobación de cuotas  se debió al aumento en la recaudación tributaria por los ingresos extraordinarios por evasión fiscal y a la colocación del Eurobono que se realizara a finales de abril.  No obstante, la </w:t>
      </w:r>
      <w:r>
        <w:rPr>
          <w:rFonts w:ascii="Times New Roman" w:hAnsi="Times New Roman" w:cs="Times New Roman"/>
        </w:rPr>
        <w:lastRenderedPageBreak/>
        <w:t>ejecución presupuestaria mostró un nivel bastante modesto a penas se logró un grado de ejecución de 84.4%, el más bajo registrado a la fecha.</w:t>
      </w:r>
    </w:p>
    <w:p w:rsidR="004F72F9" w:rsidRDefault="004F72F9" w:rsidP="004F72F9">
      <w:pPr>
        <w:pStyle w:val="Sinespaciado"/>
        <w:jc w:val="both"/>
        <w:rPr>
          <w:rFonts w:ascii="Times New Roman" w:hAnsi="Times New Roman" w:cs="Times New Roman"/>
        </w:rPr>
      </w:pPr>
      <w:r>
        <w:rPr>
          <w:rFonts w:ascii="Times New Roman" w:hAnsi="Times New Roman" w:cs="Times New Roman"/>
        </w:rPr>
        <w:t xml:space="preserve"> </w:t>
      </w:r>
    </w:p>
    <w:p w:rsidR="004F72F9" w:rsidRDefault="004F72F9" w:rsidP="004F72F9">
      <w:pPr>
        <w:pStyle w:val="Sinespaciado"/>
        <w:jc w:val="both"/>
        <w:rPr>
          <w:rFonts w:ascii="Times New Roman" w:hAnsi="Times New Roman" w:cs="Times New Roman"/>
        </w:rPr>
      </w:pPr>
      <w:r>
        <w:rPr>
          <w:rFonts w:ascii="Times New Roman" w:hAnsi="Times New Roman" w:cs="Times New Roman"/>
        </w:rPr>
        <w:t xml:space="preserve">Lo anterior muestra que las instituciones tienen dificultad para la ejecución de su presupuesto, lo cual es relativamente comprensible en el primer año de una administración derivado de los cambios en los departamentos financieros en algunos entidades, esta situación fue más evidente en Ministerios como comunicaciones, desarrollo, economía y ambiente. </w:t>
      </w:r>
    </w:p>
    <w:p w:rsidR="004F72F9" w:rsidRDefault="004F72F9" w:rsidP="004F72F9">
      <w:pPr>
        <w:pStyle w:val="Sinespaciado"/>
        <w:jc w:val="both"/>
        <w:rPr>
          <w:rFonts w:ascii="Times New Roman" w:hAnsi="Times New Roman" w:cs="Times New Roman"/>
        </w:rPr>
      </w:pPr>
    </w:p>
    <w:p w:rsidR="004F72F9" w:rsidRDefault="004F72F9" w:rsidP="004F72F9">
      <w:pPr>
        <w:pStyle w:val="Sinespaciado"/>
        <w:jc w:val="both"/>
        <w:rPr>
          <w:rFonts w:ascii="Times New Roman" w:hAnsi="Times New Roman" w:cs="Times New Roman"/>
          <w:lang w:val="es-MX"/>
        </w:rPr>
      </w:pPr>
      <w:r>
        <w:rPr>
          <w:rFonts w:ascii="Times New Roman" w:hAnsi="Times New Roman" w:cs="Times New Roman"/>
        </w:rPr>
        <w:t xml:space="preserve">Derivado de lo anterior, </w:t>
      </w:r>
      <w:r>
        <w:rPr>
          <w:rFonts w:ascii="Times New Roman" w:hAnsi="Times New Roman" w:cs="Times New Roman"/>
          <w:lang w:val="es-MX"/>
        </w:rPr>
        <w:t xml:space="preserve">el nivel de ejecución de gasto observado al 31 de mayo se ubicó en Q 22,314.5 </w:t>
      </w:r>
      <w:r w:rsidRPr="00F92177">
        <w:rPr>
          <w:rFonts w:ascii="Times New Roman" w:hAnsi="Times New Roman" w:cs="Times New Roman"/>
          <w:lang w:val="es-MX"/>
        </w:rPr>
        <w:t xml:space="preserve">millones, </w:t>
      </w:r>
      <w:r>
        <w:rPr>
          <w:rFonts w:ascii="Times New Roman" w:hAnsi="Times New Roman" w:cs="Times New Roman"/>
          <w:lang w:val="es-MX"/>
        </w:rPr>
        <w:t>el cual muestra una contracción</w:t>
      </w:r>
      <w:r w:rsidR="008E3016">
        <w:rPr>
          <w:rFonts w:ascii="Times New Roman" w:hAnsi="Times New Roman" w:cs="Times New Roman"/>
          <w:lang w:val="es-MX"/>
        </w:rPr>
        <w:t xml:space="preserve"> (crecimiento negativo)</w:t>
      </w:r>
      <w:r>
        <w:rPr>
          <w:rFonts w:ascii="Times New Roman" w:hAnsi="Times New Roman" w:cs="Times New Roman"/>
          <w:lang w:val="es-MX"/>
        </w:rPr>
        <w:t xml:space="preserve"> con respecto a lo observado en igual fecha del año anterior de 10.9%.  </w:t>
      </w:r>
      <w:r w:rsidR="008E3016">
        <w:rPr>
          <w:rFonts w:ascii="Times New Roman" w:hAnsi="Times New Roman" w:cs="Times New Roman"/>
          <w:lang w:val="es-MX"/>
        </w:rPr>
        <w:t>Cifra que contrasta con el</w:t>
      </w:r>
      <w:r>
        <w:rPr>
          <w:rFonts w:ascii="Times New Roman" w:hAnsi="Times New Roman" w:cs="Times New Roman"/>
          <w:lang w:val="es-MX"/>
        </w:rPr>
        <w:t xml:space="preserve"> crecimiento interanual</w:t>
      </w:r>
      <w:r w:rsidR="008E3016">
        <w:rPr>
          <w:rFonts w:ascii="Times New Roman" w:hAnsi="Times New Roman" w:cs="Times New Roman"/>
          <w:lang w:val="es-MX"/>
        </w:rPr>
        <w:t xml:space="preserve"> observado en mayo de 2015 (</w:t>
      </w:r>
      <w:r>
        <w:rPr>
          <w:rFonts w:ascii="Times New Roman" w:hAnsi="Times New Roman" w:cs="Times New Roman"/>
          <w:lang w:val="es-MX"/>
        </w:rPr>
        <w:t>10.2%</w:t>
      </w:r>
      <w:r w:rsidR="008E3016">
        <w:rPr>
          <w:rFonts w:ascii="Times New Roman" w:hAnsi="Times New Roman" w:cs="Times New Roman"/>
          <w:lang w:val="es-MX"/>
        </w:rPr>
        <w:t>)</w:t>
      </w:r>
      <w:r>
        <w:rPr>
          <w:rFonts w:ascii="Times New Roman" w:hAnsi="Times New Roman" w:cs="Times New Roman"/>
          <w:lang w:val="es-MX"/>
        </w:rPr>
        <w:t xml:space="preserve">.  </w:t>
      </w:r>
      <w:r w:rsidRPr="00F92177">
        <w:rPr>
          <w:rFonts w:ascii="Times New Roman" w:hAnsi="Times New Roman" w:cs="Times New Roman"/>
          <w:lang w:val="es-MX"/>
        </w:rPr>
        <w:t xml:space="preserve"> </w:t>
      </w:r>
    </w:p>
    <w:p w:rsidR="004F72F9" w:rsidRDefault="004F72F9" w:rsidP="004F72F9">
      <w:pPr>
        <w:pStyle w:val="Sinespaciado"/>
        <w:jc w:val="both"/>
        <w:rPr>
          <w:rFonts w:ascii="Times New Roman" w:hAnsi="Times New Roman" w:cs="Times New Roman"/>
          <w:lang w:val="es-MX"/>
        </w:rPr>
      </w:pPr>
    </w:p>
    <w:p w:rsidR="004F72F9" w:rsidRPr="00C27D73" w:rsidRDefault="004F72F9" w:rsidP="004F72F9">
      <w:pPr>
        <w:pStyle w:val="Sinespaciado"/>
        <w:jc w:val="center"/>
        <w:rPr>
          <w:rFonts w:ascii="Times New Roman" w:hAnsi="Times New Roman" w:cs="Times New Roman"/>
          <w:b/>
          <w:lang w:val="es-MX"/>
        </w:rPr>
      </w:pPr>
      <w:r w:rsidRPr="00C27D73">
        <w:rPr>
          <w:rFonts w:ascii="Times New Roman" w:hAnsi="Times New Roman" w:cs="Times New Roman"/>
          <w:b/>
          <w:lang w:val="es-MX"/>
        </w:rPr>
        <w:t>Ritmo de Ejecución del Gasto</w:t>
      </w:r>
    </w:p>
    <w:p w:rsidR="004F72F9" w:rsidRPr="00C27D73" w:rsidRDefault="004F72F9" w:rsidP="004F72F9">
      <w:pPr>
        <w:pStyle w:val="Sinespaciado"/>
        <w:jc w:val="center"/>
        <w:rPr>
          <w:rFonts w:ascii="Times New Roman" w:hAnsi="Times New Roman" w:cs="Times New Roman"/>
          <w:sz w:val="18"/>
          <w:lang w:val="es-MX"/>
        </w:rPr>
      </w:pPr>
      <w:r w:rsidRPr="00C27D73">
        <w:rPr>
          <w:rFonts w:ascii="Times New Roman" w:hAnsi="Times New Roman" w:cs="Times New Roman"/>
          <w:sz w:val="18"/>
          <w:lang w:val="es-MX"/>
        </w:rPr>
        <w:t>Variación Interanual</w:t>
      </w:r>
    </w:p>
    <w:p w:rsidR="004F72F9" w:rsidRPr="00C27D73" w:rsidRDefault="004F72F9" w:rsidP="004F72F9">
      <w:pPr>
        <w:pStyle w:val="Sinespaciado"/>
        <w:jc w:val="both"/>
        <w:rPr>
          <w:rFonts w:ascii="Times New Roman" w:hAnsi="Times New Roman" w:cs="Times New Roman"/>
          <w:i/>
          <w:lang w:val="es-MX"/>
        </w:rPr>
      </w:pPr>
      <w:r>
        <w:rPr>
          <w:rFonts w:ascii="Times New Roman" w:hAnsi="Times New Roman" w:cs="Times New Roman"/>
          <w:i/>
          <w:noProof/>
          <w:lang w:eastAsia="es-GT"/>
        </w:rPr>
        <w:drawing>
          <wp:inline distT="0" distB="0" distL="0" distR="0" wp14:anchorId="20207470" wp14:editId="181F9D52">
            <wp:extent cx="2554277" cy="197167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7524" cy="1981900"/>
                    </a:xfrm>
                    <a:prstGeom prst="rect">
                      <a:avLst/>
                    </a:prstGeom>
                    <a:noFill/>
                  </pic:spPr>
                </pic:pic>
              </a:graphicData>
            </a:graphic>
          </wp:inline>
        </w:drawing>
      </w:r>
    </w:p>
    <w:p w:rsidR="004F72F9" w:rsidRPr="002672D5" w:rsidRDefault="004F72F9" w:rsidP="002672D5">
      <w:pPr>
        <w:pStyle w:val="Sinespaciado"/>
        <w:rPr>
          <w:rFonts w:ascii="Times New Roman" w:hAnsi="Times New Roman" w:cs="Times New Roman"/>
          <w:sz w:val="16"/>
        </w:rPr>
      </w:pPr>
      <w:r w:rsidRPr="00C27D73">
        <w:rPr>
          <w:rFonts w:ascii="Times New Roman" w:hAnsi="Times New Roman" w:cs="Times New Roman"/>
          <w:sz w:val="16"/>
        </w:rPr>
        <w:t>Fuente: Dirección de Análisis y Política fiscal</w:t>
      </w:r>
    </w:p>
    <w:p w:rsidR="004F72F9" w:rsidRDefault="004F72F9" w:rsidP="004F72F9">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lastRenderedPageBreak/>
        <w:t xml:space="preserve">Los rubros de gasto que muestran aumento en la ejecución, aunque de manera modesta, son </w:t>
      </w:r>
      <w:r w:rsidR="009F39E2">
        <w:rPr>
          <w:rFonts w:ascii="Times New Roman" w:hAnsi="Times New Roman" w:cs="Times New Roman"/>
          <w:color w:val="000000" w:themeColor="text1"/>
          <w:lang w:val="es-MX"/>
        </w:rPr>
        <w:t>las remuneraciones</w:t>
      </w:r>
      <w:r>
        <w:rPr>
          <w:rFonts w:ascii="Times New Roman" w:hAnsi="Times New Roman" w:cs="Times New Roman"/>
          <w:color w:val="000000" w:themeColor="text1"/>
          <w:lang w:val="es-MX"/>
        </w:rPr>
        <w:t xml:space="preserve"> y las prestaciones a la seguridad social, en los demás rubros se observan disminuciones, principalmente en los bienes y servicios y la inversión real directa.</w:t>
      </w:r>
    </w:p>
    <w:p w:rsidR="004F72F9" w:rsidRDefault="004F72F9" w:rsidP="004F72F9">
      <w:pPr>
        <w:pStyle w:val="Sinespaciado"/>
        <w:jc w:val="both"/>
        <w:rPr>
          <w:rFonts w:ascii="Times New Roman" w:hAnsi="Times New Roman" w:cs="Times New Roman"/>
          <w:color w:val="000000" w:themeColor="text1"/>
          <w:lang w:val="es-MX"/>
        </w:rPr>
      </w:pPr>
    </w:p>
    <w:p w:rsidR="004F72F9" w:rsidRPr="009D459C" w:rsidRDefault="004F72F9" w:rsidP="004F72F9">
      <w:pPr>
        <w:pStyle w:val="Sinespaciado"/>
        <w:jc w:val="center"/>
        <w:rPr>
          <w:rFonts w:ascii="Times New Roman" w:hAnsi="Times New Roman" w:cs="Times New Roman"/>
          <w:b/>
          <w:lang w:val="es-MX"/>
        </w:rPr>
      </w:pPr>
      <w:r w:rsidRPr="009D459C">
        <w:rPr>
          <w:rFonts w:ascii="Times New Roman" w:hAnsi="Times New Roman" w:cs="Times New Roman"/>
          <w:b/>
          <w:lang w:val="es-MX"/>
        </w:rPr>
        <w:t>Ejecución del Gasto</w:t>
      </w:r>
      <w:r>
        <w:rPr>
          <w:rFonts w:ascii="Times New Roman" w:hAnsi="Times New Roman" w:cs="Times New Roman"/>
          <w:b/>
          <w:lang w:val="es-MX"/>
        </w:rPr>
        <w:t xml:space="preserve"> por Rubro</w:t>
      </w:r>
    </w:p>
    <w:p w:rsidR="004F72F9" w:rsidRDefault="004F72F9" w:rsidP="004F72F9">
      <w:pPr>
        <w:pStyle w:val="Sinespaciado"/>
        <w:jc w:val="center"/>
        <w:rPr>
          <w:rFonts w:ascii="Times New Roman" w:hAnsi="Times New Roman" w:cs="Times New Roman"/>
          <w:sz w:val="18"/>
          <w:lang w:val="es-MX"/>
        </w:rPr>
      </w:pPr>
      <w:r w:rsidRPr="009D459C">
        <w:rPr>
          <w:rFonts w:ascii="Times New Roman" w:hAnsi="Times New Roman" w:cs="Times New Roman"/>
          <w:sz w:val="18"/>
          <w:lang w:val="es-MX"/>
        </w:rPr>
        <w:t>Variación Interanual</w:t>
      </w:r>
    </w:p>
    <w:p w:rsidR="004F72F9" w:rsidRDefault="004F72F9" w:rsidP="004F72F9">
      <w:pPr>
        <w:pStyle w:val="Sinespaciado"/>
        <w:rPr>
          <w:rFonts w:ascii="Times New Roman" w:hAnsi="Times New Roman" w:cs="Times New Roman"/>
          <w:sz w:val="16"/>
        </w:rPr>
      </w:pPr>
      <w:r>
        <w:rPr>
          <w:rFonts w:ascii="Times New Roman" w:hAnsi="Times New Roman" w:cs="Times New Roman"/>
          <w:noProof/>
          <w:sz w:val="16"/>
          <w:lang w:eastAsia="es-GT"/>
        </w:rPr>
        <w:drawing>
          <wp:inline distT="0" distB="0" distL="0" distR="0" wp14:anchorId="0FE301D9" wp14:editId="12CA9802">
            <wp:extent cx="2519082" cy="2017059"/>
            <wp:effectExtent l="0" t="0" r="0"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4760" cy="2013598"/>
                    </a:xfrm>
                    <a:prstGeom prst="rect">
                      <a:avLst/>
                    </a:prstGeom>
                    <a:noFill/>
                  </pic:spPr>
                </pic:pic>
              </a:graphicData>
            </a:graphic>
          </wp:inline>
        </w:drawing>
      </w: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4F72F9" w:rsidRDefault="004F72F9" w:rsidP="004F72F9">
      <w:pPr>
        <w:pStyle w:val="Sinespaciado"/>
        <w:jc w:val="center"/>
        <w:rPr>
          <w:rFonts w:ascii="Times New Roman" w:hAnsi="Times New Roman" w:cs="Times New Roman"/>
          <w:lang w:val="es-MX"/>
        </w:rPr>
      </w:pPr>
    </w:p>
    <w:p w:rsidR="004F72F9" w:rsidRDefault="004F72F9" w:rsidP="004F72F9">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lang w:val="es-MX"/>
        </w:rPr>
        <w:t>A pesar del leve relajamiento de gasto, la política de austeridad se mantiene ya que al evaluar la ejecución d</w:t>
      </w:r>
      <w:r w:rsidRPr="00022903">
        <w:rPr>
          <w:rFonts w:ascii="Times New Roman" w:hAnsi="Times New Roman" w:cs="Times New Roman"/>
          <w:color w:val="000000" w:themeColor="text1"/>
          <w:lang w:val="es-MX"/>
        </w:rPr>
        <w:t xml:space="preserve">el </w:t>
      </w:r>
      <w:r w:rsidRPr="00022903">
        <w:rPr>
          <w:rFonts w:ascii="Times New Roman" w:hAnsi="Times New Roman" w:cs="Times New Roman"/>
          <w:color w:val="000000" w:themeColor="text1"/>
        </w:rPr>
        <w:t>gasto considerado como superfluo</w:t>
      </w:r>
      <w:r w:rsidRPr="00022903">
        <w:rPr>
          <w:rStyle w:val="Refdenotaalpie"/>
          <w:rFonts w:ascii="Times New Roman" w:hAnsi="Times New Roman" w:cs="Times New Roman"/>
          <w:color w:val="000000" w:themeColor="text1"/>
        </w:rPr>
        <w:footnoteReference w:id="1"/>
      </w:r>
      <w:r w:rsidRPr="00022903">
        <w:rPr>
          <w:rFonts w:ascii="Times New Roman" w:hAnsi="Times New Roman" w:cs="Times New Roman"/>
          <w:color w:val="000000" w:themeColor="text1"/>
        </w:rPr>
        <w:t xml:space="preserve"> muestra un nivel de Q</w:t>
      </w:r>
      <w:r>
        <w:rPr>
          <w:rFonts w:ascii="Times New Roman" w:hAnsi="Times New Roman" w:cs="Times New Roman"/>
          <w:color w:val="000000" w:themeColor="text1"/>
        </w:rPr>
        <w:t xml:space="preserve"> 170.0</w:t>
      </w:r>
      <w:r w:rsidRPr="00022903">
        <w:rPr>
          <w:rFonts w:ascii="Times New Roman" w:hAnsi="Times New Roman" w:cs="Times New Roman"/>
          <w:color w:val="000000" w:themeColor="text1"/>
        </w:rPr>
        <w:t xml:space="preserve"> millones, </w:t>
      </w:r>
      <w:r>
        <w:rPr>
          <w:rFonts w:ascii="Times New Roman" w:hAnsi="Times New Roman" w:cs="Times New Roman"/>
          <w:color w:val="000000" w:themeColor="text1"/>
        </w:rPr>
        <w:t>mostrando una contracción importante de 40.9</w:t>
      </w:r>
      <w:r w:rsidRPr="00022903">
        <w:rPr>
          <w:rFonts w:ascii="Times New Roman" w:hAnsi="Times New Roman" w:cs="Times New Roman"/>
          <w:color w:val="000000" w:themeColor="text1"/>
        </w:rPr>
        <w:t xml:space="preserve">% con respecto al nivel observado en </w:t>
      </w:r>
      <w:r>
        <w:rPr>
          <w:rFonts w:ascii="Times New Roman" w:hAnsi="Times New Roman" w:cs="Times New Roman"/>
          <w:color w:val="000000" w:themeColor="text1"/>
        </w:rPr>
        <w:t>mayo</w:t>
      </w:r>
      <w:r w:rsidRPr="00022903">
        <w:rPr>
          <w:rFonts w:ascii="Times New Roman" w:hAnsi="Times New Roman" w:cs="Times New Roman"/>
          <w:color w:val="000000" w:themeColor="text1"/>
        </w:rPr>
        <w:t xml:space="preserve"> del año anterior, es decir, una reducción de gasto superfluo de Q</w:t>
      </w:r>
      <w:r>
        <w:rPr>
          <w:rFonts w:ascii="Times New Roman" w:hAnsi="Times New Roman" w:cs="Times New Roman"/>
          <w:color w:val="000000" w:themeColor="text1"/>
        </w:rPr>
        <w:t xml:space="preserve"> 117.6</w:t>
      </w:r>
      <w:r w:rsidRPr="00022903">
        <w:rPr>
          <w:rFonts w:ascii="Times New Roman" w:hAnsi="Times New Roman" w:cs="Times New Roman"/>
          <w:color w:val="000000" w:themeColor="text1"/>
        </w:rPr>
        <w:t xml:space="preserve"> millones. Dicha disminución, a la fecha, afecta a </w:t>
      </w:r>
      <w:r>
        <w:rPr>
          <w:rFonts w:ascii="Times New Roman" w:hAnsi="Times New Roman" w:cs="Times New Roman"/>
          <w:color w:val="000000" w:themeColor="text1"/>
        </w:rPr>
        <w:t xml:space="preserve">todos </w:t>
      </w:r>
      <w:r w:rsidRPr="00022903">
        <w:rPr>
          <w:rFonts w:ascii="Times New Roman" w:hAnsi="Times New Roman" w:cs="Times New Roman"/>
          <w:color w:val="000000" w:themeColor="text1"/>
        </w:rPr>
        <w:t>los renglones que componen este gasto superfluo.</w:t>
      </w:r>
    </w:p>
    <w:p w:rsidR="009F39E2" w:rsidRDefault="009F39E2" w:rsidP="004F72F9">
      <w:pPr>
        <w:pStyle w:val="Sinespaciado"/>
        <w:jc w:val="center"/>
        <w:rPr>
          <w:rFonts w:ascii="Times New Roman" w:hAnsi="Times New Roman" w:cs="Times New Roman"/>
          <w:color w:val="000000" w:themeColor="text1"/>
        </w:rPr>
      </w:pPr>
    </w:p>
    <w:p w:rsidR="009F39E2" w:rsidRDefault="009F39E2" w:rsidP="004F72F9">
      <w:pPr>
        <w:pStyle w:val="Sinespaciado"/>
        <w:jc w:val="center"/>
        <w:rPr>
          <w:rFonts w:ascii="Times New Roman" w:hAnsi="Times New Roman" w:cs="Times New Roman"/>
          <w:color w:val="000000" w:themeColor="text1"/>
        </w:rPr>
      </w:pPr>
    </w:p>
    <w:p w:rsidR="009F39E2" w:rsidRDefault="009F39E2" w:rsidP="004F72F9">
      <w:pPr>
        <w:pStyle w:val="Sinespaciado"/>
        <w:jc w:val="center"/>
        <w:rPr>
          <w:rFonts w:ascii="Times New Roman" w:hAnsi="Times New Roman" w:cs="Times New Roman"/>
          <w:color w:val="000000" w:themeColor="text1"/>
        </w:rPr>
      </w:pPr>
    </w:p>
    <w:p w:rsidR="009F39E2" w:rsidRDefault="009F39E2" w:rsidP="004F72F9">
      <w:pPr>
        <w:pStyle w:val="Sinespaciado"/>
        <w:jc w:val="center"/>
        <w:rPr>
          <w:rFonts w:ascii="Times New Roman" w:hAnsi="Times New Roman" w:cs="Times New Roman"/>
          <w:color w:val="000000" w:themeColor="text1"/>
        </w:rPr>
      </w:pPr>
    </w:p>
    <w:p w:rsidR="004F72F9" w:rsidRDefault="004F72F9" w:rsidP="004F72F9">
      <w:pPr>
        <w:pStyle w:val="Sinespaciado"/>
        <w:jc w:val="center"/>
        <w:rPr>
          <w:rFonts w:ascii="Times New Roman" w:hAnsi="Times New Roman" w:cs="Times New Roman"/>
          <w:b/>
        </w:rPr>
      </w:pPr>
      <w:r>
        <w:rPr>
          <w:rFonts w:ascii="Times New Roman" w:hAnsi="Times New Roman" w:cs="Times New Roman"/>
          <w:b/>
        </w:rPr>
        <w:lastRenderedPageBreak/>
        <w:t>Gasto S</w:t>
      </w:r>
      <w:r w:rsidRPr="00017CB5">
        <w:rPr>
          <w:rFonts w:ascii="Times New Roman" w:hAnsi="Times New Roman" w:cs="Times New Roman"/>
          <w:b/>
        </w:rPr>
        <w:t>uperfluo</w:t>
      </w:r>
    </w:p>
    <w:p w:rsidR="004F72F9" w:rsidRDefault="004F72F9" w:rsidP="004F72F9">
      <w:pPr>
        <w:pStyle w:val="Sinespaciado"/>
        <w:jc w:val="center"/>
        <w:rPr>
          <w:rFonts w:ascii="Times New Roman" w:hAnsi="Times New Roman" w:cs="Times New Roman"/>
          <w:sz w:val="18"/>
        </w:rPr>
      </w:pPr>
      <w:r>
        <w:rPr>
          <w:rFonts w:ascii="Times New Roman" w:hAnsi="Times New Roman" w:cs="Times New Roman"/>
          <w:sz w:val="18"/>
        </w:rPr>
        <w:t>Millones de q</w:t>
      </w:r>
      <w:r w:rsidRPr="00890632">
        <w:rPr>
          <w:rFonts w:ascii="Times New Roman" w:hAnsi="Times New Roman" w:cs="Times New Roman"/>
          <w:sz w:val="18"/>
        </w:rPr>
        <w:t>uetzales</w:t>
      </w:r>
    </w:p>
    <w:p w:rsidR="004F72F9" w:rsidRDefault="004F72F9" w:rsidP="004F72F9">
      <w:pPr>
        <w:pStyle w:val="Sinespaciado"/>
        <w:jc w:val="both"/>
        <w:rPr>
          <w:rFonts w:ascii="Times New Roman" w:hAnsi="Times New Roman" w:cs="Times New Roman"/>
          <w:sz w:val="14"/>
        </w:rPr>
      </w:pPr>
      <w:r>
        <w:rPr>
          <w:rFonts w:ascii="Times New Roman" w:hAnsi="Times New Roman" w:cs="Times New Roman"/>
          <w:sz w:val="14"/>
        </w:rPr>
        <w:t>Acumulado a mayo</w:t>
      </w:r>
      <w:r w:rsidRPr="00784F3C">
        <w:rPr>
          <w:rFonts w:ascii="Times New Roman" w:hAnsi="Times New Roman" w:cs="Times New Roman"/>
          <w:sz w:val="14"/>
        </w:rPr>
        <w:t xml:space="preserve"> de cada año                  Variación por</w:t>
      </w:r>
      <w:r>
        <w:rPr>
          <w:rFonts w:ascii="Times New Roman" w:hAnsi="Times New Roman" w:cs="Times New Roman"/>
          <w:sz w:val="14"/>
        </w:rPr>
        <w:t xml:space="preserve"> rubro a mayo                  </w:t>
      </w:r>
    </w:p>
    <w:p w:rsidR="004F72F9" w:rsidRPr="00784F3C" w:rsidRDefault="004F72F9" w:rsidP="004F72F9">
      <w:pPr>
        <w:pStyle w:val="Sinespaciado"/>
        <w:jc w:val="both"/>
        <w:rPr>
          <w:rFonts w:ascii="Times New Roman" w:hAnsi="Times New Roman" w:cs="Times New Roman"/>
          <w:sz w:val="14"/>
        </w:rPr>
      </w:pPr>
      <w:r>
        <w:rPr>
          <w:rFonts w:ascii="Times New Roman" w:hAnsi="Times New Roman" w:cs="Times New Roman"/>
          <w:sz w:val="14"/>
        </w:rPr>
        <w:t xml:space="preserve">                                                                            2015-2016</w:t>
      </w:r>
    </w:p>
    <w:p w:rsidR="004F72F9" w:rsidRDefault="004F72F9" w:rsidP="004F72F9">
      <w:pPr>
        <w:pStyle w:val="Sinespaciado"/>
        <w:jc w:val="both"/>
        <w:rPr>
          <w:rFonts w:ascii="Times New Roman" w:hAnsi="Times New Roman" w:cs="Times New Roman"/>
          <w:sz w:val="16"/>
        </w:rPr>
      </w:pPr>
      <w:r>
        <w:rPr>
          <w:rFonts w:ascii="Times New Roman" w:hAnsi="Times New Roman" w:cs="Times New Roman"/>
          <w:noProof/>
          <w:sz w:val="16"/>
          <w:lang w:eastAsia="es-GT"/>
        </w:rPr>
        <w:drawing>
          <wp:inline distT="0" distB="0" distL="0" distR="0" wp14:anchorId="013644B8" wp14:editId="19F6FEF8">
            <wp:extent cx="2584299" cy="1132840"/>
            <wp:effectExtent l="0" t="0" r="698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87276" cy="1134145"/>
                    </a:xfrm>
                    <a:prstGeom prst="rect">
                      <a:avLst/>
                    </a:prstGeom>
                    <a:noFill/>
                  </pic:spPr>
                </pic:pic>
              </a:graphicData>
            </a:graphic>
          </wp:inline>
        </w:drawing>
      </w:r>
    </w:p>
    <w:p w:rsidR="004F72F9" w:rsidRDefault="004F72F9" w:rsidP="004F72F9">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4F72F9" w:rsidRDefault="004F72F9" w:rsidP="004F72F9">
      <w:pPr>
        <w:pStyle w:val="Sinespaciado"/>
        <w:jc w:val="both"/>
        <w:rPr>
          <w:rFonts w:ascii="Times New Roman" w:hAnsi="Times New Roman" w:cs="Times New Roman"/>
          <w:color w:val="000000" w:themeColor="text1"/>
          <w:lang w:val="es-MX"/>
        </w:rPr>
      </w:pPr>
    </w:p>
    <w:p w:rsidR="004F72F9" w:rsidRDefault="004F72F9" w:rsidP="004F72F9">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Como se indicó anteriormente la cuota financiera aprobada para mayo es la más alta autorizada en lo que va del año y paradójicamente es la que también muestra el más bajo grado de ejecución, sin embargo, una parte de esta baja ejecución se debe a que algunas entidades que reciben anticipos no lo regularizaron en dicho mes, lo que aumentará el gasto  (por liquidación de anticipos) en los próximos meses.</w:t>
      </w:r>
    </w:p>
    <w:p w:rsidR="004F72F9" w:rsidRDefault="004F72F9" w:rsidP="004F72F9">
      <w:pPr>
        <w:pStyle w:val="Sinespaciado"/>
        <w:jc w:val="both"/>
        <w:rPr>
          <w:rFonts w:ascii="Times New Roman" w:hAnsi="Times New Roman" w:cs="Times New Roman"/>
          <w:color w:val="000000" w:themeColor="text1"/>
          <w:lang w:val="es-MX"/>
        </w:rPr>
      </w:pPr>
    </w:p>
    <w:p w:rsidR="004F72F9" w:rsidRPr="00DD3893" w:rsidRDefault="004F72F9" w:rsidP="004F72F9">
      <w:pPr>
        <w:pStyle w:val="Sinespaciado"/>
        <w:jc w:val="center"/>
        <w:rPr>
          <w:rFonts w:ascii="Times New Roman" w:hAnsi="Times New Roman" w:cs="Times New Roman"/>
          <w:b/>
          <w:color w:val="000000" w:themeColor="text1"/>
          <w:lang w:val="es-MX"/>
        </w:rPr>
      </w:pPr>
      <w:r w:rsidRPr="00DD3893">
        <w:rPr>
          <w:rFonts w:ascii="Times New Roman" w:hAnsi="Times New Roman" w:cs="Times New Roman"/>
          <w:b/>
          <w:color w:val="000000" w:themeColor="text1"/>
          <w:lang w:val="es-MX"/>
        </w:rPr>
        <w:t>Cuota Financiera y Grado de Ejecución</w:t>
      </w:r>
    </w:p>
    <w:p w:rsidR="004F72F9" w:rsidRPr="00DD3893" w:rsidRDefault="004F72F9" w:rsidP="004F72F9">
      <w:pPr>
        <w:pStyle w:val="Sinespaciado"/>
        <w:jc w:val="center"/>
        <w:rPr>
          <w:rFonts w:ascii="Times New Roman" w:hAnsi="Times New Roman" w:cs="Times New Roman"/>
          <w:color w:val="000000" w:themeColor="text1"/>
          <w:sz w:val="18"/>
          <w:lang w:val="es-MX"/>
        </w:rPr>
      </w:pPr>
      <w:r w:rsidRPr="00DD3893">
        <w:rPr>
          <w:rFonts w:ascii="Times New Roman" w:hAnsi="Times New Roman" w:cs="Times New Roman"/>
          <w:color w:val="000000" w:themeColor="text1"/>
          <w:sz w:val="18"/>
          <w:lang w:val="es-MX"/>
        </w:rPr>
        <w:t>Enero – Mayo 2016</w:t>
      </w:r>
    </w:p>
    <w:p w:rsidR="004F72F9" w:rsidRPr="00DD3893" w:rsidRDefault="004F72F9" w:rsidP="004F72F9">
      <w:pPr>
        <w:pStyle w:val="Sinespaciado"/>
        <w:jc w:val="center"/>
        <w:rPr>
          <w:rFonts w:ascii="Times New Roman" w:hAnsi="Times New Roman" w:cs="Times New Roman"/>
          <w:color w:val="000000" w:themeColor="text1"/>
          <w:sz w:val="18"/>
          <w:lang w:val="es-MX"/>
        </w:rPr>
      </w:pPr>
      <w:r w:rsidRPr="00DD3893">
        <w:rPr>
          <w:rFonts w:ascii="Times New Roman" w:hAnsi="Times New Roman" w:cs="Times New Roman"/>
          <w:color w:val="000000" w:themeColor="text1"/>
          <w:sz w:val="18"/>
          <w:lang w:val="es-MX"/>
        </w:rPr>
        <w:t>Millones de quetzales y Porcentajes</w:t>
      </w:r>
    </w:p>
    <w:p w:rsidR="004F72F9" w:rsidRDefault="004F72F9" w:rsidP="004F72F9">
      <w:pPr>
        <w:pStyle w:val="Sinespaciado"/>
        <w:jc w:val="both"/>
        <w:rPr>
          <w:rFonts w:ascii="Times New Roman" w:hAnsi="Times New Roman" w:cs="Times New Roman"/>
          <w:color w:val="000000" w:themeColor="text1"/>
          <w:lang w:val="es-MX"/>
        </w:rPr>
      </w:pPr>
      <w:r>
        <w:rPr>
          <w:rFonts w:ascii="Times New Roman" w:hAnsi="Times New Roman" w:cs="Times New Roman"/>
          <w:noProof/>
          <w:color w:val="000000" w:themeColor="text1"/>
          <w:lang w:eastAsia="es-GT"/>
        </w:rPr>
        <w:drawing>
          <wp:inline distT="0" distB="0" distL="0" distR="0" wp14:anchorId="33A02572" wp14:editId="21C951FB">
            <wp:extent cx="2524679" cy="1676400"/>
            <wp:effectExtent l="0" t="0" r="952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6648" cy="1684348"/>
                    </a:xfrm>
                    <a:prstGeom prst="rect">
                      <a:avLst/>
                    </a:prstGeom>
                    <a:noFill/>
                  </pic:spPr>
                </pic:pic>
              </a:graphicData>
            </a:graphic>
          </wp:inline>
        </w:drawing>
      </w:r>
    </w:p>
    <w:p w:rsidR="004F72F9" w:rsidRDefault="004F72F9" w:rsidP="004F72F9">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4F72F9" w:rsidRDefault="004F72F9" w:rsidP="004F72F9">
      <w:pPr>
        <w:pStyle w:val="Sinespaciado"/>
        <w:jc w:val="both"/>
        <w:rPr>
          <w:rFonts w:ascii="Times New Roman" w:hAnsi="Times New Roman" w:cs="Times New Roman"/>
          <w:color w:val="000000" w:themeColor="text1"/>
        </w:rPr>
      </w:pPr>
    </w:p>
    <w:p w:rsidR="004F72F9" w:rsidRPr="00DD3893" w:rsidRDefault="004F72F9" w:rsidP="004F72F9">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rPr>
        <w:t xml:space="preserve">En mayo el gasto no ejecutado de la cuota financiera fue de Q 897.8 millones, de los cuales Q 725 millones (80.8%) corresponden a gastos financiados con las fuentes IVA-Paz y otros impuestos con destino específico, dentro de estos gastos destacan </w:t>
      </w:r>
      <w:r w:rsidR="009F39E2">
        <w:rPr>
          <w:rFonts w:ascii="Times New Roman" w:hAnsi="Times New Roman" w:cs="Times New Roman"/>
          <w:color w:val="000000" w:themeColor="text1"/>
        </w:rPr>
        <w:t>el aporte</w:t>
      </w:r>
      <w:r>
        <w:rPr>
          <w:rFonts w:ascii="Times New Roman" w:hAnsi="Times New Roman" w:cs="Times New Roman"/>
          <w:color w:val="000000" w:themeColor="text1"/>
        </w:rPr>
        <w:t xml:space="preserve"> a los consejos de desarrollo, regularización de anticipos a COVIAL y al FOPROSO; este </w:t>
      </w:r>
      <w:r>
        <w:rPr>
          <w:rFonts w:ascii="Times New Roman" w:hAnsi="Times New Roman" w:cs="Times New Roman"/>
          <w:color w:val="000000" w:themeColor="text1"/>
        </w:rPr>
        <w:lastRenderedPageBreak/>
        <w:t>último para el pago de las transferencias condicionadas que se estiman pagar a los beneficiarios en</w:t>
      </w:r>
      <w:r w:rsidR="009F39E2">
        <w:rPr>
          <w:rFonts w:ascii="Times New Roman" w:hAnsi="Times New Roman" w:cs="Times New Roman"/>
          <w:color w:val="000000" w:themeColor="text1"/>
        </w:rPr>
        <w:t>tre</w:t>
      </w:r>
      <w:r>
        <w:rPr>
          <w:rFonts w:ascii="Times New Roman" w:hAnsi="Times New Roman" w:cs="Times New Roman"/>
          <w:color w:val="000000" w:themeColor="text1"/>
        </w:rPr>
        <w:t xml:space="preserve"> junio</w:t>
      </w:r>
      <w:r w:rsidR="009F39E2">
        <w:rPr>
          <w:rFonts w:ascii="Times New Roman" w:hAnsi="Times New Roman" w:cs="Times New Roman"/>
          <w:color w:val="000000" w:themeColor="text1"/>
        </w:rPr>
        <w:t xml:space="preserve"> y julio</w:t>
      </w:r>
      <w:r>
        <w:rPr>
          <w:rFonts w:ascii="Times New Roman" w:hAnsi="Times New Roman" w:cs="Times New Roman"/>
          <w:color w:val="000000" w:themeColor="text1"/>
        </w:rPr>
        <w:t>.</w:t>
      </w:r>
    </w:p>
    <w:p w:rsidR="004F72F9" w:rsidRPr="002672D5" w:rsidRDefault="004F72F9" w:rsidP="004F72F9">
      <w:pPr>
        <w:pStyle w:val="Sinespaciado"/>
        <w:jc w:val="both"/>
        <w:rPr>
          <w:rFonts w:ascii="Times New Roman" w:hAnsi="Times New Roman" w:cs="Times New Roman"/>
          <w:color w:val="000000" w:themeColor="text1"/>
          <w:sz w:val="18"/>
        </w:rPr>
      </w:pPr>
    </w:p>
    <w:p w:rsidR="004F72F9" w:rsidRDefault="004F72F9" w:rsidP="004F72F9">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A nivel institucional </w:t>
      </w:r>
      <w:r w:rsidRPr="00022903">
        <w:rPr>
          <w:rFonts w:ascii="Times New Roman" w:hAnsi="Times New Roman" w:cs="Times New Roman"/>
          <w:color w:val="000000" w:themeColor="text1"/>
          <w:lang w:val="es-MX"/>
        </w:rPr>
        <w:t xml:space="preserve">la ejecución del gasto reporta una </w:t>
      </w:r>
      <w:r>
        <w:rPr>
          <w:rFonts w:ascii="Times New Roman" w:hAnsi="Times New Roman" w:cs="Times New Roman"/>
          <w:color w:val="000000" w:themeColor="text1"/>
          <w:lang w:val="es-MX"/>
        </w:rPr>
        <w:t xml:space="preserve">menor </w:t>
      </w:r>
      <w:r w:rsidRPr="00022903">
        <w:rPr>
          <w:rFonts w:ascii="Times New Roman" w:hAnsi="Times New Roman" w:cs="Times New Roman"/>
          <w:color w:val="000000" w:themeColor="text1"/>
          <w:lang w:val="es-MX"/>
        </w:rPr>
        <w:t>ejecución</w:t>
      </w:r>
      <w:r>
        <w:rPr>
          <w:rFonts w:ascii="Times New Roman" w:hAnsi="Times New Roman" w:cs="Times New Roman"/>
          <w:color w:val="000000" w:themeColor="text1"/>
          <w:lang w:val="es-MX"/>
        </w:rPr>
        <w:t xml:space="preserve"> en la mayoría de los ministerios, con</w:t>
      </w:r>
      <w:r w:rsidRPr="00022903">
        <w:rPr>
          <w:rFonts w:ascii="Times New Roman" w:hAnsi="Times New Roman" w:cs="Times New Roman"/>
          <w:color w:val="000000" w:themeColor="text1"/>
          <w:lang w:val="es-MX"/>
        </w:rPr>
        <w:t xml:space="preserve"> </w:t>
      </w:r>
      <w:r>
        <w:rPr>
          <w:rFonts w:ascii="Times New Roman" w:hAnsi="Times New Roman" w:cs="Times New Roman"/>
          <w:color w:val="000000" w:themeColor="text1"/>
          <w:lang w:val="es-MX"/>
        </w:rPr>
        <w:t xml:space="preserve">respecto a lo </w:t>
      </w:r>
      <w:r w:rsidRPr="00022903">
        <w:rPr>
          <w:rFonts w:ascii="Times New Roman" w:hAnsi="Times New Roman" w:cs="Times New Roman"/>
          <w:color w:val="000000" w:themeColor="text1"/>
          <w:lang w:val="es-MX"/>
        </w:rPr>
        <w:t xml:space="preserve">observado </w:t>
      </w:r>
      <w:r>
        <w:rPr>
          <w:rFonts w:ascii="Times New Roman" w:hAnsi="Times New Roman" w:cs="Times New Roman"/>
          <w:color w:val="000000" w:themeColor="text1"/>
          <w:lang w:val="es-MX"/>
        </w:rPr>
        <w:t>en</w:t>
      </w:r>
      <w:r w:rsidRPr="00022903">
        <w:rPr>
          <w:rFonts w:ascii="Times New Roman" w:hAnsi="Times New Roman" w:cs="Times New Roman"/>
          <w:color w:val="000000" w:themeColor="text1"/>
          <w:lang w:val="es-MX"/>
        </w:rPr>
        <w:t xml:space="preserve"> </w:t>
      </w:r>
      <w:r>
        <w:rPr>
          <w:rFonts w:ascii="Times New Roman" w:hAnsi="Times New Roman" w:cs="Times New Roman"/>
          <w:color w:val="000000" w:themeColor="text1"/>
          <w:lang w:val="es-MX"/>
        </w:rPr>
        <w:t>mayo</w:t>
      </w:r>
      <w:r w:rsidRPr="00022903">
        <w:rPr>
          <w:rFonts w:ascii="Times New Roman" w:hAnsi="Times New Roman" w:cs="Times New Roman"/>
          <w:color w:val="000000" w:themeColor="text1"/>
          <w:lang w:val="es-MX"/>
        </w:rPr>
        <w:t xml:space="preserve"> del año anterior. Resalta el caso de ministerios prioritarios como Gobernación y Salud que han visto una merma en su ejecución</w:t>
      </w:r>
      <w:r>
        <w:rPr>
          <w:rFonts w:ascii="Times New Roman" w:hAnsi="Times New Roman" w:cs="Times New Roman"/>
          <w:color w:val="000000" w:themeColor="text1"/>
          <w:lang w:val="es-MX"/>
        </w:rPr>
        <w:t xml:space="preserve"> de Q 245.1</w:t>
      </w:r>
      <w:r w:rsidRPr="00022903">
        <w:rPr>
          <w:rFonts w:ascii="Times New Roman" w:hAnsi="Times New Roman" w:cs="Times New Roman"/>
          <w:color w:val="000000" w:themeColor="text1"/>
          <w:lang w:val="es-MX"/>
        </w:rPr>
        <w:t xml:space="preserve"> y Q</w:t>
      </w:r>
      <w:r>
        <w:rPr>
          <w:rFonts w:ascii="Times New Roman" w:hAnsi="Times New Roman" w:cs="Times New Roman"/>
          <w:color w:val="000000" w:themeColor="text1"/>
          <w:lang w:val="es-MX"/>
        </w:rPr>
        <w:t xml:space="preserve"> 334.7</w:t>
      </w:r>
      <w:r w:rsidRPr="00022903">
        <w:rPr>
          <w:rFonts w:ascii="Times New Roman" w:hAnsi="Times New Roman" w:cs="Times New Roman"/>
          <w:color w:val="000000" w:themeColor="text1"/>
          <w:lang w:val="es-MX"/>
        </w:rPr>
        <w:t xml:space="preserve"> millones, respectivamente.</w:t>
      </w:r>
    </w:p>
    <w:p w:rsidR="004F72F9" w:rsidRPr="002672D5" w:rsidRDefault="004F72F9" w:rsidP="004F72F9">
      <w:pPr>
        <w:pStyle w:val="Sinespaciado"/>
        <w:jc w:val="both"/>
        <w:rPr>
          <w:rFonts w:ascii="Times New Roman" w:hAnsi="Times New Roman" w:cs="Times New Roman"/>
          <w:color w:val="000000" w:themeColor="text1"/>
          <w:sz w:val="18"/>
          <w:lang w:val="es-MX"/>
        </w:rPr>
      </w:pPr>
    </w:p>
    <w:p w:rsidR="004F72F9" w:rsidRDefault="004F72F9" w:rsidP="004F72F9">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 xml:space="preserve">Asimismo, </w:t>
      </w:r>
      <w:bookmarkStart w:id="0" w:name="_GoBack"/>
      <w:bookmarkEnd w:id="0"/>
      <w:r w:rsidR="00DA7472">
        <w:rPr>
          <w:rFonts w:ascii="Times New Roman" w:hAnsi="Times New Roman" w:cs="Times New Roman"/>
          <w:color w:val="000000" w:themeColor="text1"/>
          <w:lang w:val="es-MX"/>
        </w:rPr>
        <w:t>las obligaciones del Estado a Cargo del Tesoro han</w:t>
      </w:r>
      <w:r>
        <w:rPr>
          <w:rFonts w:ascii="Times New Roman" w:hAnsi="Times New Roman" w:cs="Times New Roman"/>
          <w:color w:val="000000" w:themeColor="text1"/>
          <w:lang w:val="es-MX"/>
        </w:rPr>
        <w:t xml:space="preserve"> mostrado una fuerte disminución principalmente porque en este año no se incluye, dentro de la ejecución, el aporte extraordinario al Tribunal Supremo Electoral</w:t>
      </w:r>
      <w:r w:rsidRPr="00022903">
        <w:rPr>
          <w:rFonts w:ascii="Times New Roman" w:hAnsi="Times New Roman" w:cs="Times New Roman"/>
          <w:color w:val="000000" w:themeColor="text1"/>
          <w:lang w:val="es-MX"/>
        </w:rPr>
        <w:t xml:space="preserve"> </w:t>
      </w:r>
      <w:r>
        <w:rPr>
          <w:rFonts w:ascii="Times New Roman" w:hAnsi="Times New Roman" w:cs="Times New Roman"/>
          <w:color w:val="000000" w:themeColor="text1"/>
          <w:lang w:val="es-MX"/>
        </w:rPr>
        <w:t>(Q 500 millones) además en lo que va del año no se reporta aporte</w:t>
      </w:r>
      <w:r w:rsidR="009F39E2">
        <w:rPr>
          <w:rFonts w:ascii="Times New Roman" w:hAnsi="Times New Roman" w:cs="Times New Roman"/>
          <w:color w:val="000000" w:themeColor="text1"/>
          <w:lang w:val="es-MX"/>
        </w:rPr>
        <w:t xml:space="preserve">, por IVA Paz algunos a los consejos de desarrollo urbano y rural, derivado de los problemas surgidos en </w:t>
      </w:r>
      <w:r>
        <w:rPr>
          <w:rFonts w:ascii="Times New Roman" w:hAnsi="Times New Roman" w:cs="Times New Roman"/>
          <w:color w:val="000000" w:themeColor="text1"/>
          <w:lang w:val="es-MX"/>
        </w:rPr>
        <w:t>el CONADUR en la definición de proyectos de inversión.</w:t>
      </w:r>
    </w:p>
    <w:p w:rsidR="004F72F9" w:rsidRPr="002672D5" w:rsidRDefault="004F72F9" w:rsidP="004F72F9">
      <w:pPr>
        <w:pStyle w:val="Sinespaciado"/>
        <w:jc w:val="both"/>
        <w:rPr>
          <w:rFonts w:ascii="Times New Roman" w:hAnsi="Times New Roman" w:cs="Times New Roman"/>
          <w:color w:val="000000" w:themeColor="text1"/>
          <w:sz w:val="18"/>
          <w:lang w:val="es-MX"/>
        </w:rPr>
      </w:pPr>
    </w:p>
    <w:p w:rsidR="004F72F9" w:rsidRPr="00022903" w:rsidRDefault="004F72F9" w:rsidP="004F72F9">
      <w:pPr>
        <w:pStyle w:val="Sinespaciado"/>
        <w:jc w:val="both"/>
        <w:rPr>
          <w:rFonts w:ascii="Times New Roman" w:hAnsi="Times New Roman" w:cs="Times New Roman"/>
          <w:color w:val="000000" w:themeColor="text1"/>
          <w:lang w:val="es-MX"/>
        </w:rPr>
      </w:pPr>
      <w:r>
        <w:rPr>
          <w:rFonts w:ascii="Times New Roman" w:hAnsi="Times New Roman" w:cs="Times New Roman"/>
          <w:color w:val="000000" w:themeColor="text1"/>
          <w:lang w:val="es-MX"/>
        </w:rPr>
        <w:t>Los únicos ministerios que muestran una mayor ejecución interanual son educación y ambiente, situación que se reflejó hasta en este mes, propiciado en parte por el relajamiento en la cuota financiera.</w:t>
      </w:r>
    </w:p>
    <w:p w:rsidR="002672D5" w:rsidRPr="002672D5" w:rsidRDefault="002672D5" w:rsidP="004F72F9">
      <w:pPr>
        <w:pStyle w:val="Sinespaciado"/>
        <w:jc w:val="both"/>
        <w:rPr>
          <w:rFonts w:ascii="Times New Roman" w:hAnsi="Times New Roman" w:cs="Times New Roman"/>
          <w:color w:val="FF0000"/>
          <w:sz w:val="18"/>
          <w:lang w:val="es-MX"/>
        </w:rPr>
      </w:pPr>
    </w:p>
    <w:p w:rsidR="004F72F9" w:rsidRDefault="004F72F9" w:rsidP="004F72F9">
      <w:pPr>
        <w:pStyle w:val="Sinespaciado"/>
        <w:jc w:val="center"/>
        <w:rPr>
          <w:rFonts w:ascii="Times New Roman" w:hAnsi="Times New Roman" w:cs="Times New Roman"/>
          <w:b/>
        </w:rPr>
      </w:pPr>
      <w:r>
        <w:rPr>
          <w:rFonts w:ascii="Times New Roman" w:hAnsi="Times New Roman" w:cs="Times New Roman"/>
          <w:b/>
        </w:rPr>
        <w:t>Gasto Institucional</w:t>
      </w:r>
    </w:p>
    <w:p w:rsidR="004F72F9" w:rsidRDefault="004F72F9" w:rsidP="004F72F9">
      <w:pPr>
        <w:pStyle w:val="Sinespaciado"/>
        <w:jc w:val="center"/>
        <w:rPr>
          <w:rFonts w:ascii="Times New Roman" w:hAnsi="Times New Roman" w:cs="Times New Roman"/>
          <w:sz w:val="18"/>
        </w:rPr>
      </w:pPr>
      <w:r>
        <w:rPr>
          <w:rFonts w:ascii="Times New Roman" w:hAnsi="Times New Roman" w:cs="Times New Roman"/>
          <w:sz w:val="18"/>
        </w:rPr>
        <w:t xml:space="preserve">Variación (2016-2015) </w:t>
      </w:r>
    </w:p>
    <w:p w:rsidR="004F72F9" w:rsidRPr="00890632" w:rsidRDefault="004F72F9" w:rsidP="004F72F9">
      <w:pPr>
        <w:pStyle w:val="Sinespaciado"/>
        <w:jc w:val="center"/>
        <w:rPr>
          <w:rFonts w:ascii="Times New Roman" w:hAnsi="Times New Roman" w:cs="Times New Roman"/>
          <w:b/>
        </w:rPr>
      </w:pPr>
      <w:r>
        <w:rPr>
          <w:rFonts w:ascii="Times New Roman" w:hAnsi="Times New Roman" w:cs="Times New Roman"/>
          <w:sz w:val="18"/>
        </w:rPr>
        <w:t>Millones de quetzales</w:t>
      </w:r>
    </w:p>
    <w:p w:rsidR="004F72F9" w:rsidRDefault="004F72F9" w:rsidP="004F72F9">
      <w:pPr>
        <w:pStyle w:val="Sinespaciado"/>
        <w:jc w:val="both"/>
        <w:rPr>
          <w:rFonts w:ascii="Times New Roman" w:hAnsi="Times New Roman" w:cs="Times New Roman"/>
          <w:noProof/>
          <w:lang w:eastAsia="es-GT"/>
        </w:rPr>
      </w:pPr>
      <w:r>
        <w:rPr>
          <w:rFonts w:ascii="Times New Roman" w:hAnsi="Times New Roman" w:cs="Times New Roman"/>
          <w:noProof/>
          <w:lang w:eastAsia="es-GT"/>
        </w:rPr>
        <w:drawing>
          <wp:inline distT="0" distB="0" distL="0" distR="0" wp14:anchorId="435AD7EC" wp14:editId="0F1A50BE">
            <wp:extent cx="2537010" cy="1927412"/>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7010" cy="1927412"/>
                    </a:xfrm>
                    <a:prstGeom prst="rect">
                      <a:avLst/>
                    </a:prstGeom>
                    <a:noFill/>
                  </pic:spPr>
                </pic:pic>
              </a:graphicData>
            </a:graphic>
          </wp:inline>
        </w:drawing>
      </w:r>
    </w:p>
    <w:p w:rsidR="004F72F9" w:rsidRDefault="004F72F9" w:rsidP="004F72F9">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4F72F9" w:rsidRDefault="004F72F9" w:rsidP="004F72F9">
      <w:pPr>
        <w:pStyle w:val="Sinespaciado"/>
        <w:jc w:val="both"/>
        <w:rPr>
          <w:rFonts w:ascii="Times New Roman" w:hAnsi="Times New Roman" w:cs="Times New Roman"/>
          <w:sz w:val="16"/>
        </w:rPr>
      </w:pPr>
    </w:p>
    <w:p w:rsidR="004F72F9" w:rsidRPr="00022903" w:rsidRDefault="004F72F9" w:rsidP="004F72F9">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rPr>
        <w:t>La contención de gasto si bien es cierto ha tenido efectos positivos en términos de la caja fiscal, también se ha observado  consecuencias negativas en el desempeño institucional, ya que los compromisos que el Estado tiene con la sociedad no se han llegado a cumplir conforme lo programado a nivel presupuestario.</w:t>
      </w:r>
    </w:p>
    <w:p w:rsidR="004F72F9" w:rsidRDefault="004F72F9" w:rsidP="004F72F9">
      <w:pPr>
        <w:pStyle w:val="Sinespaciado"/>
        <w:jc w:val="both"/>
        <w:rPr>
          <w:rFonts w:ascii="Times New Roman" w:hAnsi="Times New Roman" w:cs="Times New Roman"/>
          <w:color w:val="000000" w:themeColor="text1"/>
        </w:rPr>
      </w:pPr>
    </w:p>
    <w:p w:rsidR="009F39E2" w:rsidRDefault="004F72F9" w:rsidP="004F72F9">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rPr>
        <w:t>Uno de</w:t>
      </w:r>
      <w:r w:rsidR="009F39E2">
        <w:rPr>
          <w:rFonts w:ascii="Times New Roman" w:hAnsi="Times New Roman" w:cs="Times New Roman"/>
          <w:color w:val="000000" w:themeColor="text1"/>
        </w:rPr>
        <w:t xml:space="preserve"> los principales </w:t>
      </w:r>
      <w:r>
        <w:rPr>
          <w:rFonts w:ascii="Times New Roman" w:hAnsi="Times New Roman" w:cs="Times New Roman"/>
          <w:color w:val="000000" w:themeColor="text1"/>
        </w:rPr>
        <w:t xml:space="preserve">compromisos </w:t>
      </w:r>
      <w:r w:rsidR="009F39E2">
        <w:rPr>
          <w:rFonts w:ascii="Times New Roman" w:hAnsi="Times New Roman" w:cs="Times New Roman"/>
          <w:color w:val="000000" w:themeColor="text1"/>
        </w:rPr>
        <w:t xml:space="preserve">del gobierno </w:t>
      </w:r>
      <w:r>
        <w:rPr>
          <w:rFonts w:ascii="Times New Roman" w:hAnsi="Times New Roman" w:cs="Times New Roman"/>
          <w:color w:val="000000" w:themeColor="text1"/>
        </w:rPr>
        <w:t>está asociado al Plan de la Alianza para la Prosperidad Triángulo Norte –</w:t>
      </w:r>
      <w:r w:rsidRPr="00022903">
        <w:rPr>
          <w:rFonts w:ascii="Times New Roman" w:hAnsi="Times New Roman" w:cs="Times New Roman"/>
          <w:color w:val="000000" w:themeColor="text1"/>
        </w:rPr>
        <w:t>PAPTN</w:t>
      </w:r>
      <w:r w:rsidR="009F39E2">
        <w:rPr>
          <w:rFonts w:ascii="Times New Roman" w:hAnsi="Times New Roman" w:cs="Times New Roman"/>
          <w:color w:val="000000" w:themeColor="text1"/>
        </w:rPr>
        <w:t>-</w:t>
      </w:r>
      <w:r w:rsidRPr="0002290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el cual es de suma importancia </w:t>
      </w:r>
      <w:r w:rsidR="009F39E2">
        <w:rPr>
          <w:rFonts w:ascii="Times New Roman" w:hAnsi="Times New Roman" w:cs="Times New Roman"/>
          <w:color w:val="000000" w:themeColor="text1"/>
        </w:rPr>
        <w:t>para crear condiciones económicas y sociales para generar más y mejores oportunidades</w:t>
      </w:r>
      <w:r w:rsidR="002A5735">
        <w:rPr>
          <w:rFonts w:ascii="Times New Roman" w:hAnsi="Times New Roman" w:cs="Times New Roman"/>
          <w:color w:val="000000" w:themeColor="text1"/>
        </w:rPr>
        <w:t xml:space="preserve"> que permitan el desarrollo de la población especialmente de los jóvenes.  Asimismo, el avance en este Plan, propicia el aumento en el apoyo financiero que podría recibirse por parte del gobierno de Estados Unidos para la reducción de la pobreza y la migración de guatemaltecos por la falta de oportunidades.</w:t>
      </w:r>
    </w:p>
    <w:p w:rsidR="004F72F9" w:rsidRDefault="004F72F9" w:rsidP="004F72F9">
      <w:pPr>
        <w:pStyle w:val="Sinespaciado"/>
        <w:jc w:val="both"/>
        <w:rPr>
          <w:rFonts w:ascii="Times New Roman" w:hAnsi="Times New Roman" w:cs="Times New Roman"/>
          <w:color w:val="000000" w:themeColor="text1"/>
        </w:rPr>
      </w:pPr>
    </w:p>
    <w:p w:rsidR="002A5735" w:rsidRDefault="004F72F9" w:rsidP="004F72F9">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rPr>
        <w:t xml:space="preserve">En ese sentido, </w:t>
      </w:r>
      <w:r w:rsidRPr="00022903">
        <w:rPr>
          <w:rFonts w:ascii="Times New Roman" w:hAnsi="Times New Roman" w:cs="Times New Roman"/>
          <w:color w:val="000000" w:themeColor="text1"/>
        </w:rPr>
        <w:t xml:space="preserve">al cierre de </w:t>
      </w:r>
      <w:r>
        <w:rPr>
          <w:rFonts w:ascii="Times New Roman" w:hAnsi="Times New Roman" w:cs="Times New Roman"/>
          <w:color w:val="000000" w:themeColor="text1"/>
        </w:rPr>
        <w:t>mayo</w:t>
      </w:r>
      <w:r w:rsidRPr="0002290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de 2016 se </w:t>
      </w:r>
      <w:r w:rsidRPr="00022903">
        <w:rPr>
          <w:rFonts w:ascii="Times New Roman" w:hAnsi="Times New Roman" w:cs="Times New Roman"/>
          <w:color w:val="000000" w:themeColor="text1"/>
        </w:rPr>
        <w:t xml:space="preserve">reportaba una ejecución de </w:t>
      </w:r>
      <w:r>
        <w:rPr>
          <w:rFonts w:ascii="Times New Roman" w:hAnsi="Times New Roman" w:cs="Times New Roman"/>
          <w:color w:val="000000" w:themeColor="text1"/>
        </w:rPr>
        <w:t>Q 768.0 millones, equivalente al 13.6</w:t>
      </w:r>
      <w:r w:rsidRPr="00022903">
        <w:rPr>
          <w:rFonts w:ascii="Times New Roman" w:hAnsi="Times New Roman" w:cs="Times New Roman"/>
          <w:color w:val="000000" w:themeColor="text1"/>
        </w:rPr>
        <w:t xml:space="preserve">% </w:t>
      </w:r>
      <w:r>
        <w:rPr>
          <w:rFonts w:ascii="Times New Roman" w:hAnsi="Times New Roman" w:cs="Times New Roman"/>
          <w:color w:val="000000" w:themeColor="text1"/>
        </w:rPr>
        <w:t>del</w:t>
      </w:r>
      <w:r w:rsidRPr="00022903">
        <w:rPr>
          <w:rFonts w:ascii="Times New Roman" w:hAnsi="Times New Roman" w:cs="Times New Roman"/>
          <w:color w:val="000000" w:themeColor="text1"/>
        </w:rPr>
        <w:t xml:space="preserve"> presupuesto vigente, </w:t>
      </w:r>
      <w:r w:rsidR="002A5735">
        <w:rPr>
          <w:rFonts w:ascii="Times New Roman" w:hAnsi="Times New Roman" w:cs="Times New Roman"/>
          <w:color w:val="000000" w:themeColor="text1"/>
        </w:rPr>
        <w:t>el cual se considera relativamente bajo, no obstante, la ejecución de Ministerios que realizan intervenciones importantes como educación, trabajo, salud y gobernación muestra una ejecución más dinámica. No obstante, en C</w:t>
      </w:r>
      <w:r>
        <w:rPr>
          <w:rFonts w:ascii="Times New Roman" w:hAnsi="Times New Roman" w:cs="Times New Roman"/>
          <w:color w:val="000000" w:themeColor="text1"/>
        </w:rPr>
        <w:t>omunicacio</w:t>
      </w:r>
      <w:r w:rsidR="002A5735">
        <w:rPr>
          <w:rFonts w:ascii="Times New Roman" w:hAnsi="Times New Roman" w:cs="Times New Roman"/>
          <w:color w:val="000000" w:themeColor="text1"/>
        </w:rPr>
        <w:t>nes y D</w:t>
      </w:r>
      <w:r w:rsidRPr="00022903">
        <w:rPr>
          <w:rFonts w:ascii="Times New Roman" w:hAnsi="Times New Roman" w:cs="Times New Roman"/>
          <w:color w:val="000000" w:themeColor="text1"/>
        </w:rPr>
        <w:t xml:space="preserve">esarrollo </w:t>
      </w:r>
      <w:r w:rsidR="002A5735">
        <w:rPr>
          <w:rFonts w:ascii="Times New Roman" w:hAnsi="Times New Roman" w:cs="Times New Roman"/>
          <w:color w:val="000000" w:themeColor="text1"/>
        </w:rPr>
        <w:lastRenderedPageBreak/>
        <w:t>S</w:t>
      </w:r>
      <w:r w:rsidRPr="00022903">
        <w:rPr>
          <w:rFonts w:ascii="Times New Roman" w:hAnsi="Times New Roman" w:cs="Times New Roman"/>
          <w:color w:val="000000" w:themeColor="text1"/>
        </w:rPr>
        <w:t>ocial</w:t>
      </w:r>
      <w:r w:rsidR="002A5735">
        <w:rPr>
          <w:rFonts w:ascii="Times New Roman" w:hAnsi="Times New Roman" w:cs="Times New Roman"/>
          <w:color w:val="000000" w:themeColor="text1"/>
        </w:rPr>
        <w:t xml:space="preserve"> la ejecución de los programas relativos al Plan se encuentra baja.  Sin embargo, se espera que esta pueda repuntar en los próximos meses.</w:t>
      </w:r>
    </w:p>
    <w:p w:rsidR="004F72F9" w:rsidRPr="002A5735" w:rsidRDefault="004F72F9" w:rsidP="004F72F9">
      <w:pPr>
        <w:pStyle w:val="Sinespaciad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4F72F9" w:rsidRPr="00580047" w:rsidRDefault="004F72F9" w:rsidP="004F72F9">
      <w:pPr>
        <w:pStyle w:val="Sinespaciado"/>
        <w:jc w:val="center"/>
        <w:rPr>
          <w:rFonts w:ascii="Times New Roman" w:hAnsi="Times New Roman" w:cs="Times New Roman"/>
          <w:b/>
        </w:rPr>
      </w:pPr>
      <w:r w:rsidRPr="00580047">
        <w:rPr>
          <w:rFonts w:ascii="Times New Roman" w:hAnsi="Times New Roman" w:cs="Times New Roman"/>
          <w:b/>
        </w:rPr>
        <w:t>Ejecución por entidad del PAPTN</w:t>
      </w:r>
    </w:p>
    <w:p w:rsidR="004F72F9" w:rsidRPr="00EC35C2" w:rsidRDefault="004F72F9" w:rsidP="004F72F9">
      <w:pPr>
        <w:pStyle w:val="Sinespaciado"/>
        <w:jc w:val="center"/>
        <w:rPr>
          <w:rFonts w:ascii="Times New Roman" w:hAnsi="Times New Roman" w:cs="Times New Roman"/>
          <w:sz w:val="18"/>
        </w:rPr>
      </w:pPr>
      <w:r w:rsidRPr="00EC35C2">
        <w:rPr>
          <w:rFonts w:ascii="Times New Roman" w:hAnsi="Times New Roman" w:cs="Times New Roman"/>
          <w:sz w:val="18"/>
        </w:rPr>
        <w:t xml:space="preserve">Acumulado a </w:t>
      </w:r>
      <w:r>
        <w:rPr>
          <w:rFonts w:ascii="Times New Roman" w:hAnsi="Times New Roman" w:cs="Times New Roman"/>
          <w:sz w:val="18"/>
        </w:rPr>
        <w:t>mayo</w:t>
      </w:r>
      <w:r w:rsidRPr="00EC35C2">
        <w:rPr>
          <w:rFonts w:ascii="Times New Roman" w:hAnsi="Times New Roman" w:cs="Times New Roman"/>
          <w:sz w:val="18"/>
        </w:rPr>
        <w:t xml:space="preserve"> 2016</w:t>
      </w:r>
    </w:p>
    <w:p w:rsidR="004F72F9" w:rsidRDefault="004F72F9" w:rsidP="004F72F9">
      <w:pPr>
        <w:pStyle w:val="Sinespaciado"/>
        <w:jc w:val="center"/>
        <w:rPr>
          <w:rFonts w:ascii="Times New Roman" w:hAnsi="Times New Roman" w:cs="Times New Roman"/>
          <w:sz w:val="18"/>
        </w:rPr>
      </w:pPr>
      <w:r w:rsidRPr="00580047">
        <w:rPr>
          <w:rFonts w:ascii="Times New Roman" w:hAnsi="Times New Roman" w:cs="Times New Roman"/>
          <w:sz w:val="18"/>
        </w:rPr>
        <w:t>Millones de quetzales</w:t>
      </w:r>
    </w:p>
    <w:p w:rsidR="004F72F9" w:rsidRDefault="004F72F9" w:rsidP="004F72F9">
      <w:pPr>
        <w:pStyle w:val="Sinespaciado"/>
        <w:jc w:val="center"/>
        <w:rPr>
          <w:rFonts w:ascii="Times New Roman" w:hAnsi="Times New Roman" w:cs="Times New Roman"/>
          <w:sz w:val="18"/>
        </w:rPr>
      </w:pPr>
      <w:r w:rsidRPr="00BB4372">
        <w:rPr>
          <w:noProof/>
          <w:lang w:eastAsia="es-GT"/>
        </w:rPr>
        <w:drawing>
          <wp:inline distT="0" distB="0" distL="0" distR="0" wp14:anchorId="7F983647" wp14:editId="0D6736E9">
            <wp:extent cx="2550160" cy="1534160"/>
            <wp:effectExtent l="0" t="0" r="2540" b="889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5819" cy="1537564"/>
                    </a:xfrm>
                    <a:prstGeom prst="rect">
                      <a:avLst/>
                    </a:prstGeom>
                    <a:noFill/>
                    <a:ln>
                      <a:noFill/>
                    </a:ln>
                  </pic:spPr>
                </pic:pic>
              </a:graphicData>
            </a:graphic>
          </wp:inline>
        </w:drawing>
      </w:r>
    </w:p>
    <w:p w:rsidR="004F72F9" w:rsidRPr="002672D5" w:rsidRDefault="004F72F9" w:rsidP="002672D5">
      <w:pPr>
        <w:pStyle w:val="Sinespaciado"/>
        <w:rPr>
          <w:rFonts w:ascii="Times New Roman" w:hAnsi="Times New Roman" w:cs="Times New Roman"/>
          <w:sz w:val="18"/>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2A5735" w:rsidRDefault="002A5735" w:rsidP="004F72F9">
      <w:pPr>
        <w:pStyle w:val="Sinespaciado"/>
        <w:jc w:val="both"/>
        <w:rPr>
          <w:rFonts w:ascii="Times New Roman" w:hAnsi="Times New Roman" w:cs="Times New Roman"/>
          <w:color w:val="000000" w:themeColor="text1"/>
        </w:rPr>
      </w:pPr>
    </w:p>
    <w:p w:rsidR="00C33674" w:rsidRPr="0034700C" w:rsidRDefault="004F72F9" w:rsidP="004F72F9">
      <w:pPr>
        <w:pStyle w:val="Sinespaciado"/>
        <w:jc w:val="both"/>
        <w:rPr>
          <w:rFonts w:ascii="Times New Roman" w:hAnsi="Times New Roman" w:cs="Times New Roman"/>
          <w:color w:val="FF0000"/>
          <w:szCs w:val="24"/>
          <w:lang w:val="es-MX"/>
        </w:rPr>
      </w:pPr>
      <w:r w:rsidRPr="00CB7F31">
        <w:rPr>
          <w:rFonts w:ascii="Times New Roman" w:hAnsi="Times New Roman" w:cs="Times New Roman"/>
          <w:color w:val="000000" w:themeColor="text1"/>
        </w:rPr>
        <w:t>Asimismo, el gasto social, en los rubros de salud, educación y vivienda</w:t>
      </w:r>
      <w:r>
        <w:rPr>
          <w:rFonts w:ascii="Times New Roman" w:hAnsi="Times New Roman" w:cs="Times New Roman"/>
          <w:color w:val="000000" w:themeColor="text1"/>
        </w:rPr>
        <w:t>,</w:t>
      </w:r>
      <w:r w:rsidRPr="00CB7F31">
        <w:rPr>
          <w:rFonts w:ascii="Times New Roman" w:hAnsi="Times New Roman" w:cs="Times New Roman"/>
          <w:color w:val="000000" w:themeColor="text1"/>
        </w:rPr>
        <w:t xml:space="preserve"> </w:t>
      </w:r>
      <w:r>
        <w:rPr>
          <w:rFonts w:ascii="Times New Roman" w:hAnsi="Times New Roman" w:cs="Times New Roman"/>
          <w:color w:val="000000" w:themeColor="text1"/>
        </w:rPr>
        <w:t>r</w:t>
      </w:r>
      <w:r w:rsidRPr="00CB7F31">
        <w:rPr>
          <w:rFonts w:ascii="Times New Roman" w:hAnsi="Times New Roman" w:cs="Times New Roman"/>
          <w:color w:val="000000" w:themeColor="text1"/>
        </w:rPr>
        <w:t xml:space="preserve">eporta una ejecución al cierre de </w:t>
      </w:r>
      <w:r>
        <w:rPr>
          <w:rFonts w:ascii="Times New Roman" w:hAnsi="Times New Roman" w:cs="Times New Roman"/>
          <w:color w:val="000000" w:themeColor="text1"/>
        </w:rPr>
        <w:t>mayo</w:t>
      </w:r>
      <w:r w:rsidRPr="00CB7F31">
        <w:rPr>
          <w:rFonts w:ascii="Times New Roman" w:hAnsi="Times New Roman" w:cs="Times New Roman"/>
          <w:color w:val="000000" w:themeColor="text1"/>
        </w:rPr>
        <w:t xml:space="preserve"> de Q</w:t>
      </w:r>
      <w:r>
        <w:rPr>
          <w:rFonts w:ascii="Times New Roman" w:hAnsi="Times New Roman" w:cs="Times New Roman"/>
          <w:color w:val="000000" w:themeColor="text1"/>
        </w:rPr>
        <w:t xml:space="preserve"> 8,578.0</w:t>
      </w:r>
      <w:r w:rsidRPr="00CB7F31">
        <w:rPr>
          <w:rFonts w:ascii="Times New Roman" w:hAnsi="Times New Roman" w:cs="Times New Roman"/>
          <w:color w:val="000000" w:themeColor="text1"/>
        </w:rPr>
        <w:t xml:space="preserve"> millones, al incorporar los otros compromisos de los Acuerdos de Paz </w:t>
      </w:r>
      <w:r>
        <w:rPr>
          <w:rFonts w:ascii="Times New Roman" w:hAnsi="Times New Roman" w:cs="Times New Roman"/>
          <w:color w:val="000000" w:themeColor="text1"/>
        </w:rPr>
        <w:t>como</w:t>
      </w:r>
      <w:r w:rsidRPr="00CB7F31">
        <w:rPr>
          <w:rFonts w:ascii="Times New Roman" w:hAnsi="Times New Roman" w:cs="Times New Roman"/>
          <w:color w:val="000000" w:themeColor="text1"/>
        </w:rPr>
        <w:t xml:space="preserve"> Seguridad I</w:t>
      </w:r>
      <w:r>
        <w:rPr>
          <w:rFonts w:ascii="Times New Roman" w:hAnsi="Times New Roman" w:cs="Times New Roman"/>
          <w:color w:val="000000" w:themeColor="text1"/>
        </w:rPr>
        <w:t xml:space="preserve">nterna, así como los aportes al </w:t>
      </w:r>
      <w:r w:rsidRPr="00CB7F31">
        <w:rPr>
          <w:rFonts w:ascii="Times New Roman" w:hAnsi="Times New Roman" w:cs="Times New Roman"/>
          <w:color w:val="000000" w:themeColor="text1"/>
        </w:rPr>
        <w:t xml:space="preserve">Organismo Judicial, Corte de Constitucionalidad y Ministerio Público, este alcanza una ejecución de </w:t>
      </w:r>
      <w:r>
        <w:rPr>
          <w:rFonts w:ascii="Times New Roman" w:hAnsi="Times New Roman" w:cs="Times New Roman"/>
          <w:color w:val="000000" w:themeColor="text1"/>
        </w:rPr>
        <w:t>Q 11,282.7</w:t>
      </w:r>
      <w:r w:rsidRPr="00CB7F31">
        <w:rPr>
          <w:rFonts w:ascii="Times New Roman" w:hAnsi="Times New Roman" w:cs="Times New Roman"/>
          <w:color w:val="000000" w:themeColor="text1"/>
        </w:rPr>
        <w:t xml:space="preserve"> millones, </w:t>
      </w:r>
      <w:r w:rsidR="002A5735">
        <w:rPr>
          <w:rFonts w:ascii="Times New Roman" w:hAnsi="Times New Roman" w:cs="Times New Roman"/>
          <w:color w:val="000000" w:themeColor="text1"/>
        </w:rPr>
        <w:t>que es equivalente a un grado de ejecución presupuestaria de 33.7%.</w:t>
      </w:r>
    </w:p>
    <w:p w:rsidR="00DD4AB3" w:rsidRPr="0034700C" w:rsidRDefault="00DD4AB3" w:rsidP="00DD4AB3">
      <w:pPr>
        <w:pStyle w:val="Sinespaciado"/>
        <w:jc w:val="both"/>
        <w:rPr>
          <w:rFonts w:ascii="Times New Roman" w:hAnsi="Times New Roman" w:cs="Times New Roman"/>
          <w:color w:val="FF0000"/>
          <w:szCs w:val="24"/>
          <w:lang w:val="es-MX"/>
        </w:rPr>
      </w:pPr>
    </w:p>
    <w:p w:rsidR="00F76491" w:rsidRPr="0034700C" w:rsidRDefault="00F76491" w:rsidP="00F76491">
      <w:pPr>
        <w:spacing w:line="240" w:lineRule="auto"/>
        <w:jc w:val="both"/>
        <w:rPr>
          <w:rFonts w:ascii="Times New Roman" w:hAnsi="Times New Roman" w:cs="Times New Roman"/>
          <w:color w:val="FF0000"/>
          <w:szCs w:val="24"/>
          <w:lang w:val="es-MX"/>
        </w:rPr>
      </w:pPr>
    </w:p>
    <w:p w:rsidR="00F76491" w:rsidRPr="0034700C" w:rsidRDefault="00F76491" w:rsidP="00F76491">
      <w:pPr>
        <w:jc w:val="both"/>
        <w:rPr>
          <w:rFonts w:ascii="Times New Roman" w:hAnsi="Times New Roman" w:cs="Times New Roman"/>
          <w:color w:val="FF0000"/>
          <w:szCs w:val="24"/>
          <w:lang w:val="es-MX"/>
        </w:rPr>
        <w:sectPr w:rsidR="00F76491" w:rsidRPr="0034700C" w:rsidSect="00BC7539">
          <w:type w:val="continuous"/>
          <w:pgSz w:w="12240" w:h="15840"/>
          <w:pgMar w:top="1417" w:right="1701" w:bottom="1417" w:left="1701" w:header="708" w:footer="708" w:gutter="0"/>
          <w:cols w:num="2" w:space="708"/>
          <w:docGrid w:linePitch="360"/>
        </w:sectPr>
      </w:pPr>
    </w:p>
    <w:p w:rsidR="00E16925" w:rsidRPr="0034700C" w:rsidRDefault="00E16925" w:rsidP="00BC7539">
      <w:pPr>
        <w:pStyle w:val="Sinespaciado"/>
        <w:jc w:val="both"/>
        <w:rPr>
          <w:rFonts w:ascii="Times New Roman" w:hAnsi="Times New Roman" w:cs="Times New Roman"/>
          <w:color w:val="FF0000"/>
          <w:lang w:val="es-MX"/>
        </w:rPr>
      </w:pPr>
    </w:p>
    <w:p w:rsidR="00F76491" w:rsidRPr="004F72F9" w:rsidRDefault="004F72F9"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76491" w:rsidRPr="004F72F9" w:rsidSect="00FA3B81">
          <w:headerReference w:type="default" r:id="rId23"/>
          <w:footerReference w:type="default" r:id="rId24"/>
          <w:type w:val="continuous"/>
          <w:pgSz w:w="12240" w:h="15840" w:code="1"/>
          <w:pgMar w:top="1418" w:right="1418" w:bottom="1418" w:left="1418" w:header="709" w:footer="709" w:gutter="0"/>
          <w:cols w:space="708"/>
          <w:docGrid w:linePitch="360"/>
        </w:sectPr>
      </w:pPr>
      <w:r>
        <w:rPr>
          <w:rFonts w:ascii="Times New Roman" w:hAnsi="Times New Roman" w:cs="Times New Roman"/>
          <w:b/>
          <w:lang w:val="es-MX"/>
        </w:rPr>
        <w:t>Financiamiento afectado por el bajo nivel en los desembolsos de préstamos externos</w:t>
      </w:r>
    </w:p>
    <w:p w:rsidR="00F76491" w:rsidRPr="0034700C" w:rsidRDefault="00F76491" w:rsidP="00F76491">
      <w:pPr>
        <w:pStyle w:val="Sinespaciado"/>
        <w:rPr>
          <w:rFonts w:ascii="Times New Roman" w:hAnsi="Times New Roman" w:cs="Times New Roman"/>
          <w:b/>
          <w:color w:val="FF0000"/>
          <w:sz w:val="18"/>
          <w:lang w:val="es-MX"/>
        </w:rPr>
      </w:pPr>
    </w:p>
    <w:p w:rsidR="00F76491" w:rsidRPr="0034700C" w:rsidRDefault="00F76491" w:rsidP="00F76491">
      <w:pPr>
        <w:pStyle w:val="Sinespaciado"/>
        <w:rPr>
          <w:rFonts w:ascii="Times New Roman" w:hAnsi="Times New Roman" w:cs="Times New Roman"/>
          <w:b/>
          <w:color w:val="FF0000"/>
          <w:lang w:val="es-MX"/>
        </w:rPr>
        <w:sectPr w:rsidR="00F76491" w:rsidRPr="0034700C" w:rsidSect="00213F7F">
          <w:type w:val="continuous"/>
          <w:pgSz w:w="12240" w:h="15840"/>
          <w:pgMar w:top="1417" w:right="1701" w:bottom="1417" w:left="1701" w:header="708" w:footer="708" w:gutter="0"/>
          <w:cols w:space="708"/>
          <w:docGrid w:linePitch="360"/>
        </w:sectPr>
      </w:pPr>
    </w:p>
    <w:p w:rsidR="004F72F9" w:rsidRDefault="004F72F9" w:rsidP="004F72F9">
      <w:pPr>
        <w:pStyle w:val="Sinespaciado"/>
        <w:jc w:val="both"/>
        <w:rPr>
          <w:rFonts w:ascii="Times New Roman" w:hAnsi="Times New Roman" w:cs="Times New Roman"/>
        </w:rPr>
      </w:pPr>
      <w:r>
        <w:rPr>
          <w:rFonts w:ascii="Times New Roman" w:hAnsi="Times New Roman" w:cs="Times New Roman"/>
        </w:rPr>
        <w:lastRenderedPageBreak/>
        <w:t>En cuanto al financiamiento del déficit presupuestario, se observa que persiste el bajo nivel de desembolsos de préstamos externos, los cuales están por debajo en Q 4,551.4 millones</w:t>
      </w:r>
      <w:r w:rsidR="00221DCC">
        <w:rPr>
          <w:rFonts w:ascii="Times New Roman" w:hAnsi="Times New Roman" w:cs="Times New Roman"/>
        </w:rPr>
        <w:t>,</w:t>
      </w:r>
      <w:r>
        <w:rPr>
          <w:rFonts w:ascii="Times New Roman" w:hAnsi="Times New Roman" w:cs="Times New Roman"/>
        </w:rPr>
        <w:t xml:space="preserve"> con respecto de lo que se obtuvo </w:t>
      </w:r>
      <w:r w:rsidR="00221DCC">
        <w:rPr>
          <w:rFonts w:ascii="Times New Roman" w:hAnsi="Times New Roman" w:cs="Times New Roman"/>
        </w:rPr>
        <w:t>en igual fecha d</w:t>
      </w:r>
      <w:r>
        <w:rPr>
          <w:rFonts w:ascii="Times New Roman" w:hAnsi="Times New Roman" w:cs="Times New Roman"/>
        </w:rPr>
        <w:t>el año anterior, esta notoria disminución se debe a que</w:t>
      </w:r>
      <w:r w:rsidR="00DA7472">
        <w:rPr>
          <w:rFonts w:ascii="Times New Roman" w:hAnsi="Times New Roman" w:cs="Times New Roman"/>
        </w:rPr>
        <w:t>,</w:t>
      </w:r>
      <w:r>
        <w:rPr>
          <w:rFonts w:ascii="Times New Roman" w:hAnsi="Times New Roman" w:cs="Times New Roman"/>
        </w:rPr>
        <w:t xml:space="preserve"> para este año no se contrataron préstamos de apoyo presupuestario con los organismos financieros </w:t>
      </w:r>
      <w:r>
        <w:rPr>
          <w:rFonts w:ascii="Times New Roman" w:hAnsi="Times New Roman" w:cs="Times New Roman"/>
        </w:rPr>
        <w:lastRenderedPageBreak/>
        <w:t xml:space="preserve">multilaterales, este tipo de operación a mayo de 2015, representaron Q 4,228.2 millones.   </w:t>
      </w:r>
    </w:p>
    <w:p w:rsidR="004F72F9" w:rsidRDefault="004F72F9" w:rsidP="004F72F9">
      <w:pPr>
        <w:pStyle w:val="Sinespaciado"/>
        <w:jc w:val="both"/>
        <w:rPr>
          <w:rFonts w:ascii="Times New Roman" w:hAnsi="Times New Roman" w:cs="Times New Roman"/>
        </w:rPr>
      </w:pPr>
    </w:p>
    <w:p w:rsidR="004F72F9" w:rsidRDefault="004F72F9" w:rsidP="004F72F9">
      <w:pPr>
        <w:pStyle w:val="Sinespaciado"/>
        <w:jc w:val="both"/>
        <w:rPr>
          <w:rFonts w:ascii="Times New Roman" w:hAnsi="Times New Roman" w:cs="Times New Roman"/>
        </w:rPr>
      </w:pPr>
      <w:r>
        <w:rPr>
          <w:rFonts w:ascii="Times New Roman" w:hAnsi="Times New Roman" w:cs="Times New Roman"/>
        </w:rPr>
        <w:t xml:space="preserve">No obstante, los préstamos sectoriales, es decir, aquellos préstamos que financian proyectos específicos también muestran una reducción de Q 323.2 millones, lo cual se debe principalmente a un problema en la gestión de los desembolsos por parte de las entidades con </w:t>
      </w:r>
      <w:r>
        <w:rPr>
          <w:rFonts w:ascii="Times New Roman" w:hAnsi="Times New Roman" w:cs="Times New Roman"/>
        </w:rPr>
        <w:lastRenderedPageBreak/>
        <w:t xml:space="preserve">los organismos financieros, que pueden deberse entre otros aspectos a la baja ejecución de gasto en algunos proyectos, y en algunos casos a la falta de cumplimiento de algunas condicionalidades previas para realización de los desembolsos por parte de las entidades.  </w:t>
      </w:r>
    </w:p>
    <w:p w:rsidR="004F72F9" w:rsidRDefault="004F72F9" w:rsidP="004F72F9">
      <w:pPr>
        <w:pStyle w:val="Sinespaciado"/>
        <w:jc w:val="both"/>
        <w:rPr>
          <w:rFonts w:ascii="Times New Roman" w:hAnsi="Times New Roman" w:cs="Times New Roman"/>
        </w:rPr>
      </w:pPr>
    </w:p>
    <w:p w:rsidR="004F72F9" w:rsidRPr="00EC35C2" w:rsidRDefault="004F72F9" w:rsidP="004F72F9">
      <w:pPr>
        <w:pStyle w:val="Sinespaciado"/>
        <w:jc w:val="center"/>
        <w:rPr>
          <w:rFonts w:ascii="Times New Roman" w:hAnsi="Times New Roman" w:cs="Times New Roman"/>
          <w:b/>
          <w:color w:val="000000" w:themeColor="text1"/>
          <w:sz w:val="24"/>
        </w:rPr>
      </w:pPr>
      <w:r>
        <w:rPr>
          <w:rFonts w:ascii="Times New Roman" w:hAnsi="Times New Roman" w:cs="Times New Roman"/>
          <w:b/>
          <w:color w:val="000000" w:themeColor="text1"/>
        </w:rPr>
        <w:t>Desembolsos de Préstamos</w:t>
      </w:r>
    </w:p>
    <w:p w:rsidR="004F72F9" w:rsidRPr="00281DED" w:rsidRDefault="004F72F9" w:rsidP="004F72F9">
      <w:pPr>
        <w:pStyle w:val="Sinespaciado"/>
        <w:jc w:val="center"/>
        <w:rPr>
          <w:rFonts w:ascii="Times New Roman" w:hAnsi="Times New Roman" w:cs="Times New Roman"/>
          <w:color w:val="000000" w:themeColor="text1"/>
          <w:sz w:val="18"/>
          <w:szCs w:val="18"/>
        </w:rPr>
      </w:pPr>
      <w:r w:rsidRPr="00281DED">
        <w:rPr>
          <w:rFonts w:ascii="Times New Roman" w:hAnsi="Times New Roman" w:cs="Times New Roman"/>
          <w:color w:val="000000" w:themeColor="text1"/>
          <w:sz w:val="18"/>
          <w:szCs w:val="18"/>
        </w:rPr>
        <w:t>Acumulado a mayo 2015- 2016</w:t>
      </w:r>
    </w:p>
    <w:p w:rsidR="004F72F9" w:rsidRPr="00281DED" w:rsidRDefault="004F72F9" w:rsidP="004F72F9">
      <w:pPr>
        <w:pStyle w:val="Sinespaciado"/>
        <w:jc w:val="center"/>
        <w:rPr>
          <w:rFonts w:ascii="Times New Roman" w:hAnsi="Times New Roman" w:cs="Times New Roman"/>
          <w:sz w:val="20"/>
        </w:rPr>
      </w:pPr>
      <w:r w:rsidRPr="00281DED">
        <w:rPr>
          <w:rFonts w:ascii="Times New Roman" w:hAnsi="Times New Roman" w:cs="Times New Roman"/>
          <w:color w:val="000000" w:themeColor="text1"/>
          <w:sz w:val="18"/>
          <w:szCs w:val="18"/>
        </w:rPr>
        <w:t>Millones de quetzales</w:t>
      </w:r>
    </w:p>
    <w:p w:rsidR="004F72F9" w:rsidRDefault="004F72F9" w:rsidP="004F72F9">
      <w:pPr>
        <w:pStyle w:val="Sinespaciado"/>
        <w:rPr>
          <w:rFonts w:ascii="Times New Roman" w:hAnsi="Times New Roman" w:cs="Times New Roman"/>
          <w:noProof/>
          <w:sz w:val="14"/>
          <w:lang w:eastAsia="es-GT"/>
        </w:rPr>
      </w:pPr>
      <w:r w:rsidRPr="00D94D0F">
        <w:rPr>
          <w:noProof/>
          <w:lang w:eastAsia="es-GT"/>
        </w:rPr>
        <w:drawing>
          <wp:inline distT="0" distB="0" distL="0" distR="0" wp14:anchorId="67A45B54" wp14:editId="2750A233">
            <wp:extent cx="2565400" cy="797560"/>
            <wp:effectExtent l="0" t="0" r="6350" b="254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1275" cy="802495"/>
                    </a:xfrm>
                    <a:prstGeom prst="rect">
                      <a:avLst/>
                    </a:prstGeom>
                    <a:noFill/>
                    <a:ln>
                      <a:noFill/>
                    </a:ln>
                  </pic:spPr>
                </pic:pic>
              </a:graphicData>
            </a:graphic>
          </wp:inline>
        </w:drawing>
      </w:r>
    </w:p>
    <w:p w:rsidR="004F72F9" w:rsidRPr="00995554" w:rsidRDefault="004F72F9" w:rsidP="004F72F9">
      <w:pPr>
        <w:pStyle w:val="Sinespaciado"/>
        <w:rPr>
          <w:rFonts w:ascii="Times New Roman" w:hAnsi="Times New Roman" w:cs="Times New Roman"/>
          <w:sz w:val="16"/>
        </w:rPr>
      </w:pPr>
      <w:r>
        <w:rPr>
          <w:rFonts w:ascii="Times New Roman" w:hAnsi="Times New Roman" w:cs="Times New Roman"/>
          <w:sz w:val="14"/>
        </w:rPr>
        <w:t>F</w:t>
      </w:r>
      <w:r w:rsidRPr="00995554">
        <w:rPr>
          <w:rFonts w:ascii="Times New Roman" w:hAnsi="Times New Roman" w:cs="Times New Roman"/>
          <w:sz w:val="14"/>
        </w:rPr>
        <w:t>uente: Dirección de Análisis y Política fiscal</w:t>
      </w:r>
    </w:p>
    <w:p w:rsidR="00DA7472" w:rsidRDefault="00DA7472" w:rsidP="004F72F9">
      <w:pPr>
        <w:pStyle w:val="Sinespaciado"/>
        <w:jc w:val="both"/>
        <w:rPr>
          <w:rFonts w:ascii="Times New Roman" w:hAnsi="Times New Roman" w:cs="Times New Roman"/>
        </w:rPr>
      </w:pPr>
    </w:p>
    <w:p w:rsidR="004F72F9" w:rsidRDefault="004F72F9" w:rsidP="004F72F9">
      <w:pPr>
        <w:pStyle w:val="Sinespaciado"/>
        <w:jc w:val="both"/>
        <w:rPr>
          <w:rFonts w:ascii="Times New Roman" w:hAnsi="Times New Roman" w:cs="Times New Roman"/>
        </w:rPr>
      </w:pPr>
      <w:r>
        <w:rPr>
          <w:rFonts w:ascii="Times New Roman" w:hAnsi="Times New Roman" w:cs="Times New Roman"/>
        </w:rPr>
        <w:t>De esa cuenta, únicamente el 5.1% de los préstamos programados en el presupuesto de este año se ha logrado desembolsar, lo que tiene efectos negativos en el gasto público especialmente en la inversión.</w:t>
      </w:r>
    </w:p>
    <w:p w:rsidR="004F72F9" w:rsidRDefault="004F72F9" w:rsidP="004F72F9">
      <w:pPr>
        <w:pStyle w:val="Sinespaciado"/>
        <w:jc w:val="both"/>
        <w:rPr>
          <w:rFonts w:ascii="Times New Roman" w:hAnsi="Times New Roman" w:cs="Times New Roman"/>
        </w:rPr>
      </w:pPr>
    </w:p>
    <w:p w:rsidR="004F72F9" w:rsidRDefault="004F72F9" w:rsidP="004F72F9">
      <w:pPr>
        <w:pStyle w:val="Sinespaciado"/>
        <w:jc w:val="both"/>
        <w:rPr>
          <w:rFonts w:ascii="Times New Roman" w:hAnsi="Times New Roman" w:cs="Times New Roman"/>
        </w:rPr>
      </w:pPr>
      <w:r>
        <w:rPr>
          <w:rFonts w:ascii="Times New Roman" w:hAnsi="Times New Roman" w:cs="Times New Roman"/>
        </w:rPr>
        <w:t xml:space="preserve">Este bajo flujo de desembolsos reportados en lo que va del año, ha conducido a un financiamiento externo neto negativo de </w:t>
      </w:r>
      <w:r w:rsidR="00DA7472">
        <w:rPr>
          <w:rFonts w:ascii="Times New Roman" w:hAnsi="Times New Roman" w:cs="Times New Roman"/>
        </w:rPr>
        <w:t xml:space="preserve">           </w:t>
      </w:r>
      <w:r>
        <w:rPr>
          <w:rFonts w:ascii="Times New Roman" w:hAnsi="Times New Roman" w:cs="Times New Roman"/>
        </w:rPr>
        <w:t xml:space="preserve">Q 1,025.1 millones, ya que las amortizaciones de deuda son mayores a los desembolsos captados.  </w:t>
      </w:r>
    </w:p>
    <w:p w:rsidR="004F72F9" w:rsidRDefault="004F72F9" w:rsidP="004F72F9">
      <w:pPr>
        <w:pStyle w:val="Sinespaciado"/>
        <w:jc w:val="both"/>
        <w:rPr>
          <w:rFonts w:ascii="Times New Roman" w:hAnsi="Times New Roman" w:cs="Times New Roman"/>
          <w:color w:val="000000" w:themeColor="text1"/>
        </w:rPr>
      </w:pPr>
    </w:p>
    <w:p w:rsidR="004F72F9" w:rsidRDefault="004F72F9" w:rsidP="004F72F9">
      <w:pPr>
        <w:pStyle w:val="Sinespaciado"/>
        <w:jc w:val="both"/>
        <w:rPr>
          <w:rFonts w:ascii="Times New Roman" w:hAnsi="Times New Roman" w:cs="Times New Roman"/>
          <w:color w:val="000000" w:themeColor="text1"/>
        </w:rPr>
      </w:pPr>
      <w:r w:rsidRPr="00995554">
        <w:rPr>
          <w:rFonts w:ascii="Times New Roman" w:hAnsi="Times New Roman" w:cs="Times New Roman"/>
          <w:color w:val="000000" w:themeColor="text1"/>
        </w:rPr>
        <w:t>En lo que respecta a la colocación de Bonos del Tesoro, entre enero y marzo, se han realizado 9 eventos de subasta y licitación de los cuales se ha recibido una demanda acumulada de Q</w:t>
      </w:r>
      <w:r>
        <w:rPr>
          <w:rFonts w:ascii="Times New Roman" w:hAnsi="Times New Roman" w:cs="Times New Roman"/>
          <w:color w:val="000000" w:themeColor="text1"/>
        </w:rPr>
        <w:t xml:space="preserve"> </w:t>
      </w:r>
      <w:r w:rsidRPr="00995554">
        <w:rPr>
          <w:rFonts w:ascii="Times New Roman" w:hAnsi="Times New Roman" w:cs="Times New Roman"/>
          <w:color w:val="000000" w:themeColor="text1"/>
        </w:rPr>
        <w:t>12,417.6 millones. De los cuales se ha adjudicado, conforme a las necesidades de caja, Q</w:t>
      </w:r>
      <w:r>
        <w:rPr>
          <w:rFonts w:ascii="Times New Roman" w:hAnsi="Times New Roman" w:cs="Times New Roman"/>
          <w:color w:val="000000" w:themeColor="text1"/>
        </w:rPr>
        <w:t xml:space="preserve"> </w:t>
      </w:r>
      <w:r w:rsidRPr="00995554">
        <w:rPr>
          <w:rFonts w:ascii="Times New Roman" w:hAnsi="Times New Roman" w:cs="Times New Roman"/>
          <w:color w:val="000000" w:themeColor="text1"/>
        </w:rPr>
        <w:t>4,792.</w:t>
      </w:r>
      <w:r>
        <w:rPr>
          <w:rFonts w:ascii="Times New Roman" w:hAnsi="Times New Roman" w:cs="Times New Roman"/>
          <w:color w:val="000000" w:themeColor="text1"/>
        </w:rPr>
        <w:t>6</w:t>
      </w:r>
      <w:r w:rsidRPr="00995554">
        <w:rPr>
          <w:rFonts w:ascii="Times New Roman" w:hAnsi="Times New Roman" w:cs="Times New Roman"/>
          <w:color w:val="000000" w:themeColor="text1"/>
        </w:rPr>
        <w:t xml:space="preserve"> millones, orientándose</w:t>
      </w:r>
      <w:r>
        <w:rPr>
          <w:rFonts w:ascii="Times New Roman" w:hAnsi="Times New Roman" w:cs="Times New Roman"/>
          <w:color w:val="000000" w:themeColor="text1"/>
        </w:rPr>
        <w:t xml:space="preserve"> dichos recursos a roll over (Q 3,419.5</w:t>
      </w:r>
      <w:r w:rsidRPr="00995554">
        <w:rPr>
          <w:rFonts w:ascii="Times New Roman" w:hAnsi="Times New Roman" w:cs="Times New Roman"/>
          <w:color w:val="000000" w:themeColor="text1"/>
        </w:rPr>
        <w:t xml:space="preserve"> millones) y Q</w:t>
      </w:r>
      <w:r>
        <w:rPr>
          <w:rFonts w:ascii="Times New Roman" w:hAnsi="Times New Roman" w:cs="Times New Roman"/>
          <w:color w:val="000000" w:themeColor="text1"/>
        </w:rPr>
        <w:t xml:space="preserve"> 1,373.1</w:t>
      </w:r>
      <w:r w:rsidRPr="00995554">
        <w:rPr>
          <w:rFonts w:ascii="Times New Roman" w:hAnsi="Times New Roman" w:cs="Times New Roman"/>
          <w:color w:val="000000" w:themeColor="text1"/>
        </w:rPr>
        <w:t xml:space="preserve"> millones a financiar el presupuesto de este año.</w:t>
      </w:r>
      <w:r>
        <w:rPr>
          <w:rFonts w:ascii="Times New Roman" w:hAnsi="Times New Roman" w:cs="Times New Roman"/>
          <w:color w:val="000000" w:themeColor="text1"/>
        </w:rPr>
        <w:t xml:space="preserve">  </w:t>
      </w:r>
    </w:p>
    <w:p w:rsidR="004F72F9" w:rsidRDefault="004F72F9" w:rsidP="004F72F9">
      <w:pPr>
        <w:pStyle w:val="Sinespaciado"/>
        <w:jc w:val="both"/>
        <w:rPr>
          <w:rFonts w:ascii="Times New Roman" w:hAnsi="Times New Roman" w:cs="Times New Roman"/>
          <w:color w:val="000000" w:themeColor="text1"/>
        </w:rPr>
      </w:pPr>
    </w:p>
    <w:p w:rsidR="004F72F9" w:rsidRDefault="004F72F9" w:rsidP="004F72F9">
      <w:pPr>
        <w:pStyle w:val="Sinespaciado"/>
        <w:jc w:val="both"/>
        <w:rPr>
          <w:rFonts w:ascii="Times New Roman" w:hAnsi="Times New Roman" w:cs="Times New Roman"/>
          <w:lang w:val="es-MX"/>
        </w:rPr>
      </w:pPr>
      <w:r>
        <w:rPr>
          <w:rFonts w:ascii="Times New Roman" w:hAnsi="Times New Roman" w:cs="Times New Roman"/>
          <w:color w:val="000000" w:themeColor="text1"/>
        </w:rPr>
        <w:t xml:space="preserve">Asimismo, </w:t>
      </w:r>
      <w:r>
        <w:rPr>
          <w:rFonts w:ascii="Times New Roman" w:hAnsi="Times New Roman" w:cs="Times New Roman"/>
          <w:lang w:val="es-MX"/>
        </w:rPr>
        <w:t>es importante destacar que el 28 de abril, se logró realizar colocación de Bonos del Tesoro, en el mercado internacional de capitales (Eurobonos)</w:t>
      </w:r>
      <w:r w:rsidR="00DA7472">
        <w:rPr>
          <w:rFonts w:ascii="Times New Roman" w:hAnsi="Times New Roman" w:cs="Times New Roman"/>
          <w:lang w:val="es-MX"/>
        </w:rPr>
        <w:t>, la cual es la séptima colocación que se realiza desde que inició en 1997</w:t>
      </w:r>
      <w:r>
        <w:rPr>
          <w:rFonts w:ascii="Times New Roman" w:hAnsi="Times New Roman" w:cs="Times New Roman"/>
          <w:lang w:val="es-MX"/>
        </w:rPr>
        <w:t>.</w:t>
      </w:r>
    </w:p>
    <w:p w:rsidR="00DA7472" w:rsidRDefault="00DA7472" w:rsidP="004F72F9">
      <w:pPr>
        <w:pStyle w:val="Sinespaciado"/>
        <w:jc w:val="both"/>
        <w:rPr>
          <w:rFonts w:ascii="Times New Roman" w:hAnsi="Times New Roman" w:cs="Times New Roman"/>
          <w:lang w:val="es-MX"/>
        </w:rPr>
      </w:pPr>
    </w:p>
    <w:p w:rsidR="00DA7472" w:rsidRDefault="00DA7472" w:rsidP="00DA7472">
      <w:pPr>
        <w:pStyle w:val="Sinespaciado"/>
        <w:jc w:val="both"/>
        <w:rPr>
          <w:rFonts w:ascii="Times New Roman" w:hAnsi="Times New Roman" w:cs="Times New Roman"/>
          <w:lang w:val="es-MX"/>
        </w:rPr>
      </w:pPr>
      <w:r w:rsidRPr="00DA7472">
        <w:rPr>
          <w:rFonts w:ascii="Times New Roman" w:hAnsi="Times New Roman" w:cs="Times New Roman"/>
          <w:lang w:val="es-MX"/>
        </w:rPr>
        <w:t xml:space="preserve">La demanda </w:t>
      </w:r>
      <w:r>
        <w:rPr>
          <w:rFonts w:ascii="Times New Roman" w:hAnsi="Times New Roman" w:cs="Times New Roman"/>
          <w:lang w:val="es-MX"/>
        </w:rPr>
        <w:t xml:space="preserve">de los títulos del gobierno fue </w:t>
      </w:r>
      <w:r w:rsidRPr="00DA7472">
        <w:rPr>
          <w:rFonts w:ascii="Times New Roman" w:hAnsi="Times New Roman" w:cs="Times New Roman"/>
          <w:lang w:val="es-MX"/>
        </w:rPr>
        <w:t>superi</w:t>
      </w:r>
      <w:r>
        <w:rPr>
          <w:rFonts w:ascii="Times New Roman" w:hAnsi="Times New Roman" w:cs="Times New Roman"/>
          <w:lang w:val="es-MX"/>
        </w:rPr>
        <w:t xml:space="preserve">or a los US$3,000 millones y se </w:t>
      </w:r>
      <w:r w:rsidRPr="00DA7472">
        <w:rPr>
          <w:rFonts w:ascii="Times New Roman" w:hAnsi="Times New Roman" w:cs="Times New Roman"/>
          <w:lang w:val="es-MX"/>
        </w:rPr>
        <w:t>adjudicaron</w:t>
      </w:r>
      <w:r>
        <w:rPr>
          <w:rFonts w:ascii="Times New Roman" w:hAnsi="Times New Roman" w:cs="Times New Roman"/>
          <w:lang w:val="es-MX"/>
        </w:rPr>
        <w:t xml:space="preserve"> US$700 millones, la tasa cupón </w:t>
      </w:r>
      <w:r w:rsidRPr="00DA7472">
        <w:rPr>
          <w:rFonts w:ascii="Times New Roman" w:hAnsi="Times New Roman" w:cs="Times New Roman"/>
          <w:lang w:val="es-MX"/>
        </w:rPr>
        <w:t>de dicha col</w:t>
      </w:r>
      <w:r>
        <w:rPr>
          <w:rFonts w:ascii="Times New Roman" w:hAnsi="Times New Roman" w:cs="Times New Roman"/>
          <w:lang w:val="es-MX"/>
        </w:rPr>
        <w:t xml:space="preserve">ocación fue de 4.5% a un precio </w:t>
      </w:r>
      <w:r w:rsidRPr="00DA7472">
        <w:rPr>
          <w:rFonts w:ascii="Times New Roman" w:hAnsi="Times New Roman" w:cs="Times New Roman"/>
          <w:lang w:val="es-MX"/>
        </w:rPr>
        <w:t>de 99.20</w:t>
      </w:r>
      <w:r>
        <w:rPr>
          <w:rFonts w:ascii="Times New Roman" w:hAnsi="Times New Roman" w:cs="Times New Roman"/>
          <w:lang w:val="es-MX"/>
        </w:rPr>
        <w:t xml:space="preserve">6. Dicha colocación de Eurobono </w:t>
      </w:r>
      <w:r w:rsidRPr="00DA7472">
        <w:rPr>
          <w:rFonts w:ascii="Times New Roman" w:hAnsi="Times New Roman" w:cs="Times New Roman"/>
          <w:lang w:val="es-MX"/>
        </w:rPr>
        <w:t>represe</w:t>
      </w:r>
      <w:r>
        <w:rPr>
          <w:rFonts w:ascii="Times New Roman" w:hAnsi="Times New Roman" w:cs="Times New Roman"/>
          <w:lang w:val="es-MX"/>
        </w:rPr>
        <w:t xml:space="preserve">ntó Q5,407.9 millones, quedando </w:t>
      </w:r>
      <w:r w:rsidRPr="00DA7472">
        <w:rPr>
          <w:rFonts w:ascii="Times New Roman" w:hAnsi="Times New Roman" w:cs="Times New Roman"/>
          <w:lang w:val="es-MX"/>
        </w:rPr>
        <w:t xml:space="preserve">pendiente de </w:t>
      </w:r>
      <w:r>
        <w:rPr>
          <w:rFonts w:ascii="Times New Roman" w:hAnsi="Times New Roman" w:cs="Times New Roman"/>
          <w:lang w:val="es-MX"/>
        </w:rPr>
        <w:t xml:space="preserve">colocar en lo que resta del año </w:t>
      </w:r>
      <w:r w:rsidRPr="00DA7472">
        <w:rPr>
          <w:rFonts w:ascii="Times New Roman" w:hAnsi="Times New Roman" w:cs="Times New Roman"/>
          <w:lang w:val="es-MX"/>
        </w:rPr>
        <w:t>Q4,7</w:t>
      </w:r>
      <w:r>
        <w:rPr>
          <w:rFonts w:ascii="Times New Roman" w:hAnsi="Times New Roman" w:cs="Times New Roman"/>
          <w:lang w:val="es-MX"/>
        </w:rPr>
        <w:t xml:space="preserve">60.5 millones, los cuales serán </w:t>
      </w:r>
      <w:r w:rsidRPr="00DA7472">
        <w:rPr>
          <w:rFonts w:ascii="Times New Roman" w:hAnsi="Times New Roman" w:cs="Times New Roman"/>
          <w:lang w:val="es-MX"/>
        </w:rPr>
        <w:t>negociados en el mercado interno.</w:t>
      </w:r>
    </w:p>
    <w:p w:rsidR="00DA7472" w:rsidRPr="0034700C" w:rsidRDefault="00DA7472" w:rsidP="00FA5DE4">
      <w:pPr>
        <w:pStyle w:val="Sinespaciado"/>
        <w:jc w:val="both"/>
        <w:rPr>
          <w:rFonts w:ascii="Times New Roman" w:hAnsi="Times New Roman" w:cs="Times New Roman"/>
          <w:color w:val="FF0000"/>
        </w:rPr>
        <w:sectPr w:rsidR="00DA7472" w:rsidRPr="0034700C" w:rsidSect="00516433">
          <w:type w:val="continuous"/>
          <w:pgSz w:w="12240" w:h="15840"/>
          <w:pgMar w:top="1417" w:right="1701" w:bottom="1417" w:left="1701" w:header="708" w:footer="708" w:gutter="0"/>
          <w:cols w:num="2" w:space="708"/>
          <w:docGrid w:linePitch="360"/>
        </w:sectPr>
      </w:pPr>
    </w:p>
    <w:p w:rsidR="00F76491" w:rsidRPr="003A3726" w:rsidRDefault="00F76491" w:rsidP="00F76491">
      <w:pPr>
        <w:pStyle w:val="Sinespaciado"/>
        <w:jc w:val="both"/>
        <w:rPr>
          <w:rFonts w:ascii="Times New Roman" w:hAnsi="Times New Roman" w:cs="Times New Roman"/>
          <w:color w:val="FF0000"/>
          <w:sz w:val="10"/>
        </w:rPr>
      </w:pPr>
    </w:p>
    <w:p w:rsidR="00F76491" w:rsidRPr="003A3726" w:rsidRDefault="00F76491" w:rsidP="00F76491">
      <w:pPr>
        <w:pStyle w:val="Sinespaciado"/>
        <w:ind w:left="360"/>
        <w:jc w:val="both"/>
        <w:rPr>
          <w:rFonts w:ascii="Times New Roman" w:hAnsi="Times New Roman" w:cs="Times New Roman"/>
          <w:color w:val="FF0000"/>
          <w:sz w:val="14"/>
          <w:lang w:val="es-MX"/>
        </w:rPr>
      </w:pPr>
    </w:p>
    <w:p w:rsidR="00F76491" w:rsidRPr="0034700C" w:rsidRDefault="00F76491" w:rsidP="00F76491">
      <w:pPr>
        <w:rPr>
          <w:color w:val="FF0000"/>
          <w:lang w:val="es-MX"/>
        </w:rPr>
        <w:sectPr w:rsidR="00F76491" w:rsidRPr="0034700C" w:rsidSect="00516433">
          <w:type w:val="continuous"/>
          <w:pgSz w:w="12240" w:h="15840"/>
          <w:pgMar w:top="1417" w:right="1701" w:bottom="1417" w:left="1701" w:header="708" w:footer="708" w:gutter="0"/>
          <w:cols w:num="2" w:space="708"/>
          <w:docGrid w:linePitch="360"/>
        </w:sectPr>
      </w:pPr>
    </w:p>
    <w:p w:rsidR="00F76491" w:rsidRPr="0034700C" w:rsidRDefault="00F76491" w:rsidP="00F76491">
      <w:pPr>
        <w:pStyle w:val="Sinespaciado"/>
        <w:jc w:val="both"/>
        <w:rPr>
          <w:rFonts w:ascii="Times New Roman" w:hAnsi="Times New Roman" w:cs="Times New Roman"/>
          <w:color w:val="FF0000"/>
          <w:sz w:val="8"/>
          <w:lang w:val="es-MX"/>
        </w:rPr>
      </w:pPr>
    </w:p>
    <w:p w:rsidR="00494D1D" w:rsidRPr="00B2709E" w:rsidRDefault="0042387A" w:rsidP="004238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B2709E" w:rsidSect="00FA3B81">
          <w:headerReference w:type="default" r:id="rId26"/>
          <w:footerReference w:type="default" r:id="rId27"/>
          <w:type w:val="continuous"/>
          <w:pgSz w:w="12240" w:h="15840" w:code="1"/>
          <w:pgMar w:top="1418" w:right="1418" w:bottom="1418" w:left="1418" w:header="709" w:footer="709" w:gutter="0"/>
          <w:cols w:space="708"/>
          <w:docGrid w:linePitch="360"/>
        </w:sectPr>
      </w:pPr>
      <w:r w:rsidRPr="00B2709E">
        <w:rPr>
          <w:rFonts w:ascii="Times New Roman" w:hAnsi="Times New Roman" w:cs="Times New Roman"/>
          <w:b/>
          <w:lang w:val="es-MX"/>
        </w:rPr>
        <w:t>Ambientes macroeconómicos (externo e interno)</w:t>
      </w:r>
    </w:p>
    <w:p w:rsidR="00494D1D" w:rsidRPr="0034700C" w:rsidRDefault="00494D1D" w:rsidP="00494D1D">
      <w:pPr>
        <w:pStyle w:val="Sinespaciado"/>
        <w:rPr>
          <w:rFonts w:ascii="Times New Roman" w:hAnsi="Times New Roman" w:cs="Times New Roman"/>
          <w:b/>
          <w:color w:val="FF0000"/>
          <w:sz w:val="18"/>
          <w:lang w:val="es-MX"/>
        </w:rPr>
      </w:pPr>
    </w:p>
    <w:p w:rsidR="00494D1D" w:rsidRPr="0034700C" w:rsidRDefault="00494D1D" w:rsidP="00494D1D">
      <w:pPr>
        <w:pStyle w:val="Sinespaciado"/>
        <w:rPr>
          <w:rFonts w:ascii="Times New Roman" w:hAnsi="Times New Roman" w:cs="Times New Roman"/>
          <w:b/>
          <w:color w:val="FF0000"/>
          <w:lang w:val="es-MX"/>
        </w:rPr>
        <w:sectPr w:rsidR="00494D1D" w:rsidRPr="0034700C" w:rsidSect="00213F7F">
          <w:type w:val="continuous"/>
          <w:pgSz w:w="12240" w:h="15840"/>
          <w:pgMar w:top="1417" w:right="1701" w:bottom="1417" w:left="1701" w:header="708" w:footer="708" w:gutter="0"/>
          <w:cols w:space="708"/>
          <w:docGrid w:linePitch="360"/>
        </w:sectPr>
      </w:pPr>
    </w:p>
    <w:p w:rsidR="00393E59" w:rsidRPr="00DA7472" w:rsidRDefault="00DA7472" w:rsidP="00393E59">
      <w:pPr>
        <w:pStyle w:val="Sinespaciado"/>
        <w:jc w:val="both"/>
        <w:rPr>
          <w:rFonts w:ascii="Times New Roman" w:hAnsi="Times New Roman" w:cs="Times New Roman"/>
        </w:rPr>
      </w:pPr>
      <w:r>
        <w:rPr>
          <w:rFonts w:ascii="Times New Roman" w:hAnsi="Times New Roman" w:cs="Times New Roman"/>
        </w:rPr>
        <w:lastRenderedPageBreak/>
        <w:t>En mayo</w:t>
      </w:r>
      <w:r w:rsidR="001E0E10" w:rsidRPr="00B2709E">
        <w:rPr>
          <w:rFonts w:ascii="Times New Roman" w:hAnsi="Times New Roman" w:cs="Times New Roman"/>
        </w:rPr>
        <w:t xml:space="preserve">, </w:t>
      </w:r>
      <w:r w:rsidR="00B2709E" w:rsidRPr="00B2709E">
        <w:rPr>
          <w:rFonts w:ascii="Times New Roman" w:hAnsi="Times New Roman" w:cs="Times New Roman"/>
        </w:rPr>
        <w:t xml:space="preserve">la </w:t>
      </w:r>
      <w:r w:rsidR="00B2709E" w:rsidRPr="000206B7">
        <w:rPr>
          <w:rFonts w:ascii="Times New Roman" w:hAnsi="Times New Roman" w:cs="Times New Roman"/>
        </w:rPr>
        <w:t xml:space="preserve">OCDE </w:t>
      </w:r>
      <w:r w:rsidR="00B2709E">
        <w:rPr>
          <w:rFonts w:ascii="Times New Roman" w:hAnsi="Times New Roman" w:cs="Times New Roman"/>
        </w:rPr>
        <w:t xml:space="preserve">dio a conocer el resultado de la estimación de su PIB, el cual </w:t>
      </w:r>
      <w:r w:rsidR="00B2709E" w:rsidRPr="000206B7">
        <w:rPr>
          <w:rFonts w:ascii="Times New Roman" w:hAnsi="Times New Roman" w:cs="Times New Roman"/>
        </w:rPr>
        <w:t>se expandió en los primeros 3 meses del año a un ritmo del 0.4%, en línea con el crecimiento del último trimestre de 2015</w:t>
      </w:r>
      <w:r w:rsidR="00B2709E">
        <w:rPr>
          <w:rFonts w:ascii="Times New Roman" w:hAnsi="Times New Roman" w:cs="Times New Roman"/>
        </w:rPr>
        <w:t>; en términos interanuales la expansión del PIB fue del 1.8%, 2 décimas por debajo del crecimiento del cuarto trimestre del año anterior. E</w:t>
      </w:r>
      <w:r w:rsidR="00B2709E" w:rsidRPr="000206B7">
        <w:rPr>
          <w:rFonts w:ascii="Times New Roman" w:hAnsi="Times New Roman" w:cs="Times New Roman"/>
        </w:rPr>
        <w:t xml:space="preserve">ntre las 34 economías que la conforman, las mayores tasas de crecimiento correspondieron a Noruega (+1%), España y México ambos con (+8%). </w:t>
      </w:r>
      <w:r w:rsidR="00B2709E">
        <w:rPr>
          <w:rFonts w:ascii="Times New Roman" w:hAnsi="Times New Roman" w:cs="Times New Roman"/>
        </w:rPr>
        <w:t xml:space="preserve">Por el contrario, los registros menos favorables correspondieron a Hungría, con una caída del PIB de 8 décimas, </w:t>
      </w:r>
      <w:r w:rsidR="00B2709E">
        <w:rPr>
          <w:rFonts w:ascii="Times New Roman" w:hAnsi="Times New Roman" w:cs="Times New Roman"/>
        </w:rPr>
        <w:lastRenderedPageBreak/>
        <w:t>Grecia con una contracción del 0.4% y Polonia con un retroceso de 0.1%.  Entre las mayores economías, mientras la zona euro aceleró su expansión en el primer trimestre al 0.5%, Estados Unidos vio frenada su expansión al 0.1%, mientras que Reino Unido se ralentizó al 0.4%.  En Japón, el PIB sigue volátil, con un repunte sólido superior al 0.4% desde una contracción de 0.4% el trimestre previo; el área de la Unión Europea y la zona euro el crecimiento del PIB se aceleró a 0.5%, en comparación con el 0.4% y 0.3% respectivamente, del trimestre anterior.</w:t>
      </w:r>
    </w:p>
    <w:p w:rsidR="00B2709E" w:rsidRPr="0035754B" w:rsidRDefault="00DA7472" w:rsidP="00B2709E">
      <w:pPr>
        <w:pStyle w:val="Sinespaciado"/>
        <w:jc w:val="both"/>
        <w:rPr>
          <w:rFonts w:ascii="Times New Roman" w:hAnsi="Times New Roman" w:cs="Times New Roman"/>
        </w:rPr>
      </w:pPr>
      <w:r>
        <w:rPr>
          <w:rFonts w:ascii="Times New Roman" w:hAnsi="Times New Roman" w:cs="Times New Roman"/>
        </w:rPr>
        <w:lastRenderedPageBreak/>
        <w:t>En EEUU</w:t>
      </w:r>
      <w:r w:rsidR="00FF58D4" w:rsidRPr="00FF58D4">
        <w:rPr>
          <w:rFonts w:ascii="Times New Roman" w:hAnsi="Times New Roman" w:cs="Times New Roman"/>
        </w:rPr>
        <w:t xml:space="preserve">, </w:t>
      </w:r>
      <w:r w:rsidR="00B2709E">
        <w:rPr>
          <w:rFonts w:ascii="Times New Roman" w:hAnsi="Times New Roman" w:cs="Times New Roman"/>
          <w:lang w:val="es-MX"/>
        </w:rPr>
        <w:t>la segunda revisión de la estimación del PIB indicó un alza de 3 décimas en el ritmo de expansión, con un crecimiento anualizado del 0.8%; el Gobierno estadounidense indicó que dicha alza se produjo debido principalmente a que el descenso de la inversión en inventarios privados fue menor de lo estimado con anterioridad.  El incremento del PIB refleja las contribuciones positivas  del gasto personal de los consumidores, la inversión doméstica fija y el gasto de los gobiernos estatales y locales.  Sin embargo, estos aspectos positivos se vieron parcialmente compensados por el impacto negativo de la inversión fija no residencial, las exportaciones, la inversión en inventarios privados y gasto del Gobierno federal, así como una reducción en las importaciones entre enero y marzo.</w:t>
      </w:r>
    </w:p>
    <w:p w:rsidR="005B6D05" w:rsidRDefault="005B6D05" w:rsidP="00376802">
      <w:pPr>
        <w:pStyle w:val="Sinespaciado"/>
        <w:jc w:val="both"/>
        <w:rPr>
          <w:rFonts w:ascii="Times New Roman" w:hAnsi="Times New Roman" w:cs="Times New Roman"/>
          <w:color w:val="FF0000"/>
        </w:rPr>
      </w:pPr>
    </w:p>
    <w:p w:rsidR="00CA65FF" w:rsidRDefault="00B2709E" w:rsidP="00376802">
      <w:pPr>
        <w:pStyle w:val="Sinespaciado"/>
        <w:jc w:val="both"/>
        <w:rPr>
          <w:rFonts w:ascii="Times New Roman" w:hAnsi="Times New Roman" w:cs="Times New Roman"/>
        </w:rPr>
      </w:pPr>
      <w:r w:rsidRPr="00CA65FF">
        <w:rPr>
          <w:rFonts w:ascii="Times New Roman" w:hAnsi="Times New Roman" w:cs="Times New Roman"/>
        </w:rPr>
        <w:t>La tasa de desempleo estadounidense disminuyó 3 décimas en mayo y quedó en el 4.7%, creando 38,000 empleos, muy por debajo de los 150,000 previstos por los analistas.  El Gobierno en su informe revisó a la baja las cifras de creación de empleo de abril, desde los 1</w:t>
      </w:r>
      <w:r w:rsidR="00CA65FF" w:rsidRPr="00CA65FF">
        <w:rPr>
          <w:rFonts w:ascii="Times New Roman" w:hAnsi="Times New Roman" w:cs="Times New Roman"/>
        </w:rPr>
        <w:t>60,000 nuevos puesto</w:t>
      </w:r>
      <w:r w:rsidR="00213C92">
        <w:rPr>
          <w:rFonts w:ascii="Times New Roman" w:hAnsi="Times New Roman" w:cs="Times New Roman"/>
        </w:rPr>
        <w:t>s</w:t>
      </w:r>
      <w:r w:rsidR="00CA65FF" w:rsidRPr="00CA65FF">
        <w:rPr>
          <w:rFonts w:ascii="Times New Roman" w:hAnsi="Times New Roman" w:cs="Times New Roman"/>
        </w:rPr>
        <w:t xml:space="preserve"> de trabajo </w:t>
      </w:r>
      <w:r w:rsidRPr="00CA65FF">
        <w:rPr>
          <w:rFonts w:ascii="Times New Roman" w:hAnsi="Times New Roman" w:cs="Times New Roman"/>
        </w:rPr>
        <w:t>calculados inicialmente a 123,000</w:t>
      </w:r>
      <w:r w:rsidR="00CA65FF" w:rsidRPr="00CA65FF">
        <w:rPr>
          <w:rFonts w:ascii="Times New Roman" w:hAnsi="Times New Roman" w:cs="Times New Roman"/>
        </w:rPr>
        <w:t>.  Dicho dato genera inquietud sobre si la Fed decidirá en su próxima reunión una nueva subida de los tipos de interés o preferirá continuar esperando.</w:t>
      </w:r>
    </w:p>
    <w:p w:rsidR="00CA65FF" w:rsidRPr="00CA65FF" w:rsidRDefault="00CA65FF" w:rsidP="00376802">
      <w:pPr>
        <w:pStyle w:val="Sinespaciado"/>
        <w:jc w:val="both"/>
        <w:rPr>
          <w:rFonts w:ascii="Times New Roman" w:hAnsi="Times New Roman" w:cs="Times New Roman"/>
        </w:rPr>
      </w:pPr>
    </w:p>
    <w:p w:rsidR="00CA65FF" w:rsidRPr="00787E94" w:rsidRDefault="00CA65FF" w:rsidP="00CA65FF">
      <w:pPr>
        <w:pStyle w:val="Sinespaciado"/>
        <w:jc w:val="center"/>
        <w:rPr>
          <w:rFonts w:ascii="Times New Roman" w:hAnsi="Times New Roman" w:cs="Times New Roman"/>
          <w:b/>
          <w:lang w:val="es-MX"/>
        </w:rPr>
      </w:pPr>
      <w:r w:rsidRPr="00787E94">
        <w:rPr>
          <w:rFonts w:ascii="Times New Roman" w:hAnsi="Times New Roman" w:cs="Times New Roman"/>
          <w:b/>
          <w:lang w:val="es-MX"/>
        </w:rPr>
        <w:t>Tasa de desempleo Estados Unidos</w:t>
      </w:r>
    </w:p>
    <w:p w:rsidR="00CA65FF" w:rsidRPr="00787E94" w:rsidRDefault="00CA65FF" w:rsidP="00CA65FF">
      <w:pPr>
        <w:pStyle w:val="Sinespaciado"/>
        <w:jc w:val="center"/>
        <w:rPr>
          <w:rFonts w:ascii="Times New Roman" w:hAnsi="Times New Roman" w:cs="Times New Roman"/>
          <w:sz w:val="18"/>
          <w:lang w:val="es-MX"/>
        </w:rPr>
      </w:pPr>
      <w:r>
        <w:rPr>
          <w:rFonts w:ascii="Times New Roman" w:hAnsi="Times New Roman" w:cs="Times New Roman"/>
          <w:sz w:val="18"/>
          <w:lang w:val="es-MX"/>
        </w:rPr>
        <w:t>Mayo</w:t>
      </w:r>
      <w:r w:rsidRPr="00787E94">
        <w:rPr>
          <w:rFonts w:ascii="Times New Roman" w:hAnsi="Times New Roman" w:cs="Times New Roman"/>
          <w:sz w:val="18"/>
          <w:lang w:val="es-MX"/>
        </w:rPr>
        <w:t xml:space="preserve"> 2015 –</w:t>
      </w:r>
      <w:r>
        <w:rPr>
          <w:rFonts w:ascii="Times New Roman" w:hAnsi="Times New Roman" w:cs="Times New Roman"/>
          <w:sz w:val="18"/>
          <w:lang w:val="es-MX"/>
        </w:rPr>
        <w:t xml:space="preserve"> </w:t>
      </w:r>
      <w:r w:rsidRPr="00787E94">
        <w:rPr>
          <w:rFonts w:ascii="Times New Roman" w:hAnsi="Times New Roman" w:cs="Times New Roman"/>
          <w:sz w:val="18"/>
          <w:lang w:val="es-MX"/>
        </w:rPr>
        <w:t>2016</w:t>
      </w:r>
    </w:p>
    <w:p w:rsidR="00CA65FF" w:rsidRPr="00787E94" w:rsidRDefault="00CA65FF" w:rsidP="00CA65FF">
      <w:pPr>
        <w:pStyle w:val="Sinespaciado"/>
        <w:jc w:val="center"/>
        <w:rPr>
          <w:rFonts w:ascii="Times New Roman" w:hAnsi="Times New Roman" w:cs="Times New Roman"/>
          <w:sz w:val="18"/>
          <w:lang w:val="es-MX"/>
        </w:rPr>
      </w:pPr>
      <w:r w:rsidRPr="00787E94">
        <w:rPr>
          <w:rFonts w:ascii="Times New Roman" w:hAnsi="Times New Roman" w:cs="Times New Roman"/>
          <w:sz w:val="18"/>
          <w:lang w:val="es-MX"/>
        </w:rPr>
        <w:t>Porcentaje</w:t>
      </w:r>
    </w:p>
    <w:p w:rsidR="00CA65FF" w:rsidRDefault="00213C92" w:rsidP="00CA65FF">
      <w:pPr>
        <w:pStyle w:val="Sinespaciado"/>
        <w:jc w:val="both"/>
        <w:rPr>
          <w:rFonts w:ascii="Times New Roman" w:hAnsi="Times New Roman" w:cs="Times New Roman"/>
          <w:color w:val="FF0000"/>
          <w:lang w:val="es-MX"/>
        </w:rPr>
      </w:pPr>
      <w:r>
        <w:rPr>
          <w:noProof/>
          <w:lang w:eastAsia="es-GT"/>
        </w:rPr>
        <w:drawing>
          <wp:inline distT="0" distB="0" distL="0" distR="0" wp14:anchorId="45FAE912" wp14:editId="45CC240A">
            <wp:extent cx="2581275" cy="1466850"/>
            <wp:effectExtent l="0" t="0" r="0" b="0"/>
            <wp:docPr id="50" name="Gráfico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A65FF" w:rsidRPr="00A124B9" w:rsidRDefault="00CA65FF" w:rsidP="00CA65FF">
      <w:pPr>
        <w:pStyle w:val="Sinespaciado"/>
        <w:jc w:val="both"/>
        <w:rPr>
          <w:rFonts w:ascii="Times New Roman" w:hAnsi="Times New Roman" w:cs="Times New Roman"/>
        </w:rPr>
      </w:pPr>
      <w:r>
        <w:rPr>
          <w:rFonts w:ascii="Times New Roman" w:hAnsi="Times New Roman" w:cs="Times New Roman"/>
          <w:sz w:val="16"/>
          <w:szCs w:val="12"/>
          <w:lang w:val="es-MX"/>
        </w:rPr>
        <w:t xml:space="preserve">Fuente: Trading </w:t>
      </w:r>
      <w:proofErr w:type="spellStart"/>
      <w:r w:rsidRPr="00F1356C">
        <w:rPr>
          <w:rFonts w:ascii="Times New Roman" w:hAnsi="Times New Roman" w:cs="Times New Roman"/>
          <w:sz w:val="16"/>
          <w:szCs w:val="12"/>
        </w:rPr>
        <w:t>economics</w:t>
      </w:r>
      <w:proofErr w:type="spellEnd"/>
      <w:r>
        <w:rPr>
          <w:rFonts w:ascii="Times New Roman" w:hAnsi="Times New Roman" w:cs="Times New Roman"/>
          <w:sz w:val="16"/>
          <w:szCs w:val="12"/>
          <w:lang w:val="es-MX"/>
        </w:rPr>
        <w:t>.</w:t>
      </w:r>
    </w:p>
    <w:p w:rsidR="00FF58D4" w:rsidRPr="0035754B" w:rsidRDefault="00FF58D4" w:rsidP="00FF58D4">
      <w:pPr>
        <w:pStyle w:val="Sinespaciado"/>
        <w:jc w:val="both"/>
        <w:rPr>
          <w:rFonts w:ascii="Times New Roman" w:hAnsi="Times New Roman" w:cs="Times New Roman"/>
        </w:rPr>
      </w:pPr>
      <w:r w:rsidRPr="00FF58D4">
        <w:rPr>
          <w:rFonts w:ascii="Times New Roman" w:hAnsi="Times New Roman" w:cs="Times New Roman"/>
        </w:rPr>
        <w:lastRenderedPageBreak/>
        <w:t xml:space="preserve">En la zona euro, </w:t>
      </w:r>
      <w:r>
        <w:rPr>
          <w:rFonts w:ascii="Times New Roman" w:hAnsi="Times New Roman" w:cs="Times New Roman"/>
        </w:rPr>
        <w:t>el indicador de la actividad total, que refleja la evolución de las principales empresas del sector privado de los países socios se situó en 53.1 puntos en mayo, permaneciendo igual que en abril; el sector manufacturero disminuyó 2 décimas situándose en 51.5 puntos. La entidad que elabora el indicador, Markit, hizo mención en su informe sobre indicios de mejora en el sector servicios y  manufactura en Francia y Alemania, mientras que el resto de la región permanece en una fase de crecimiento lento tanto en la actividad total como en el empleo a pesar de las agresivas medias de estímulo del BCE, un tipo de cambio competitivo y una caída de los precios que beneficia a los presupuestos familiares.  La debilidad de los datos de los dos últimos meses sugiere que el crecimiento económico probablemente se haya ralentizado y no hay indicios que se produzca una mejora inminente en el segundo trimestre.</w:t>
      </w:r>
    </w:p>
    <w:p w:rsidR="00FF58D4" w:rsidRPr="00FF58D4" w:rsidRDefault="00FF58D4" w:rsidP="00376802">
      <w:pPr>
        <w:pStyle w:val="Sinespaciado"/>
        <w:jc w:val="both"/>
        <w:rPr>
          <w:rFonts w:ascii="Times New Roman" w:hAnsi="Times New Roman" w:cs="Times New Roman"/>
        </w:rPr>
      </w:pPr>
    </w:p>
    <w:p w:rsidR="00B2709E" w:rsidRPr="004B4DB0" w:rsidRDefault="001E0E10" w:rsidP="00B2709E">
      <w:pPr>
        <w:pStyle w:val="Sinespaciado"/>
        <w:jc w:val="both"/>
        <w:rPr>
          <w:rFonts w:ascii="Times New Roman" w:hAnsi="Times New Roman" w:cs="Times New Roman"/>
          <w:color w:val="FF0000"/>
        </w:rPr>
      </w:pPr>
      <w:r w:rsidRPr="00B2709E">
        <w:rPr>
          <w:rFonts w:ascii="Times New Roman" w:hAnsi="Times New Roman" w:cs="Times New Roman"/>
          <w:lang w:val="es-MX"/>
        </w:rPr>
        <w:t xml:space="preserve">Entre lo más relevante </w:t>
      </w:r>
      <w:r w:rsidR="00B2709E" w:rsidRPr="00B2709E">
        <w:rPr>
          <w:rFonts w:ascii="Times New Roman" w:hAnsi="Times New Roman" w:cs="Times New Roman"/>
          <w:lang w:val="es-MX"/>
        </w:rPr>
        <w:t xml:space="preserve">acontecido </w:t>
      </w:r>
      <w:r w:rsidRPr="00B2709E">
        <w:rPr>
          <w:rFonts w:ascii="Times New Roman" w:hAnsi="Times New Roman" w:cs="Times New Roman"/>
          <w:lang w:val="es-MX"/>
        </w:rPr>
        <w:t>en el ámbito nacional</w:t>
      </w:r>
      <w:r w:rsidR="00B2709E" w:rsidRPr="00B2709E">
        <w:rPr>
          <w:rFonts w:ascii="Times New Roman" w:hAnsi="Times New Roman" w:cs="Times New Roman"/>
          <w:lang w:val="es-MX"/>
        </w:rPr>
        <w:t xml:space="preserve"> este mes</w:t>
      </w:r>
      <w:r w:rsidRPr="00B2709E">
        <w:rPr>
          <w:rFonts w:ascii="Times New Roman" w:hAnsi="Times New Roman" w:cs="Times New Roman"/>
          <w:lang w:val="es-MX"/>
        </w:rPr>
        <w:t xml:space="preserve">, se destaca </w:t>
      </w:r>
      <w:r w:rsidR="00B2709E">
        <w:rPr>
          <w:rFonts w:ascii="Times New Roman" w:hAnsi="Times New Roman" w:cs="Times New Roman"/>
          <w:lang w:val="es-MX"/>
        </w:rPr>
        <w:t xml:space="preserve">la decisión de la Junta Monetaria de mantener en 3.0% la tasa de interés líder de política monetaria, basado externamente en </w:t>
      </w:r>
      <w:r w:rsidR="00B2709E" w:rsidRPr="00DD1B8D">
        <w:rPr>
          <w:rFonts w:ascii="Times New Roman" w:hAnsi="Times New Roman" w:cs="Times New Roman"/>
          <w:lang w:val="es-MX"/>
        </w:rPr>
        <w:t xml:space="preserve">factores como </w:t>
      </w:r>
      <w:r w:rsidR="00B2709E">
        <w:rPr>
          <w:rFonts w:ascii="Times New Roman" w:hAnsi="Times New Roman" w:cs="Times New Roman"/>
          <w:lang w:val="es-MX"/>
        </w:rPr>
        <w:t xml:space="preserve">la lenta recuperación del crecimiento </w:t>
      </w:r>
      <w:r w:rsidR="00B2709E" w:rsidRPr="00DD1B8D">
        <w:rPr>
          <w:rFonts w:ascii="Times New Roman" w:hAnsi="Times New Roman" w:cs="Times New Roman"/>
          <w:lang w:val="es-MX"/>
        </w:rPr>
        <w:t>econ</w:t>
      </w:r>
      <w:r w:rsidR="00B2709E">
        <w:rPr>
          <w:rFonts w:ascii="Times New Roman" w:hAnsi="Times New Roman" w:cs="Times New Roman"/>
          <w:lang w:val="es-MX"/>
        </w:rPr>
        <w:t>ómico</w:t>
      </w:r>
      <w:r w:rsidR="00B2709E" w:rsidRPr="00DD1B8D">
        <w:rPr>
          <w:rFonts w:ascii="Times New Roman" w:hAnsi="Times New Roman" w:cs="Times New Roman"/>
          <w:lang w:val="es-MX"/>
        </w:rPr>
        <w:t xml:space="preserve"> mundial</w:t>
      </w:r>
      <w:r w:rsidR="00B2709E">
        <w:rPr>
          <w:rFonts w:ascii="Times New Roman" w:hAnsi="Times New Roman" w:cs="Times New Roman"/>
          <w:lang w:val="es-MX"/>
        </w:rPr>
        <w:t xml:space="preserve"> </w:t>
      </w:r>
      <w:r w:rsidR="00B2709E" w:rsidRPr="00DD1B8D">
        <w:rPr>
          <w:rFonts w:ascii="Times New Roman" w:hAnsi="Times New Roman" w:cs="Times New Roman"/>
          <w:lang w:val="es-MX"/>
        </w:rPr>
        <w:t>y</w:t>
      </w:r>
      <w:r w:rsidR="00B2709E">
        <w:rPr>
          <w:rFonts w:ascii="Times New Roman" w:hAnsi="Times New Roman" w:cs="Times New Roman"/>
          <w:lang w:val="es-MX"/>
        </w:rPr>
        <w:t xml:space="preserve"> de la permanencia de amplios márgenes de incertidumbre y volatilidad en los mercados financieros</w:t>
      </w:r>
      <w:r w:rsidR="00B2709E" w:rsidRPr="00DD1B8D">
        <w:rPr>
          <w:rFonts w:ascii="Times New Roman" w:hAnsi="Times New Roman" w:cs="Times New Roman"/>
          <w:lang w:val="es-MX"/>
        </w:rPr>
        <w:t xml:space="preserve"> de los principales socios comerciales</w:t>
      </w:r>
      <w:r w:rsidR="00B2709E">
        <w:rPr>
          <w:rFonts w:ascii="Times New Roman" w:hAnsi="Times New Roman" w:cs="Times New Roman"/>
          <w:lang w:val="es-MX"/>
        </w:rPr>
        <w:t xml:space="preserve">; y considerando que en el ámbito interno, la actividad económica continúa mostrando un comportamiento congruente con la estimación revisada de crecimiento del PIB para 2016 de entre 3.1% y 3.9%. </w:t>
      </w:r>
      <w:r w:rsidR="00B2709E" w:rsidRPr="00DD1B8D">
        <w:rPr>
          <w:rFonts w:ascii="Times New Roman" w:hAnsi="Times New Roman" w:cs="Times New Roman"/>
          <w:lang w:val="es-MX"/>
        </w:rPr>
        <w:t xml:space="preserve"> </w:t>
      </w:r>
      <w:r w:rsidR="00B2709E">
        <w:rPr>
          <w:rFonts w:ascii="Times New Roman" w:hAnsi="Times New Roman" w:cs="Times New Roman"/>
          <w:lang w:val="es-MX"/>
        </w:rPr>
        <w:t>La Junta Monetaria destacó  que tanto los pronósticos como las expectativas de inflación para el presente año y para 2017 anticipan que la inflación permanecería dentro</w:t>
      </w:r>
      <w:r w:rsidR="00B2709E" w:rsidRPr="00DD1B8D">
        <w:rPr>
          <w:rFonts w:ascii="Times New Roman" w:hAnsi="Times New Roman" w:cs="Times New Roman"/>
          <w:lang w:val="es-MX"/>
        </w:rPr>
        <w:t xml:space="preserve"> de la meta de inflación</w:t>
      </w:r>
      <w:r w:rsidR="00B2709E">
        <w:rPr>
          <w:rFonts w:ascii="Times New Roman" w:hAnsi="Times New Roman" w:cs="Times New Roman"/>
          <w:lang w:val="es-MX"/>
        </w:rPr>
        <w:t xml:space="preserve"> de 4.0% +/- 1 punto porcentual.</w:t>
      </w:r>
      <w:r w:rsidR="00B2709E" w:rsidRPr="004B4DB0">
        <w:rPr>
          <w:rFonts w:ascii="Times New Roman" w:hAnsi="Times New Roman" w:cs="Times New Roman"/>
          <w:color w:val="FF0000"/>
        </w:rPr>
        <w:t xml:space="preserve"> </w:t>
      </w:r>
    </w:p>
    <w:p w:rsidR="001E0E10" w:rsidRPr="00B2709E" w:rsidRDefault="001E0E10" w:rsidP="001E0E10">
      <w:pPr>
        <w:pStyle w:val="Prrafodelista"/>
        <w:ind w:left="0"/>
        <w:jc w:val="both"/>
        <w:rPr>
          <w:rFonts w:ascii="Times New Roman" w:hAnsi="Times New Roman" w:cs="Times New Roman"/>
          <w:color w:val="FF0000"/>
        </w:rPr>
      </w:pPr>
    </w:p>
    <w:p w:rsidR="001E0E10" w:rsidRPr="0034700C" w:rsidRDefault="00B2709E" w:rsidP="00784AF8">
      <w:pPr>
        <w:pStyle w:val="Sinespaciado"/>
        <w:jc w:val="both"/>
        <w:rPr>
          <w:rFonts w:ascii="Times New Roman" w:hAnsi="Times New Roman" w:cs="Times New Roman"/>
          <w:color w:val="FF0000"/>
          <w:lang w:val="es-MX"/>
        </w:rPr>
      </w:pPr>
      <w:r>
        <w:rPr>
          <w:rFonts w:ascii="Times New Roman" w:hAnsi="Times New Roman" w:cs="Times New Roman"/>
        </w:rPr>
        <w:t>L</w:t>
      </w:r>
      <w:r w:rsidRPr="00DC66E7">
        <w:rPr>
          <w:rFonts w:ascii="Times New Roman" w:hAnsi="Times New Roman" w:cs="Times New Roman"/>
        </w:rPr>
        <w:t xml:space="preserve">a </w:t>
      </w:r>
      <w:r>
        <w:rPr>
          <w:rFonts w:ascii="Times New Roman" w:hAnsi="Times New Roman" w:cs="Times New Roman"/>
        </w:rPr>
        <w:t xml:space="preserve">actividad económica medida a través del  </w:t>
      </w:r>
      <w:r w:rsidRPr="00DC66E7">
        <w:rPr>
          <w:rFonts w:ascii="Times New Roman" w:hAnsi="Times New Roman" w:cs="Times New Roman"/>
        </w:rPr>
        <w:t>IMAE</w:t>
      </w:r>
      <w:r>
        <w:rPr>
          <w:rFonts w:ascii="Times New Roman" w:hAnsi="Times New Roman" w:cs="Times New Roman"/>
        </w:rPr>
        <w:t>, de acuerdo a la publicación en mayo,</w:t>
      </w:r>
      <w:r w:rsidRPr="00DC66E7">
        <w:rPr>
          <w:rFonts w:ascii="Times New Roman" w:hAnsi="Times New Roman" w:cs="Times New Roman"/>
        </w:rPr>
        <w:t xml:space="preserve"> </w:t>
      </w:r>
      <w:r w:rsidRPr="00DC66E7">
        <w:rPr>
          <w:rFonts w:ascii="Times New Roman" w:hAnsi="Times New Roman" w:cs="Times New Roman"/>
        </w:rPr>
        <w:lastRenderedPageBreak/>
        <w:t>muestra</w:t>
      </w:r>
      <w:r>
        <w:rPr>
          <w:rFonts w:ascii="Times New Roman" w:hAnsi="Times New Roman" w:cs="Times New Roman"/>
        </w:rPr>
        <w:t xml:space="preserve"> que existió un crecimiento de 2.8</w:t>
      </w:r>
      <w:r w:rsidRPr="00DC66E7">
        <w:rPr>
          <w:rFonts w:ascii="Times New Roman" w:hAnsi="Times New Roman" w:cs="Times New Roman"/>
        </w:rPr>
        <w:t xml:space="preserve">% en </w:t>
      </w:r>
      <w:r>
        <w:rPr>
          <w:rFonts w:ascii="Times New Roman" w:hAnsi="Times New Roman" w:cs="Times New Roman"/>
        </w:rPr>
        <w:t>marzo 2015</w:t>
      </w:r>
      <w:r w:rsidRPr="00DC66E7">
        <w:rPr>
          <w:rFonts w:ascii="Times New Roman" w:hAnsi="Times New Roman" w:cs="Times New Roman"/>
        </w:rPr>
        <w:t>,</w:t>
      </w:r>
      <w:r>
        <w:rPr>
          <w:rFonts w:ascii="Times New Roman" w:hAnsi="Times New Roman" w:cs="Times New Roman"/>
        </w:rPr>
        <w:t xml:space="preserve"> menor que el 4.7 del mismo mes del 2015; dicho índice es usado para medir la evolución de la actividad económica real de la economía en el corto plazo.</w:t>
      </w:r>
      <w:r w:rsidRPr="00DC66E7">
        <w:rPr>
          <w:rFonts w:ascii="Times New Roman" w:hAnsi="Times New Roman" w:cs="Times New Roman"/>
        </w:rPr>
        <w:t xml:space="preserve"> </w:t>
      </w:r>
      <w:r>
        <w:rPr>
          <w:rFonts w:ascii="Times New Roman" w:hAnsi="Times New Roman" w:cs="Times New Roman"/>
        </w:rPr>
        <w:t xml:space="preserve">El resultado, de acuerdo a la publicación del Banco de Guatemala, estuvo </w:t>
      </w:r>
      <w:r w:rsidRPr="00DC66E7">
        <w:rPr>
          <w:rFonts w:ascii="Times New Roman" w:hAnsi="Times New Roman" w:cs="Times New Roman"/>
        </w:rPr>
        <w:t xml:space="preserve">impulsado por el desempeño de las actividades económicas como Transporte, almacenamiento y comunicaciones, Comercio al por mayor y menor y Servicios privados.   Se esperaría que el ritmo de la actividad económica para el primer </w:t>
      </w:r>
      <w:r>
        <w:rPr>
          <w:rFonts w:ascii="Times New Roman" w:hAnsi="Times New Roman" w:cs="Times New Roman"/>
        </w:rPr>
        <w:t>semestre del año</w:t>
      </w:r>
      <w:r w:rsidRPr="00DC66E7">
        <w:rPr>
          <w:rFonts w:ascii="Times New Roman" w:hAnsi="Times New Roman" w:cs="Times New Roman"/>
        </w:rPr>
        <w:t xml:space="preserve"> continúe evolucionando positivamente debido al estímulo que provocan los precios de los combustibles, la estabilidad en el tipo de cambio nominal y el fortalecimiento del mercado interno.   </w:t>
      </w:r>
    </w:p>
    <w:p w:rsidR="001F7141" w:rsidRDefault="001F7141" w:rsidP="004E4FDE">
      <w:pPr>
        <w:pStyle w:val="Sinespaciado"/>
        <w:jc w:val="both"/>
        <w:rPr>
          <w:rFonts w:ascii="Times New Roman" w:hAnsi="Times New Roman" w:cs="Times New Roman"/>
        </w:rPr>
      </w:pPr>
    </w:p>
    <w:p w:rsidR="001F7141" w:rsidRPr="00E02B36" w:rsidRDefault="001F7141" w:rsidP="001F7141">
      <w:pPr>
        <w:pStyle w:val="Sinespaciado"/>
        <w:jc w:val="both"/>
        <w:rPr>
          <w:rFonts w:ascii="Times New Roman" w:hAnsi="Times New Roman" w:cs="Times New Roman"/>
          <w:lang w:val="es-MX"/>
        </w:rPr>
      </w:pPr>
      <w:r>
        <w:rPr>
          <w:rFonts w:ascii="Times New Roman" w:hAnsi="Times New Roman" w:cs="Times New Roman"/>
        </w:rPr>
        <w:t>E</w:t>
      </w:r>
      <w:r>
        <w:rPr>
          <w:rFonts w:ascii="Times New Roman" w:hAnsi="Times New Roman" w:cs="Times New Roman"/>
          <w:lang w:val="es-MX"/>
        </w:rPr>
        <w:t xml:space="preserve">l </w:t>
      </w:r>
      <w:r w:rsidRPr="00E02B36">
        <w:rPr>
          <w:rFonts w:ascii="Times New Roman" w:hAnsi="Times New Roman" w:cs="Times New Roman"/>
          <w:lang w:val="es-MX"/>
        </w:rPr>
        <w:t>Índice de Preci</w:t>
      </w:r>
      <w:r>
        <w:rPr>
          <w:rFonts w:ascii="Times New Roman" w:hAnsi="Times New Roman" w:cs="Times New Roman"/>
          <w:lang w:val="es-MX"/>
        </w:rPr>
        <w:t>os al Consumidor en mayo se ubicó en 124.8</w:t>
      </w:r>
      <w:r w:rsidRPr="00E02B36">
        <w:rPr>
          <w:rFonts w:ascii="Times New Roman" w:hAnsi="Times New Roman" w:cs="Times New Roman"/>
          <w:lang w:val="es-MX"/>
        </w:rPr>
        <w:t>0, el comportamiento del nivel general de precios de la economía registró un</w:t>
      </w:r>
      <w:r>
        <w:rPr>
          <w:rFonts w:ascii="Times New Roman" w:hAnsi="Times New Roman" w:cs="Times New Roman"/>
          <w:lang w:val="es-MX"/>
        </w:rPr>
        <w:t>a variación intermensual de 0.46</w:t>
      </w:r>
      <w:r w:rsidRPr="00E02B36">
        <w:rPr>
          <w:rFonts w:ascii="Times New Roman" w:hAnsi="Times New Roman" w:cs="Times New Roman"/>
          <w:lang w:val="es-MX"/>
        </w:rPr>
        <w:t xml:space="preserve">% e </w:t>
      </w:r>
      <w:r>
        <w:rPr>
          <w:rFonts w:ascii="Times New Roman" w:hAnsi="Times New Roman" w:cs="Times New Roman"/>
          <w:lang w:val="es-MX"/>
        </w:rPr>
        <w:t>interanual de 4.3</w:t>
      </w:r>
      <w:r w:rsidRPr="00E02B36">
        <w:rPr>
          <w:rFonts w:ascii="Times New Roman" w:hAnsi="Times New Roman" w:cs="Times New Roman"/>
          <w:lang w:val="es-MX"/>
        </w:rPr>
        <w:t>6</w:t>
      </w:r>
      <w:r>
        <w:rPr>
          <w:rFonts w:ascii="Times New Roman" w:hAnsi="Times New Roman" w:cs="Times New Roman"/>
          <w:lang w:val="es-MX"/>
        </w:rPr>
        <w:t>%.</w:t>
      </w:r>
      <w:r w:rsidRPr="00E02B36">
        <w:rPr>
          <w:rFonts w:ascii="Times New Roman" w:hAnsi="Times New Roman" w:cs="Times New Roman"/>
          <w:lang w:val="es-MX"/>
        </w:rPr>
        <w:t xml:space="preserve"> </w:t>
      </w:r>
    </w:p>
    <w:p w:rsidR="003A3726" w:rsidRPr="001F7141" w:rsidRDefault="003A3726" w:rsidP="004E4FDE">
      <w:pPr>
        <w:pStyle w:val="Sinespaciado"/>
        <w:jc w:val="both"/>
        <w:rPr>
          <w:rFonts w:ascii="Times New Roman" w:hAnsi="Times New Roman" w:cs="Times New Roman"/>
          <w:lang w:val="es-MX"/>
        </w:rPr>
      </w:pPr>
    </w:p>
    <w:p w:rsidR="001F7141" w:rsidRPr="00E02B36" w:rsidRDefault="001F7141" w:rsidP="001F7141">
      <w:pPr>
        <w:pStyle w:val="Sinespaciado"/>
        <w:jc w:val="center"/>
        <w:rPr>
          <w:rFonts w:ascii="Times New Roman" w:hAnsi="Times New Roman" w:cs="Times New Roman"/>
          <w:b/>
          <w:lang w:val="es-MX"/>
        </w:rPr>
      </w:pPr>
      <w:r w:rsidRPr="00E02B36">
        <w:rPr>
          <w:rFonts w:ascii="Times New Roman" w:hAnsi="Times New Roman" w:cs="Times New Roman"/>
          <w:b/>
          <w:lang w:val="es-MX"/>
        </w:rPr>
        <w:t>Ritmo Inflacionario Total</w:t>
      </w:r>
    </w:p>
    <w:p w:rsidR="001F7141" w:rsidRDefault="001F7141" w:rsidP="001F7141">
      <w:pPr>
        <w:pStyle w:val="Sinespaciado"/>
        <w:jc w:val="center"/>
        <w:rPr>
          <w:rFonts w:ascii="Times New Roman" w:hAnsi="Times New Roman" w:cs="Times New Roman"/>
          <w:sz w:val="18"/>
          <w:lang w:val="es-MX"/>
        </w:rPr>
      </w:pPr>
      <w:r>
        <w:rPr>
          <w:rFonts w:ascii="Times New Roman" w:hAnsi="Times New Roman" w:cs="Times New Roman"/>
          <w:sz w:val="18"/>
          <w:lang w:val="es-MX"/>
        </w:rPr>
        <w:t>Mayo</w:t>
      </w:r>
      <w:r w:rsidRPr="00E02B36">
        <w:rPr>
          <w:rFonts w:ascii="Times New Roman" w:hAnsi="Times New Roman" w:cs="Times New Roman"/>
          <w:sz w:val="18"/>
          <w:lang w:val="es-MX"/>
        </w:rPr>
        <w:t xml:space="preserve"> 2014 - 2016, porcentaje</w:t>
      </w:r>
    </w:p>
    <w:p w:rsidR="001F7141" w:rsidRPr="00213C92" w:rsidRDefault="00240D86" w:rsidP="00213C92">
      <w:pPr>
        <w:pStyle w:val="Sinespaciado"/>
        <w:jc w:val="center"/>
        <w:rPr>
          <w:rFonts w:ascii="Times New Roman" w:hAnsi="Times New Roman" w:cs="Times New Roman"/>
          <w:sz w:val="18"/>
          <w:lang w:val="es-MX"/>
        </w:rPr>
      </w:pPr>
      <w:r>
        <w:rPr>
          <w:noProof/>
          <w:lang w:eastAsia="es-GT"/>
        </w:rPr>
        <w:drawing>
          <wp:inline distT="0" distB="0" distL="0" distR="0" wp14:anchorId="05A875C5" wp14:editId="2ABAB699">
            <wp:extent cx="2581835" cy="1353670"/>
            <wp:effectExtent l="0" t="0" r="9525" b="0"/>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F7141" w:rsidRPr="00E02B36" w:rsidRDefault="001F7141" w:rsidP="001F7141">
      <w:pPr>
        <w:pStyle w:val="Sinespaciado"/>
        <w:jc w:val="both"/>
        <w:rPr>
          <w:rFonts w:ascii="Times New Roman" w:hAnsi="Times New Roman" w:cs="Times New Roman"/>
          <w:sz w:val="16"/>
        </w:rPr>
      </w:pPr>
      <w:r w:rsidRPr="00E02B36">
        <w:rPr>
          <w:rFonts w:ascii="Times New Roman" w:hAnsi="Times New Roman" w:cs="Times New Roman"/>
          <w:sz w:val="16"/>
        </w:rPr>
        <w:t>Fuente: INE</w:t>
      </w:r>
    </w:p>
    <w:p w:rsidR="001F7141" w:rsidRDefault="001F7141" w:rsidP="004E4FDE">
      <w:pPr>
        <w:pStyle w:val="Sinespaciado"/>
        <w:jc w:val="both"/>
        <w:rPr>
          <w:rFonts w:ascii="Times New Roman" w:hAnsi="Times New Roman" w:cs="Times New Roman"/>
        </w:rPr>
      </w:pPr>
    </w:p>
    <w:p w:rsidR="004E4FDE" w:rsidRPr="001F7141" w:rsidRDefault="004E4FDE" w:rsidP="004E4FDE">
      <w:pPr>
        <w:pStyle w:val="Sinespaciado"/>
        <w:jc w:val="both"/>
        <w:rPr>
          <w:rFonts w:ascii="Times New Roman" w:hAnsi="Times New Roman" w:cs="Times New Roman"/>
          <w:lang w:val="es-MX"/>
        </w:rPr>
      </w:pPr>
      <w:r w:rsidRPr="001F7141">
        <w:rPr>
          <w:rFonts w:ascii="Times New Roman" w:hAnsi="Times New Roman" w:cs="Times New Roman"/>
        </w:rPr>
        <w:t xml:space="preserve">El costo de adquisición de la Canasta Básica Alimentaria </w:t>
      </w:r>
      <w:r w:rsidR="002101C9" w:rsidRPr="001F7141">
        <w:rPr>
          <w:rFonts w:ascii="Times New Roman" w:hAnsi="Times New Roman" w:cs="Times New Roman"/>
        </w:rPr>
        <w:t>aumentó</w:t>
      </w:r>
      <w:r w:rsidRPr="001F7141">
        <w:rPr>
          <w:rFonts w:ascii="Times New Roman" w:hAnsi="Times New Roman" w:cs="Times New Roman"/>
        </w:rPr>
        <w:t xml:space="preserve"> Q </w:t>
      </w:r>
      <w:r w:rsidR="001F7141" w:rsidRPr="001F7141">
        <w:rPr>
          <w:rFonts w:ascii="Times New Roman" w:hAnsi="Times New Roman" w:cs="Times New Roman"/>
        </w:rPr>
        <w:t>39</w:t>
      </w:r>
      <w:r w:rsidRPr="001F7141">
        <w:rPr>
          <w:rFonts w:ascii="Times New Roman" w:hAnsi="Times New Roman" w:cs="Times New Roman"/>
        </w:rPr>
        <w:t>.</w:t>
      </w:r>
      <w:r w:rsidR="001F7141" w:rsidRPr="001F7141">
        <w:rPr>
          <w:rFonts w:ascii="Times New Roman" w:hAnsi="Times New Roman" w:cs="Times New Roman"/>
        </w:rPr>
        <w:t>39</w:t>
      </w:r>
      <w:r w:rsidRPr="001F7141">
        <w:rPr>
          <w:rFonts w:ascii="Times New Roman" w:hAnsi="Times New Roman" w:cs="Times New Roman"/>
        </w:rPr>
        <w:t xml:space="preserve"> con relación al registrado </w:t>
      </w:r>
      <w:r w:rsidR="00213C92">
        <w:rPr>
          <w:rFonts w:ascii="Times New Roman" w:hAnsi="Times New Roman" w:cs="Times New Roman"/>
        </w:rPr>
        <w:t>a abril</w:t>
      </w:r>
      <w:r w:rsidRPr="001F7141">
        <w:rPr>
          <w:rFonts w:ascii="Times New Roman" w:hAnsi="Times New Roman" w:cs="Times New Roman"/>
        </w:rPr>
        <w:t xml:space="preserve"> y respecto al </w:t>
      </w:r>
      <w:r w:rsidR="001F7141" w:rsidRPr="001F7141">
        <w:rPr>
          <w:rFonts w:ascii="Times New Roman" w:hAnsi="Times New Roman" w:cs="Times New Roman"/>
        </w:rPr>
        <w:t>año anterior se incrementó Q 378.30</w:t>
      </w:r>
      <w:r w:rsidRPr="001F7141">
        <w:rPr>
          <w:rFonts w:ascii="Times New Roman" w:hAnsi="Times New Roman" w:cs="Times New Roman"/>
        </w:rPr>
        <w:t xml:space="preserve">.  El costo de adquisición de la Canasta Básica Vital también </w:t>
      </w:r>
      <w:r w:rsidR="002101C9" w:rsidRPr="001F7141">
        <w:rPr>
          <w:rFonts w:ascii="Times New Roman" w:hAnsi="Times New Roman" w:cs="Times New Roman"/>
        </w:rPr>
        <w:t>au</w:t>
      </w:r>
      <w:r w:rsidR="001F7141" w:rsidRPr="001F7141">
        <w:rPr>
          <w:rFonts w:ascii="Times New Roman" w:hAnsi="Times New Roman" w:cs="Times New Roman"/>
        </w:rPr>
        <w:t>mentó Q 71.89</w:t>
      </w:r>
      <w:r w:rsidRPr="001F7141">
        <w:rPr>
          <w:rFonts w:ascii="Times New Roman" w:hAnsi="Times New Roman" w:cs="Times New Roman"/>
        </w:rPr>
        <w:t xml:space="preserve"> con relaci</w:t>
      </w:r>
      <w:r w:rsidR="002101C9" w:rsidRPr="001F7141">
        <w:rPr>
          <w:rFonts w:ascii="Times New Roman" w:hAnsi="Times New Roman" w:cs="Times New Roman"/>
        </w:rPr>
        <w:t xml:space="preserve">ón al mes anterior y respecto a </w:t>
      </w:r>
      <w:r w:rsidR="001F7141" w:rsidRPr="001F7141">
        <w:rPr>
          <w:rFonts w:ascii="Times New Roman" w:hAnsi="Times New Roman" w:cs="Times New Roman"/>
        </w:rPr>
        <w:t>mayo</w:t>
      </w:r>
      <w:r w:rsidR="00C85696" w:rsidRPr="001F7141">
        <w:rPr>
          <w:rFonts w:ascii="Times New Roman" w:hAnsi="Times New Roman" w:cs="Times New Roman"/>
        </w:rPr>
        <w:t xml:space="preserve"> 2015</w:t>
      </w:r>
      <w:r w:rsidRPr="001F7141">
        <w:rPr>
          <w:rFonts w:ascii="Times New Roman" w:hAnsi="Times New Roman" w:cs="Times New Roman"/>
        </w:rPr>
        <w:t xml:space="preserve"> se </w:t>
      </w:r>
      <w:r w:rsidR="001F7141" w:rsidRPr="001F7141">
        <w:rPr>
          <w:rFonts w:ascii="Times New Roman" w:hAnsi="Times New Roman" w:cs="Times New Roman"/>
        </w:rPr>
        <w:t>incrementó Q 690.33</w:t>
      </w:r>
      <w:r w:rsidRPr="001F7141">
        <w:rPr>
          <w:rFonts w:ascii="Times New Roman" w:hAnsi="Times New Roman" w:cs="Times New Roman"/>
        </w:rPr>
        <w:t xml:space="preserve">.  </w:t>
      </w:r>
    </w:p>
    <w:p w:rsidR="004E4FDE" w:rsidRPr="0034700C" w:rsidRDefault="004E4FDE" w:rsidP="004E4FDE">
      <w:pPr>
        <w:pStyle w:val="Sinespaciado"/>
        <w:jc w:val="both"/>
        <w:rPr>
          <w:color w:val="FF0000"/>
          <w:lang w:val="es-MX"/>
        </w:rPr>
      </w:pPr>
    </w:p>
    <w:p w:rsidR="004E4FDE" w:rsidRPr="0034700C" w:rsidRDefault="004E4FDE" w:rsidP="00D40769">
      <w:pPr>
        <w:pStyle w:val="Sinespaciado"/>
        <w:jc w:val="both"/>
        <w:rPr>
          <w:rFonts w:ascii="Times New Roman" w:hAnsi="Times New Roman" w:cs="Times New Roman"/>
          <w:color w:val="FF0000"/>
          <w:lang w:val="es-MX"/>
        </w:rPr>
      </w:pPr>
    </w:p>
    <w:p w:rsidR="004E4FDE" w:rsidRPr="0034700C" w:rsidRDefault="004E4FDE" w:rsidP="0042387A">
      <w:pPr>
        <w:rPr>
          <w:color w:val="FF0000"/>
          <w:lang w:val="es-MX"/>
        </w:rPr>
        <w:sectPr w:rsidR="004E4FDE" w:rsidRPr="0034700C" w:rsidSect="00516433">
          <w:type w:val="continuous"/>
          <w:pgSz w:w="12240" w:h="15840"/>
          <w:pgMar w:top="1417" w:right="1701" w:bottom="1417" w:left="1701" w:header="708" w:footer="708" w:gutter="0"/>
          <w:cols w:num="2" w:space="708"/>
          <w:docGrid w:linePitch="360"/>
        </w:sectPr>
      </w:pPr>
    </w:p>
    <w:p w:rsidR="0042387A" w:rsidRPr="0034700C" w:rsidRDefault="0042387A" w:rsidP="0042387A">
      <w:pPr>
        <w:spacing w:after="0" w:line="240" w:lineRule="auto"/>
        <w:rPr>
          <w:rFonts w:ascii="Times New Roman" w:hAnsi="Times New Roman" w:cs="Times New Roman"/>
          <w:color w:val="FF0000"/>
          <w:lang w:val="es-MX"/>
        </w:rPr>
      </w:pPr>
    </w:p>
    <w:sectPr w:rsidR="0042387A" w:rsidRPr="0034700C" w:rsidSect="007D4651">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E8" w:rsidRDefault="00B11BE8" w:rsidP="007D4651">
      <w:pPr>
        <w:spacing w:after="0" w:line="240" w:lineRule="auto"/>
      </w:pPr>
      <w:r>
        <w:separator/>
      </w:r>
    </w:p>
  </w:endnote>
  <w:endnote w:type="continuationSeparator" w:id="0">
    <w:p w:rsidR="00B11BE8" w:rsidRDefault="00B11BE8"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89789790"/>
      <w:docPartObj>
        <w:docPartGallery w:val="Page Numbers (Bottom of Page)"/>
        <w:docPartUnique/>
      </w:docPartObj>
    </w:sdtPr>
    <w:sdtEndPr/>
    <w:sdtContent>
      <w:p w:rsidR="007D4651" w:rsidRDefault="007D4651">
        <w:pPr>
          <w:pStyle w:val="Piedepgina"/>
          <w:jc w:val="right"/>
          <w:rPr>
            <w:lang w:val="es-ES"/>
          </w:rPr>
        </w:pPr>
      </w:p>
      <w:p w:rsidR="007D4651" w:rsidRDefault="007D465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0B435B5A" wp14:editId="321434C2">
                  <wp:simplePos x="0" y="0"/>
                  <wp:positionH relativeFrom="column">
                    <wp:posOffset>1776669</wp:posOffset>
                  </wp:positionH>
                  <wp:positionV relativeFrom="paragraph">
                    <wp:posOffset>70516</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A32B5" id="3 Rectángulo" o:spid="_x0000_s1026" style="position:absolute;margin-left:139.9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Dziu1g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7D4651" w:rsidRDefault="007D465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A7472" w:rsidRPr="00DA7472">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7D4651" w:rsidRDefault="007D4651" w:rsidP="007D4651">
    <w:pPr>
      <w:pStyle w:val="Piedepgina"/>
      <w:tabs>
        <w:tab w:val="clear" w:pos="4419"/>
        <w:tab w:val="clear" w:pos="8838"/>
        <w:tab w:val="left" w:pos="5777"/>
      </w:tabs>
    </w:pPr>
  </w:p>
  <w:p w:rsidR="0066791B" w:rsidRDefault="0066791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9405431"/>
      <w:docPartObj>
        <w:docPartGallery w:val="Page Numbers (Bottom of Page)"/>
        <w:docPartUnique/>
      </w:docPartObj>
    </w:sdtPr>
    <w:sdtEndPr/>
    <w:sdtContent>
      <w:p w:rsidR="00E16925" w:rsidRDefault="00E16925">
        <w:pPr>
          <w:pStyle w:val="Piedepgina"/>
          <w:jc w:val="right"/>
          <w:rPr>
            <w:lang w:val="es-ES"/>
          </w:rPr>
        </w:pPr>
      </w:p>
      <w:p w:rsidR="00E16925" w:rsidRDefault="00E1692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01124731" wp14:editId="3541DA66">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BF2122"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16925" w:rsidRDefault="00E1692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A3497" w:rsidRPr="007A3497">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16925" w:rsidRDefault="00E16925" w:rsidP="007D4651">
    <w:pPr>
      <w:pStyle w:val="Piedepgina"/>
      <w:tabs>
        <w:tab w:val="clear" w:pos="4419"/>
        <w:tab w:val="clear" w:pos="8838"/>
        <w:tab w:val="left" w:pos="5777"/>
      </w:tabs>
    </w:pPr>
  </w:p>
  <w:p w:rsidR="00E16925" w:rsidRDefault="00E1692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03057022"/>
      <w:docPartObj>
        <w:docPartGallery w:val="Page Numbers (Bottom of Page)"/>
        <w:docPartUnique/>
      </w:docPartObj>
    </w:sdtPr>
    <w:sdtEndPr/>
    <w:sdtContent>
      <w:p w:rsidR="00FA3B81" w:rsidRDefault="00FA3B81">
        <w:pPr>
          <w:pStyle w:val="Piedepgina"/>
          <w:jc w:val="right"/>
          <w:rPr>
            <w:lang w:val="es-ES"/>
          </w:rPr>
        </w:pPr>
      </w:p>
      <w:p w:rsidR="00FA3B81" w:rsidRDefault="00FA3B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79548E2D" wp14:editId="3BDF41F8">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9109C8"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A3B81" w:rsidRDefault="00FA3B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A7472" w:rsidRPr="00DA7472">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FA3B81" w:rsidRDefault="00FA3B81" w:rsidP="007D4651">
    <w:pPr>
      <w:pStyle w:val="Piedepgina"/>
      <w:tabs>
        <w:tab w:val="clear" w:pos="4419"/>
        <w:tab w:val="clear" w:pos="8838"/>
        <w:tab w:val="left" w:pos="5777"/>
      </w:tabs>
    </w:pPr>
  </w:p>
  <w:p w:rsidR="00FA3B81" w:rsidRDefault="00FA3B8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520901799"/>
      <w:docPartObj>
        <w:docPartGallery w:val="Page Numbers (Bottom of Page)"/>
        <w:docPartUnique/>
      </w:docPartObj>
    </w:sdtPr>
    <w:sdtEndPr/>
    <w:sdtContent>
      <w:p w:rsidR="00F76491" w:rsidRDefault="00F76491">
        <w:pPr>
          <w:pStyle w:val="Piedepgina"/>
          <w:jc w:val="right"/>
          <w:rPr>
            <w:lang w:val="es-ES"/>
          </w:rPr>
        </w:pPr>
      </w:p>
      <w:p w:rsidR="00F76491" w:rsidRDefault="00F7649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1BAF266D" wp14:editId="2961DE1E">
                  <wp:simplePos x="0" y="0"/>
                  <wp:positionH relativeFrom="column">
                    <wp:posOffset>1776669</wp:posOffset>
                  </wp:positionH>
                  <wp:positionV relativeFrom="paragraph">
                    <wp:posOffset>70516</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0229FA" id="23 Rectángulo" o:spid="_x0000_s1026" style="position:absolute;margin-left:139.9pt;margin-top:5.55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YItCnj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76491" w:rsidRDefault="00F7649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A7472" w:rsidRPr="00DA7472">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F76491" w:rsidRDefault="00F76491" w:rsidP="007D4651">
    <w:pPr>
      <w:pStyle w:val="Piedepgina"/>
      <w:tabs>
        <w:tab w:val="clear" w:pos="4419"/>
        <w:tab w:val="clear" w:pos="8838"/>
        <w:tab w:val="left" w:pos="5777"/>
      </w:tabs>
    </w:pPr>
  </w:p>
  <w:p w:rsidR="00F76491" w:rsidRDefault="00F7649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650588095"/>
      <w:docPartObj>
        <w:docPartGallery w:val="Page Numbers (Bottom of Page)"/>
        <w:docPartUnique/>
      </w:docPartObj>
    </w:sdtPr>
    <w:sdtEndPr/>
    <w:sdtContent>
      <w:p w:rsidR="00494D1D" w:rsidRDefault="00494D1D">
        <w:pPr>
          <w:pStyle w:val="Piedepgina"/>
          <w:jc w:val="right"/>
          <w:rPr>
            <w:lang w:val="es-ES"/>
          </w:rPr>
        </w:pPr>
      </w:p>
      <w:p w:rsidR="00494D1D" w:rsidRDefault="00494D1D"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6ADD7908" wp14:editId="4D7929C2">
                  <wp:simplePos x="0" y="0"/>
                  <wp:positionH relativeFrom="column">
                    <wp:posOffset>1776669</wp:posOffset>
                  </wp:positionH>
                  <wp:positionV relativeFrom="paragraph">
                    <wp:posOffset>70516</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55353C" id="26 Rectángulo" o:spid="_x0000_s1026" style="position:absolute;margin-left:139.9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LgM0AD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94D1D" w:rsidRDefault="00494D1D">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A7472" w:rsidRPr="00DA7472">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494D1D" w:rsidRDefault="00494D1D" w:rsidP="007D4651">
    <w:pPr>
      <w:pStyle w:val="Piedepgina"/>
      <w:tabs>
        <w:tab w:val="clear" w:pos="4419"/>
        <w:tab w:val="clear" w:pos="8838"/>
        <w:tab w:val="left" w:pos="5777"/>
      </w:tabs>
    </w:pPr>
  </w:p>
  <w:p w:rsidR="00494D1D" w:rsidRDefault="00494D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E8" w:rsidRDefault="00B11BE8" w:rsidP="007D4651">
      <w:pPr>
        <w:spacing w:after="0" w:line="240" w:lineRule="auto"/>
      </w:pPr>
      <w:r>
        <w:separator/>
      </w:r>
    </w:p>
  </w:footnote>
  <w:footnote w:type="continuationSeparator" w:id="0">
    <w:p w:rsidR="00B11BE8" w:rsidRDefault="00B11BE8" w:rsidP="007D4651">
      <w:pPr>
        <w:spacing w:after="0" w:line="240" w:lineRule="auto"/>
      </w:pPr>
      <w:r>
        <w:continuationSeparator/>
      </w:r>
    </w:p>
  </w:footnote>
  <w:footnote w:id="1">
    <w:p w:rsidR="004F72F9" w:rsidRPr="00782B4D" w:rsidRDefault="004F72F9" w:rsidP="004F72F9">
      <w:pPr>
        <w:pStyle w:val="Sinespaciado"/>
        <w:jc w:val="both"/>
        <w:rPr>
          <w:rFonts w:ascii="Times New Roman" w:hAnsi="Times New Roman" w:cs="Times New Roman"/>
          <w:sz w:val="18"/>
          <w:szCs w:val="16"/>
          <w:lang w:val="es-MX"/>
        </w:rPr>
      </w:pPr>
      <w:r>
        <w:rPr>
          <w:rStyle w:val="Refdenotaalpie"/>
        </w:rPr>
        <w:footnoteRef/>
      </w:r>
      <w:r>
        <w:t xml:space="preserve"> </w:t>
      </w:r>
      <w:r w:rsidRPr="00782B4D">
        <w:rPr>
          <w:rFonts w:ascii="Times New Roman" w:hAnsi="Times New Roman" w:cs="Times New Roman"/>
          <w:sz w:val="18"/>
          <w:szCs w:val="16"/>
        </w:rPr>
        <w:t xml:space="preserve">Los renglones de gasto que integran este componente considerado como superfluo son: </w:t>
      </w:r>
      <w:r w:rsidRPr="00782B4D">
        <w:rPr>
          <w:rFonts w:ascii="Times New Roman" w:hAnsi="Times New Roman" w:cs="Times New Roman"/>
          <w:sz w:val="18"/>
          <w:szCs w:val="16"/>
          <w:lang w:val="es-MX"/>
        </w:rPr>
        <w:t>Divulgación de información (121), Viáticos (131,132,133,134 y 135), Transporte de personas (141), Combustibles y lubricantes (262),Útiles de oficina (291),Otros materiales y suministros (299), Equipo de oficina (322), Equipo de transporte (325), Equipo de cómputo (328), Alimentos para personas (211)</w:t>
      </w:r>
    </w:p>
    <w:p w:rsidR="004F72F9" w:rsidRDefault="004F72F9" w:rsidP="004F72F9">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651" w:rsidRPr="007D4651" w:rsidRDefault="007D465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1312" behindDoc="1" locked="0" layoutInCell="1" allowOverlap="1" wp14:anchorId="65CB3E11" wp14:editId="4118F348">
          <wp:simplePos x="0" y="0"/>
          <wp:positionH relativeFrom="column">
            <wp:posOffset>-89849</wp:posOffset>
          </wp:positionH>
          <wp:positionV relativeFrom="paragraph">
            <wp:posOffset>-163027</wp:posOffset>
          </wp:positionV>
          <wp:extent cx="1697990" cy="914400"/>
          <wp:effectExtent l="0" t="0" r="0" b="0"/>
          <wp:wrapNone/>
          <wp:docPr id="5" name="Imagen 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D4651" w:rsidRPr="007D4651" w:rsidRDefault="006E27A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7D4651" w:rsidRPr="007D4651">
      <w:rPr>
        <w:rFonts w:ascii="Times New Roman" w:hAnsi="Times New Roman" w:cs="Times New Roman"/>
        <w:color w:val="1F497D" w:themeColor="text2"/>
        <w:lang w:val="es-MX"/>
      </w:rPr>
      <w:t xml:space="preserve"> 2016</w:t>
    </w:r>
  </w:p>
  <w:p w:rsidR="007D4651" w:rsidRDefault="007D465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59264" behindDoc="0" locked="0" layoutInCell="1" allowOverlap="1" wp14:anchorId="7539FA94" wp14:editId="4C4EEF69">
              <wp:simplePos x="0" y="0"/>
              <wp:positionH relativeFrom="column">
                <wp:posOffset>1710568</wp:posOffset>
              </wp:positionH>
              <wp:positionV relativeFrom="paragraph">
                <wp:posOffset>29118</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5129F4" id="1 Rectángulo" o:spid="_x0000_s1026" style="position:absolute;margin-left:134.7pt;margin-top:2.3pt;width:40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3RGbA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66791B" w:rsidRDefault="007D465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25" w:rsidRPr="007D4651" w:rsidRDefault="00E1692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66432" behindDoc="1" locked="0" layoutInCell="1" allowOverlap="1" wp14:anchorId="3EECAAFC" wp14:editId="18685606">
          <wp:simplePos x="0" y="0"/>
          <wp:positionH relativeFrom="column">
            <wp:posOffset>-89849</wp:posOffset>
          </wp:positionH>
          <wp:positionV relativeFrom="paragraph">
            <wp:posOffset>-163027</wp:posOffset>
          </wp:positionV>
          <wp:extent cx="1697990" cy="914400"/>
          <wp:effectExtent l="0" t="0" r="0" b="0"/>
          <wp:wrapNone/>
          <wp:docPr id="9" name="Imagen 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16925" w:rsidRPr="007D4651" w:rsidRDefault="006E27A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E16925" w:rsidRPr="007D4651">
      <w:rPr>
        <w:rFonts w:ascii="Times New Roman" w:hAnsi="Times New Roman" w:cs="Times New Roman"/>
        <w:color w:val="1F497D" w:themeColor="text2"/>
        <w:lang w:val="es-MX"/>
      </w:rPr>
      <w:t xml:space="preserve"> 2016</w:t>
    </w:r>
  </w:p>
  <w:p w:rsidR="00E16925" w:rsidRDefault="00E1692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5408" behindDoc="0" locked="0" layoutInCell="1" allowOverlap="1" wp14:anchorId="75B8DACD" wp14:editId="4FAED445">
              <wp:simplePos x="0" y="0"/>
              <wp:positionH relativeFrom="column">
                <wp:posOffset>1710568</wp:posOffset>
              </wp:positionH>
              <wp:positionV relativeFrom="paragraph">
                <wp:posOffset>29118</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6307B6" id="6 Rectángulo" o:spid="_x0000_s1026" style="position:absolute;margin-left:134.7pt;margin-top:2.3pt;width:406pt;height: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FTgscI9AwAApQ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16925" w:rsidRDefault="00E16925"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81" w:rsidRPr="007D4651" w:rsidRDefault="00FA3B8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0528" behindDoc="1" locked="0" layoutInCell="1" allowOverlap="1" wp14:anchorId="22F3290E" wp14:editId="657ABB73">
          <wp:simplePos x="0" y="0"/>
          <wp:positionH relativeFrom="column">
            <wp:posOffset>-89849</wp:posOffset>
          </wp:positionH>
          <wp:positionV relativeFrom="paragraph">
            <wp:posOffset>-163027</wp:posOffset>
          </wp:positionV>
          <wp:extent cx="1697990" cy="914400"/>
          <wp:effectExtent l="0" t="0" r="0" b="0"/>
          <wp:wrapNone/>
          <wp:docPr id="46" name="Imagen 46"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A3B81" w:rsidRPr="007D4651" w:rsidRDefault="006E27A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FA3B81" w:rsidRPr="007D4651">
      <w:rPr>
        <w:rFonts w:ascii="Times New Roman" w:hAnsi="Times New Roman" w:cs="Times New Roman"/>
        <w:color w:val="1F497D" w:themeColor="text2"/>
        <w:lang w:val="es-MX"/>
      </w:rPr>
      <w:t xml:space="preserve"> 2016</w:t>
    </w:r>
  </w:p>
  <w:p w:rsidR="00FA3B81" w:rsidRDefault="00FA3B8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69504" behindDoc="0" locked="0" layoutInCell="1" allowOverlap="1" wp14:anchorId="307621EA" wp14:editId="3EFFE081">
              <wp:simplePos x="0" y="0"/>
              <wp:positionH relativeFrom="column">
                <wp:posOffset>1710568</wp:posOffset>
              </wp:positionH>
              <wp:positionV relativeFrom="paragraph">
                <wp:posOffset>29118</wp:posOffset>
              </wp:positionV>
              <wp:extent cx="5155894" cy="45719"/>
              <wp:effectExtent l="38100" t="38100" r="64135" b="88265"/>
              <wp:wrapNone/>
              <wp:docPr id="15" name="1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88AD31" id="15 Rectángulo" o:spid="_x0000_s1026" style="position:absolute;margin-left:134.7pt;margin-top:2.3pt;width:406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&#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J9X2/A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A3B81" w:rsidRDefault="00FA3B8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FA3B81" w:rsidRPr="00E16925" w:rsidRDefault="00FA3B81"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91" w:rsidRPr="007D4651" w:rsidRDefault="00F7649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5ADD2227" wp14:editId="70740B8E">
          <wp:simplePos x="0" y="0"/>
          <wp:positionH relativeFrom="column">
            <wp:posOffset>-89849</wp:posOffset>
          </wp:positionH>
          <wp:positionV relativeFrom="paragraph">
            <wp:posOffset>-163027</wp:posOffset>
          </wp:positionV>
          <wp:extent cx="1697990" cy="914400"/>
          <wp:effectExtent l="0" t="0" r="0" b="0"/>
          <wp:wrapNone/>
          <wp:docPr id="24" name="Imagen 24"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76491" w:rsidRPr="007D4651" w:rsidRDefault="006E27A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F76491" w:rsidRPr="007D4651">
      <w:rPr>
        <w:rFonts w:ascii="Times New Roman" w:hAnsi="Times New Roman" w:cs="Times New Roman"/>
        <w:color w:val="1F497D" w:themeColor="text2"/>
        <w:lang w:val="es-MX"/>
      </w:rPr>
      <w:t xml:space="preserve"> 2016</w:t>
    </w:r>
  </w:p>
  <w:p w:rsidR="00F76491" w:rsidRDefault="00F7649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2EEC3B2D" wp14:editId="37A6F91A">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12C51F"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76491" w:rsidRDefault="00F76491"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F76491" w:rsidRPr="00E16925" w:rsidRDefault="00F76491"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D1D" w:rsidRPr="007D4651" w:rsidRDefault="00494D1D"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8720" behindDoc="1" locked="0" layoutInCell="1" allowOverlap="1" wp14:anchorId="3B9127C9" wp14:editId="4AB0279B">
          <wp:simplePos x="0" y="0"/>
          <wp:positionH relativeFrom="column">
            <wp:posOffset>-89849</wp:posOffset>
          </wp:positionH>
          <wp:positionV relativeFrom="paragraph">
            <wp:posOffset>-163027</wp:posOffset>
          </wp:positionV>
          <wp:extent cx="1697990" cy="914400"/>
          <wp:effectExtent l="0" t="0" r="0" b="0"/>
          <wp:wrapNone/>
          <wp:docPr id="27"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494D1D" w:rsidRPr="007D4651" w:rsidRDefault="006E27A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494D1D" w:rsidRPr="007D4651">
      <w:rPr>
        <w:rFonts w:ascii="Times New Roman" w:hAnsi="Times New Roman" w:cs="Times New Roman"/>
        <w:color w:val="1F497D" w:themeColor="text2"/>
        <w:lang w:val="es-MX"/>
      </w:rPr>
      <w:t xml:space="preserve"> 2016</w:t>
    </w:r>
  </w:p>
  <w:p w:rsidR="00494D1D" w:rsidRDefault="00494D1D"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7696" behindDoc="0" locked="0" layoutInCell="1" allowOverlap="1" wp14:anchorId="62EC3A20" wp14:editId="1B7ECF25">
              <wp:simplePos x="0" y="0"/>
              <wp:positionH relativeFrom="column">
                <wp:posOffset>1710568</wp:posOffset>
              </wp:positionH>
              <wp:positionV relativeFrom="paragraph">
                <wp:posOffset>29118</wp:posOffset>
              </wp:positionV>
              <wp:extent cx="5155894" cy="45719"/>
              <wp:effectExtent l="38100" t="38100" r="64135" b="88265"/>
              <wp:wrapNone/>
              <wp:docPr id="25" name="25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7D0F76" id="25 Rectángulo" o:spid="_x0000_s1026" style="position:absolute;margin-left:134.7pt;margin-top:2.3pt;width:406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&#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BVXKI2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494D1D" w:rsidRDefault="00494D1D" w:rsidP="00E16925">
    <w:pPr>
      <w:pStyle w:val="Encabezado"/>
      <w:rPr>
        <w:rFonts w:ascii="Times New Roman" w:hAnsi="Times New Roman" w:cs="Times New Roman"/>
        <w:lang w:val="es-MX"/>
      </w:rPr>
    </w:pPr>
    <w:r>
      <w:rPr>
        <w:rFonts w:ascii="Times New Roman" w:hAnsi="Times New Roman" w:cs="Times New Roman"/>
        <w:lang w:val="es-MX"/>
      </w:rPr>
      <w:tab/>
      <w:t>Dirección de Análisis y Política Fiscal</w:t>
    </w:r>
  </w:p>
  <w:p w:rsidR="00494D1D" w:rsidRPr="00E16925" w:rsidRDefault="00494D1D"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6489"/>
    <w:rsid w:val="00053517"/>
    <w:rsid w:val="00087ADE"/>
    <w:rsid w:val="00111B77"/>
    <w:rsid w:val="00160EAC"/>
    <w:rsid w:val="001B6751"/>
    <w:rsid w:val="001D46C3"/>
    <w:rsid w:val="001E0E10"/>
    <w:rsid w:val="001F7141"/>
    <w:rsid w:val="002101C9"/>
    <w:rsid w:val="00213C92"/>
    <w:rsid w:val="00221DCC"/>
    <w:rsid w:val="00240D86"/>
    <w:rsid w:val="00264C3A"/>
    <w:rsid w:val="002672D5"/>
    <w:rsid w:val="00296D57"/>
    <w:rsid w:val="002A5735"/>
    <w:rsid w:val="002E3F4C"/>
    <w:rsid w:val="00345216"/>
    <w:rsid w:val="0034700C"/>
    <w:rsid w:val="00376802"/>
    <w:rsid w:val="00393E59"/>
    <w:rsid w:val="003A3726"/>
    <w:rsid w:val="003C7085"/>
    <w:rsid w:val="0042387A"/>
    <w:rsid w:val="00494D1D"/>
    <w:rsid w:val="00495F43"/>
    <w:rsid w:val="004C208F"/>
    <w:rsid w:val="004E4FDE"/>
    <w:rsid w:val="004F72F9"/>
    <w:rsid w:val="005077A5"/>
    <w:rsid w:val="005428C6"/>
    <w:rsid w:val="005A1EFC"/>
    <w:rsid w:val="005B6D05"/>
    <w:rsid w:val="00606D70"/>
    <w:rsid w:val="0066791B"/>
    <w:rsid w:val="006A1473"/>
    <w:rsid w:val="006B0D82"/>
    <w:rsid w:val="006E27A5"/>
    <w:rsid w:val="00741F6B"/>
    <w:rsid w:val="00754057"/>
    <w:rsid w:val="00784AF8"/>
    <w:rsid w:val="007A3497"/>
    <w:rsid w:val="007D38A9"/>
    <w:rsid w:val="007D4651"/>
    <w:rsid w:val="007F3E8D"/>
    <w:rsid w:val="00851B4B"/>
    <w:rsid w:val="00861640"/>
    <w:rsid w:val="00892DE1"/>
    <w:rsid w:val="008A6601"/>
    <w:rsid w:val="008E3016"/>
    <w:rsid w:val="008E5C4F"/>
    <w:rsid w:val="008E7869"/>
    <w:rsid w:val="008F312E"/>
    <w:rsid w:val="00910163"/>
    <w:rsid w:val="009A12F9"/>
    <w:rsid w:val="009B7148"/>
    <w:rsid w:val="009D25F9"/>
    <w:rsid w:val="009F39E2"/>
    <w:rsid w:val="00A26C76"/>
    <w:rsid w:val="00A66B96"/>
    <w:rsid w:val="00A92D6E"/>
    <w:rsid w:val="00A970F8"/>
    <w:rsid w:val="00AA11B9"/>
    <w:rsid w:val="00AE2039"/>
    <w:rsid w:val="00B11BE8"/>
    <w:rsid w:val="00B2709E"/>
    <w:rsid w:val="00B667BC"/>
    <w:rsid w:val="00BC7539"/>
    <w:rsid w:val="00BC79C1"/>
    <w:rsid w:val="00C33674"/>
    <w:rsid w:val="00C442DC"/>
    <w:rsid w:val="00C64C51"/>
    <w:rsid w:val="00C85696"/>
    <w:rsid w:val="00CA65FF"/>
    <w:rsid w:val="00CC3420"/>
    <w:rsid w:val="00CD7760"/>
    <w:rsid w:val="00CF2D98"/>
    <w:rsid w:val="00D30D15"/>
    <w:rsid w:val="00D40769"/>
    <w:rsid w:val="00D43052"/>
    <w:rsid w:val="00D50ABF"/>
    <w:rsid w:val="00D66D34"/>
    <w:rsid w:val="00D75C74"/>
    <w:rsid w:val="00D858E5"/>
    <w:rsid w:val="00DA7472"/>
    <w:rsid w:val="00DC44CF"/>
    <w:rsid w:val="00DD01C5"/>
    <w:rsid w:val="00DD4AB3"/>
    <w:rsid w:val="00DF71A8"/>
    <w:rsid w:val="00E16925"/>
    <w:rsid w:val="00EA37FC"/>
    <w:rsid w:val="00ED2C29"/>
    <w:rsid w:val="00F20D0D"/>
    <w:rsid w:val="00F229CE"/>
    <w:rsid w:val="00F644EA"/>
    <w:rsid w:val="00F76491"/>
    <w:rsid w:val="00FA3B81"/>
    <w:rsid w:val="00FA5DE4"/>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8EC85"/>
  <w15:docId w15:val="{69A317BB-02EC-4C69-B1C4-1E880E70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8.emf"/><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B050"/>
            </a:solidFill>
            <a:ln>
              <a:noFill/>
            </a:ln>
            <a:effectLst/>
          </c:spPr>
          <c:invertIfNegative val="0"/>
          <c:dPt>
            <c:idx val="0"/>
            <c:invertIfNegative val="0"/>
            <c:bubble3D val="0"/>
            <c:spPr>
              <a:solidFill>
                <a:srgbClr val="C00000"/>
              </a:solidFill>
              <a:ln>
                <a:noFill/>
              </a:ln>
              <a:effectLst/>
            </c:spPr>
            <c:extLst>
              <c:ext xmlns:c16="http://schemas.microsoft.com/office/drawing/2014/chart" uri="{C3380CC4-5D6E-409C-BE32-E72D297353CC}">
                <c16:uniqueId val="{00000001-2D24-4B98-B1E2-EEE77BE4C63C}"/>
              </c:ext>
            </c:extLst>
          </c:dPt>
          <c:dPt>
            <c:idx val="1"/>
            <c:invertIfNegative val="0"/>
            <c:bubble3D val="0"/>
            <c:spPr>
              <a:solidFill>
                <a:srgbClr val="C00000"/>
              </a:solidFill>
              <a:ln>
                <a:noFill/>
              </a:ln>
              <a:effectLst/>
            </c:spPr>
            <c:extLst>
              <c:ext xmlns:c16="http://schemas.microsoft.com/office/drawing/2014/chart" uri="{C3380CC4-5D6E-409C-BE32-E72D297353CC}">
                <c16:uniqueId val="{00000003-2D24-4B98-B1E2-EEE77BE4C63C}"/>
              </c:ext>
            </c:extLst>
          </c:dPt>
          <c:dPt>
            <c:idx val="2"/>
            <c:invertIfNegative val="0"/>
            <c:bubble3D val="0"/>
            <c:spPr>
              <a:solidFill>
                <a:srgbClr val="C00000"/>
              </a:solidFill>
              <a:ln>
                <a:noFill/>
              </a:ln>
              <a:effectLst/>
            </c:spPr>
            <c:extLst>
              <c:ext xmlns:c16="http://schemas.microsoft.com/office/drawing/2014/chart" uri="{C3380CC4-5D6E-409C-BE32-E72D297353CC}">
                <c16:uniqueId val="{00000005-2D24-4B98-B1E2-EEE77BE4C63C}"/>
              </c:ext>
            </c:extLst>
          </c:dPt>
          <c:dLbls>
            <c:dLbl>
              <c:idx val="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6="http://schemas.microsoft.com/office/drawing/2014/chart" uri="{C3380CC4-5D6E-409C-BE32-E72D297353CC}">
                  <c16:uniqueId val="{00000001-2D24-4B98-B1E2-EEE77BE4C63C}"/>
                </c:ext>
              </c:extLst>
            </c:dLbl>
            <c:dLbl>
              <c:idx val="1"/>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6="http://schemas.microsoft.com/office/drawing/2014/chart" uri="{C3380CC4-5D6E-409C-BE32-E72D297353CC}">
                  <c16:uniqueId val="{00000003-2D24-4B98-B1E2-EEE77BE4C63C}"/>
                </c:ext>
              </c:extLst>
            </c:dLbl>
            <c:dLbl>
              <c:idx val="2"/>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6="http://schemas.microsoft.com/office/drawing/2014/chart" uri="{C3380CC4-5D6E-409C-BE32-E72D297353CC}">
                  <c16:uniqueId val="{00000005-2D24-4B98-B1E2-EEE77BE4C63C}"/>
                </c:ext>
              </c:extLst>
            </c:dLbl>
            <c:dLbl>
              <c:idx val="3"/>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6="http://schemas.microsoft.com/office/drawing/2014/chart" uri="{C3380CC4-5D6E-409C-BE32-E72D297353CC}">
                  <c16:uniqueId val="{00000007-2D24-4B98-B1E2-EEE77BE4C63C}"/>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Hoja1!$B$44:$B$61</c:f>
              <c:strCache>
                <c:ptCount val="18"/>
                <c:pt idx="0">
                  <c:v>IVA imp</c:v>
                </c:pt>
                <c:pt idx="1">
                  <c:v>Cemento</c:v>
                </c:pt>
                <c:pt idx="2">
                  <c:v>Regalías</c:v>
                </c:pt>
                <c:pt idx="3">
                  <c:v>IETAAP</c:v>
                </c:pt>
                <c:pt idx="4">
                  <c:v>Otros </c:v>
                </c:pt>
                <c:pt idx="5">
                  <c:v>IEMA</c:v>
                </c:pt>
                <c:pt idx="6">
                  <c:v>Propiedad</c:v>
                </c:pt>
                <c:pt idx="7">
                  <c:v>Timbres</c:v>
                </c:pt>
                <c:pt idx="8">
                  <c:v>Salidas</c:v>
                </c:pt>
                <c:pt idx="9">
                  <c:v>Tabacos</c:v>
                </c:pt>
                <c:pt idx="10">
                  <c:v>Bebidas</c:v>
                </c:pt>
                <c:pt idx="11">
                  <c:v>IPRIMA</c:v>
                </c:pt>
                <c:pt idx="12">
                  <c:v>Vehículos</c:v>
                </c:pt>
                <c:pt idx="13">
                  <c:v>ISO</c:v>
                </c:pt>
                <c:pt idx="14">
                  <c:v>Petróleo</c:v>
                </c:pt>
                <c:pt idx="15">
                  <c:v>DAI</c:v>
                </c:pt>
                <c:pt idx="16">
                  <c:v>IVA dom</c:v>
                </c:pt>
                <c:pt idx="17">
                  <c:v>ISR </c:v>
                </c:pt>
              </c:strCache>
            </c:strRef>
          </c:cat>
          <c:val>
            <c:numRef>
              <c:f>Hoja1!$C$44:$C$61</c:f>
              <c:numCache>
                <c:formatCode>General</c:formatCode>
                <c:ptCount val="18"/>
                <c:pt idx="0">
                  <c:v>-156.4</c:v>
                </c:pt>
                <c:pt idx="1">
                  <c:v>-81.099999999999994</c:v>
                </c:pt>
                <c:pt idx="2">
                  <c:v>-15</c:v>
                </c:pt>
                <c:pt idx="3">
                  <c:v>-0.4</c:v>
                </c:pt>
                <c:pt idx="4">
                  <c:v>0.6</c:v>
                </c:pt>
                <c:pt idx="5">
                  <c:v>0.9</c:v>
                </c:pt>
                <c:pt idx="6">
                  <c:v>1.8</c:v>
                </c:pt>
                <c:pt idx="7">
                  <c:v>3.2</c:v>
                </c:pt>
                <c:pt idx="8">
                  <c:v>7.8</c:v>
                </c:pt>
                <c:pt idx="9">
                  <c:v>11.5</c:v>
                </c:pt>
                <c:pt idx="10">
                  <c:v>20</c:v>
                </c:pt>
                <c:pt idx="11">
                  <c:v>24.4</c:v>
                </c:pt>
                <c:pt idx="12">
                  <c:v>29.9</c:v>
                </c:pt>
                <c:pt idx="13">
                  <c:v>108.3</c:v>
                </c:pt>
                <c:pt idx="14">
                  <c:v>108.6</c:v>
                </c:pt>
                <c:pt idx="15">
                  <c:v>113.2</c:v>
                </c:pt>
                <c:pt idx="16">
                  <c:v>424.4</c:v>
                </c:pt>
                <c:pt idx="17">
                  <c:v>716</c:v>
                </c:pt>
              </c:numCache>
            </c:numRef>
          </c:val>
          <c:extLst>
            <c:ext xmlns:c16="http://schemas.microsoft.com/office/drawing/2014/chart" uri="{C3380CC4-5D6E-409C-BE32-E72D297353CC}">
              <c16:uniqueId val="{00000006-2D24-4B98-B1E2-EEE77BE4C63C}"/>
            </c:ext>
          </c:extLst>
        </c:ser>
        <c:dLbls>
          <c:showLegendKey val="0"/>
          <c:showVal val="0"/>
          <c:showCatName val="0"/>
          <c:showSerName val="0"/>
          <c:showPercent val="0"/>
          <c:showBubbleSize val="0"/>
        </c:dLbls>
        <c:gapWidth val="75"/>
        <c:overlap val="50"/>
        <c:axId val="368613816"/>
        <c:axId val="368614144"/>
      </c:barChart>
      <c:catAx>
        <c:axId val="36861381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68614144"/>
        <c:crosses val="autoZero"/>
        <c:auto val="1"/>
        <c:lblAlgn val="ctr"/>
        <c:lblOffset val="100"/>
        <c:noMultiLvlLbl val="0"/>
      </c:catAx>
      <c:valAx>
        <c:axId val="368614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68613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20824979903342"/>
          <c:y val="3.4965050421328914E-2"/>
          <c:w val="0.78767120899555454"/>
          <c:h val="0.7569266473269789"/>
        </c:manualLayout>
      </c:layout>
      <c:barChart>
        <c:barDir val="col"/>
        <c:grouping val="clustered"/>
        <c:varyColors val="0"/>
        <c:ser>
          <c:idx val="0"/>
          <c:order val="0"/>
          <c:tx>
            <c:strRef>
              <c:f>Hoja1!$C$65</c:f>
              <c:strCache>
                <c:ptCount val="1"/>
                <c:pt idx="0">
                  <c:v>2015</c:v>
                </c:pt>
              </c:strCache>
            </c:strRef>
          </c:tx>
          <c:spPr>
            <a:solidFill>
              <a:schemeClr val="accent1"/>
            </a:solidFill>
            <a:ln>
              <a:noFill/>
            </a:ln>
            <a:effectLst/>
          </c:spPr>
          <c:invertIfNegative val="0"/>
          <c:dLbls>
            <c:dLbl>
              <c:idx val="4"/>
              <c:layout>
                <c:manualLayout>
                  <c:x val="-1.476014760147610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C39-46E6-97C4-A9178F1C222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accent1"/>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Hoja1!$B$66:$B$70</c:f>
              <c:strCache>
                <c:ptCount val="5"/>
                <c:pt idx="0">
                  <c:v>Enero</c:v>
                </c:pt>
                <c:pt idx="1">
                  <c:v>Febrero</c:v>
                </c:pt>
                <c:pt idx="2">
                  <c:v>Marzo</c:v>
                </c:pt>
                <c:pt idx="3">
                  <c:v>Abril</c:v>
                </c:pt>
                <c:pt idx="4">
                  <c:v>mayo</c:v>
                </c:pt>
              </c:strCache>
            </c:strRef>
          </c:cat>
          <c:val>
            <c:numRef>
              <c:f>Hoja1!$C$66:$C$70</c:f>
              <c:numCache>
                <c:formatCode>General</c:formatCode>
                <c:ptCount val="5"/>
                <c:pt idx="0">
                  <c:v>1110.5999999999999</c:v>
                </c:pt>
                <c:pt idx="1">
                  <c:v>896.1</c:v>
                </c:pt>
                <c:pt idx="2">
                  <c:v>1560.4</c:v>
                </c:pt>
                <c:pt idx="3">
                  <c:v>1559.6</c:v>
                </c:pt>
                <c:pt idx="4">
                  <c:v>871.5</c:v>
                </c:pt>
              </c:numCache>
            </c:numRef>
          </c:val>
          <c:extLst>
            <c:ext xmlns:c16="http://schemas.microsoft.com/office/drawing/2014/chart" uri="{C3380CC4-5D6E-409C-BE32-E72D297353CC}">
              <c16:uniqueId val="{00000000-0C39-46E6-97C4-A9178F1C222B}"/>
            </c:ext>
          </c:extLst>
        </c:ser>
        <c:ser>
          <c:idx val="1"/>
          <c:order val="1"/>
          <c:tx>
            <c:strRef>
              <c:f>Hoja1!$D$65</c:f>
              <c:strCache>
                <c:ptCount val="1"/>
                <c:pt idx="0">
                  <c:v>2016</c:v>
                </c:pt>
              </c:strCache>
            </c:strRef>
          </c:tx>
          <c:spPr>
            <a:solidFill>
              <a:schemeClr val="accent6">
                <a:lumMod val="75000"/>
              </a:schemeClr>
            </a:solidFill>
            <a:ln>
              <a:solidFill>
                <a:schemeClr val="accent1"/>
              </a:solidFill>
            </a:ln>
            <a:effectLst/>
          </c:spPr>
          <c:invertIfNegative val="0"/>
          <c:dLbls>
            <c:dLbl>
              <c:idx val="0"/>
              <c:layout>
                <c:manualLayout>
                  <c:x val="2.9520295202952029E-2"/>
                  <c:y val="-7.53295668549906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C39-46E6-97C4-A9178F1C222B}"/>
                </c:ext>
              </c:extLst>
            </c:dLbl>
            <c:dLbl>
              <c:idx val="1"/>
              <c:layout>
                <c:manualLayout>
                  <c:x val="2.4600246002459979E-2"/>
                  <c:y val="-6.905130526383724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39-46E6-97C4-A9178F1C222B}"/>
                </c:ext>
              </c:extLst>
            </c:dLbl>
            <c:dLbl>
              <c:idx val="2"/>
              <c:layout>
                <c:manualLayout>
                  <c:x val="9.8400984009840101E-3"/>
                  <c:y val="-1.50659133709981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C39-46E6-97C4-A9178F1C222B}"/>
                </c:ext>
              </c:extLst>
            </c:dLbl>
            <c:dLbl>
              <c:idx val="3"/>
              <c:layout>
                <c:manualLayout>
                  <c:x val="9.8400984009840101E-3"/>
                  <c:y val="-3.01318267419962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C39-46E6-97C4-A9178F1C222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accent6">
                        <a:lumMod val="75000"/>
                      </a:schemeClr>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Hoja1!$B$66:$B$70</c:f>
              <c:strCache>
                <c:ptCount val="5"/>
                <c:pt idx="0">
                  <c:v>Enero</c:v>
                </c:pt>
                <c:pt idx="1">
                  <c:v>Febrero</c:v>
                </c:pt>
                <c:pt idx="2">
                  <c:v>Marzo</c:v>
                </c:pt>
                <c:pt idx="3">
                  <c:v>Abril</c:v>
                </c:pt>
                <c:pt idx="4">
                  <c:v>mayo</c:v>
                </c:pt>
              </c:strCache>
            </c:strRef>
          </c:cat>
          <c:val>
            <c:numRef>
              <c:f>Hoja1!$D$66:$D$70</c:f>
              <c:numCache>
                <c:formatCode>General</c:formatCode>
                <c:ptCount val="5"/>
                <c:pt idx="0">
                  <c:v>1139.4000000000001</c:v>
                </c:pt>
                <c:pt idx="1">
                  <c:v>777</c:v>
                </c:pt>
                <c:pt idx="2">
                  <c:v>1657.3</c:v>
                </c:pt>
                <c:pt idx="3">
                  <c:v>1616.9</c:v>
                </c:pt>
                <c:pt idx="4">
                  <c:v>1523.5</c:v>
                </c:pt>
              </c:numCache>
            </c:numRef>
          </c:val>
          <c:extLst>
            <c:ext xmlns:c16="http://schemas.microsoft.com/office/drawing/2014/chart" uri="{C3380CC4-5D6E-409C-BE32-E72D297353CC}">
              <c16:uniqueId val="{00000001-0C39-46E6-97C4-A9178F1C222B}"/>
            </c:ext>
          </c:extLst>
        </c:ser>
        <c:dLbls>
          <c:showLegendKey val="0"/>
          <c:showVal val="0"/>
          <c:showCatName val="0"/>
          <c:showSerName val="0"/>
          <c:showPercent val="0"/>
          <c:showBubbleSize val="0"/>
        </c:dLbls>
        <c:gapWidth val="75"/>
        <c:axId val="508888016"/>
        <c:axId val="508880472"/>
      </c:barChart>
      <c:catAx>
        <c:axId val="508888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08880472"/>
        <c:crosses val="autoZero"/>
        <c:auto val="1"/>
        <c:lblAlgn val="ctr"/>
        <c:lblOffset val="100"/>
        <c:noMultiLvlLbl val="0"/>
      </c:catAx>
      <c:valAx>
        <c:axId val="5088804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508888016"/>
        <c:crosses val="autoZero"/>
        <c:crossBetween val="between"/>
      </c:valAx>
      <c:spPr>
        <a:noFill/>
        <a:ln>
          <a:noFill/>
        </a:ln>
        <a:effectLst/>
      </c:spPr>
    </c:plotArea>
    <c:legend>
      <c:legendPos val="b"/>
      <c:layout>
        <c:manualLayout>
          <c:xMode val="edge"/>
          <c:yMode val="edge"/>
          <c:x val="0.37613543694492063"/>
          <c:y val="0.88784353985272135"/>
          <c:w val="0.24772873870470988"/>
          <c:h val="0.11215646014727863"/>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ln>
              <a:noFill/>
            </a:ln>
            <a:effectLst>
              <a:outerShdw blurRad="50800" dist="38100" dir="2700000" algn="tl" rotWithShape="0">
                <a:prstClr val="black">
                  <a:alpha val="40000"/>
                </a:prstClr>
              </a:outerShdw>
            </a:effectLst>
            <a:scene3d>
              <a:camera prst="orthographicFront"/>
              <a:lightRig rig="threePt" dir="t"/>
            </a:scene3d>
            <a:sp3d>
              <a:bevelT/>
            </a:sp3d>
          </c:spPr>
          <c:invertIfNegative val="0"/>
          <c:dLbls>
            <c:dLbl>
              <c:idx val="12"/>
              <c:numFmt formatCode="#,##0.0" sourceLinked="0"/>
              <c:spPr/>
              <c:txPr>
                <a:bodyPr/>
                <a:lstStyle/>
                <a:p>
                  <a:pPr>
                    <a:defRPr sz="600" b="1"/>
                  </a:pPr>
                  <a:endParaRPr lang="es-GT"/>
                </a:p>
              </c:txPr>
              <c:showLegendKey val="0"/>
              <c:showVal val="1"/>
              <c:showCatName val="0"/>
              <c:showSerName val="0"/>
              <c:showPercent val="0"/>
              <c:showBubbleSize val="0"/>
              <c:extLst>
                <c:ext xmlns:c16="http://schemas.microsoft.com/office/drawing/2014/chart" uri="{C3380CC4-5D6E-409C-BE32-E72D297353CC}">
                  <c16:uniqueId val="{00000000-6841-43CB-80DA-6494F02CAEB1}"/>
                </c:ext>
              </c:extLst>
            </c:dLbl>
            <c:numFmt formatCode="#,##0.0" sourceLinked="0"/>
            <c:spPr>
              <a:noFill/>
              <a:ln>
                <a:noFill/>
              </a:ln>
              <a:effectLst/>
            </c:spPr>
            <c:txPr>
              <a:bodyPr/>
              <a:lstStyle/>
              <a:p>
                <a:pPr>
                  <a:defRPr sz="6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Hoja1!$E$37:$E$49</c:f>
              <c:numCache>
                <c:formatCode>mmm\-yy</c:formatCode>
                <c:ptCount val="13"/>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42491</c:v>
                </c:pt>
              </c:numCache>
            </c:numRef>
          </c:cat>
          <c:val>
            <c:numRef>
              <c:f>Hoja1!$F$37:$F$49</c:f>
              <c:numCache>
                <c:formatCode>General</c:formatCode>
                <c:ptCount val="13"/>
                <c:pt idx="0">
                  <c:v>5.5</c:v>
                </c:pt>
                <c:pt idx="1">
                  <c:v>5.3</c:v>
                </c:pt>
                <c:pt idx="2">
                  <c:v>5.3</c:v>
                </c:pt>
                <c:pt idx="3">
                  <c:v>5.0999999999999996</c:v>
                </c:pt>
                <c:pt idx="4">
                  <c:v>5.0999999999999996</c:v>
                </c:pt>
                <c:pt idx="5">
                  <c:v>5</c:v>
                </c:pt>
                <c:pt idx="6">
                  <c:v>5</c:v>
                </c:pt>
                <c:pt idx="7">
                  <c:v>5</c:v>
                </c:pt>
                <c:pt idx="8">
                  <c:v>5</c:v>
                </c:pt>
                <c:pt idx="9">
                  <c:v>4.9000000000000004</c:v>
                </c:pt>
                <c:pt idx="10">
                  <c:v>4.9000000000000004</c:v>
                </c:pt>
                <c:pt idx="11">
                  <c:v>5</c:v>
                </c:pt>
                <c:pt idx="12">
                  <c:v>5</c:v>
                </c:pt>
              </c:numCache>
            </c:numRef>
          </c:val>
          <c:extLst>
            <c:ext xmlns:c16="http://schemas.microsoft.com/office/drawing/2014/chart" uri="{C3380CC4-5D6E-409C-BE32-E72D297353CC}">
              <c16:uniqueId val="{00000001-6841-43CB-80DA-6494F02CAEB1}"/>
            </c:ext>
          </c:extLst>
        </c:ser>
        <c:dLbls>
          <c:showLegendKey val="0"/>
          <c:showVal val="0"/>
          <c:showCatName val="0"/>
          <c:showSerName val="0"/>
          <c:showPercent val="0"/>
          <c:showBubbleSize val="0"/>
        </c:dLbls>
        <c:gapWidth val="80"/>
        <c:axId val="145604608"/>
        <c:axId val="145606144"/>
      </c:barChart>
      <c:dateAx>
        <c:axId val="145604608"/>
        <c:scaling>
          <c:orientation val="minMax"/>
        </c:scaling>
        <c:delete val="0"/>
        <c:axPos val="b"/>
        <c:numFmt formatCode="mmm\-yy" sourceLinked="1"/>
        <c:majorTickMark val="out"/>
        <c:minorTickMark val="none"/>
        <c:tickLblPos val="nextTo"/>
        <c:txPr>
          <a:bodyPr/>
          <a:lstStyle/>
          <a:p>
            <a:pPr>
              <a:defRPr sz="700"/>
            </a:pPr>
            <a:endParaRPr lang="es-GT"/>
          </a:p>
        </c:txPr>
        <c:crossAx val="145606144"/>
        <c:crosses val="autoZero"/>
        <c:auto val="1"/>
        <c:lblOffset val="100"/>
        <c:baseTimeUnit val="months"/>
      </c:dateAx>
      <c:valAx>
        <c:axId val="145606144"/>
        <c:scaling>
          <c:orientation val="minMax"/>
        </c:scaling>
        <c:delete val="0"/>
        <c:axPos val="l"/>
        <c:numFmt formatCode="General" sourceLinked="1"/>
        <c:majorTickMark val="out"/>
        <c:minorTickMark val="none"/>
        <c:tickLblPos val="nextTo"/>
        <c:txPr>
          <a:bodyPr/>
          <a:lstStyle/>
          <a:p>
            <a:pPr>
              <a:defRPr sz="800"/>
            </a:pPr>
            <a:endParaRPr lang="es-GT"/>
          </a:p>
        </c:txPr>
        <c:crossAx val="145604608"/>
        <c:crosses val="autoZero"/>
        <c:crossBetween val="between"/>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es-GT"/>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121224467528188E-2"/>
          <c:y val="2.2777615760992839E-2"/>
          <c:w val="0.92403116388150286"/>
          <c:h val="0.67056349437801754"/>
        </c:manualLayout>
      </c:layout>
      <c:lineChart>
        <c:grouping val="standard"/>
        <c:varyColors val="0"/>
        <c:ser>
          <c:idx val="0"/>
          <c:order val="0"/>
          <c:spPr>
            <a:ln w="9525"/>
            <a:effectLst>
              <a:outerShdw blurRad="50800" dist="38100" dir="2700000" algn="tl" rotWithShape="0">
                <a:prstClr val="black">
                  <a:alpha val="40000"/>
                </a:prstClr>
              </a:outerShdw>
            </a:effectLst>
          </c:spPr>
          <c:marker>
            <c:symbol val="none"/>
          </c:marker>
          <c:dLbls>
            <c:dLbl>
              <c:idx val="1"/>
              <c:layout>
                <c:manualLayout>
                  <c:x val="-5.8333333333333334E-2"/>
                  <c:y val="-3.7166085946573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D1F-41BC-87A4-EE81035A3838}"/>
                </c:ext>
              </c:extLst>
            </c:dLbl>
            <c:dLbl>
              <c:idx val="12"/>
              <c:layout>
                <c:manualLayout>
                  <c:x val="-1.1111111111111112E-2"/>
                  <c:y val="6.0394889663182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1F-41BC-87A4-EE81035A3838}"/>
                </c:ext>
              </c:extLst>
            </c:dLbl>
            <c:dLbl>
              <c:idx val="24"/>
              <c:layout>
                <c:manualLayout>
                  <c:x val="-8.3333333333333332E-3"/>
                  <c:y val="-2.78745644599303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1F-41BC-87A4-EE81035A3838}"/>
                </c:ext>
              </c:extLst>
            </c:dLbl>
            <c:spPr>
              <a:noFill/>
              <a:ln>
                <a:noFill/>
              </a:ln>
              <a:effectLst/>
            </c:spPr>
            <c:txPr>
              <a:bodyPr/>
              <a:lstStyle/>
              <a:p>
                <a:pPr>
                  <a:defRPr sz="600" b="1"/>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Hoja1!$D$7:$E$31</c:f>
              <c:multiLvlStrCache>
                <c:ptCount val="25"/>
                <c:lvl>
                  <c:pt idx="0">
                    <c:v>mayo</c:v>
                  </c:pt>
                  <c:pt idx="1">
                    <c:v>junio</c:v>
                  </c:pt>
                  <c:pt idx="2">
                    <c:v>julio</c:v>
                  </c:pt>
                  <c:pt idx="3">
                    <c:v>agosto</c:v>
                  </c:pt>
                  <c:pt idx="4">
                    <c:v>septiembre</c:v>
                  </c:pt>
                  <c:pt idx="5">
                    <c:v>octubre</c:v>
                  </c:pt>
                  <c:pt idx="6">
                    <c:v>noviembre</c:v>
                  </c:pt>
                  <c:pt idx="7">
                    <c:v>diciembre</c:v>
                  </c:pt>
                  <c:pt idx="8">
                    <c:v>enero</c:v>
                  </c:pt>
                  <c:pt idx="9">
                    <c:v>febrero</c:v>
                  </c:pt>
                  <c:pt idx="10">
                    <c:v>marzo</c:v>
                  </c:pt>
                  <c:pt idx="11">
                    <c:v>abril</c:v>
                  </c:pt>
                  <c:pt idx="12">
                    <c:v>mayo</c:v>
                  </c:pt>
                  <c:pt idx="13">
                    <c:v>junio</c:v>
                  </c:pt>
                  <c:pt idx="14">
                    <c:v>julio</c:v>
                  </c:pt>
                  <c:pt idx="15">
                    <c:v>agosto</c:v>
                  </c:pt>
                  <c:pt idx="16">
                    <c:v>septiembre</c:v>
                  </c:pt>
                  <c:pt idx="17">
                    <c:v>octubre</c:v>
                  </c:pt>
                  <c:pt idx="18">
                    <c:v>noviembre</c:v>
                  </c:pt>
                  <c:pt idx="19">
                    <c:v>diciembre</c:v>
                  </c:pt>
                  <c:pt idx="20">
                    <c:v>enero</c:v>
                  </c:pt>
                  <c:pt idx="21">
                    <c:v>febrero</c:v>
                  </c:pt>
                  <c:pt idx="22">
                    <c:v>marzo</c:v>
                  </c:pt>
                  <c:pt idx="23">
                    <c:v>abril</c:v>
                  </c:pt>
                  <c:pt idx="24">
                    <c:v>mayo</c:v>
                  </c:pt>
                </c:lvl>
                <c:lvl>
                  <c:pt idx="0">
                    <c:v>2014</c:v>
                  </c:pt>
                  <c:pt idx="8">
                    <c:v>2015</c:v>
                  </c:pt>
                  <c:pt idx="20">
                    <c:v>2016</c:v>
                  </c:pt>
                </c:lvl>
              </c:multiLvlStrCache>
            </c:multiLvlStrRef>
          </c:cat>
          <c:val>
            <c:numRef>
              <c:f>Hoja1!$F$7:$F$31</c:f>
              <c:numCache>
                <c:formatCode>General</c:formatCode>
                <c:ptCount val="25"/>
                <c:pt idx="0">
                  <c:v>3.22</c:v>
                </c:pt>
                <c:pt idx="1">
                  <c:v>3.13</c:v>
                </c:pt>
                <c:pt idx="2">
                  <c:v>3.41</c:v>
                </c:pt>
                <c:pt idx="3">
                  <c:v>3.7</c:v>
                </c:pt>
                <c:pt idx="4">
                  <c:v>3.45</c:v>
                </c:pt>
                <c:pt idx="5">
                  <c:v>3.64</c:v>
                </c:pt>
                <c:pt idx="6">
                  <c:v>3.38</c:v>
                </c:pt>
                <c:pt idx="7">
                  <c:v>2.95</c:v>
                </c:pt>
                <c:pt idx="8">
                  <c:v>2.3199999999999998</c:v>
                </c:pt>
                <c:pt idx="9">
                  <c:v>2.44</c:v>
                </c:pt>
                <c:pt idx="10">
                  <c:v>2.4300000000000002</c:v>
                </c:pt>
                <c:pt idx="11">
                  <c:v>2.58</c:v>
                </c:pt>
                <c:pt idx="12">
                  <c:v>2.5499999999999998</c:v>
                </c:pt>
                <c:pt idx="13">
                  <c:v>2.39</c:v>
                </c:pt>
                <c:pt idx="14">
                  <c:v>2.3199999999999998</c:v>
                </c:pt>
                <c:pt idx="15">
                  <c:v>1.96</c:v>
                </c:pt>
                <c:pt idx="16">
                  <c:v>1.88</c:v>
                </c:pt>
                <c:pt idx="17">
                  <c:v>2.23</c:v>
                </c:pt>
                <c:pt idx="18">
                  <c:v>2.5099999999999998</c:v>
                </c:pt>
                <c:pt idx="19">
                  <c:v>3.07</c:v>
                </c:pt>
                <c:pt idx="20">
                  <c:v>4.38</c:v>
                </c:pt>
                <c:pt idx="21">
                  <c:v>4.2699999999999996</c:v>
                </c:pt>
                <c:pt idx="22">
                  <c:v>4.26</c:v>
                </c:pt>
                <c:pt idx="23">
                  <c:v>4.09</c:v>
                </c:pt>
                <c:pt idx="24">
                  <c:v>4.3600000000000003</c:v>
                </c:pt>
              </c:numCache>
            </c:numRef>
          </c:val>
          <c:smooth val="0"/>
          <c:extLst>
            <c:ext xmlns:c16="http://schemas.microsoft.com/office/drawing/2014/chart" uri="{C3380CC4-5D6E-409C-BE32-E72D297353CC}">
              <c16:uniqueId val="{00000003-2D1F-41BC-87A4-EE81035A3838}"/>
            </c:ext>
          </c:extLst>
        </c:ser>
        <c:ser>
          <c:idx val="1"/>
          <c:order val="1"/>
          <c:spPr>
            <a:ln w="9525">
              <a:prstDash val="sysDot"/>
            </a:ln>
          </c:spPr>
          <c:marker>
            <c:symbol val="none"/>
          </c:marker>
          <c:cat>
            <c:multiLvlStrRef>
              <c:f>Hoja1!$D$7:$E$31</c:f>
              <c:multiLvlStrCache>
                <c:ptCount val="25"/>
                <c:lvl>
                  <c:pt idx="0">
                    <c:v>mayo</c:v>
                  </c:pt>
                  <c:pt idx="1">
                    <c:v>junio</c:v>
                  </c:pt>
                  <c:pt idx="2">
                    <c:v>julio</c:v>
                  </c:pt>
                  <c:pt idx="3">
                    <c:v>agosto</c:v>
                  </c:pt>
                  <c:pt idx="4">
                    <c:v>septiembre</c:v>
                  </c:pt>
                  <c:pt idx="5">
                    <c:v>octubre</c:v>
                  </c:pt>
                  <c:pt idx="6">
                    <c:v>noviembre</c:v>
                  </c:pt>
                  <c:pt idx="7">
                    <c:v>diciembre</c:v>
                  </c:pt>
                  <c:pt idx="8">
                    <c:v>enero</c:v>
                  </c:pt>
                  <c:pt idx="9">
                    <c:v>febrero</c:v>
                  </c:pt>
                  <c:pt idx="10">
                    <c:v>marzo</c:v>
                  </c:pt>
                  <c:pt idx="11">
                    <c:v>abril</c:v>
                  </c:pt>
                  <c:pt idx="12">
                    <c:v>mayo</c:v>
                  </c:pt>
                  <c:pt idx="13">
                    <c:v>junio</c:v>
                  </c:pt>
                  <c:pt idx="14">
                    <c:v>julio</c:v>
                  </c:pt>
                  <c:pt idx="15">
                    <c:v>agosto</c:v>
                  </c:pt>
                  <c:pt idx="16">
                    <c:v>septiembre</c:v>
                  </c:pt>
                  <c:pt idx="17">
                    <c:v>octubre</c:v>
                  </c:pt>
                  <c:pt idx="18">
                    <c:v>noviembre</c:v>
                  </c:pt>
                  <c:pt idx="19">
                    <c:v>diciembre</c:v>
                  </c:pt>
                  <c:pt idx="20">
                    <c:v>enero</c:v>
                  </c:pt>
                  <c:pt idx="21">
                    <c:v>febrero</c:v>
                  </c:pt>
                  <c:pt idx="22">
                    <c:v>marzo</c:v>
                  </c:pt>
                  <c:pt idx="23">
                    <c:v>abril</c:v>
                  </c:pt>
                  <c:pt idx="24">
                    <c:v>mayo</c:v>
                  </c:pt>
                </c:lvl>
                <c:lvl>
                  <c:pt idx="0">
                    <c:v>2014</c:v>
                  </c:pt>
                  <c:pt idx="8">
                    <c:v>2015</c:v>
                  </c:pt>
                  <c:pt idx="20">
                    <c:v>2016</c:v>
                  </c:pt>
                </c:lvl>
              </c:multiLvlStrCache>
            </c:multiLvlStrRef>
          </c:cat>
          <c:val>
            <c:numRef>
              <c:f>Hoja1!$G$7:$G$31</c:f>
              <c:numCache>
                <c:formatCode>General</c:formatCode>
                <c:ptCount val="25"/>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numCache>
            </c:numRef>
          </c:val>
          <c:smooth val="0"/>
          <c:extLst>
            <c:ext xmlns:c16="http://schemas.microsoft.com/office/drawing/2014/chart" uri="{C3380CC4-5D6E-409C-BE32-E72D297353CC}">
              <c16:uniqueId val="{00000004-2D1F-41BC-87A4-EE81035A3838}"/>
            </c:ext>
          </c:extLst>
        </c:ser>
        <c:ser>
          <c:idx val="2"/>
          <c:order val="2"/>
          <c:spPr>
            <a:ln w="9525">
              <a:solidFill>
                <a:sysClr val="windowText" lastClr="000000"/>
              </a:solidFill>
            </a:ln>
          </c:spPr>
          <c:marker>
            <c:symbol val="none"/>
          </c:marker>
          <c:cat>
            <c:multiLvlStrRef>
              <c:f>Hoja1!$D$7:$E$31</c:f>
              <c:multiLvlStrCache>
                <c:ptCount val="25"/>
                <c:lvl>
                  <c:pt idx="0">
                    <c:v>mayo</c:v>
                  </c:pt>
                  <c:pt idx="1">
                    <c:v>junio</c:v>
                  </c:pt>
                  <c:pt idx="2">
                    <c:v>julio</c:v>
                  </c:pt>
                  <c:pt idx="3">
                    <c:v>agosto</c:v>
                  </c:pt>
                  <c:pt idx="4">
                    <c:v>septiembre</c:v>
                  </c:pt>
                  <c:pt idx="5">
                    <c:v>octubre</c:v>
                  </c:pt>
                  <c:pt idx="6">
                    <c:v>noviembre</c:v>
                  </c:pt>
                  <c:pt idx="7">
                    <c:v>diciembre</c:v>
                  </c:pt>
                  <c:pt idx="8">
                    <c:v>enero</c:v>
                  </c:pt>
                  <c:pt idx="9">
                    <c:v>febrero</c:v>
                  </c:pt>
                  <c:pt idx="10">
                    <c:v>marzo</c:v>
                  </c:pt>
                  <c:pt idx="11">
                    <c:v>abril</c:v>
                  </c:pt>
                  <c:pt idx="12">
                    <c:v>mayo</c:v>
                  </c:pt>
                  <c:pt idx="13">
                    <c:v>junio</c:v>
                  </c:pt>
                  <c:pt idx="14">
                    <c:v>julio</c:v>
                  </c:pt>
                  <c:pt idx="15">
                    <c:v>agosto</c:v>
                  </c:pt>
                  <c:pt idx="16">
                    <c:v>septiembre</c:v>
                  </c:pt>
                  <c:pt idx="17">
                    <c:v>octubre</c:v>
                  </c:pt>
                  <c:pt idx="18">
                    <c:v>noviembre</c:v>
                  </c:pt>
                  <c:pt idx="19">
                    <c:v>diciembre</c:v>
                  </c:pt>
                  <c:pt idx="20">
                    <c:v>enero</c:v>
                  </c:pt>
                  <c:pt idx="21">
                    <c:v>febrero</c:v>
                  </c:pt>
                  <c:pt idx="22">
                    <c:v>marzo</c:v>
                  </c:pt>
                  <c:pt idx="23">
                    <c:v>abril</c:v>
                  </c:pt>
                  <c:pt idx="24">
                    <c:v>mayo</c:v>
                  </c:pt>
                </c:lvl>
                <c:lvl>
                  <c:pt idx="0">
                    <c:v>2014</c:v>
                  </c:pt>
                  <c:pt idx="8">
                    <c:v>2015</c:v>
                  </c:pt>
                  <c:pt idx="20">
                    <c:v>2016</c:v>
                  </c:pt>
                </c:lvl>
              </c:multiLvlStrCache>
            </c:multiLvlStrRef>
          </c:cat>
          <c:val>
            <c:numRef>
              <c:f>Hoja1!$H$7:$H$31</c:f>
              <c:numCache>
                <c:formatCode>General</c:formatCode>
                <c:ptCount val="25"/>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numCache>
            </c:numRef>
          </c:val>
          <c:smooth val="0"/>
          <c:extLst>
            <c:ext xmlns:c16="http://schemas.microsoft.com/office/drawing/2014/chart" uri="{C3380CC4-5D6E-409C-BE32-E72D297353CC}">
              <c16:uniqueId val="{00000005-2D1F-41BC-87A4-EE81035A3838}"/>
            </c:ext>
          </c:extLst>
        </c:ser>
        <c:ser>
          <c:idx val="3"/>
          <c:order val="3"/>
          <c:spPr>
            <a:ln w="12700">
              <a:solidFill>
                <a:sysClr val="windowText" lastClr="000000"/>
              </a:solidFill>
              <a:prstDash val="sysDot"/>
            </a:ln>
          </c:spPr>
          <c:marker>
            <c:symbol val="none"/>
          </c:marker>
          <c:cat>
            <c:multiLvlStrRef>
              <c:f>Hoja1!$D$7:$E$31</c:f>
              <c:multiLvlStrCache>
                <c:ptCount val="25"/>
                <c:lvl>
                  <c:pt idx="0">
                    <c:v>mayo</c:v>
                  </c:pt>
                  <c:pt idx="1">
                    <c:v>junio</c:v>
                  </c:pt>
                  <c:pt idx="2">
                    <c:v>julio</c:v>
                  </c:pt>
                  <c:pt idx="3">
                    <c:v>agosto</c:v>
                  </c:pt>
                  <c:pt idx="4">
                    <c:v>septiembre</c:v>
                  </c:pt>
                  <c:pt idx="5">
                    <c:v>octubre</c:v>
                  </c:pt>
                  <c:pt idx="6">
                    <c:v>noviembre</c:v>
                  </c:pt>
                  <c:pt idx="7">
                    <c:v>diciembre</c:v>
                  </c:pt>
                  <c:pt idx="8">
                    <c:v>enero</c:v>
                  </c:pt>
                  <c:pt idx="9">
                    <c:v>febrero</c:v>
                  </c:pt>
                  <c:pt idx="10">
                    <c:v>marzo</c:v>
                  </c:pt>
                  <c:pt idx="11">
                    <c:v>abril</c:v>
                  </c:pt>
                  <c:pt idx="12">
                    <c:v>mayo</c:v>
                  </c:pt>
                  <c:pt idx="13">
                    <c:v>junio</c:v>
                  </c:pt>
                  <c:pt idx="14">
                    <c:v>julio</c:v>
                  </c:pt>
                  <c:pt idx="15">
                    <c:v>agosto</c:v>
                  </c:pt>
                  <c:pt idx="16">
                    <c:v>septiembre</c:v>
                  </c:pt>
                  <c:pt idx="17">
                    <c:v>octubre</c:v>
                  </c:pt>
                  <c:pt idx="18">
                    <c:v>noviembre</c:v>
                  </c:pt>
                  <c:pt idx="19">
                    <c:v>diciembre</c:v>
                  </c:pt>
                  <c:pt idx="20">
                    <c:v>enero</c:v>
                  </c:pt>
                  <c:pt idx="21">
                    <c:v>febrero</c:v>
                  </c:pt>
                  <c:pt idx="22">
                    <c:v>marzo</c:v>
                  </c:pt>
                  <c:pt idx="23">
                    <c:v>abril</c:v>
                  </c:pt>
                  <c:pt idx="24">
                    <c:v>mayo</c:v>
                  </c:pt>
                </c:lvl>
                <c:lvl>
                  <c:pt idx="0">
                    <c:v>2014</c:v>
                  </c:pt>
                  <c:pt idx="8">
                    <c:v>2015</c:v>
                  </c:pt>
                  <c:pt idx="20">
                    <c:v>2016</c:v>
                  </c:pt>
                </c:lvl>
              </c:multiLvlStrCache>
            </c:multiLvlStrRef>
          </c:cat>
          <c:val>
            <c:numRef>
              <c:f>Hoja1!$I$7:$I$31</c:f>
              <c:numCache>
                <c:formatCode>General</c:formatCode>
                <c:ptCount val="25"/>
                <c:pt idx="0">
                  <c:v>5</c:v>
                </c:pt>
                <c:pt idx="1">
                  <c:v>5</c:v>
                </c:pt>
                <c:pt idx="2">
                  <c:v>5</c:v>
                </c:pt>
                <c:pt idx="3">
                  <c:v>5</c:v>
                </c:pt>
                <c:pt idx="4">
                  <c:v>5</c:v>
                </c:pt>
                <c:pt idx="5">
                  <c:v>5</c:v>
                </c:pt>
                <c:pt idx="6">
                  <c:v>5</c:v>
                </c:pt>
                <c:pt idx="7">
                  <c:v>5</c:v>
                </c:pt>
                <c:pt idx="8">
                  <c:v>5</c:v>
                </c:pt>
                <c:pt idx="9">
                  <c:v>5</c:v>
                </c:pt>
                <c:pt idx="10">
                  <c:v>5</c:v>
                </c:pt>
                <c:pt idx="11">
                  <c:v>5</c:v>
                </c:pt>
                <c:pt idx="12">
                  <c:v>5</c:v>
                </c:pt>
                <c:pt idx="13">
                  <c:v>5</c:v>
                </c:pt>
                <c:pt idx="14">
                  <c:v>5</c:v>
                </c:pt>
                <c:pt idx="15">
                  <c:v>5</c:v>
                </c:pt>
                <c:pt idx="16">
                  <c:v>5</c:v>
                </c:pt>
                <c:pt idx="17">
                  <c:v>5</c:v>
                </c:pt>
                <c:pt idx="18">
                  <c:v>5</c:v>
                </c:pt>
                <c:pt idx="19">
                  <c:v>5</c:v>
                </c:pt>
                <c:pt idx="20">
                  <c:v>5</c:v>
                </c:pt>
                <c:pt idx="21">
                  <c:v>5</c:v>
                </c:pt>
                <c:pt idx="22">
                  <c:v>5</c:v>
                </c:pt>
                <c:pt idx="23">
                  <c:v>5</c:v>
                </c:pt>
                <c:pt idx="24">
                  <c:v>5</c:v>
                </c:pt>
              </c:numCache>
            </c:numRef>
          </c:val>
          <c:smooth val="0"/>
          <c:extLst>
            <c:ext xmlns:c16="http://schemas.microsoft.com/office/drawing/2014/chart" uri="{C3380CC4-5D6E-409C-BE32-E72D297353CC}">
              <c16:uniqueId val="{00000006-2D1F-41BC-87A4-EE81035A3838}"/>
            </c:ext>
          </c:extLst>
        </c:ser>
        <c:dLbls>
          <c:showLegendKey val="0"/>
          <c:showVal val="0"/>
          <c:showCatName val="0"/>
          <c:showSerName val="0"/>
          <c:showPercent val="0"/>
          <c:showBubbleSize val="0"/>
        </c:dLbls>
        <c:smooth val="0"/>
        <c:axId val="146301312"/>
        <c:axId val="146302848"/>
      </c:lineChart>
      <c:catAx>
        <c:axId val="146301312"/>
        <c:scaling>
          <c:orientation val="minMax"/>
        </c:scaling>
        <c:delete val="0"/>
        <c:axPos val="b"/>
        <c:numFmt formatCode="General" sourceLinked="1"/>
        <c:majorTickMark val="out"/>
        <c:minorTickMark val="none"/>
        <c:tickLblPos val="nextTo"/>
        <c:crossAx val="146302848"/>
        <c:crosses val="autoZero"/>
        <c:auto val="1"/>
        <c:lblAlgn val="ctr"/>
        <c:lblOffset val="100"/>
        <c:noMultiLvlLbl val="0"/>
      </c:catAx>
      <c:valAx>
        <c:axId val="146302848"/>
        <c:scaling>
          <c:orientation val="minMax"/>
        </c:scaling>
        <c:delete val="0"/>
        <c:axPos val="l"/>
        <c:numFmt formatCode="General" sourceLinked="1"/>
        <c:majorTickMark val="out"/>
        <c:minorTickMark val="none"/>
        <c:tickLblPos val="nextTo"/>
        <c:crossAx val="146301312"/>
        <c:crosses val="autoZero"/>
        <c:crossBetween val="between"/>
      </c:valAx>
    </c:plotArea>
    <c:plotVisOnly val="1"/>
    <c:dispBlanksAs val="gap"/>
    <c:showDLblsOverMax val="0"/>
  </c:chart>
  <c:spPr>
    <a:ln>
      <a:noFill/>
    </a:ln>
  </c:spPr>
  <c:txPr>
    <a:bodyPr/>
    <a:lstStyle/>
    <a:p>
      <a:pPr>
        <a:defRPr sz="500">
          <a:latin typeface="Times New Roman" pitchFamily="18" charset="0"/>
          <a:cs typeface="Times New Roman" pitchFamily="18" charset="0"/>
        </a:defRPr>
      </a:pPr>
      <a:endParaRPr lang="es-GT"/>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0.87866</cdr:x>
      <cdr:y>0.04565</cdr:y>
    </cdr:from>
    <cdr:to>
      <cdr:x>0.96896</cdr:x>
      <cdr:y>0.99862</cdr:y>
    </cdr:to>
    <cdr:sp macro="" textlink="">
      <cdr:nvSpPr>
        <cdr:cNvPr id="2" name="1 Rectángulo redondeado"/>
        <cdr:cNvSpPr/>
      </cdr:nvSpPr>
      <cdr:spPr>
        <a:xfrm xmlns:a="http://schemas.openxmlformats.org/drawingml/2006/main">
          <a:off x="2268070" y="71718"/>
          <a:ext cx="233083" cy="1497105"/>
        </a:xfrm>
        <a:prstGeom xmlns:a="http://schemas.openxmlformats.org/drawingml/2006/main" prst="roundRect">
          <a:avLst/>
        </a:prstGeom>
        <a:solidFill xmlns:a="http://schemas.openxmlformats.org/drawingml/2006/main">
          <a:schemeClr val="accent1">
            <a:lumMod val="20000"/>
            <a:lumOff val="80000"/>
            <a:alpha val="18000"/>
          </a:schemeClr>
        </a:solidFill>
        <a:ln xmlns:a="http://schemas.openxmlformats.org/drawingml/2006/main" w="6350">
          <a:solidFill>
            <a:schemeClr val="accent6"/>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GT"/>
        </a:p>
      </cdr:txBody>
    </cdr:sp>
  </cdr:relSizeAnchor>
</c:userShapes>
</file>

<file path=word/drawings/drawing2.xml><?xml version="1.0" encoding="utf-8"?>
<c:userShapes xmlns:c="http://schemas.openxmlformats.org/drawingml/2006/chart">
  <cdr:relSizeAnchor xmlns:cdr="http://schemas.openxmlformats.org/drawingml/2006/chartDrawing">
    <cdr:from>
      <cdr:x>0.28859</cdr:x>
      <cdr:y>0.20569</cdr:y>
    </cdr:from>
    <cdr:to>
      <cdr:x>1</cdr:x>
      <cdr:y>0.31833</cdr:y>
    </cdr:to>
    <cdr:sp macro="" textlink="">
      <cdr:nvSpPr>
        <cdr:cNvPr id="3" name="2 Cuadro de texto"/>
        <cdr:cNvSpPr txBox="1"/>
      </cdr:nvSpPr>
      <cdr:spPr>
        <a:xfrm xmlns:a="http://schemas.openxmlformats.org/drawingml/2006/main">
          <a:off x="744918" y="317395"/>
          <a:ext cx="1836357" cy="1738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GT" sz="500">
              <a:latin typeface="Times New Roman" pitchFamily="18" charset="0"/>
              <a:cs typeface="Times New Roman" pitchFamily="18" charset="0"/>
            </a:rPr>
            <a:t>Meta de inflación 4.0% +/- 1 p.p.</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A7FE-4225-4250-9216-8C1FC3F1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8</Pages>
  <Words>2796</Words>
  <Characters>15384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6</cp:revision>
  <dcterms:created xsi:type="dcterms:W3CDTF">2018-05-15T17:38:00Z</dcterms:created>
  <dcterms:modified xsi:type="dcterms:W3CDTF">2018-05-15T20:19:00Z</dcterms:modified>
</cp:coreProperties>
</file>