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E02B36" w:rsidRDefault="00BA4C52" w:rsidP="00BA4C52">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E02B36" w:rsidSect="00754057">
          <w:headerReference w:type="default" r:id="rId8"/>
          <w:footerReference w:type="default" r:id="rId9"/>
          <w:pgSz w:w="12240" w:h="15840" w:code="1"/>
          <w:pgMar w:top="1418" w:right="1418" w:bottom="1418" w:left="1418" w:header="709" w:footer="709" w:gutter="0"/>
          <w:cols w:space="708"/>
          <w:docGrid w:linePitch="360"/>
        </w:sectPr>
      </w:pPr>
      <w:r w:rsidRPr="00E02B36">
        <w:rPr>
          <w:rFonts w:ascii="Times New Roman" w:hAnsi="Times New Roman" w:cs="Times New Roman"/>
          <w:b/>
          <w:lang w:val="es-MX"/>
        </w:rPr>
        <w:t>Gestión financiera preserva el superávit fiscal</w:t>
      </w:r>
    </w:p>
    <w:p w:rsidR="007D4651" w:rsidRPr="00E02B36" w:rsidRDefault="007D4651" w:rsidP="007D4651">
      <w:pPr>
        <w:pStyle w:val="Sinespaciado"/>
        <w:rPr>
          <w:rFonts w:ascii="Times New Roman" w:hAnsi="Times New Roman" w:cs="Times New Roman"/>
          <w:b/>
          <w:sz w:val="18"/>
          <w:lang w:val="es-MX"/>
        </w:rPr>
      </w:pPr>
    </w:p>
    <w:p w:rsidR="007D4651" w:rsidRPr="00E02B36" w:rsidRDefault="007D4651" w:rsidP="007D4651">
      <w:pPr>
        <w:pStyle w:val="Sinespaciado"/>
        <w:jc w:val="center"/>
        <w:rPr>
          <w:rFonts w:ascii="Times New Roman" w:hAnsi="Times New Roman" w:cs="Times New Roman"/>
          <w:b/>
          <w:lang w:val="es-MX"/>
        </w:rPr>
        <w:sectPr w:rsidR="007D4651" w:rsidRPr="00E02B36" w:rsidSect="00213F7F">
          <w:type w:val="continuous"/>
          <w:pgSz w:w="12240" w:h="15840"/>
          <w:pgMar w:top="1417" w:right="1701" w:bottom="1417" w:left="1701" w:header="708" w:footer="708" w:gutter="0"/>
          <w:cols w:space="708"/>
          <w:docGrid w:linePitch="360"/>
        </w:sectPr>
      </w:pPr>
    </w:p>
    <w:p w:rsidR="00BA4C52" w:rsidRPr="00E02B36" w:rsidRDefault="00BA4C52" w:rsidP="00BA4C52">
      <w:pPr>
        <w:pStyle w:val="Sinespaciado"/>
        <w:jc w:val="both"/>
        <w:rPr>
          <w:rFonts w:ascii="Times New Roman" w:hAnsi="Times New Roman" w:cs="Times New Roman"/>
          <w:lang w:val="es-MX"/>
        </w:rPr>
      </w:pPr>
      <w:r w:rsidRPr="00E02B36">
        <w:rPr>
          <w:rFonts w:ascii="Times New Roman" w:hAnsi="Times New Roman" w:cs="Times New Roman"/>
          <w:lang w:val="es-MX"/>
        </w:rPr>
        <w:lastRenderedPageBreak/>
        <w:t xml:space="preserve">El resultado presupuestario del gobierno muestra un superávit fiscal que se sitúa al cierre del primer trimestre del año en Q 237.4 millones, en igual fecha del año anterior se obtuvo un déficit de Q 1,360.8 millones, si la ejecución de ingresos llevara el nivel y comportamiento estacional del presupuesto aprobado, se observara un déficit de             </w:t>
      </w:r>
      <w:r w:rsidR="00E65E8C">
        <w:rPr>
          <w:rFonts w:ascii="Times New Roman" w:hAnsi="Times New Roman" w:cs="Times New Roman"/>
          <w:lang w:val="es-MX"/>
        </w:rPr>
        <w:t xml:space="preserve">       </w:t>
      </w:r>
      <w:r w:rsidRPr="00E02B36">
        <w:rPr>
          <w:rFonts w:ascii="Times New Roman" w:hAnsi="Times New Roman" w:cs="Times New Roman"/>
          <w:lang w:val="es-MX"/>
        </w:rPr>
        <w:t xml:space="preserve"> Q 1,102.7 millones.</w:t>
      </w:r>
    </w:p>
    <w:p w:rsidR="00BA4C52" w:rsidRPr="00E02B36" w:rsidRDefault="00BA4C52" w:rsidP="00BA4C52">
      <w:pPr>
        <w:pStyle w:val="Sinespaciado"/>
        <w:jc w:val="both"/>
        <w:rPr>
          <w:rFonts w:ascii="Times New Roman" w:hAnsi="Times New Roman" w:cs="Times New Roman"/>
          <w:lang w:val="es-MX"/>
        </w:rPr>
      </w:pPr>
    </w:p>
    <w:p w:rsidR="00BA4C52" w:rsidRPr="00E02B36" w:rsidRDefault="00BA4C52" w:rsidP="00BA4C52">
      <w:pPr>
        <w:pStyle w:val="Sinespaciado"/>
        <w:jc w:val="both"/>
        <w:rPr>
          <w:rFonts w:ascii="Times New Roman" w:hAnsi="Times New Roman" w:cs="Times New Roman"/>
          <w:lang w:val="es-MX"/>
        </w:rPr>
      </w:pPr>
      <w:r w:rsidRPr="00E02B36">
        <w:rPr>
          <w:rFonts w:ascii="Times New Roman" w:hAnsi="Times New Roman" w:cs="Times New Roman"/>
          <w:lang w:val="es-MX"/>
        </w:rPr>
        <w:t xml:space="preserve">Este resultado positivo en lo que va del año, es producto de la permanencia de la contención de gasto público, que a la fecha se refleja en una contracción en la ejecución, cuya variación interanual es negativa  en 8.9%, la cual ha afectado a todas las entidades de gobierno.   Esta contracción de gasto, se debe </w:t>
      </w:r>
      <w:r w:rsidRPr="00E02B36">
        <w:rPr>
          <w:rFonts w:ascii="Times New Roman" w:hAnsi="Times New Roman" w:cs="Times New Roman"/>
          <w:lang w:val="es-MX"/>
        </w:rPr>
        <w:lastRenderedPageBreak/>
        <w:t xml:space="preserve">al modesto nivel de recaudación tributaria, que muestra apenas un crecimiento interanual de 1.5% y a la necesidad del gobierno por atender los compromisos de pago que no fueron cubiertos al cierre del año anterior, dichos pagos han erosionado las disponibilidades de caja y la posibilidad de financiar el presupuesto de este año.     </w:t>
      </w:r>
    </w:p>
    <w:p w:rsidR="00BA4C52" w:rsidRPr="00E02B36" w:rsidRDefault="00BA4C52" w:rsidP="00BA4C52">
      <w:pPr>
        <w:pStyle w:val="Sinespaciado"/>
        <w:jc w:val="both"/>
        <w:rPr>
          <w:rFonts w:ascii="Times New Roman" w:hAnsi="Times New Roman" w:cs="Times New Roman"/>
          <w:lang w:val="es-MX"/>
        </w:rPr>
      </w:pPr>
    </w:p>
    <w:p w:rsidR="007D4651" w:rsidRPr="00E02B36" w:rsidRDefault="00BA4C52" w:rsidP="00BA4C52">
      <w:pPr>
        <w:pStyle w:val="Sinespaciado"/>
        <w:jc w:val="both"/>
        <w:rPr>
          <w:rFonts w:ascii="Times New Roman" w:hAnsi="Times New Roman" w:cs="Times New Roman"/>
          <w:lang w:val="es-MX"/>
        </w:rPr>
      </w:pPr>
      <w:r w:rsidRPr="00E02B36">
        <w:rPr>
          <w:rFonts w:ascii="Times New Roman" w:hAnsi="Times New Roman" w:cs="Times New Roman"/>
          <w:lang w:val="es-MX"/>
        </w:rPr>
        <w:t>Se estima que en los próximos meses aumentará la presión por parte de las entidades para aumentar la cuota financiera y esto podría elevar el nivel de ejecución de gasto, lo que puede conducir a que entre mayo y junio el resultado fiscal empiece a mostrar déficit.</w:t>
      </w:r>
      <w:r w:rsidR="007D4651" w:rsidRPr="00E02B36">
        <w:rPr>
          <w:rFonts w:ascii="Times New Roman" w:hAnsi="Times New Roman" w:cs="Times New Roman"/>
          <w:lang w:val="es-MX"/>
        </w:rPr>
        <w:t xml:space="preserve"> </w:t>
      </w:r>
    </w:p>
    <w:p w:rsidR="007D4651" w:rsidRPr="00E02B36" w:rsidRDefault="007D4651" w:rsidP="007D4651">
      <w:pPr>
        <w:pStyle w:val="Sinespaciado"/>
        <w:jc w:val="both"/>
        <w:rPr>
          <w:rFonts w:ascii="Times New Roman" w:hAnsi="Times New Roman" w:cs="Times New Roman"/>
          <w:lang w:val="es-MX"/>
        </w:rPr>
      </w:pPr>
    </w:p>
    <w:p w:rsidR="007D4651" w:rsidRPr="00E02B36" w:rsidRDefault="007D4651" w:rsidP="007D4651">
      <w:pPr>
        <w:pStyle w:val="Sinespaciado"/>
        <w:jc w:val="center"/>
        <w:rPr>
          <w:rFonts w:ascii="Times New Roman" w:hAnsi="Times New Roman" w:cs="Times New Roman"/>
          <w:b/>
          <w:lang w:val="es-MX"/>
        </w:rPr>
        <w:sectPr w:rsidR="007D4651" w:rsidRPr="00E02B36" w:rsidSect="005D6A2E">
          <w:type w:val="continuous"/>
          <w:pgSz w:w="12240" w:h="15840"/>
          <w:pgMar w:top="1417" w:right="1701" w:bottom="1417" w:left="1701" w:header="708" w:footer="708" w:gutter="0"/>
          <w:cols w:num="2" w:space="708"/>
          <w:docGrid w:linePitch="360"/>
        </w:sectPr>
      </w:pPr>
    </w:p>
    <w:p w:rsidR="007D4651" w:rsidRPr="00E02B36" w:rsidRDefault="007D4651" w:rsidP="007D4651">
      <w:pPr>
        <w:pStyle w:val="Sinespaciado"/>
        <w:jc w:val="center"/>
        <w:rPr>
          <w:rFonts w:ascii="Times New Roman" w:hAnsi="Times New Roman" w:cs="Times New Roman"/>
          <w:b/>
          <w:lang w:val="es-MX"/>
        </w:rPr>
      </w:pPr>
    </w:p>
    <w:p w:rsidR="007D4651" w:rsidRPr="00E02B36" w:rsidRDefault="007D4651" w:rsidP="007D4651">
      <w:pPr>
        <w:pStyle w:val="Sinespaciado"/>
        <w:jc w:val="center"/>
        <w:rPr>
          <w:rFonts w:ascii="Times New Roman" w:hAnsi="Times New Roman" w:cs="Times New Roman"/>
          <w:b/>
          <w:lang w:val="es-MX"/>
        </w:rPr>
        <w:sectPr w:rsidR="007D4651" w:rsidRPr="00E02B36" w:rsidSect="007D4651">
          <w:type w:val="continuous"/>
          <w:pgSz w:w="12240" w:h="15840" w:code="1"/>
          <w:pgMar w:top="1418" w:right="1418" w:bottom="1418" w:left="1418" w:header="709" w:footer="709" w:gutter="0"/>
          <w:cols w:num="2" w:space="708"/>
          <w:docGrid w:linePitch="360"/>
        </w:sectPr>
      </w:pPr>
    </w:p>
    <w:p w:rsidR="007D4651" w:rsidRPr="00E02B36" w:rsidRDefault="007D4651" w:rsidP="00910163">
      <w:pPr>
        <w:pStyle w:val="Sinespaciado"/>
        <w:jc w:val="center"/>
        <w:rPr>
          <w:rFonts w:ascii="Times New Roman" w:hAnsi="Times New Roman" w:cs="Times New Roman"/>
          <w:b/>
          <w:lang w:val="es-MX"/>
        </w:rPr>
      </w:pPr>
      <w:r w:rsidRPr="00E02B36">
        <w:rPr>
          <w:rFonts w:ascii="Times New Roman" w:hAnsi="Times New Roman" w:cs="Times New Roman"/>
          <w:b/>
          <w:lang w:val="es-MX"/>
        </w:rPr>
        <w:lastRenderedPageBreak/>
        <w:t>Resultado Presupuestario</w:t>
      </w:r>
    </w:p>
    <w:p w:rsidR="007C1FD3" w:rsidRPr="00E02B36" w:rsidRDefault="007C1FD3" w:rsidP="007D4651">
      <w:pPr>
        <w:pStyle w:val="Sinespaciado"/>
        <w:jc w:val="center"/>
        <w:rPr>
          <w:rFonts w:ascii="Times New Roman" w:hAnsi="Times New Roman" w:cs="Times New Roman"/>
          <w:sz w:val="18"/>
          <w:lang w:val="es-MX"/>
        </w:rPr>
      </w:pPr>
      <w:r w:rsidRPr="00E02B36">
        <w:rPr>
          <w:rFonts w:ascii="Times New Roman" w:hAnsi="Times New Roman" w:cs="Times New Roman"/>
          <w:sz w:val="18"/>
          <w:lang w:val="es-MX"/>
        </w:rPr>
        <w:t>Al 31 de Marzo de cada año</w:t>
      </w:r>
    </w:p>
    <w:p w:rsidR="007D4651" w:rsidRPr="00E02B36" w:rsidRDefault="007D4651" w:rsidP="007D4651">
      <w:pPr>
        <w:pStyle w:val="Sinespaciado"/>
        <w:jc w:val="center"/>
        <w:rPr>
          <w:rFonts w:ascii="Times New Roman" w:hAnsi="Times New Roman" w:cs="Times New Roman"/>
          <w:sz w:val="18"/>
          <w:lang w:val="es-MX"/>
        </w:rPr>
      </w:pPr>
      <w:r w:rsidRPr="00E02B36">
        <w:rPr>
          <w:rFonts w:ascii="Times New Roman" w:hAnsi="Times New Roman" w:cs="Times New Roman"/>
          <w:sz w:val="18"/>
          <w:lang w:val="es-MX"/>
        </w:rPr>
        <w:t>Millones de quetzales</w:t>
      </w:r>
    </w:p>
    <w:p w:rsidR="007D4651" w:rsidRPr="00E02B36" w:rsidRDefault="007C1FD3" w:rsidP="007D4651">
      <w:pPr>
        <w:pStyle w:val="Sinespaciado"/>
        <w:jc w:val="center"/>
        <w:rPr>
          <w:rFonts w:ascii="Times New Roman" w:hAnsi="Times New Roman" w:cs="Times New Roman"/>
          <w:lang w:val="es-MX"/>
        </w:rPr>
      </w:pPr>
      <w:r w:rsidRPr="00E02B36">
        <w:rPr>
          <w:rFonts w:ascii="Times New Roman" w:hAnsi="Times New Roman" w:cs="Times New Roman"/>
          <w:noProof/>
          <w:lang w:eastAsia="es-GT"/>
        </w:rPr>
        <w:drawing>
          <wp:inline distT="0" distB="0" distL="0" distR="0" wp14:anchorId="6A0BE4BF" wp14:editId="6553753C">
            <wp:extent cx="3998259" cy="2980872"/>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8925" cy="2981369"/>
                    </a:xfrm>
                    <a:prstGeom prst="rect">
                      <a:avLst/>
                    </a:prstGeom>
                    <a:noFill/>
                  </pic:spPr>
                </pic:pic>
              </a:graphicData>
            </a:graphic>
          </wp:inline>
        </w:drawing>
      </w:r>
    </w:p>
    <w:p w:rsidR="007D4651" w:rsidRPr="00E02B36" w:rsidRDefault="007D4651" w:rsidP="00BC7539">
      <w:pPr>
        <w:pStyle w:val="Sinespaciado"/>
        <w:ind w:left="1416" w:firstLine="708"/>
        <w:jc w:val="both"/>
        <w:rPr>
          <w:rFonts w:ascii="Times New Roman" w:hAnsi="Times New Roman" w:cs="Times New Roman"/>
          <w:sz w:val="14"/>
        </w:rPr>
      </w:pPr>
      <w:r w:rsidRPr="00E02B36">
        <w:rPr>
          <w:rFonts w:ascii="Times New Roman" w:hAnsi="Times New Roman" w:cs="Times New Roman"/>
          <w:sz w:val="14"/>
        </w:rPr>
        <w:t>Fuente: Dirección de Análisis y Política fiscal</w:t>
      </w:r>
    </w:p>
    <w:p w:rsidR="007D4651" w:rsidRPr="00E02B36" w:rsidRDefault="007D4651" w:rsidP="007D4651">
      <w:pPr>
        <w:pStyle w:val="Sinespaciado"/>
        <w:ind w:left="708" w:firstLine="708"/>
        <w:jc w:val="both"/>
        <w:rPr>
          <w:rFonts w:ascii="Times New Roman" w:hAnsi="Times New Roman" w:cs="Times New Roman"/>
          <w:b/>
          <w:sz w:val="18"/>
          <w:lang w:val="es-MX"/>
        </w:rPr>
      </w:pPr>
    </w:p>
    <w:p w:rsidR="007D4651" w:rsidRPr="00E02B36" w:rsidRDefault="007D4651" w:rsidP="007D4651">
      <w:pPr>
        <w:spacing w:after="0" w:line="240" w:lineRule="auto"/>
        <w:rPr>
          <w:rFonts w:ascii="Times New Roman" w:hAnsi="Times New Roman" w:cs="Times New Roman"/>
          <w:lang w:val="es-MX"/>
        </w:rPr>
      </w:pPr>
    </w:p>
    <w:p w:rsidR="00DF71A8" w:rsidRPr="00E02B36" w:rsidRDefault="00DF71A8" w:rsidP="007D4651">
      <w:pPr>
        <w:spacing w:after="0" w:line="240" w:lineRule="auto"/>
        <w:rPr>
          <w:rFonts w:ascii="Times New Roman" w:hAnsi="Times New Roman" w:cs="Times New Roman"/>
          <w:lang w:val="es-MX"/>
        </w:rPr>
      </w:pPr>
    </w:p>
    <w:p w:rsidR="00DF71A8" w:rsidRPr="00E02B36" w:rsidRDefault="00DF71A8" w:rsidP="007D4651">
      <w:pPr>
        <w:spacing w:after="0" w:line="240" w:lineRule="auto"/>
        <w:rPr>
          <w:rFonts w:ascii="Times New Roman" w:hAnsi="Times New Roman" w:cs="Times New Roman"/>
          <w:lang w:val="es-MX"/>
        </w:rPr>
        <w:sectPr w:rsidR="00DF71A8" w:rsidRPr="00E02B36" w:rsidSect="007D4651">
          <w:type w:val="continuous"/>
          <w:pgSz w:w="12240" w:h="15840" w:code="1"/>
          <w:pgMar w:top="1418" w:right="1418" w:bottom="1418" w:left="1418" w:header="709" w:footer="709" w:gutter="0"/>
          <w:cols w:space="708"/>
          <w:docGrid w:linePitch="360"/>
        </w:sectPr>
      </w:pPr>
    </w:p>
    <w:p w:rsidR="00E16925" w:rsidRPr="00E02B36" w:rsidRDefault="00674742" w:rsidP="00E1692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sidRPr="00E02B36">
        <w:rPr>
          <w:rFonts w:ascii="Times New Roman" w:hAnsi="Times New Roman" w:cs="Times New Roman"/>
          <w:b/>
          <w:lang w:val="es-MX"/>
        </w:rPr>
        <w:lastRenderedPageBreak/>
        <w:t>Recaudación de marzo superó lo observado en 2015</w:t>
      </w:r>
    </w:p>
    <w:p w:rsidR="00E16925" w:rsidRPr="00E02B36" w:rsidRDefault="00E16925" w:rsidP="00E16925">
      <w:pPr>
        <w:rPr>
          <w:rFonts w:ascii="Times New Roman" w:hAnsi="Times New Roman" w:cs="Times New Roman"/>
          <w:b/>
          <w:lang w:val="es-MX"/>
        </w:rPr>
        <w:sectPr w:rsidR="00E16925" w:rsidRPr="00E02B36"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p>
    <w:p w:rsidR="00E16925" w:rsidRPr="00E02B36" w:rsidRDefault="00E16925" w:rsidP="00E16925">
      <w:pPr>
        <w:pStyle w:val="Sinespaciado"/>
        <w:rPr>
          <w:rFonts w:ascii="Times New Roman" w:hAnsi="Times New Roman" w:cs="Times New Roman"/>
          <w:b/>
          <w:sz w:val="18"/>
          <w:lang w:val="es-MX"/>
        </w:rPr>
      </w:pPr>
    </w:p>
    <w:p w:rsidR="00E16925" w:rsidRPr="00E02B36" w:rsidRDefault="00E16925" w:rsidP="00E16925">
      <w:pPr>
        <w:pStyle w:val="Sinespaciado"/>
        <w:jc w:val="center"/>
        <w:rPr>
          <w:rFonts w:ascii="Times New Roman" w:hAnsi="Times New Roman" w:cs="Times New Roman"/>
          <w:b/>
          <w:lang w:val="es-MX"/>
        </w:rPr>
        <w:sectPr w:rsidR="00E16925" w:rsidRPr="00E02B36" w:rsidSect="00213F7F">
          <w:type w:val="continuous"/>
          <w:pgSz w:w="12240" w:h="15840"/>
          <w:pgMar w:top="1417" w:right="1701" w:bottom="1417" w:left="1701" w:header="708" w:footer="708" w:gutter="0"/>
          <w:cols w:space="708"/>
          <w:docGrid w:linePitch="360"/>
        </w:sectPr>
      </w:pPr>
    </w:p>
    <w:p w:rsidR="00674742" w:rsidRPr="00E02B36" w:rsidRDefault="00674742" w:rsidP="00674742">
      <w:pPr>
        <w:spacing w:after="0" w:line="240" w:lineRule="auto"/>
        <w:jc w:val="both"/>
        <w:rPr>
          <w:rFonts w:ascii="Times New Roman" w:hAnsi="Times New Roman" w:cs="Times New Roman"/>
          <w:szCs w:val="24"/>
          <w:lang w:val="es-MX"/>
        </w:rPr>
      </w:pPr>
      <w:r w:rsidRPr="00E02B36">
        <w:rPr>
          <w:rFonts w:ascii="Times New Roman" w:hAnsi="Times New Roman" w:cs="Times New Roman"/>
          <w:szCs w:val="24"/>
          <w:lang w:val="es-MX"/>
        </w:rPr>
        <w:lastRenderedPageBreak/>
        <w:t>Información preliminar de recaudación de marzo da cuenta de un crecimiento de 1.5% (Q 186.1 millones) respecto a lo observado a la misma fecha del año anterior, dicho crecimiento se basa en el desempeño positivo del, ISR,  ISO, el IVA doméstico los derechos arancelarios y los derivados del petróleo y los impuestos específicos (excepto el cemento).</w:t>
      </w:r>
    </w:p>
    <w:p w:rsidR="00674742" w:rsidRPr="00E02B36" w:rsidRDefault="00674742" w:rsidP="00674742">
      <w:pPr>
        <w:spacing w:after="0" w:line="240" w:lineRule="auto"/>
        <w:jc w:val="both"/>
        <w:rPr>
          <w:rFonts w:ascii="Times New Roman" w:hAnsi="Times New Roman" w:cs="Times New Roman"/>
          <w:szCs w:val="24"/>
          <w:lang w:val="es-MX"/>
        </w:rPr>
      </w:pPr>
    </w:p>
    <w:p w:rsidR="00674742" w:rsidRPr="00E02B36" w:rsidRDefault="00674742" w:rsidP="00674742">
      <w:pPr>
        <w:spacing w:after="0" w:line="240" w:lineRule="auto"/>
        <w:jc w:val="center"/>
        <w:rPr>
          <w:rFonts w:ascii="Times New Roman" w:hAnsi="Times New Roman" w:cs="Times New Roman"/>
          <w:b/>
          <w:lang w:val="es-MX"/>
        </w:rPr>
      </w:pPr>
      <w:r w:rsidRPr="00E02B36">
        <w:rPr>
          <w:rFonts w:ascii="Times New Roman" w:hAnsi="Times New Roman" w:cs="Times New Roman"/>
          <w:b/>
          <w:lang w:val="es-MX"/>
        </w:rPr>
        <w:t>Variación en la recaudación tributaria</w:t>
      </w:r>
    </w:p>
    <w:p w:rsidR="00674742" w:rsidRPr="00E02B36" w:rsidRDefault="00674742" w:rsidP="00674742">
      <w:pPr>
        <w:spacing w:after="0" w:line="240" w:lineRule="auto"/>
        <w:jc w:val="center"/>
        <w:rPr>
          <w:rFonts w:ascii="Times New Roman" w:hAnsi="Times New Roman" w:cs="Times New Roman"/>
          <w:b/>
          <w:lang w:val="es-MX"/>
        </w:rPr>
      </w:pPr>
      <w:r w:rsidRPr="00E02B36">
        <w:rPr>
          <w:rFonts w:ascii="Times New Roman" w:hAnsi="Times New Roman" w:cs="Times New Roman"/>
          <w:b/>
          <w:lang w:val="es-MX"/>
        </w:rPr>
        <w:t>2016 - 2015</w:t>
      </w:r>
    </w:p>
    <w:p w:rsidR="00674742" w:rsidRPr="00E02B36" w:rsidRDefault="00674742" w:rsidP="00674742">
      <w:pPr>
        <w:spacing w:after="0" w:line="240" w:lineRule="auto"/>
        <w:jc w:val="center"/>
        <w:rPr>
          <w:rFonts w:ascii="Times New Roman" w:hAnsi="Times New Roman" w:cs="Times New Roman"/>
          <w:sz w:val="18"/>
          <w:lang w:val="es-MX"/>
        </w:rPr>
      </w:pPr>
      <w:r w:rsidRPr="00E02B36">
        <w:rPr>
          <w:rFonts w:ascii="Times New Roman" w:hAnsi="Times New Roman" w:cs="Times New Roman"/>
          <w:sz w:val="18"/>
          <w:lang w:val="es-MX"/>
        </w:rPr>
        <w:t>Millones de quetzales</w:t>
      </w:r>
    </w:p>
    <w:p w:rsidR="00674742" w:rsidRPr="00E02B36" w:rsidRDefault="00674742" w:rsidP="00674742">
      <w:pPr>
        <w:spacing w:after="0" w:line="240" w:lineRule="auto"/>
        <w:jc w:val="both"/>
        <w:rPr>
          <w:rFonts w:ascii="Times New Roman" w:hAnsi="Times New Roman" w:cs="Times New Roman"/>
          <w:lang w:val="es-MX"/>
        </w:rPr>
      </w:pPr>
      <w:r w:rsidRPr="00E02B36">
        <w:rPr>
          <w:rFonts w:ascii="Times New Roman" w:hAnsi="Times New Roman" w:cs="Times New Roman"/>
          <w:noProof/>
          <w:lang w:eastAsia="es-GT"/>
        </w:rPr>
        <w:drawing>
          <wp:inline distT="0" distB="0" distL="0" distR="0" wp14:anchorId="06206DE3" wp14:editId="2524416F">
            <wp:extent cx="2905125" cy="283845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4742" w:rsidRPr="00E02B36" w:rsidRDefault="00674742" w:rsidP="00674742">
      <w:pPr>
        <w:spacing w:after="0" w:line="240" w:lineRule="auto"/>
        <w:jc w:val="both"/>
        <w:rPr>
          <w:rFonts w:ascii="Times New Roman" w:hAnsi="Times New Roman" w:cs="Times New Roman"/>
          <w:sz w:val="14"/>
          <w:lang w:val="es-MX"/>
        </w:rPr>
      </w:pPr>
      <w:r w:rsidRPr="00E02B36">
        <w:rPr>
          <w:rFonts w:ascii="Times New Roman" w:hAnsi="Times New Roman" w:cs="Times New Roman"/>
          <w:sz w:val="14"/>
          <w:lang w:val="es-MX"/>
        </w:rPr>
        <w:t>Fuente: Dirección de análisis y política fiscal</w:t>
      </w:r>
    </w:p>
    <w:p w:rsidR="00674742" w:rsidRPr="00E02B36" w:rsidRDefault="00674742" w:rsidP="00674742">
      <w:pPr>
        <w:spacing w:after="0" w:line="240" w:lineRule="auto"/>
        <w:jc w:val="both"/>
        <w:rPr>
          <w:rFonts w:ascii="Times New Roman" w:hAnsi="Times New Roman" w:cs="Times New Roman"/>
          <w:lang w:val="es-MX"/>
        </w:rPr>
      </w:pPr>
    </w:p>
    <w:p w:rsidR="00674742" w:rsidRPr="00E02B36" w:rsidRDefault="00674742" w:rsidP="00674742">
      <w:pPr>
        <w:spacing w:after="0" w:line="240" w:lineRule="auto"/>
        <w:jc w:val="both"/>
        <w:rPr>
          <w:rFonts w:ascii="Times New Roman" w:hAnsi="Times New Roman" w:cs="Times New Roman"/>
          <w:b/>
          <w:szCs w:val="24"/>
          <w:lang w:val="es-MX"/>
        </w:rPr>
      </w:pPr>
      <w:r w:rsidRPr="00E02B36">
        <w:rPr>
          <w:rFonts w:ascii="Times New Roman" w:hAnsi="Times New Roman" w:cs="Times New Roman"/>
          <w:b/>
          <w:szCs w:val="24"/>
          <w:lang w:val="es-MX"/>
        </w:rPr>
        <w:t>El impuesto sobre la renta</w:t>
      </w:r>
    </w:p>
    <w:p w:rsidR="00674742" w:rsidRPr="00E02B36" w:rsidRDefault="00674742" w:rsidP="00674742">
      <w:pPr>
        <w:spacing w:after="0" w:line="240" w:lineRule="auto"/>
        <w:jc w:val="both"/>
        <w:rPr>
          <w:rFonts w:ascii="Times New Roman" w:hAnsi="Times New Roman" w:cs="Times New Roman"/>
          <w:szCs w:val="24"/>
          <w:lang w:val="es-MX"/>
        </w:rPr>
      </w:pPr>
    </w:p>
    <w:p w:rsidR="00674742" w:rsidRPr="00E02B36" w:rsidRDefault="00674742" w:rsidP="00674742">
      <w:pPr>
        <w:spacing w:after="0" w:line="240" w:lineRule="auto"/>
        <w:jc w:val="both"/>
        <w:rPr>
          <w:rFonts w:ascii="Times New Roman" w:hAnsi="Times New Roman" w:cs="Times New Roman"/>
          <w:szCs w:val="24"/>
          <w:lang w:val="es-MX"/>
        </w:rPr>
      </w:pPr>
      <w:r w:rsidRPr="00E02B36">
        <w:rPr>
          <w:rFonts w:ascii="Times New Roman" w:hAnsi="Times New Roman" w:cs="Times New Roman"/>
          <w:szCs w:val="24"/>
          <w:lang w:val="es-MX"/>
        </w:rPr>
        <w:t>A marzo este impuesto representa cerca del 29% del total de la recaudación observada, el año anterior a la misma fecha represento 28.9% lo cual denota un crecimiento de 0.2% (Q 6.7 millones) respecto a lo observado.</w:t>
      </w:r>
    </w:p>
    <w:p w:rsidR="00674742" w:rsidRPr="00E02B36" w:rsidRDefault="00674742" w:rsidP="00674742">
      <w:pPr>
        <w:spacing w:after="0" w:line="240" w:lineRule="auto"/>
        <w:jc w:val="both"/>
        <w:rPr>
          <w:rFonts w:ascii="Times New Roman" w:hAnsi="Times New Roman" w:cs="Times New Roman"/>
          <w:szCs w:val="24"/>
          <w:lang w:val="es-MX"/>
        </w:rPr>
      </w:pPr>
    </w:p>
    <w:p w:rsidR="007C1FD3" w:rsidRPr="00E02B36" w:rsidRDefault="007C1FD3" w:rsidP="00674742">
      <w:pPr>
        <w:spacing w:after="0" w:line="240" w:lineRule="auto"/>
        <w:jc w:val="both"/>
        <w:rPr>
          <w:rFonts w:ascii="Times New Roman" w:hAnsi="Times New Roman" w:cs="Times New Roman"/>
          <w:szCs w:val="24"/>
          <w:lang w:val="es-MX"/>
        </w:rPr>
      </w:pPr>
    </w:p>
    <w:p w:rsidR="007C1FD3" w:rsidRPr="00E02B36" w:rsidRDefault="007C1FD3" w:rsidP="00674742">
      <w:pPr>
        <w:spacing w:after="0" w:line="240" w:lineRule="auto"/>
        <w:jc w:val="both"/>
        <w:rPr>
          <w:rFonts w:ascii="Times New Roman" w:hAnsi="Times New Roman" w:cs="Times New Roman"/>
          <w:szCs w:val="24"/>
          <w:lang w:val="es-MX"/>
        </w:rPr>
      </w:pPr>
    </w:p>
    <w:p w:rsidR="007C1FD3" w:rsidRPr="00E02B36" w:rsidRDefault="007C1FD3" w:rsidP="00674742">
      <w:pPr>
        <w:spacing w:after="0" w:line="240" w:lineRule="auto"/>
        <w:jc w:val="both"/>
        <w:rPr>
          <w:rFonts w:ascii="Times New Roman" w:hAnsi="Times New Roman" w:cs="Times New Roman"/>
          <w:szCs w:val="24"/>
          <w:lang w:val="es-MX"/>
        </w:rPr>
      </w:pPr>
    </w:p>
    <w:p w:rsidR="00674742" w:rsidRPr="00E02B36" w:rsidRDefault="00674742" w:rsidP="00674742">
      <w:pPr>
        <w:spacing w:after="0" w:line="240" w:lineRule="auto"/>
        <w:jc w:val="center"/>
        <w:rPr>
          <w:rFonts w:ascii="Times New Roman" w:hAnsi="Times New Roman" w:cs="Times New Roman"/>
          <w:b/>
          <w:lang w:val="es-MX"/>
        </w:rPr>
      </w:pPr>
      <w:r w:rsidRPr="00E02B36">
        <w:rPr>
          <w:rFonts w:ascii="Times New Roman" w:hAnsi="Times New Roman" w:cs="Times New Roman"/>
          <w:b/>
          <w:lang w:val="es-MX"/>
        </w:rPr>
        <w:lastRenderedPageBreak/>
        <w:t>Impuesto sobre la renta</w:t>
      </w:r>
    </w:p>
    <w:p w:rsidR="00674742" w:rsidRPr="00E02B36" w:rsidRDefault="00674742" w:rsidP="00674742">
      <w:pPr>
        <w:spacing w:after="0" w:line="240" w:lineRule="auto"/>
        <w:jc w:val="center"/>
        <w:rPr>
          <w:rFonts w:ascii="Times New Roman" w:hAnsi="Times New Roman" w:cs="Times New Roman"/>
          <w:sz w:val="18"/>
          <w:lang w:val="es-MX"/>
        </w:rPr>
      </w:pPr>
      <w:r w:rsidRPr="00E02B36">
        <w:rPr>
          <w:rFonts w:ascii="Times New Roman" w:hAnsi="Times New Roman" w:cs="Times New Roman"/>
          <w:sz w:val="18"/>
          <w:lang w:val="es-MX"/>
        </w:rPr>
        <w:t>Millones de quetzales</w:t>
      </w:r>
    </w:p>
    <w:p w:rsidR="00674742" w:rsidRPr="00E02B36" w:rsidRDefault="00674742" w:rsidP="00674742">
      <w:pPr>
        <w:spacing w:after="0" w:line="240" w:lineRule="auto"/>
        <w:jc w:val="both"/>
        <w:rPr>
          <w:rFonts w:ascii="Times New Roman" w:hAnsi="Times New Roman" w:cs="Times New Roman"/>
          <w:szCs w:val="24"/>
          <w:lang w:val="es-MX"/>
        </w:rPr>
      </w:pPr>
      <w:r w:rsidRPr="00E02B36">
        <w:rPr>
          <w:rFonts w:ascii="Times New Roman" w:hAnsi="Times New Roman" w:cs="Times New Roman"/>
          <w:noProof/>
          <w:szCs w:val="24"/>
          <w:lang w:eastAsia="es-GT"/>
        </w:rPr>
        <w:drawing>
          <wp:inline distT="0" distB="0" distL="0" distR="0" wp14:anchorId="0D7B15A0" wp14:editId="45F946B2">
            <wp:extent cx="2752165" cy="1873624"/>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E02B36">
        <w:rPr>
          <w:rFonts w:ascii="Times New Roman" w:hAnsi="Times New Roman" w:cs="Times New Roman"/>
          <w:szCs w:val="24"/>
          <w:lang w:val="es-MX"/>
        </w:rPr>
        <w:t xml:space="preserve"> </w:t>
      </w:r>
      <w:r w:rsidRPr="00E02B36">
        <w:rPr>
          <w:rFonts w:ascii="Times New Roman" w:hAnsi="Times New Roman" w:cs="Times New Roman"/>
          <w:sz w:val="14"/>
          <w:lang w:val="es-MX"/>
        </w:rPr>
        <w:t>Fuente: Dirección de análisis y política fiscal</w:t>
      </w:r>
    </w:p>
    <w:p w:rsidR="00674742" w:rsidRPr="00E02B36" w:rsidRDefault="00674742" w:rsidP="00674742">
      <w:pPr>
        <w:spacing w:after="0" w:line="240" w:lineRule="auto"/>
        <w:jc w:val="both"/>
        <w:rPr>
          <w:rFonts w:ascii="Times New Roman" w:hAnsi="Times New Roman" w:cs="Times New Roman"/>
          <w:szCs w:val="24"/>
          <w:lang w:val="es-MX"/>
        </w:rPr>
      </w:pPr>
    </w:p>
    <w:p w:rsidR="00674742" w:rsidRPr="00E02B36" w:rsidRDefault="00674742" w:rsidP="00674742">
      <w:pPr>
        <w:spacing w:after="0" w:line="240" w:lineRule="auto"/>
        <w:jc w:val="both"/>
        <w:rPr>
          <w:rFonts w:ascii="Times New Roman" w:hAnsi="Times New Roman" w:cs="Times New Roman"/>
          <w:b/>
          <w:szCs w:val="24"/>
          <w:lang w:val="es-MX"/>
        </w:rPr>
      </w:pPr>
      <w:r w:rsidRPr="00E02B36">
        <w:rPr>
          <w:rFonts w:ascii="Times New Roman" w:hAnsi="Times New Roman" w:cs="Times New Roman"/>
          <w:b/>
          <w:szCs w:val="24"/>
          <w:lang w:val="es-MX"/>
        </w:rPr>
        <w:t>Impuesto al valor agregado</w:t>
      </w:r>
    </w:p>
    <w:p w:rsidR="00674742" w:rsidRPr="00E02B36" w:rsidRDefault="00674742" w:rsidP="00674742">
      <w:pPr>
        <w:spacing w:after="0" w:line="240" w:lineRule="auto"/>
        <w:jc w:val="both"/>
        <w:rPr>
          <w:rFonts w:ascii="Times New Roman" w:hAnsi="Times New Roman" w:cs="Times New Roman"/>
          <w:szCs w:val="24"/>
          <w:lang w:val="es-MX"/>
        </w:rPr>
      </w:pPr>
    </w:p>
    <w:p w:rsidR="00674742" w:rsidRPr="00E02B36" w:rsidRDefault="00674742" w:rsidP="00674742">
      <w:pPr>
        <w:spacing w:after="0" w:line="240" w:lineRule="auto"/>
        <w:jc w:val="both"/>
        <w:rPr>
          <w:rFonts w:ascii="Times New Roman" w:hAnsi="Times New Roman" w:cs="Times New Roman"/>
          <w:szCs w:val="24"/>
          <w:lang w:val="es-MX"/>
        </w:rPr>
      </w:pPr>
      <w:r w:rsidRPr="00E02B36">
        <w:rPr>
          <w:rFonts w:ascii="Times New Roman" w:hAnsi="Times New Roman" w:cs="Times New Roman"/>
          <w:szCs w:val="24"/>
          <w:lang w:val="es-MX"/>
        </w:rPr>
        <w:t>La recaudación acumulada del IVA total no supero lo observado en 2015 generando una brecha negativa de Q 59.4 millones, esto producto del bajo rendimiento en la recaudación del IVA asociado a las importaciones dejando de percibir Q 174.2 millones respecto a lo observado a la misma fecha del año anterior, las razones de esta caída obedecen principalmente a una baja en las importaciones petroleras.</w:t>
      </w:r>
    </w:p>
    <w:p w:rsidR="00674742" w:rsidRPr="00E02B36" w:rsidRDefault="00674742" w:rsidP="00674742">
      <w:pPr>
        <w:spacing w:after="0" w:line="240" w:lineRule="auto"/>
        <w:jc w:val="both"/>
        <w:rPr>
          <w:rFonts w:ascii="Times New Roman" w:hAnsi="Times New Roman" w:cs="Times New Roman"/>
          <w:szCs w:val="24"/>
          <w:lang w:val="es-MX"/>
        </w:rPr>
      </w:pPr>
    </w:p>
    <w:p w:rsidR="00BA4C52" w:rsidRPr="00E02B36" w:rsidRDefault="00674742" w:rsidP="00BA4C52">
      <w:pPr>
        <w:spacing w:after="0" w:line="240" w:lineRule="auto"/>
        <w:jc w:val="both"/>
        <w:rPr>
          <w:rFonts w:ascii="Times New Roman" w:hAnsi="Times New Roman" w:cs="Times New Roman"/>
          <w:lang w:val="es-MX"/>
        </w:rPr>
      </w:pPr>
      <w:r w:rsidRPr="00E02B36">
        <w:rPr>
          <w:rFonts w:ascii="Times New Roman" w:hAnsi="Times New Roman" w:cs="Times New Roman"/>
          <w:szCs w:val="24"/>
          <w:lang w:val="es-MX"/>
        </w:rPr>
        <w:t>El resto de los impuestos presentan un comportamiento normal, incluso superando las expectativas planteadas en la meta de presupuesto tal el caso del impuesto a los derivados del petróleo que supera la recaudación del año anterior en Q 78.7 millones, para el caso del cemento es preciso recordar que el impuesto en 2015 se gravaba con una tasa de Q 5.00 por saco de cemento, mientras que ahora es de Q 1.50, el tema de las regalías e hidrocarburos compartibles sigue siendo afectado por la variación que existe en el precio internacional del petróleo.</w:t>
      </w:r>
    </w:p>
    <w:p w:rsidR="00BA4C52" w:rsidRPr="00E02B36" w:rsidRDefault="00BA4C52" w:rsidP="00BA4C52">
      <w:pPr>
        <w:jc w:val="both"/>
        <w:rPr>
          <w:rFonts w:ascii="Times New Roman" w:hAnsi="Times New Roman" w:cs="Times New Roman"/>
          <w:lang w:val="es-MX"/>
        </w:rPr>
        <w:sectPr w:rsidR="00BA4C52" w:rsidRPr="00E02B36" w:rsidSect="005A694E">
          <w:type w:val="continuous"/>
          <w:pgSz w:w="12240" w:h="15840"/>
          <w:pgMar w:top="1417" w:right="1701" w:bottom="1417" w:left="1701" w:header="708" w:footer="708" w:gutter="0"/>
          <w:cols w:num="2" w:space="708"/>
          <w:docGrid w:linePitch="360"/>
        </w:sectPr>
      </w:pPr>
    </w:p>
    <w:p w:rsidR="00DD01C5" w:rsidRPr="00E02B36" w:rsidRDefault="00DD01C5" w:rsidP="00EE0C32">
      <w:pPr>
        <w:pStyle w:val="Prrafodelista"/>
        <w:ind w:left="0"/>
        <w:rPr>
          <w:rFonts w:ascii="Times New Roman" w:hAnsi="Times New Roman" w:cs="Times New Roman"/>
          <w:b/>
          <w:sz w:val="20"/>
          <w:lang w:val="es-MX"/>
        </w:rPr>
      </w:pPr>
    </w:p>
    <w:p w:rsidR="00FA3B81" w:rsidRPr="00E02B36" w:rsidRDefault="00DD4AB3" w:rsidP="00FA3B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sidRPr="00E02B36">
        <w:rPr>
          <w:rFonts w:ascii="Times New Roman" w:hAnsi="Times New Roman" w:cs="Times New Roman"/>
          <w:b/>
          <w:lang w:val="es-MX"/>
        </w:rPr>
        <w:lastRenderedPageBreak/>
        <w:t>Moderación en la</w:t>
      </w:r>
      <w:r w:rsidR="00FA3B81" w:rsidRPr="00E02B36">
        <w:rPr>
          <w:rFonts w:ascii="Times New Roman" w:hAnsi="Times New Roman" w:cs="Times New Roman"/>
          <w:b/>
          <w:lang w:val="es-MX"/>
        </w:rPr>
        <w:t xml:space="preserve"> </w:t>
      </w:r>
      <w:r w:rsidRPr="00E02B36">
        <w:rPr>
          <w:rFonts w:ascii="Times New Roman" w:hAnsi="Times New Roman" w:cs="Times New Roman"/>
          <w:b/>
          <w:lang w:val="es-MX"/>
        </w:rPr>
        <w:t xml:space="preserve">aprobación de cuotas financieras propicia una contracción en el </w:t>
      </w:r>
      <w:r w:rsidR="00FA3B81" w:rsidRPr="00E02B36">
        <w:rPr>
          <w:rFonts w:ascii="Times New Roman" w:hAnsi="Times New Roman" w:cs="Times New Roman"/>
          <w:b/>
          <w:lang w:val="es-MX"/>
        </w:rPr>
        <w:t>gasto</w:t>
      </w:r>
    </w:p>
    <w:p w:rsidR="00FA3B81" w:rsidRPr="00E02B36" w:rsidRDefault="00FA3B81" w:rsidP="00FA3B81">
      <w:pPr>
        <w:rPr>
          <w:rFonts w:ascii="Times New Roman" w:hAnsi="Times New Roman" w:cs="Times New Roman"/>
          <w:b/>
          <w:lang w:val="es-MX"/>
        </w:rPr>
        <w:sectPr w:rsidR="00FA3B81" w:rsidRPr="00E02B36" w:rsidSect="00FA3B81">
          <w:headerReference w:type="default" r:id="rId15"/>
          <w:footerReference w:type="default" r:id="rId16"/>
          <w:type w:val="continuous"/>
          <w:pgSz w:w="12240" w:h="15840" w:code="1"/>
          <w:pgMar w:top="1418" w:right="1418" w:bottom="1418" w:left="1418" w:header="709" w:footer="709" w:gutter="0"/>
          <w:cols w:space="708"/>
          <w:docGrid w:linePitch="360"/>
        </w:sectPr>
      </w:pPr>
    </w:p>
    <w:p w:rsidR="00FA3B81" w:rsidRPr="00E02B36" w:rsidRDefault="00FA3B81" w:rsidP="00FA3B81">
      <w:pPr>
        <w:pStyle w:val="Sinespaciado"/>
        <w:rPr>
          <w:rFonts w:ascii="Times New Roman" w:hAnsi="Times New Roman" w:cs="Times New Roman"/>
          <w:b/>
          <w:sz w:val="18"/>
          <w:lang w:val="es-MX"/>
        </w:rPr>
      </w:pPr>
    </w:p>
    <w:p w:rsidR="00FA3B81" w:rsidRPr="00E02B36" w:rsidRDefault="00FA3B81" w:rsidP="00FA3B81">
      <w:pPr>
        <w:pStyle w:val="Sinespaciado"/>
        <w:jc w:val="center"/>
        <w:rPr>
          <w:rFonts w:ascii="Times New Roman" w:hAnsi="Times New Roman" w:cs="Times New Roman"/>
          <w:b/>
          <w:lang w:val="es-MX"/>
        </w:rPr>
        <w:sectPr w:rsidR="00FA3B81" w:rsidRPr="00E02B36" w:rsidSect="00213F7F">
          <w:type w:val="continuous"/>
          <w:pgSz w:w="12240" w:h="15840"/>
          <w:pgMar w:top="1417" w:right="1701" w:bottom="1417" w:left="1701" w:header="708" w:footer="708" w:gutter="0"/>
          <w:cols w:space="708"/>
          <w:docGrid w:linePitch="360"/>
        </w:sectPr>
      </w:pPr>
    </w:p>
    <w:p w:rsidR="007C1FD3" w:rsidRPr="00E02B36" w:rsidRDefault="007C1FD3" w:rsidP="007C1FD3">
      <w:pPr>
        <w:pStyle w:val="Sinespaciado"/>
        <w:jc w:val="both"/>
        <w:rPr>
          <w:rFonts w:ascii="Times New Roman" w:hAnsi="Times New Roman" w:cs="Times New Roman"/>
        </w:rPr>
      </w:pPr>
      <w:r w:rsidRPr="00E02B36">
        <w:rPr>
          <w:rFonts w:ascii="Times New Roman" w:hAnsi="Times New Roman" w:cs="Times New Roman"/>
        </w:rPr>
        <w:lastRenderedPageBreak/>
        <w:t xml:space="preserve">Lo que se ha podido observar en el primer trimestre del año es que la programación y ejecución financiera ha sido prudente y la asignación de cuotas financieras se ha realizado sobre la base de los ingresos disponibles y conforme a una proyección conservadora de recaudación tributaria, para evitar con ello desequilibrios en la caja fiscal sobre todo al considerar que se han realizado pagos, en este año, que corresponden los devengados no pagados generados en el ejercicio anterior. </w:t>
      </w:r>
    </w:p>
    <w:p w:rsidR="007C1FD3" w:rsidRPr="00E02B36" w:rsidRDefault="007C1FD3" w:rsidP="007C1FD3">
      <w:pPr>
        <w:pStyle w:val="Sinespaciado"/>
        <w:jc w:val="both"/>
        <w:rPr>
          <w:rFonts w:ascii="Times New Roman" w:hAnsi="Times New Roman" w:cs="Times New Roman"/>
          <w:lang w:val="es-MX"/>
        </w:rPr>
      </w:pPr>
      <w:r w:rsidRPr="00E02B36">
        <w:rPr>
          <w:rFonts w:ascii="Times New Roman" w:hAnsi="Times New Roman" w:cs="Times New Roman"/>
        </w:rPr>
        <w:t xml:space="preserve"> </w:t>
      </w:r>
    </w:p>
    <w:p w:rsidR="007C1FD3" w:rsidRPr="00E02B36" w:rsidRDefault="007C1FD3" w:rsidP="007C1FD3">
      <w:pPr>
        <w:pStyle w:val="Sinespaciado"/>
        <w:jc w:val="both"/>
        <w:rPr>
          <w:rFonts w:ascii="Times New Roman" w:hAnsi="Times New Roman" w:cs="Times New Roman"/>
          <w:lang w:val="es-MX"/>
        </w:rPr>
      </w:pPr>
      <w:r w:rsidRPr="00E02B36">
        <w:rPr>
          <w:rFonts w:ascii="Times New Roman" w:hAnsi="Times New Roman" w:cs="Times New Roman"/>
          <w:lang w:val="es-MX"/>
        </w:rPr>
        <w:t xml:space="preserve">Estos factores han incidido en el nivel de ejecución de gasto observado al 31 de marzo, el cual se ubicó en Q 13,185.7 millones, el cual muestra una contracción con respecto a lo observado en igual fecha del año anterior de 8.9%, situación que contrasta con el alto dinamismo que se observó en marzo de 2015 cuya ejecución tuvo un crecimiento interanual de 21.7%.   </w:t>
      </w:r>
    </w:p>
    <w:p w:rsidR="007C1FD3" w:rsidRPr="00E02B36" w:rsidRDefault="007C1FD3" w:rsidP="007C1FD3">
      <w:pPr>
        <w:pStyle w:val="Sinespaciado"/>
        <w:jc w:val="both"/>
        <w:rPr>
          <w:rFonts w:ascii="Times New Roman" w:hAnsi="Times New Roman" w:cs="Times New Roman"/>
          <w:lang w:val="es-MX"/>
        </w:rPr>
      </w:pPr>
    </w:p>
    <w:p w:rsidR="007C1FD3" w:rsidRPr="00E02B36" w:rsidRDefault="007C1FD3" w:rsidP="007C1FD3">
      <w:pPr>
        <w:pStyle w:val="Sinespaciado"/>
        <w:jc w:val="both"/>
        <w:rPr>
          <w:rFonts w:ascii="Times New Roman" w:hAnsi="Times New Roman" w:cs="Times New Roman"/>
          <w:lang w:val="es-MX"/>
        </w:rPr>
      </w:pPr>
      <w:r w:rsidRPr="00E02B36">
        <w:rPr>
          <w:rFonts w:ascii="Times New Roman" w:hAnsi="Times New Roman" w:cs="Times New Roman"/>
          <w:lang w:val="es-MX"/>
        </w:rPr>
        <w:t xml:space="preserve">Dicho comportamiento en el gasto, podría cambiar en la medida en que los ingresos fiscales aumenten o las presiones instituciones por más recursos afecten la programación mediante la asignación de cuotas sin contar con la suficiente disponibilidad para atender los compromisos en el corto plazo.  </w:t>
      </w:r>
    </w:p>
    <w:p w:rsidR="007C1FD3" w:rsidRPr="00E02B36" w:rsidRDefault="007C1FD3" w:rsidP="007C1FD3">
      <w:pPr>
        <w:pStyle w:val="Sinespaciado"/>
        <w:jc w:val="both"/>
        <w:rPr>
          <w:rFonts w:ascii="Times New Roman" w:hAnsi="Times New Roman" w:cs="Times New Roman"/>
          <w:lang w:val="es-MX"/>
        </w:rPr>
      </w:pPr>
    </w:p>
    <w:p w:rsidR="007C1FD3" w:rsidRPr="00E02B36" w:rsidRDefault="007C1FD3" w:rsidP="007C1FD3">
      <w:pPr>
        <w:pStyle w:val="Sinespaciado"/>
        <w:jc w:val="center"/>
        <w:rPr>
          <w:rFonts w:ascii="Times New Roman" w:hAnsi="Times New Roman" w:cs="Times New Roman"/>
          <w:b/>
          <w:lang w:val="es-MX"/>
        </w:rPr>
      </w:pPr>
      <w:r w:rsidRPr="00E02B36">
        <w:rPr>
          <w:rFonts w:ascii="Times New Roman" w:hAnsi="Times New Roman" w:cs="Times New Roman"/>
          <w:b/>
          <w:lang w:val="es-MX"/>
        </w:rPr>
        <w:t>Ritmo de Ejecución del Gasto</w:t>
      </w:r>
    </w:p>
    <w:p w:rsidR="007C1FD3" w:rsidRPr="00E02B36" w:rsidRDefault="007C1FD3" w:rsidP="007C1FD3">
      <w:pPr>
        <w:pStyle w:val="Sinespaciado"/>
        <w:jc w:val="center"/>
        <w:rPr>
          <w:rFonts w:ascii="Times New Roman" w:hAnsi="Times New Roman" w:cs="Times New Roman"/>
          <w:sz w:val="18"/>
          <w:lang w:val="es-MX"/>
        </w:rPr>
      </w:pPr>
      <w:r w:rsidRPr="00E02B36">
        <w:rPr>
          <w:rFonts w:ascii="Times New Roman" w:hAnsi="Times New Roman" w:cs="Times New Roman"/>
          <w:sz w:val="18"/>
          <w:lang w:val="es-MX"/>
        </w:rPr>
        <w:t>Variación Interanual</w:t>
      </w:r>
    </w:p>
    <w:p w:rsidR="007C1FD3" w:rsidRPr="00E02B36" w:rsidRDefault="007C1FD3" w:rsidP="007C1FD3">
      <w:pPr>
        <w:pStyle w:val="Sinespaciado"/>
        <w:jc w:val="both"/>
        <w:rPr>
          <w:rFonts w:ascii="Times New Roman" w:hAnsi="Times New Roman" w:cs="Times New Roman"/>
          <w:i/>
          <w:lang w:val="es-MX"/>
        </w:rPr>
      </w:pPr>
      <w:r w:rsidRPr="00E02B36">
        <w:rPr>
          <w:rFonts w:ascii="Times New Roman" w:hAnsi="Times New Roman" w:cs="Times New Roman"/>
          <w:i/>
          <w:noProof/>
          <w:lang w:eastAsia="es-GT"/>
        </w:rPr>
        <w:drawing>
          <wp:inline distT="0" distB="0" distL="0" distR="0" wp14:anchorId="46B7E150" wp14:editId="174B872B">
            <wp:extent cx="2560496" cy="158726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4498" cy="1595941"/>
                    </a:xfrm>
                    <a:prstGeom prst="rect">
                      <a:avLst/>
                    </a:prstGeom>
                    <a:noFill/>
                  </pic:spPr>
                </pic:pic>
              </a:graphicData>
            </a:graphic>
          </wp:inline>
        </w:drawing>
      </w:r>
    </w:p>
    <w:p w:rsidR="007C1FD3" w:rsidRPr="00E02B36" w:rsidRDefault="007C1FD3" w:rsidP="007C1FD3">
      <w:pPr>
        <w:pStyle w:val="Sinespaciado"/>
        <w:rPr>
          <w:rFonts w:ascii="Times New Roman" w:hAnsi="Times New Roman" w:cs="Times New Roman"/>
          <w:sz w:val="16"/>
        </w:rPr>
      </w:pPr>
      <w:r w:rsidRPr="00E02B36">
        <w:rPr>
          <w:rFonts w:ascii="Times New Roman" w:hAnsi="Times New Roman" w:cs="Times New Roman"/>
          <w:sz w:val="16"/>
        </w:rPr>
        <w:t>Fuente: Dirección de Análisis y Política fiscal</w:t>
      </w:r>
    </w:p>
    <w:p w:rsidR="007C1FD3" w:rsidRPr="00E02B36" w:rsidRDefault="007C1FD3" w:rsidP="007C1FD3">
      <w:pPr>
        <w:pStyle w:val="Sinespaciado"/>
        <w:jc w:val="both"/>
        <w:rPr>
          <w:rFonts w:ascii="Times New Roman" w:hAnsi="Times New Roman" w:cs="Times New Roman"/>
          <w:lang w:val="es-MX"/>
        </w:rPr>
      </w:pPr>
      <w:r w:rsidRPr="00E02B36">
        <w:rPr>
          <w:rFonts w:ascii="Times New Roman" w:hAnsi="Times New Roman" w:cs="Times New Roman"/>
          <w:lang w:val="es-MX"/>
        </w:rPr>
        <w:lastRenderedPageBreak/>
        <w:t xml:space="preserve">La principal contracción en el gasto se observa en los </w:t>
      </w:r>
      <w:r w:rsidR="00603C4A" w:rsidRPr="00E02B36">
        <w:rPr>
          <w:rFonts w:ascii="Times New Roman" w:hAnsi="Times New Roman" w:cs="Times New Roman"/>
          <w:lang w:val="es-MX"/>
        </w:rPr>
        <w:t>rubros de</w:t>
      </w:r>
      <w:r w:rsidRPr="00E02B36">
        <w:rPr>
          <w:rFonts w:ascii="Times New Roman" w:hAnsi="Times New Roman" w:cs="Times New Roman"/>
          <w:lang w:val="es-MX"/>
        </w:rPr>
        <w:t xml:space="preserve"> inversión real directa (-96.2%), bienes y servic</w:t>
      </w:r>
      <w:bookmarkStart w:id="0" w:name="_GoBack"/>
      <w:bookmarkEnd w:id="0"/>
      <w:r w:rsidRPr="00E02B36">
        <w:rPr>
          <w:rFonts w:ascii="Times New Roman" w:hAnsi="Times New Roman" w:cs="Times New Roman"/>
          <w:lang w:val="es-MX"/>
        </w:rPr>
        <w:t xml:space="preserve">ios (-35.5%) y en trasferencias de capital (-16.5%). </w:t>
      </w:r>
    </w:p>
    <w:p w:rsidR="007C1FD3" w:rsidRPr="00E02B36" w:rsidRDefault="007C1FD3" w:rsidP="007C1FD3">
      <w:pPr>
        <w:pStyle w:val="Sinespaciado"/>
        <w:jc w:val="both"/>
        <w:rPr>
          <w:rFonts w:ascii="Times New Roman" w:hAnsi="Times New Roman" w:cs="Times New Roman"/>
          <w:lang w:val="es-MX"/>
        </w:rPr>
      </w:pPr>
    </w:p>
    <w:p w:rsidR="007C1FD3" w:rsidRPr="00E02B36" w:rsidRDefault="007C1FD3" w:rsidP="007C1FD3">
      <w:pPr>
        <w:pStyle w:val="Sinespaciado"/>
        <w:jc w:val="both"/>
        <w:rPr>
          <w:rFonts w:ascii="Times New Roman" w:hAnsi="Times New Roman" w:cs="Times New Roman"/>
          <w:lang w:val="es-MX"/>
        </w:rPr>
      </w:pPr>
      <w:r w:rsidRPr="00E02B36">
        <w:rPr>
          <w:rFonts w:ascii="Times New Roman" w:hAnsi="Times New Roman" w:cs="Times New Roman"/>
          <w:lang w:val="es-MX"/>
        </w:rPr>
        <w:t xml:space="preserve">Por su parte, la ejecución de gasto público por rubro privilegió las remuneraciones, que reportan un crecimiento de 3.7% (Q 181.6 millones) y las prestaciones a la seguridad social con un crecimiento de 3.5% (Q 31.3 millones) respecto al año anterior. </w:t>
      </w:r>
    </w:p>
    <w:p w:rsidR="007C1FD3" w:rsidRPr="00E02B36" w:rsidRDefault="007C1FD3" w:rsidP="007C1FD3">
      <w:pPr>
        <w:pStyle w:val="Sinespaciado"/>
        <w:jc w:val="both"/>
        <w:rPr>
          <w:rFonts w:ascii="Times New Roman" w:hAnsi="Times New Roman" w:cs="Times New Roman"/>
          <w:lang w:val="es-MX"/>
        </w:rPr>
      </w:pPr>
    </w:p>
    <w:p w:rsidR="007C1FD3" w:rsidRPr="00E02B36" w:rsidRDefault="007C1FD3" w:rsidP="007C1FD3">
      <w:pPr>
        <w:pStyle w:val="Sinespaciado"/>
        <w:jc w:val="center"/>
        <w:rPr>
          <w:rFonts w:ascii="Times New Roman" w:hAnsi="Times New Roman" w:cs="Times New Roman"/>
          <w:b/>
          <w:lang w:val="es-MX"/>
        </w:rPr>
      </w:pPr>
      <w:r w:rsidRPr="00E02B36">
        <w:rPr>
          <w:rFonts w:ascii="Times New Roman" w:hAnsi="Times New Roman" w:cs="Times New Roman"/>
          <w:b/>
          <w:lang w:val="es-MX"/>
        </w:rPr>
        <w:t xml:space="preserve"> Ejecución del Gasto por Rubro</w:t>
      </w:r>
    </w:p>
    <w:p w:rsidR="007C1FD3" w:rsidRPr="00E02B36" w:rsidRDefault="00603C4A" w:rsidP="007C1FD3">
      <w:pPr>
        <w:pStyle w:val="Sinespaciado"/>
        <w:jc w:val="center"/>
        <w:rPr>
          <w:rFonts w:ascii="Times New Roman" w:hAnsi="Times New Roman" w:cs="Times New Roman"/>
          <w:sz w:val="18"/>
          <w:lang w:val="es-MX"/>
        </w:rPr>
      </w:pPr>
      <w:r w:rsidRPr="00E02B36">
        <w:rPr>
          <w:rFonts w:ascii="Times New Roman" w:hAnsi="Times New Roman" w:cs="Times New Roman"/>
          <w:noProof/>
          <w:lang w:eastAsia="es-GT"/>
        </w:rPr>
        <w:drawing>
          <wp:anchor distT="0" distB="0" distL="114300" distR="114300" simplePos="0" relativeHeight="251667456" behindDoc="0" locked="0" layoutInCell="1" allowOverlap="1" wp14:anchorId="78B069B9" wp14:editId="22D4DF03">
            <wp:simplePos x="0" y="0"/>
            <wp:positionH relativeFrom="column">
              <wp:posOffset>3810</wp:posOffset>
            </wp:positionH>
            <wp:positionV relativeFrom="paragraph">
              <wp:posOffset>151765</wp:posOffset>
            </wp:positionV>
            <wp:extent cx="2649220" cy="223393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49220" cy="2233930"/>
                    </a:xfrm>
                    <a:prstGeom prst="rect">
                      <a:avLst/>
                    </a:prstGeom>
                    <a:noFill/>
                  </pic:spPr>
                </pic:pic>
              </a:graphicData>
            </a:graphic>
            <wp14:sizeRelH relativeFrom="page">
              <wp14:pctWidth>0</wp14:pctWidth>
            </wp14:sizeRelH>
            <wp14:sizeRelV relativeFrom="page">
              <wp14:pctHeight>0</wp14:pctHeight>
            </wp14:sizeRelV>
          </wp:anchor>
        </w:drawing>
      </w:r>
      <w:r w:rsidR="007C1FD3" w:rsidRPr="00E02B36">
        <w:rPr>
          <w:rFonts w:ascii="Times New Roman" w:hAnsi="Times New Roman" w:cs="Times New Roman"/>
          <w:sz w:val="18"/>
          <w:lang w:val="es-MX"/>
        </w:rPr>
        <w:t>Variación Interanual</w:t>
      </w:r>
    </w:p>
    <w:p w:rsidR="007C1FD3" w:rsidRPr="00E02B36" w:rsidRDefault="007C1FD3" w:rsidP="007C1FD3">
      <w:pPr>
        <w:pStyle w:val="Sinespaciado"/>
        <w:rPr>
          <w:rFonts w:ascii="Times New Roman" w:hAnsi="Times New Roman" w:cs="Times New Roman"/>
          <w:sz w:val="16"/>
        </w:rPr>
      </w:pPr>
      <w:r w:rsidRPr="00E02B36">
        <w:rPr>
          <w:rFonts w:ascii="Times New Roman" w:hAnsi="Times New Roman" w:cs="Times New Roman"/>
          <w:sz w:val="16"/>
        </w:rPr>
        <w:t>Fuente: Dirección de Análisis y Política fiscal</w:t>
      </w:r>
    </w:p>
    <w:p w:rsidR="007C1FD3" w:rsidRPr="00E02B36" w:rsidRDefault="007C1FD3" w:rsidP="007C1FD3">
      <w:pPr>
        <w:pStyle w:val="Sinespaciado"/>
        <w:jc w:val="both"/>
        <w:rPr>
          <w:rFonts w:ascii="Times New Roman" w:hAnsi="Times New Roman" w:cs="Times New Roman"/>
        </w:rPr>
      </w:pPr>
    </w:p>
    <w:p w:rsidR="007C1FD3" w:rsidRPr="00E02B36" w:rsidRDefault="007C1FD3" w:rsidP="007C1FD3">
      <w:pPr>
        <w:pStyle w:val="Sinespaciado"/>
        <w:jc w:val="both"/>
        <w:rPr>
          <w:rFonts w:ascii="Times New Roman" w:hAnsi="Times New Roman" w:cs="Times New Roman"/>
        </w:rPr>
      </w:pPr>
      <w:r w:rsidRPr="00E02B36">
        <w:rPr>
          <w:rFonts w:ascii="Times New Roman" w:hAnsi="Times New Roman" w:cs="Times New Roman"/>
          <w:lang w:val="es-MX"/>
        </w:rPr>
        <w:t xml:space="preserve">Además de la contención, se observa que la austeridad ha sido otro elemento importante en la política de gasto ya que al evaluar la ejecución del </w:t>
      </w:r>
      <w:r w:rsidRPr="00E02B36">
        <w:rPr>
          <w:rFonts w:ascii="Times New Roman" w:hAnsi="Times New Roman" w:cs="Times New Roman"/>
        </w:rPr>
        <w:t>gasto considerado como</w:t>
      </w:r>
      <w:r w:rsidR="00EE0C32">
        <w:rPr>
          <w:rFonts w:ascii="Times New Roman" w:hAnsi="Times New Roman" w:cs="Times New Roman"/>
        </w:rPr>
        <w:t xml:space="preserve"> </w:t>
      </w:r>
      <w:r w:rsidRPr="00E02B36">
        <w:rPr>
          <w:rFonts w:ascii="Times New Roman" w:hAnsi="Times New Roman" w:cs="Times New Roman"/>
        </w:rPr>
        <w:lastRenderedPageBreak/>
        <w:t>superfluo</w:t>
      </w:r>
      <w:r w:rsidRPr="00E02B36">
        <w:rPr>
          <w:rStyle w:val="Refdenotaalpie"/>
          <w:rFonts w:ascii="Times New Roman" w:hAnsi="Times New Roman" w:cs="Times New Roman"/>
        </w:rPr>
        <w:footnoteReference w:id="1"/>
      </w:r>
      <w:r w:rsidRPr="00E02B36">
        <w:rPr>
          <w:rFonts w:ascii="Times New Roman" w:hAnsi="Times New Roman" w:cs="Times New Roman"/>
        </w:rPr>
        <w:t xml:space="preserve"> muestra un nivel de Q 73.2 millones, mostrando una contracción importante de 49.8% con respecto al nivel observado en marzo del año anterior, es decir, una reducción de gasto superfluo de Q 72.8 millones. Dicha disminución, a la fecha, afecta a todos los renglones que componen este gasto superfluo.</w:t>
      </w:r>
    </w:p>
    <w:p w:rsidR="007C1FD3" w:rsidRPr="00E02B36" w:rsidRDefault="007C1FD3" w:rsidP="007C1FD3">
      <w:pPr>
        <w:pStyle w:val="Sinespaciado"/>
        <w:jc w:val="both"/>
        <w:rPr>
          <w:rFonts w:ascii="Times New Roman" w:hAnsi="Times New Roman" w:cs="Times New Roman"/>
          <w:sz w:val="12"/>
        </w:rPr>
      </w:pPr>
    </w:p>
    <w:p w:rsidR="007C1FD3" w:rsidRPr="00E02B36" w:rsidRDefault="007C1FD3" w:rsidP="007C1FD3">
      <w:pPr>
        <w:pStyle w:val="Sinespaciado"/>
        <w:jc w:val="center"/>
        <w:rPr>
          <w:rFonts w:ascii="Times New Roman" w:hAnsi="Times New Roman" w:cs="Times New Roman"/>
          <w:b/>
        </w:rPr>
      </w:pPr>
      <w:r w:rsidRPr="00E02B36">
        <w:rPr>
          <w:rFonts w:ascii="Times New Roman" w:hAnsi="Times New Roman" w:cs="Times New Roman"/>
          <w:b/>
        </w:rPr>
        <w:t>Gasto Superfluo</w:t>
      </w:r>
    </w:p>
    <w:p w:rsidR="007C1FD3" w:rsidRPr="00E02B36" w:rsidRDefault="007C1FD3" w:rsidP="007C1FD3">
      <w:pPr>
        <w:pStyle w:val="Sinespaciado"/>
        <w:jc w:val="center"/>
        <w:rPr>
          <w:rFonts w:ascii="Times New Roman" w:hAnsi="Times New Roman" w:cs="Times New Roman"/>
          <w:sz w:val="18"/>
        </w:rPr>
      </w:pPr>
      <w:r w:rsidRPr="00E02B36">
        <w:rPr>
          <w:rFonts w:ascii="Times New Roman" w:hAnsi="Times New Roman" w:cs="Times New Roman"/>
          <w:sz w:val="18"/>
        </w:rPr>
        <w:t>Millones de quetzales</w:t>
      </w:r>
    </w:p>
    <w:p w:rsidR="007C1FD3" w:rsidRPr="00E02B36" w:rsidRDefault="007C1FD3" w:rsidP="007C1FD3">
      <w:pPr>
        <w:pStyle w:val="Sinespaciado"/>
        <w:jc w:val="both"/>
        <w:rPr>
          <w:rFonts w:ascii="Times New Roman" w:hAnsi="Times New Roman" w:cs="Times New Roman"/>
          <w:sz w:val="14"/>
        </w:rPr>
      </w:pPr>
      <w:r w:rsidRPr="00E02B36">
        <w:rPr>
          <w:rFonts w:ascii="Times New Roman" w:hAnsi="Times New Roman" w:cs="Times New Roman"/>
          <w:sz w:val="14"/>
        </w:rPr>
        <w:t xml:space="preserve">Acumulado a marzo de cada año                  Variación por rubro a marzo                  </w:t>
      </w:r>
    </w:p>
    <w:p w:rsidR="007C1FD3" w:rsidRPr="00E02B36" w:rsidRDefault="007C1FD3" w:rsidP="007C1FD3">
      <w:pPr>
        <w:pStyle w:val="Sinespaciado"/>
        <w:jc w:val="both"/>
        <w:rPr>
          <w:rFonts w:ascii="Times New Roman" w:hAnsi="Times New Roman" w:cs="Times New Roman"/>
          <w:sz w:val="14"/>
        </w:rPr>
      </w:pPr>
      <w:r w:rsidRPr="00E02B36">
        <w:rPr>
          <w:rFonts w:ascii="Times New Roman" w:hAnsi="Times New Roman" w:cs="Times New Roman"/>
          <w:sz w:val="14"/>
        </w:rPr>
        <w:t xml:space="preserve">                                                                            2015-2016</w:t>
      </w:r>
    </w:p>
    <w:p w:rsidR="007C1FD3" w:rsidRPr="00E02B36" w:rsidRDefault="007C1FD3" w:rsidP="007C1FD3">
      <w:pPr>
        <w:pStyle w:val="Sinespaciado"/>
        <w:jc w:val="both"/>
        <w:rPr>
          <w:rFonts w:ascii="Times New Roman" w:hAnsi="Times New Roman" w:cs="Times New Roman"/>
          <w:sz w:val="16"/>
        </w:rPr>
      </w:pPr>
      <w:r w:rsidRPr="00E02B36">
        <w:rPr>
          <w:rFonts w:ascii="Times New Roman" w:hAnsi="Times New Roman" w:cs="Times New Roman"/>
          <w:noProof/>
          <w:sz w:val="16"/>
          <w:lang w:eastAsia="es-GT"/>
        </w:rPr>
        <w:drawing>
          <wp:inline distT="0" distB="0" distL="0" distR="0" wp14:anchorId="59BAA0EA" wp14:editId="67BC164F">
            <wp:extent cx="2639695" cy="1444625"/>
            <wp:effectExtent l="0" t="0" r="8255"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9695" cy="1444625"/>
                    </a:xfrm>
                    <a:prstGeom prst="rect">
                      <a:avLst/>
                    </a:prstGeom>
                    <a:noFill/>
                  </pic:spPr>
                </pic:pic>
              </a:graphicData>
            </a:graphic>
          </wp:inline>
        </w:drawing>
      </w:r>
    </w:p>
    <w:p w:rsidR="007C1FD3" w:rsidRPr="00E02B36" w:rsidRDefault="007C1FD3" w:rsidP="007C1FD3">
      <w:pPr>
        <w:pStyle w:val="Sinespaciado"/>
        <w:jc w:val="both"/>
        <w:rPr>
          <w:rFonts w:ascii="Times New Roman" w:hAnsi="Times New Roman" w:cs="Times New Roman"/>
          <w:sz w:val="16"/>
        </w:rPr>
      </w:pPr>
      <w:r w:rsidRPr="00E02B36">
        <w:rPr>
          <w:rFonts w:ascii="Times New Roman" w:hAnsi="Times New Roman" w:cs="Times New Roman"/>
          <w:sz w:val="16"/>
        </w:rPr>
        <w:t>Fuente: Dirección de Análisis y Política fiscal</w:t>
      </w:r>
    </w:p>
    <w:p w:rsidR="007C1FD3" w:rsidRPr="00E02B36" w:rsidRDefault="007C1FD3" w:rsidP="007C1FD3">
      <w:pPr>
        <w:pStyle w:val="Sinespaciado"/>
        <w:jc w:val="both"/>
        <w:rPr>
          <w:rFonts w:ascii="Times New Roman" w:hAnsi="Times New Roman" w:cs="Times New Roman"/>
        </w:rPr>
      </w:pPr>
    </w:p>
    <w:p w:rsidR="007C1FD3" w:rsidRPr="00E02B36" w:rsidRDefault="007C1FD3" w:rsidP="007C1FD3">
      <w:pPr>
        <w:pStyle w:val="Sinespaciado"/>
        <w:jc w:val="both"/>
        <w:rPr>
          <w:rFonts w:ascii="Times New Roman" w:hAnsi="Times New Roman" w:cs="Times New Roman"/>
          <w:lang w:val="es-MX"/>
        </w:rPr>
      </w:pPr>
      <w:r w:rsidRPr="00E02B36">
        <w:rPr>
          <w:rFonts w:ascii="Times New Roman" w:hAnsi="Times New Roman" w:cs="Times New Roman"/>
          <w:lang w:val="es-MX"/>
        </w:rPr>
        <w:t xml:space="preserve">Los esfuerzos por contener la ejecución del gasto son visibles en todas las instituciones de gobierno, que reportan una ejecución menor a lo observado al cierre de marzo del año anterior. Resalta el caso de ministerios prioritarios como Gobernación y Salud que han visto una merma en su ejecución de        Q 167.9 y Q 146.8 millones, respectivamente. </w:t>
      </w:r>
    </w:p>
    <w:p w:rsidR="007C1FD3" w:rsidRDefault="007C1FD3" w:rsidP="007C1FD3">
      <w:pPr>
        <w:pStyle w:val="Sinespaciado"/>
        <w:jc w:val="both"/>
        <w:rPr>
          <w:rFonts w:ascii="Times New Roman" w:hAnsi="Times New Roman" w:cs="Times New Roman"/>
          <w:lang w:val="es-MX"/>
        </w:rPr>
      </w:pPr>
    </w:p>
    <w:p w:rsidR="00603C4A" w:rsidRDefault="00603C4A" w:rsidP="007C1FD3">
      <w:pPr>
        <w:pStyle w:val="Sinespaciado"/>
        <w:jc w:val="both"/>
        <w:rPr>
          <w:rFonts w:ascii="Times New Roman" w:hAnsi="Times New Roman" w:cs="Times New Roman"/>
          <w:lang w:val="es-MX"/>
        </w:rPr>
      </w:pPr>
    </w:p>
    <w:p w:rsidR="00603C4A" w:rsidRDefault="00603C4A" w:rsidP="007C1FD3">
      <w:pPr>
        <w:pStyle w:val="Sinespaciado"/>
        <w:jc w:val="both"/>
        <w:rPr>
          <w:rFonts w:ascii="Times New Roman" w:hAnsi="Times New Roman" w:cs="Times New Roman"/>
          <w:lang w:val="es-MX"/>
        </w:rPr>
      </w:pPr>
    </w:p>
    <w:p w:rsidR="00603C4A" w:rsidRDefault="00603C4A" w:rsidP="007C1FD3">
      <w:pPr>
        <w:pStyle w:val="Sinespaciado"/>
        <w:jc w:val="both"/>
        <w:rPr>
          <w:rFonts w:ascii="Times New Roman" w:hAnsi="Times New Roman" w:cs="Times New Roman"/>
          <w:lang w:val="es-MX"/>
        </w:rPr>
      </w:pPr>
    </w:p>
    <w:p w:rsidR="00603C4A" w:rsidRDefault="00603C4A" w:rsidP="007C1FD3">
      <w:pPr>
        <w:pStyle w:val="Sinespaciado"/>
        <w:jc w:val="both"/>
        <w:rPr>
          <w:rFonts w:ascii="Times New Roman" w:hAnsi="Times New Roman" w:cs="Times New Roman"/>
          <w:lang w:val="es-MX"/>
        </w:rPr>
      </w:pPr>
    </w:p>
    <w:p w:rsidR="00603C4A" w:rsidRDefault="00603C4A" w:rsidP="007C1FD3">
      <w:pPr>
        <w:pStyle w:val="Sinespaciado"/>
        <w:jc w:val="both"/>
        <w:rPr>
          <w:rFonts w:ascii="Times New Roman" w:hAnsi="Times New Roman" w:cs="Times New Roman"/>
          <w:lang w:val="es-MX"/>
        </w:rPr>
      </w:pPr>
    </w:p>
    <w:p w:rsidR="00603C4A" w:rsidRDefault="00603C4A" w:rsidP="007C1FD3">
      <w:pPr>
        <w:pStyle w:val="Sinespaciado"/>
        <w:jc w:val="both"/>
        <w:rPr>
          <w:rFonts w:ascii="Times New Roman" w:hAnsi="Times New Roman" w:cs="Times New Roman"/>
          <w:lang w:val="es-MX"/>
        </w:rPr>
      </w:pPr>
    </w:p>
    <w:p w:rsidR="00603C4A" w:rsidRDefault="00603C4A" w:rsidP="007C1FD3">
      <w:pPr>
        <w:pStyle w:val="Sinespaciado"/>
        <w:jc w:val="both"/>
        <w:rPr>
          <w:rFonts w:ascii="Times New Roman" w:hAnsi="Times New Roman" w:cs="Times New Roman"/>
          <w:lang w:val="es-MX"/>
        </w:rPr>
      </w:pPr>
    </w:p>
    <w:p w:rsidR="00603C4A" w:rsidRDefault="00603C4A" w:rsidP="007C1FD3">
      <w:pPr>
        <w:pStyle w:val="Sinespaciado"/>
        <w:jc w:val="both"/>
        <w:rPr>
          <w:rFonts w:ascii="Times New Roman" w:hAnsi="Times New Roman" w:cs="Times New Roman"/>
          <w:lang w:val="es-MX"/>
        </w:rPr>
      </w:pPr>
    </w:p>
    <w:p w:rsidR="00603C4A" w:rsidRDefault="00603C4A" w:rsidP="007C1FD3">
      <w:pPr>
        <w:pStyle w:val="Sinespaciado"/>
        <w:jc w:val="both"/>
        <w:rPr>
          <w:rFonts w:ascii="Times New Roman" w:hAnsi="Times New Roman" w:cs="Times New Roman"/>
          <w:lang w:val="es-MX"/>
        </w:rPr>
      </w:pPr>
    </w:p>
    <w:p w:rsidR="00603C4A" w:rsidRPr="00E02B36" w:rsidRDefault="00603C4A" w:rsidP="007C1FD3">
      <w:pPr>
        <w:pStyle w:val="Sinespaciado"/>
        <w:jc w:val="both"/>
        <w:rPr>
          <w:rFonts w:ascii="Times New Roman" w:hAnsi="Times New Roman" w:cs="Times New Roman"/>
          <w:lang w:val="es-MX"/>
        </w:rPr>
      </w:pPr>
    </w:p>
    <w:p w:rsidR="00603C4A" w:rsidRPr="00E02B36" w:rsidRDefault="007C1FD3" w:rsidP="00603C4A">
      <w:pPr>
        <w:pStyle w:val="Sinespaciado"/>
        <w:jc w:val="center"/>
        <w:rPr>
          <w:rFonts w:ascii="Times New Roman" w:hAnsi="Times New Roman" w:cs="Times New Roman"/>
          <w:b/>
        </w:rPr>
      </w:pPr>
      <w:r w:rsidRPr="00E02B36">
        <w:rPr>
          <w:rFonts w:ascii="Times New Roman" w:hAnsi="Times New Roman" w:cs="Times New Roman"/>
          <w:b/>
        </w:rPr>
        <w:lastRenderedPageBreak/>
        <w:t>Gasto Institucional</w:t>
      </w:r>
    </w:p>
    <w:p w:rsidR="007C1FD3" w:rsidRPr="00E02B36" w:rsidRDefault="007C1FD3" w:rsidP="007C1FD3">
      <w:pPr>
        <w:pStyle w:val="Sinespaciado"/>
        <w:jc w:val="center"/>
        <w:rPr>
          <w:rFonts w:ascii="Times New Roman" w:hAnsi="Times New Roman" w:cs="Times New Roman"/>
          <w:sz w:val="18"/>
        </w:rPr>
      </w:pPr>
      <w:r w:rsidRPr="00E02B36">
        <w:rPr>
          <w:rFonts w:ascii="Times New Roman" w:hAnsi="Times New Roman" w:cs="Times New Roman"/>
          <w:sz w:val="18"/>
        </w:rPr>
        <w:t xml:space="preserve">Variación (2016-2015) </w:t>
      </w:r>
    </w:p>
    <w:p w:rsidR="007C1FD3" w:rsidRPr="00E02B36" w:rsidRDefault="007C1FD3" w:rsidP="007C1FD3">
      <w:pPr>
        <w:pStyle w:val="Sinespaciado"/>
        <w:jc w:val="center"/>
        <w:rPr>
          <w:rFonts w:ascii="Times New Roman" w:hAnsi="Times New Roman" w:cs="Times New Roman"/>
          <w:b/>
        </w:rPr>
      </w:pPr>
      <w:r w:rsidRPr="00E02B36">
        <w:rPr>
          <w:rFonts w:ascii="Times New Roman" w:hAnsi="Times New Roman" w:cs="Times New Roman"/>
          <w:sz w:val="18"/>
        </w:rPr>
        <w:t>Millones de quetzales</w:t>
      </w:r>
    </w:p>
    <w:p w:rsidR="007C1FD3" w:rsidRPr="00E02B36" w:rsidRDefault="007C1FD3" w:rsidP="007C1FD3">
      <w:pPr>
        <w:pStyle w:val="Sinespaciado"/>
        <w:jc w:val="both"/>
        <w:rPr>
          <w:rFonts w:ascii="Times New Roman" w:hAnsi="Times New Roman" w:cs="Times New Roman"/>
          <w:noProof/>
          <w:lang w:eastAsia="es-GT"/>
        </w:rPr>
      </w:pPr>
      <w:r w:rsidRPr="00E02B36">
        <w:rPr>
          <w:rFonts w:ascii="Times New Roman" w:hAnsi="Times New Roman" w:cs="Times New Roman"/>
          <w:noProof/>
          <w:lang w:eastAsia="es-GT"/>
        </w:rPr>
        <w:drawing>
          <wp:inline distT="0" distB="0" distL="0" distR="0" wp14:anchorId="75699F5C" wp14:editId="7013831B">
            <wp:extent cx="2743200" cy="209774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2804" cy="2105085"/>
                    </a:xfrm>
                    <a:prstGeom prst="rect">
                      <a:avLst/>
                    </a:prstGeom>
                    <a:noFill/>
                  </pic:spPr>
                </pic:pic>
              </a:graphicData>
            </a:graphic>
          </wp:inline>
        </w:drawing>
      </w:r>
    </w:p>
    <w:p w:rsidR="007C1FD3" w:rsidRPr="00E02B36" w:rsidRDefault="007C1FD3" w:rsidP="007C1FD3">
      <w:pPr>
        <w:pStyle w:val="Sinespaciado"/>
        <w:jc w:val="both"/>
        <w:rPr>
          <w:rFonts w:ascii="Times New Roman" w:hAnsi="Times New Roman" w:cs="Times New Roman"/>
          <w:sz w:val="16"/>
        </w:rPr>
      </w:pPr>
      <w:r w:rsidRPr="00E02B36">
        <w:rPr>
          <w:rFonts w:ascii="Times New Roman" w:hAnsi="Times New Roman" w:cs="Times New Roman"/>
          <w:sz w:val="16"/>
        </w:rPr>
        <w:t>Fuente: Dirección de Análisis y Política fiscal</w:t>
      </w:r>
    </w:p>
    <w:p w:rsidR="007C1FD3" w:rsidRPr="00E02B36" w:rsidRDefault="007C1FD3" w:rsidP="007C1FD3">
      <w:pPr>
        <w:pStyle w:val="Sinespaciado"/>
        <w:jc w:val="both"/>
        <w:rPr>
          <w:rFonts w:ascii="Times New Roman" w:hAnsi="Times New Roman" w:cs="Times New Roman"/>
          <w:b/>
        </w:rPr>
      </w:pPr>
    </w:p>
    <w:p w:rsidR="007C1FD3" w:rsidRPr="00E02B36" w:rsidRDefault="007C1FD3" w:rsidP="007C1FD3">
      <w:pPr>
        <w:pStyle w:val="Sinespaciado"/>
        <w:jc w:val="both"/>
        <w:rPr>
          <w:rFonts w:ascii="Times New Roman" w:hAnsi="Times New Roman" w:cs="Times New Roman"/>
        </w:rPr>
      </w:pPr>
      <w:r w:rsidRPr="00E02B36">
        <w:rPr>
          <w:rFonts w:ascii="Times New Roman" w:hAnsi="Times New Roman" w:cs="Times New Roman"/>
        </w:rPr>
        <w:t>Respecto al gasto social, en los rubros de salud, educación y vivienda se reporta una ejecución al cierre de marzo de Q 5,205.5 millones, al incorporar los compromisos de los Acuerdos de Paz en Seguridad Interna, Organismo Judicial, Corte de Constitucionalidad y Ministerio Público, este alcanza una ejecución de Q 6,925.4 millones, por debajo de lo observado a igual fecha del año anterior en Q 544.0 millones, siendo el gasto social uno de los sectores afectados por la contención del gasto.</w:t>
      </w:r>
    </w:p>
    <w:p w:rsidR="007C1FD3" w:rsidRPr="00E02B36" w:rsidRDefault="007C1FD3" w:rsidP="007C1FD3">
      <w:pPr>
        <w:pStyle w:val="Sinespaciado"/>
        <w:jc w:val="both"/>
        <w:rPr>
          <w:rFonts w:ascii="Times New Roman" w:hAnsi="Times New Roman" w:cs="Times New Roman"/>
        </w:rPr>
      </w:pPr>
    </w:p>
    <w:p w:rsidR="007C1FD3" w:rsidRPr="00E02B36" w:rsidRDefault="007C1FD3" w:rsidP="007C1FD3">
      <w:pPr>
        <w:pStyle w:val="Sinespaciado"/>
        <w:jc w:val="both"/>
        <w:rPr>
          <w:rFonts w:ascii="Times New Roman" w:hAnsi="Times New Roman" w:cs="Times New Roman"/>
          <w:lang w:val="es-MX"/>
        </w:rPr>
      </w:pPr>
      <w:r w:rsidRPr="00E02B36">
        <w:rPr>
          <w:rFonts w:ascii="Times New Roman" w:hAnsi="Times New Roman" w:cs="Times New Roman"/>
          <w:lang w:val="es-MX"/>
        </w:rPr>
        <w:t xml:space="preserve">Por último, dado el comportamiento del gasto realizado, el grado de ejecución presupuestaria de la Administración Central, se ubica al cierre de marzo del 2016 en 19.7%,  por debajo de lo obtenido en igual período de 2015 (21.6%) e igual al promedio de los años 2008-2015 (19.7%). </w:t>
      </w:r>
    </w:p>
    <w:p w:rsidR="007C1FD3" w:rsidRPr="00E02B36" w:rsidRDefault="007C1FD3" w:rsidP="007C1FD3">
      <w:pPr>
        <w:pStyle w:val="Sinespaciado"/>
        <w:jc w:val="both"/>
        <w:rPr>
          <w:rFonts w:ascii="Times New Roman" w:hAnsi="Times New Roman" w:cs="Times New Roman"/>
          <w:lang w:val="es-MX"/>
        </w:rPr>
      </w:pPr>
    </w:p>
    <w:p w:rsidR="007C1FD3" w:rsidRPr="00E02B36" w:rsidRDefault="007C1FD3" w:rsidP="007C1FD3">
      <w:pPr>
        <w:pStyle w:val="Sinespaciado"/>
        <w:jc w:val="both"/>
        <w:rPr>
          <w:rFonts w:ascii="Times New Roman" w:hAnsi="Times New Roman" w:cs="Times New Roman"/>
          <w:szCs w:val="24"/>
          <w:lang w:val="es-MX"/>
        </w:rPr>
      </w:pPr>
      <w:r w:rsidRPr="00E02B36">
        <w:rPr>
          <w:rFonts w:ascii="Times New Roman" w:hAnsi="Times New Roman" w:cs="Times New Roman"/>
          <w:lang w:val="es-MX"/>
        </w:rPr>
        <w:t xml:space="preserve">Dentro de las entidades que muestran la mayor ejecución acumulada a marzo respecto al presupuesto vigente destacan: Educación </w:t>
      </w:r>
      <w:r w:rsidRPr="00E02B36">
        <w:rPr>
          <w:rFonts w:ascii="Times New Roman" w:hAnsi="Times New Roman" w:cs="Times New Roman"/>
          <w:lang w:val="es-MX"/>
        </w:rPr>
        <w:lastRenderedPageBreak/>
        <w:t xml:space="preserve">(23.8%), Trabajo (23.1%), PGN (22.9%) y Salud (22.8%). Mientras que los Ministerios que reportan una ejecución relativamente baja son: Economía (12.8%), Agricultura (12.1%), </w:t>
      </w:r>
      <w:r w:rsidRPr="00E02B36">
        <w:rPr>
          <w:rFonts w:ascii="Times New Roman" w:hAnsi="Times New Roman" w:cs="Times New Roman"/>
          <w:lang w:val="es-MX"/>
        </w:rPr>
        <w:lastRenderedPageBreak/>
        <w:t>Comunicaciones (4.0%) y Desarrollo Social (2.8%).</w:t>
      </w:r>
    </w:p>
    <w:p w:rsidR="00F76491" w:rsidRPr="00E02B36" w:rsidRDefault="00F76491" w:rsidP="00F76491">
      <w:pPr>
        <w:spacing w:line="240" w:lineRule="auto"/>
        <w:jc w:val="both"/>
        <w:rPr>
          <w:rFonts w:ascii="Times New Roman" w:hAnsi="Times New Roman" w:cs="Times New Roman"/>
          <w:szCs w:val="24"/>
          <w:lang w:val="es-MX"/>
        </w:rPr>
      </w:pPr>
    </w:p>
    <w:p w:rsidR="00F76491" w:rsidRPr="00E02B36" w:rsidRDefault="00F76491" w:rsidP="00F76491">
      <w:pPr>
        <w:jc w:val="both"/>
        <w:rPr>
          <w:rFonts w:ascii="Times New Roman" w:hAnsi="Times New Roman" w:cs="Times New Roman"/>
          <w:szCs w:val="24"/>
          <w:lang w:val="es-MX"/>
        </w:rPr>
        <w:sectPr w:rsidR="00F76491" w:rsidRPr="00E02B36" w:rsidSect="00BC7539">
          <w:type w:val="continuous"/>
          <w:pgSz w:w="12240" w:h="15840"/>
          <w:pgMar w:top="1417" w:right="1701" w:bottom="1417" w:left="1701" w:header="708" w:footer="708" w:gutter="0"/>
          <w:cols w:num="2" w:space="708"/>
          <w:docGrid w:linePitch="360"/>
        </w:sectPr>
      </w:pPr>
    </w:p>
    <w:p w:rsidR="00E16925" w:rsidRPr="00E02B36" w:rsidRDefault="00E16925" w:rsidP="00BC7539">
      <w:pPr>
        <w:pStyle w:val="Sinespaciado"/>
        <w:jc w:val="both"/>
        <w:rPr>
          <w:rFonts w:ascii="Times New Roman" w:hAnsi="Times New Roman" w:cs="Times New Roman"/>
          <w:lang w:val="es-MX"/>
        </w:rPr>
      </w:pPr>
    </w:p>
    <w:p w:rsidR="00F76491" w:rsidRPr="00E02B36" w:rsidRDefault="007C1FD3" w:rsidP="007C1FD3">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76491" w:rsidRPr="00E02B36" w:rsidSect="00FA3B81">
          <w:headerReference w:type="default" r:id="rId21"/>
          <w:footerReference w:type="default" r:id="rId22"/>
          <w:type w:val="continuous"/>
          <w:pgSz w:w="12240" w:h="15840" w:code="1"/>
          <w:pgMar w:top="1418" w:right="1418" w:bottom="1418" w:left="1418" w:header="709" w:footer="709" w:gutter="0"/>
          <w:cols w:space="708"/>
          <w:docGrid w:linePitch="360"/>
        </w:sectPr>
      </w:pPr>
      <w:r w:rsidRPr="00E02B36">
        <w:rPr>
          <w:rFonts w:ascii="Times New Roman" w:hAnsi="Times New Roman" w:cs="Times New Roman"/>
          <w:b/>
          <w:lang w:val="es-MX"/>
        </w:rPr>
        <w:t>Bajo nivel de desembolsos de préstamos externos</w:t>
      </w:r>
    </w:p>
    <w:p w:rsidR="00F76491" w:rsidRPr="00E02B36" w:rsidRDefault="00F76491" w:rsidP="00F76491">
      <w:pPr>
        <w:pStyle w:val="Sinespaciado"/>
        <w:rPr>
          <w:rFonts w:ascii="Times New Roman" w:hAnsi="Times New Roman" w:cs="Times New Roman"/>
          <w:b/>
          <w:sz w:val="18"/>
          <w:lang w:val="es-MX"/>
        </w:rPr>
      </w:pPr>
    </w:p>
    <w:p w:rsidR="00F76491" w:rsidRPr="00E02B36" w:rsidRDefault="00F76491" w:rsidP="00F76491">
      <w:pPr>
        <w:pStyle w:val="Sinespaciado"/>
        <w:rPr>
          <w:rFonts w:ascii="Times New Roman" w:hAnsi="Times New Roman" w:cs="Times New Roman"/>
          <w:b/>
          <w:lang w:val="es-MX"/>
        </w:rPr>
        <w:sectPr w:rsidR="00F76491" w:rsidRPr="00E02B36" w:rsidSect="00213F7F">
          <w:type w:val="continuous"/>
          <w:pgSz w:w="12240" w:h="15840"/>
          <w:pgMar w:top="1417" w:right="1701" w:bottom="1417" w:left="1701" w:header="708" w:footer="708" w:gutter="0"/>
          <w:cols w:space="708"/>
          <w:docGrid w:linePitch="360"/>
        </w:sectPr>
      </w:pPr>
    </w:p>
    <w:p w:rsidR="007C1FD3" w:rsidRPr="00E02B36" w:rsidRDefault="007C1FD3" w:rsidP="007C1FD3">
      <w:pPr>
        <w:pStyle w:val="Sinespaciado"/>
        <w:jc w:val="both"/>
        <w:rPr>
          <w:rFonts w:ascii="Times New Roman" w:hAnsi="Times New Roman" w:cs="Times New Roman"/>
        </w:rPr>
      </w:pPr>
      <w:r w:rsidRPr="00E02B36">
        <w:rPr>
          <w:rFonts w:ascii="Times New Roman" w:hAnsi="Times New Roman" w:cs="Times New Roman"/>
        </w:rPr>
        <w:lastRenderedPageBreak/>
        <w:t>En cuanto al financiamiento del déficit presupuestario,  al cierre de marzo, llama la atención el bajo nivel de desembolsos de préstamos externos, cuyo monto está por debajo de lo observado en los últimos dos años, lo cual en buena medida se debe a que no se recibieron desembolsos de préstamos de apoyo presupuestario como fue el caso de 2015, en donde se obtuvieron, a esta misma fecha desembolsos importante del Banco Mundial y el BCIE.</w:t>
      </w:r>
    </w:p>
    <w:p w:rsidR="007C1FD3" w:rsidRPr="00E02B36" w:rsidRDefault="007C1FD3" w:rsidP="007C1FD3">
      <w:pPr>
        <w:pStyle w:val="Sinespaciado"/>
        <w:jc w:val="both"/>
        <w:rPr>
          <w:rFonts w:ascii="Times New Roman" w:hAnsi="Times New Roman" w:cs="Times New Roman"/>
        </w:rPr>
      </w:pPr>
    </w:p>
    <w:p w:rsidR="007C1FD3" w:rsidRPr="00E02B36" w:rsidRDefault="007C1FD3" w:rsidP="007C1FD3">
      <w:pPr>
        <w:pStyle w:val="Sinespaciado"/>
        <w:jc w:val="both"/>
        <w:rPr>
          <w:rFonts w:ascii="Times New Roman" w:hAnsi="Times New Roman" w:cs="Times New Roman"/>
        </w:rPr>
      </w:pPr>
      <w:r w:rsidRPr="00E02B36">
        <w:rPr>
          <w:rFonts w:ascii="Times New Roman" w:hAnsi="Times New Roman" w:cs="Times New Roman"/>
        </w:rPr>
        <w:t xml:space="preserve">Este bajo flujo de desembolsos reportados en lo que va del año, ha conducido a un financiamiento externo neto negativo de </w:t>
      </w:r>
      <w:r w:rsidR="00E02B36" w:rsidRPr="00E02B36">
        <w:rPr>
          <w:rFonts w:ascii="Times New Roman" w:hAnsi="Times New Roman" w:cs="Times New Roman"/>
        </w:rPr>
        <w:t xml:space="preserve">      </w:t>
      </w:r>
      <w:r w:rsidRPr="00E02B36">
        <w:rPr>
          <w:rFonts w:ascii="Times New Roman" w:hAnsi="Times New Roman" w:cs="Times New Roman"/>
        </w:rPr>
        <w:t>Q</w:t>
      </w:r>
      <w:r w:rsidR="00E02B36" w:rsidRPr="00E02B36">
        <w:rPr>
          <w:rFonts w:ascii="Times New Roman" w:hAnsi="Times New Roman" w:cs="Times New Roman"/>
        </w:rPr>
        <w:t xml:space="preserve"> </w:t>
      </w:r>
      <w:r w:rsidRPr="00E02B36">
        <w:rPr>
          <w:rFonts w:ascii="Times New Roman" w:hAnsi="Times New Roman" w:cs="Times New Roman"/>
        </w:rPr>
        <w:t xml:space="preserve">712.7 millones, ya que la amortizaciones de deuda son mayores a los desembolsos captados.  </w:t>
      </w:r>
    </w:p>
    <w:p w:rsidR="007C1FD3" w:rsidRPr="00E02B36" w:rsidRDefault="007C1FD3" w:rsidP="007C1FD3">
      <w:pPr>
        <w:pStyle w:val="Sinespaciado"/>
        <w:jc w:val="center"/>
        <w:rPr>
          <w:rFonts w:ascii="Times New Roman" w:hAnsi="Times New Roman" w:cs="Times New Roman"/>
          <w:b/>
          <w:sz w:val="24"/>
        </w:rPr>
      </w:pPr>
      <w:r w:rsidRPr="00E02B36">
        <w:rPr>
          <w:rFonts w:ascii="Times New Roman" w:hAnsi="Times New Roman" w:cs="Times New Roman"/>
          <w:b/>
        </w:rPr>
        <w:t>Desembolsos de Préstamos</w:t>
      </w:r>
    </w:p>
    <w:p w:rsidR="007C1FD3" w:rsidRPr="00E02B36" w:rsidRDefault="007C1FD3" w:rsidP="007C1FD3">
      <w:pPr>
        <w:pStyle w:val="Sinespaciado"/>
        <w:jc w:val="center"/>
        <w:rPr>
          <w:rFonts w:ascii="Times New Roman" w:hAnsi="Times New Roman" w:cs="Times New Roman"/>
          <w:sz w:val="18"/>
          <w:szCs w:val="18"/>
        </w:rPr>
      </w:pPr>
      <w:r w:rsidRPr="00E02B36">
        <w:rPr>
          <w:rFonts w:ascii="Times New Roman" w:hAnsi="Times New Roman" w:cs="Times New Roman"/>
          <w:sz w:val="16"/>
          <w:szCs w:val="18"/>
        </w:rPr>
        <w:t xml:space="preserve">Acumulado a </w:t>
      </w:r>
      <w:r w:rsidRPr="00E02B36">
        <w:rPr>
          <w:rFonts w:ascii="Times New Roman" w:hAnsi="Times New Roman" w:cs="Times New Roman"/>
          <w:sz w:val="18"/>
          <w:szCs w:val="18"/>
        </w:rPr>
        <w:t>Marzo 2014- 2016</w:t>
      </w:r>
    </w:p>
    <w:p w:rsidR="007C1FD3" w:rsidRPr="00E02B36" w:rsidRDefault="007C1FD3" w:rsidP="007C1FD3">
      <w:pPr>
        <w:pStyle w:val="Sinespaciado"/>
        <w:jc w:val="center"/>
        <w:rPr>
          <w:rFonts w:ascii="Times New Roman" w:hAnsi="Times New Roman" w:cs="Times New Roman"/>
        </w:rPr>
      </w:pPr>
      <w:r w:rsidRPr="00E02B36">
        <w:rPr>
          <w:rFonts w:ascii="Times New Roman" w:hAnsi="Times New Roman" w:cs="Times New Roman"/>
          <w:sz w:val="18"/>
          <w:szCs w:val="18"/>
        </w:rPr>
        <w:t>Millones de quetzales</w:t>
      </w:r>
    </w:p>
    <w:p w:rsidR="007C1FD3" w:rsidRPr="00E02B36" w:rsidRDefault="007C1FD3" w:rsidP="007C1FD3">
      <w:pPr>
        <w:pStyle w:val="Sinespaciado"/>
        <w:jc w:val="center"/>
        <w:rPr>
          <w:rFonts w:ascii="Times New Roman" w:hAnsi="Times New Roman" w:cs="Times New Roman"/>
        </w:rPr>
      </w:pPr>
      <w:r w:rsidRPr="00E02B36">
        <w:rPr>
          <w:rFonts w:ascii="Times New Roman" w:hAnsi="Times New Roman" w:cs="Times New Roman"/>
          <w:noProof/>
          <w:lang w:eastAsia="es-GT"/>
        </w:rPr>
        <w:drawing>
          <wp:inline distT="0" distB="0" distL="0" distR="0" wp14:anchorId="4774ED12" wp14:editId="6BB7B66B">
            <wp:extent cx="2515018" cy="173391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4101" cy="1740172"/>
                    </a:xfrm>
                    <a:prstGeom prst="rect">
                      <a:avLst/>
                    </a:prstGeom>
                    <a:noFill/>
                  </pic:spPr>
                </pic:pic>
              </a:graphicData>
            </a:graphic>
          </wp:inline>
        </w:drawing>
      </w:r>
    </w:p>
    <w:p w:rsidR="007C1FD3" w:rsidRPr="00E02B36" w:rsidRDefault="007C1FD3" w:rsidP="007C1FD3">
      <w:pPr>
        <w:pStyle w:val="Sinespaciado"/>
        <w:jc w:val="both"/>
        <w:rPr>
          <w:rFonts w:ascii="Times New Roman" w:hAnsi="Times New Roman" w:cs="Times New Roman"/>
          <w:sz w:val="16"/>
        </w:rPr>
      </w:pPr>
      <w:r w:rsidRPr="00E02B36">
        <w:rPr>
          <w:rFonts w:ascii="Times New Roman" w:hAnsi="Times New Roman" w:cs="Times New Roman"/>
          <w:sz w:val="14"/>
        </w:rPr>
        <w:t>Fuente: Dirección de Análisis y Política fiscal</w:t>
      </w:r>
    </w:p>
    <w:p w:rsidR="007C1FD3" w:rsidRPr="00E02B36" w:rsidRDefault="007C1FD3" w:rsidP="007C1FD3">
      <w:pPr>
        <w:pStyle w:val="Sinespaciado"/>
        <w:jc w:val="both"/>
        <w:rPr>
          <w:rFonts w:ascii="Times New Roman" w:hAnsi="Times New Roman" w:cs="Times New Roman"/>
        </w:rPr>
      </w:pPr>
    </w:p>
    <w:p w:rsidR="007C1FD3" w:rsidRPr="00E02B36" w:rsidRDefault="007C1FD3" w:rsidP="007C1FD3">
      <w:pPr>
        <w:pStyle w:val="Sinespaciado"/>
        <w:jc w:val="both"/>
        <w:rPr>
          <w:rFonts w:ascii="Times New Roman" w:hAnsi="Times New Roman" w:cs="Times New Roman"/>
        </w:rPr>
      </w:pPr>
      <w:r w:rsidRPr="00E02B36">
        <w:rPr>
          <w:rFonts w:ascii="Times New Roman" w:hAnsi="Times New Roman" w:cs="Times New Roman"/>
        </w:rPr>
        <w:t>En lo que respecta a la colocación de Bonos del Tesoro, entre enero y marzo, se han realizado 9 eventos de subasta y licitación de los cuales se ha recibido una demanda acumulada de Q</w:t>
      </w:r>
      <w:r w:rsidR="00E02B36" w:rsidRPr="00E02B36">
        <w:rPr>
          <w:rFonts w:ascii="Times New Roman" w:hAnsi="Times New Roman" w:cs="Times New Roman"/>
        </w:rPr>
        <w:t xml:space="preserve"> </w:t>
      </w:r>
      <w:r w:rsidRPr="00E02B36">
        <w:rPr>
          <w:rFonts w:ascii="Times New Roman" w:hAnsi="Times New Roman" w:cs="Times New Roman"/>
        </w:rPr>
        <w:t>12,417.6 millones. De los cuales se ha adjudicado, conforme a las necesidades de caja, Q</w:t>
      </w:r>
      <w:r w:rsidR="00E02B36" w:rsidRPr="00E02B36">
        <w:rPr>
          <w:rFonts w:ascii="Times New Roman" w:hAnsi="Times New Roman" w:cs="Times New Roman"/>
        </w:rPr>
        <w:t xml:space="preserve"> </w:t>
      </w:r>
      <w:r w:rsidRPr="00E02B36">
        <w:rPr>
          <w:rFonts w:ascii="Times New Roman" w:hAnsi="Times New Roman" w:cs="Times New Roman"/>
        </w:rPr>
        <w:t xml:space="preserve">4,792.6 millones, orientándose dichos recursos a roll over </w:t>
      </w:r>
      <w:r w:rsidR="00E02B36" w:rsidRPr="00E02B36">
        <w:rPr>
          <w:rFonts w:ascii="Times New Roman" w:hAnsi="Times New Roman" w:cs="Times New Roman"/>
        </w:rPr>
        <w:t xml:space="preserve">      </w:t>
      </w:r>
      <w:r w:rsidRPr="00E02B36">
        <w:rPr>
          <w:rFonts w:ascii="Times New Roman" w:hAnsi="Times New Roman" w:cs="Times New Roman"/>
        </w:rPr>
        <w:t>(Q</w:t>
      </w:r>
      <w:r w:rsidR="00E02B36" w:rsidRPr="00E02B36">
        <w:rPr>
          <w:rFonts w:ascii="Times New Roman" w:hAnsi="Times New Roman" w:cs="Times New Roman"/>
        </w:rPr>
        <w:t xml:space="preserve"> </w:t>
      </w:r>
      <w:r w:rsidRPr="00E02B36">
        <w:rPr>
          <w:rFonts w:ascii="Times New Roman" w:hAnsi="Times New Roman" w:cs="Times New Roman"/>
        </w:rPr>
        <w:t>3,419.5 millones) y Q</w:t>
      </w:r>
      <w:r w:rsidR="00E02B36" w:rsidRPr="00E02B36">
        <w:rPr>
          <w:rFonts w:ascii="Times New Roman" w:hAnsi="Times New Roman" w:cs="Times New Roman"/>
        </w:rPr>
        <w:t xml:space="preserve"> </w:t>
      </w:r>
      <w:r w:rsidRPr="00E02B36">
        <w:rPr>
          <w:rFonts w:ascii="Times New Roman" w:hAnsi="Times New Roman" w:cs="Times New Roman"/>
        </w:rPr>
        <w:t>1,373.1 millones a financiar el presupuesto de este año.</w:t>
      </w:r>
    </w:p>
    <w:p w:rsidR="007C1FD3" w:rsidRPr="00E02B36" w:rsidRDefault="007C1FD3" w:rsidP="007C1FD3">
      <w:pPr>
        <w:pStyle w:val="Sinespaciado"/>
        <w:jc w:val="both"/>
        <w:rPr>
          <w:rFonts w:ascii="Times New Roman" w:hAnsi="Times New Roman" w:cs="Times New Roman"/>
        </w:rPr>
      </w:pPr>
    </w:p>
    <w:p w:rsidR="00FA5DE4" w:rsidRPr="00E02B36" w:rsidRDefault="007C1FD3" w:rsidP="007C1FD3">
      <w:pPr>
        <w:pStyle w:val="Sinespaciado"/>
        <w:jc w:val="both"/>
        <w:rPr>
          <w:rFonts w:ascii="Times New Roman" w:hAnsi="Times New Roman" w:cs="Times New Roman"/>
        </w:rPr>
      </w:pPr>
      <w:r w:rsidRPr="00E02B36">
        <w:rPr>
          <w:rFonts w:ascii="Times New Roman" w:hAnsi="Times New Roman" w:cs="Times New Roman"/>
        </w:rPr>
        <w:t>Por último, siguen prevaleciendo las condiciones favorables a las que fueron colocados los títulos del gobierno, en términos generales se mantuvo el costo financiero  promedio en una tasa de 7.5% y el plazo de 15 años.</w:t>
      </w:r>
      <w:r w:rsidR="00FA5DE4" w:rsidRPr="00E02B36">
        <w:rPr>
          <w:rFonts w:ascii="Times New Roman" w:hAnsi="Times New Roman" w:cs="Times New Roman"/>
        </w:rPr>
        <w:t xml:space="preserve"> </w:t>
      </w:r>
    </w:p>
    <w:p w:rsidR="00F76491" w:rsidRPr="00E02B36" w:rsidRDefault="00F76491" w:rsidP="00F76491">
      <w:pPr>
        <w:pStyle w:val="Sinespaciado"/>
        <w:jc w:val="both"/>
        <w:rPr>
          <w:rFonts w:ascii="Times New Roman" w:hAnsi="Times New Roman" w:cs="Times New Roman"/>
        </w:rPr>
      </w:pPr>
    </w:p>
    <w:p w:rsidR="00F76491" w:rsidRPr="00E02B36" w:rsidRDefault="00F76491" w:rsidP="00F76491">
      <w:pPr>
        <w:pStyle w:val="Sinespaciado"/>
        <w:ind w:left="360"/>
        <w:jc w:val="both"/>
        <w:rPr>
          <w:rFonts w:ascii="Times New Roman" w:hAnsi="Times New Roman" w:cs="Times New Roman"/>
          <w:lang w:val="es-MX"/>
        </w:rPr>
      </w:pPr>
    </w:p>
    <w:p w:rsidR="00F76491" w:rsidRPr="00E02B36" w:rsidRDefault="00F76491" w:rsidP="00F76491">
      <w:pPr>
        <w:rPr>
          <w:lang w:val="es-MX"/>
        </w:rPr>
        <w:sectPr w:rsidR="00F76491" w:rsidRPr="00E02B36" w:rsidSect="00516433">
          <w:type w:val="continuous"/>
          <w:pgSz w:w="12240" w:h="15840"/>
          <w:pgMar w:top="1417" w:right="1701" w:bottom="1417" w:left="1701" w:header="708" w:footer="708" w:gutter="0"/>
          <w:cols w:num="2" w:space="708"/>
          <w:docGrid w:linePitch="360"/>
        </w:sectPr>
      </w:pPr>
    </w:p>
    <w:p w:rsidR="00F76491" w:rsidRPr="00E02B36" w:rsidRDefault="00F76491" w:rsidP="00F76491">
      <w:pPr>
        <w:pStyle w:val="Sinespaciado"/>
        <w:jc w:val="both"/>
        <w:rPr>
          <w:rFonts w:ascii="Times New Roman" w:hAnsi="Times New Roman" w:cs="Times New Roman"/>
          <w:lang w:val="es-MX"/>
        </w:rPr>
      </w:pPr>
    </w:p>
    <w:p w:rsidR="00494D1D" w:rsidRPr="00E02B36"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E02B36" w:rsidSect="00FA3B81">
          <w:headerReference w:type="default" r:id="rId24"/>
          <w:footerReference w:type="default" r:id="rId25"/>
          <w:type w:val="continuous"/>
          <w:pgSz w:w="12240" w:h="15840" w:code="1"/>
          <w:pgMar w:top="1418" w:right="1418" w:bottom="1418" w:left="1418" w:header="709" w:footer="709" w:gutter="0"/>
          <w:cols w:space="708"/>
          <w:docGrid w:linePitch="360"/>
        </w:sectPr>
      </w:pPr>
      <w:r w:rsidRPr="00E02B36">
        <w:rPr>
          <w:rFonts w:ascii="Times New Roman" w:hAnsi="Times New Roman" w:cs="Times New Roman"/>
          <w:b/>
          <w:lang w:val="es-MX"/>
        </w:rPr>
        <w:t>Ambientes macroeconómicos (externo e interno)</w:t>
      </w:r>
    </w:p>
    <w:p w:rsidR="00494D1D" w:rsidRPr="00E02B36" w:rsidRDefault="00494D1D" w:rsidP="00494D1D">
      <w:pPr>
        <w:pStyle w:val="Sinespaciado"/>
        <w:rPr>
          <w:rFonts w:ascii="Times New Roman" w:hAnsi="Times New Roman" w:cs="Times New Roman"/>
          <w:b/>
          <w:sz w:val="18"/>
          <w:lang w:val="es-MX"/>
        </w:rPr>
      </w:pPr>
    </w:p>
    <w:p w:rsidR="00494D1D" w:rsidRPr="00E02B36" w:rsidRDefault="00494D1D" w:rsidP="00494D1D">
      <w:pPr>
        <w:pStyle w:val="Sinespaciado"/>
        <w:rPr>
          <w:rFonts w:ascii="Times New Roman" w:hAnsi="Times New Roman" w:cs="Times New Roman"/>
          <w:b/>
          <w:lang w:val="es-MX"/>
        </w:rPr>
        <w:sectPr w:rsidR="00494D1D" w:rsidRPr="00E02B36" w:rsidSect="00213F7F">
          <w:type w:val="continuous"/>
          <w:pgSz w:w="12240" w:h="15840"/>
          <w:pgMar w:top="1417" w:right="1701" w:bottom="1417" w:left="1701" w:header="708" w:footer="708" w:gutter="0"/>
          <w:cols w:space="708"/>
          <w:docGrid w:linePitch="360"/>
        </w:sectPr>
      </w:pPr>
    </w:p>
    <w:p w:rsidR="00393E59" w:rsidRPr="00E02B36" w:rsidRDefault="00393E59" w:rsidP="00393E59">
      <w:pPr>
        <w:pStyle w:val="Sinespaciado"/>
        <w:jc w:val="both"/>
        <w:rPr>
          <w:rFonts w:ascii="Times New Roman" w:hAnsi="Times New Roman" w:cs="Times New Roman"/>
        </w:rPr>
      </w:pPr>
      <w:r w:rsidRPr="00E02B36">
        <w:rPr>
          <w:rFonts w:ascii="Times New Roman" w:hAnsi="Times New Roman" w:cs="Times New Roman"/>
        </w:rPr>
        <w:lastRenderedPageBreak/>
        <w:t>E</w:t>
      </w:r>
      <w:r w:rsidR="00E02B36" w:rsidRPr="00E02B36">
        <w:rPr>
          <w:rFonts w:ascii="Times New Roman" w:hAnsi="Times New Roman" w:cs="Times New Roman"/>
        </w:rPr>
        <w:t>ste mes, e</w:t>
      </w:r>
      <w:r w:rsidRPr="00E02B36">
        <w:rPr>
          <w:rFonts w:ascii="Times New Roman" w:hAnsi="Times New Roman" w:cs="Times New Roman"/>
        </w:rPr>
        <w:t xml:space="preserve">l FMI advirtió un recorte en las previsiones de crecimiento mundial para 2016, </w:t>
      </w:r>
      <w:r w:rsidR="007D38A9" w:rsidRPr="00E02B36">
        <w:rPr>
          <w:rFonts w:ascii="Times New Roman" w:hAnsi="Times New Roman" w:cs="Times New Roman"/>
        </w:rPr>
        <w:t>debido a</w:t>
      </w:r>
      <w:r w:rsidR="004C208F" w:rsidRPr="00E02B36">
        <w:rPr>
          <w:rFonts w:ascii="Times New Roman" w:hAnsi="Times New Roman" w:cs="Times New Roman"/>
        </w:rPr>
        <w:t xml:space="preserve"> </w:t>
      </w:r>
      <w:r w:rsidR="007D38A9" w:rsidRPr="00E02B36">
        <w:rPr>
          <w:rFonts w:ascii="Times New Roman" w:hAnsi="Times New Roman" w:cs="Times New Roman"/>
        </w:rPr>
        <w:t>la existencia de</w:t>
      </w:r>
      <w:r w:rsidRPr="00E02B36">
        <w:rPr>
          <w:rFonts w:ascii="Times New Roman" w:hAnsi="Times New Roman" w:cs="Times New Roman"/>
        </w:rPr>
        <w:t xml:space="preserve"> riesgos más </w:t>
      </w:r>
      <w:r w:rsidRPr="00E02B36">
        <w:rPr>
          <w:rFonts w:ascii="Times New Roman" w:hAnsi="Times New Roman" w:cs="Times New Roman"/>
        </w:rPr>
        <w:lastRenderedPageBreak/>
        <w:t xml:space="preserve">pronunciados y la posibilidad de que la economía global caiga en deflación por la baja generalizada de precios, así como una </w:t>
      </w:r>
      <w:r w:rsidRPr="00E02B36">
        <w:rPr>
          <w:rFonts w:ascii="Times New Roman" w:hAnsi="Times New Roman" w:cs="Times New Roman"/>
        </w:rPr>
        <w:lastRenderedPageBreak/>
        <w:t>disminución en la demanda y precios de la energía.  El FMI había pronosticado un crecimiento mundial de 3.4% en 2016 y 3.6% en 2017 en su revisión de octubre, disminuyendo para ambos años en 0.2 puntos porcentuales.</w:t>
      </w:r>
    </w:p>
    <w:p w:rsidR="00393E59" w:rsidRPr="00E02B36" w:rsidRDefault="00393E59" w:rsidP="00393E59">
      <w:pPr>
        <w:pStyle w:val="Sinespaciado"/>
        <w:jc w:val="both"/>
        <w:rPr>
          <w:rFonts w:ascii="Times New Roman" w:hAnsi="Times New Roman" w:cs="Times New Roman"/>
        </w:rPr>
      </w:pPr>
    </w:p>
    <w:p w:rsidR="00393E59" w:rsidRPr="00E02B36" w:rsidRDefault="00393E59" w:rsidP="00393E59">
      <w:pPr>
        <w:pStyle w:val="Sinespaciado"/>
        <w:jc w:val="both"/>
        <w:rPr>
          <w:rFonts w:ascii="Times New Roman" w:hAnsi="Times New Roman" w:cs="Times New Roman"/>
          <w:lang w:val="es-MX"/>
        </w:rPr>
      </w:pPr>
      <w:r w:rsidRPr="00E02B36">
        <w:rPr>
          <w:rFonts w:ascii="Times New Roman" w:hAnsi="Times New Roman" w:cs="Times New Roman"/>
          <w:lang w:val="es-MX"/>
        </w:rPr>
        <w:t>En Estados Unidos, el Departamento de Comercio dio a conocer esta semana el resultado de la tercera estimación del PIB correspondiente al último trimestre de 2,015, que mostró un aumento a una tasa anualizada del 1.4%, con lo que el crecimiento acumulado de dicha economía fue de 2.4%, obedeciendo a un aumento en el gasto de consumo en recreación, transporte y otros servicios a pesar de que el crecimiento externo está más débil, disminuyeron los beneficios empresariales y existió una menor inversión en la industria petrolera.</w:t>
      </w:r>
    </w:p>
    <w:p w:rsidR="0042387A" w:rsidRPr="00E02B36" w:rsidRDefault="0042387A" w:rsidP="0042387A">
      <w:pPr>
        <w:pStyle w:val="Sinespaciado"/>
        <w:jc w:val="both"/>
        <w:rPr>
          <w:rFonts w:ascii="Times New Roman" w:hAnsi="Times New Roman" w:cs="Times New Roman"/>
          <w:lang w:val="es-MX"/>
        </w:rPr>
      </w:pPr>
    </w:p>
    <w:p w:rsidR="0042387A" w:rsidRPr="00E02B36" w:rsidRDefault="007D38A9" w:rsidP="0042387A">
      <w:pPr>
        <w:pStyle w:val="Sinespaciado"/>
        <w:jc w:val="center"/>
        <w:rPr>
          <w:rFonts w:ascii="Times New Roman" w:hAnsi="Times New Roman" w:cs="Times New Roman"/>
          <w:b/>
          <w:lang w:val="es-MX"/>
        </w:rPr>
      </w:pPr>
      <w:r w:rsidRPr="00E02B36">
        <w:rPr>
          <w:rFonts w:ascii="Times New Roman" w:hAnsi="Times New Roman" w:cs="Times New Roman"/>
          <w:b/>
          <w:lang w:val="es-MX"/>
        </w:rPr>
        <w:t>Tasa de crecimiento trimestral de</w:t>
      </w:r>
      <w:r w:rsidR="0042387A" w:rsidRPr="00E02B36">
        <w:rPr>
          <w:rFonts w:ascii="Times New Roman" w:hAnsi="Times New Roman" w:cs="Times New Roman"/>
          <w:b/>
          <w:lang w:val="es-MX"/>
        </w:rPr>
        <w:t xml:space="preserve"> Estados Unidos</w:t>
      </w:r>
    </w:p>
    <w:p w:rsidR="0042387A" w:rsidRPr="00E02B36" w:rsidRDefault="00DC44CF" w:rsidP="0042387A">
      <w:pPr>
        <w:pStyle w:val="Sinespaciado"/>
        <w:jc w:val="center"/>
        <w:rPr>
          <w:rFonts w:ascii="Times New Roman" w:hAnsi="Times New Roman" w:cs="Times New Roman"/>
          <w:sz w:val="18"/>
          <w:lang w:val="es-MX"/>
        </w:rPr>
      </w:pPr>
      <w:r w:rsidRPr="00E02B36">
        <w:rPr>
          <w:rFonts w:ascii="Times New Roman" w:hAnsi="Times New Roman" w:cs="Times New Roman"/>
          <w:sz w:val="18"/>
          <w:lang w:val="es-MX"/>
        </w:rPr>
        <w:t xml:space="preserve">T1 </w:t>
      </w:r>
      <w:r w:rsidR="007D38A9" w:rsidRPr="00E02B36">
        <w:rPr>
          <w:rFonts w:ascii="Times New Roman" w:hAnsi="Times New Roman" w:cs="Times New Roman"/>
          <w:sz w:val="18"/>
          <w:lang w:val="es-MX"/>
        </w:rPr>
        <w:t>2013</w:t>
      </w:r>
      <w:r w:rsidR="0042387A" w:rsidRPr="00E02B36">
        <w:rPr>
          <w:rFonts w:ascii="Times New Roman" w:hAnsi="Times New Roman" w:cs="Times New Roman"/>
          <w:sz w:val="18"/>
          <w:lang w:val="es-MX"/>
        </w:rPr>
        <w:t xml:space="preserve"> </w:t>
      </w:r>
      <w:r w:rsidRPr="00E02B36">
        <w:rPr>
          <w:rFonts w:ascii="Times New Roman" w:hAnsi="Times New Roman" w:cs="Times New Roman"/>
          <w:sz w:val="18"/>
          <w:lang w:val="es-MX"/>
        </w:rPr>
        <w:t xml:space="preserve"> </w:t>
      </w:r>
      <w:r w:rsidR="0042387A" w:rsidRPr="00E02B36">
        <w:rPr>
          <w:rFonts w:ascii="Times New Roman" w:hAnsi="Times New Roman" w:cs="Times New Roman"/>
          <w:sz w:val="18"/>
          <w:lang w:val="es-MX"/>
        </w:rPr>
        <w:t>–</w:t>
      </w:r>
      <w:r w:rsidRPr="00E02B36">
        <w:rPr>
          <w:rFonts w:ascii="Times New Roman" w:hAnsi="Times New Roman" w:cs="Times New Roman"/>
          <w:sz w:val="18"/>
          <w:lang w:val="es-MX"/>
        </w:rPr>
        <w:t xml:space="preserve"> T1 </w:t>
      </w:r>
      <w:r w:rsidR="0042387A" w:rsidRPr="00E02B36">
        <w:rPr>
          <w:rFonts w:ascii="Times New Roman" w:hAnsi="Times New Roman" w:cs="Times New Roman"/>
          <w:sz w:val="18"/>
          <w:lang w:val="es-MX"/>
        </w:rPr>
        <w:t>2016</w:t>
      </w:r>
    </w:p>
    <w:p w:rsidR="0042387A" w:rsidRPr="00E02B36" w:rsidRDefault="0042387A" w:rsidP="0042387A">
      <w:pPr>
        <w:pStyle w:val="Sinespaciado"/>
        <w:jc w:val="center"/>
        <w:rPr>
          <w:rFonts w:ascii="Times New Roman" w:hAnsi="Times New Roman" w:cs="Times New Roman"/>
          <w:sz w:val="18"/>
          <w:lang w:val="es-MX"/>
        </w:rPr>
      </w:pPr>
      <w:r w:rsidRPr="00E02B36">
        <w:rPr>
          <w:rFonts w:ascii="Times New Roman" w:hAnsi="Times New Roman" w:cs="Times New Roman"/>
          <w:sz w:val="18"/>
          <w:lang w:val="es-MX"/>
        </w:rPr>
        <w:t>Porcentaje</w:t>
      </w:r>
    </w:p>
    <w:p w:rsidR="0042387A" w:rsidRPr="00E02B36" w:rsidRDefault="007D38A9" w:rsidP="00DF71A8">
      <w:pPr>
        <w:pStyle w:val="Sinespaciado"/>
        <w:jc w:val="center"/>
        <w:rPr>
          <w:rFonts w:ascii="Times New Roman" w:hAnsi="Times New Roman" w:cs="Times New Roman"/>
          <w:sz w:val="18"/>
          <w:lang w:val="es-MX"/>
        </w:rPr>
      </w:pPr>
      <w:r w:rsidRPr="00E02B36">
        <w:rPr>
          <w:noProof/>
          <w:lang w:eastAsia="es-GT"/>
        </w:rPr>
        <w:drawing>
          <wp:inline distT="0" distB="0" distL="0" distR="0" wp14:anchorId="25C295E6" wp14:editId="34FD6595">
            <wp:extent cx="2581275" cy="1548765"/>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2387A" w:rsidRPr="00E02B36" w:rsidRDefault="0042387A" w:rsidP="0042387A">
      <w:pPr>
        <w:pStyle w:val="Sinespaciado"/>
        <w:jc w:val="both"/>
        <w:rPr>
          <w:rFonts w:ascii="Times New Roman" w:hAnsi="Times New Roman" w:cs="Times New Roman"/>
          <w:sz w:val="16"/>
          <w:szCs w:val="12"/>
          <w:lang w:val="es-MX"/>
        </w:rPr>
      </w:pPr>
      <w:r w:rsidRPr="00E02B36">
        <w:rPr>
          <w:rFonts w:ascii="Times New Roman" w:hAnsi="Times New Roman" w:cs="Times New Roman"/>
          <w:sz w:val="16"/>
          <w:szCs w:val="12"/>
          <w:lang w:val="es-MX"/>
        </w:rPr>
        <w:t xml:space="preserve">Fuente: Trading </w:t>
      </w:r>
      <w:proofErr w:type="spellStart"/>
      <w:r w:rsidRPr="00E02B36">
        <w:rPr>
          <w:rFonts w:ascii="Times New Roman" w:hAnsi="Times New Roman" w:cs="Times New Roman"/>
          <w:sz w:val="16"/>
          <w:szCs w:val="12"/>
        </w:rPr>
        <w:t>economics</w:t>
      </w:r>
      <w:proofErr w:type="spellEnd"/>
      <w:r w:rsidRPr="00E02B36">
        <w:rPr>
          <w:rFonts w:ascii="Times New Roman" w:hAnsi="Times New Roman" w:cs="Times New Roman"/>
          <w:sz w:val="16"/>
          <w:szCs w:val="12"/>
          <w:lang w:val="es-MX"/>
        </w:rPr>
        <w:t>.</w:t>
      </w:r>
    </w:p>
    <w:p w:rsidR="00495F43" w:rsidRPr="00E02B36" w:rsidRDefault="00495F43" w:rsidP="0042387A">
      <w:pPr>
        <w:pStyle w:val="Sinespaciado"/>
        <w:jc w:val="both"/>
        <w:rPr>
          <w:rFonts w:ascii="Times New Roman" w:hAnsi="Times New Roman" w:cs="Times New Roman"/>
        </w:rPr>
      </w:pPr>
    </w:p>
    <w:p w:rsidR="007D38A9" w:rsidRPr="00E02B36" w:rsidRDefault="00A970F8" w:rsidP="007D38A9">
      <w:pPr>
        <w:pStyle w:val="Sinespaciado"/>
        <w:jc w:val="both"/>
        <w:rPr>
          <w:rFonts w:ascii="Times New Roman" w:hAnsi="Times New Roman" w:cs="Times New Roman"/>
          <w:lang w:val="es-MX"/>
        </w:rPr>
      </w:pPr>
      <w:r w:rsidRPr="00E02B36">
        <w:rPr>
          <w:rFonts w:ascii="Times New Roman" w:hAnsi="Times New Roman" w:cs="Times New Roman"/>
          <w:lang w:val="es-MX"/>
        </w:rPr>
        <w:t>El número de peticiones por subsidio de desempleo en Estados Unidos alcanzó las 279,000 peticiones al 31 de marzo, la media móvil se situó en 263,250 solicitudes, lo que supone un incremento de 3,500 peticiones respecto a la media móvil del mes anterior.</w:t>
      </w:r>
    </w:p>
    <w:p w:rsidR="0042387A" w:rsidRPr="00E02B36" w:rsidRDefault="0042387A" w:rsidP="0042387A">
      <w:pPr>
        <w:pStyle w:val="Sinespaciado"/>
        <w:jc w:val="both"/>
        <w:rPr>
          <w:rFonts w:ascii="Times New Roman" w:hAnsi="Times New Roman" w:cs="Times New Roman"/>
          <w:lang w:val="es-MX"/>
        </w:rPr>
      </w:pPr>
    </w:p>
    <w:p w:rsidR="00F229CE" w:rsidRPr="00E02B36" w:rsidRDefault="0042387A" w:rsidP="00F229CE">
      <w:pPr>
        <w:pStyle w:val="Sinespaciado"/>
        <w:jc w:val="both"/>
        <w:rPr>
          <w:rFonts w:ascii="Times New Roman" w:hAnsi="Times New Roman" w:cs="Times New Roman"/>
        </w:rPr>
      </w:pPr>
      <w:r w:rsidRPr="00E02B36">
        <w:rPr>
          <w:rFonts w:ascii="Times New Roman" w:hAnsi="Times New Roman" w:cs="Times New Roman"/>
          <w:lang w:val="es-MX"/>
        </w:rPr>
        <w:t xml:space="preserve">En la Zona Euro, </w:t>
      </w:r>
      <w:r w:rsidR="00F229CE" w:rsidRPr="00E02B36">
        <w:rPr>
          <w:rFonts w:ascii="Times New Roman" w:hAnsi="Times New Roman" w:cs="Times New Roman"/>
        </w:rPr>
        <w:t xml:space="preserve">el consejo de gobierno del BCE decidió aprobar medidas de estímulo </w:t>
      </w:r>
      <w:r w:rsidR="00F229CE" w:rsidRPr="00E02B36">
        <w:rPr>
          <w:rFonts w:ascii="Times New Roman" w:hAnsi="Times New Roman" w:cs="Times New Roman"/>
        </w:rPr>
        <w:lastRenderedPageBreak/>
        <w:t>monetario para impulsar la economía, reduciendo los tipos de interés de 0.05% a 0.0%; elevar al 0.4% el interés que cobra a los bancos por depositar su dinero en las cuentas del BCE y ampliar hasta los 80,000 millones de euros el volumen mensual de dinero del programa de adquisición de activos (deuda pública y privada).  Con el paquete integral lanzado para las decisiones de política monetaria, el BCE estaría aportando estímulos monetarios sustanciales para contrarrestar los mayores riesgos hacia el objetivo de estabilidad de precios y evitar la deflación.</w:t>
      </w:r>
    </w:p>
    <w:p w:rsidR="0042387A" w:rsidRPr="00E02B36" w:rsidRDefault="0042387A" w:rsidP="0042387A">
      <w:pPr>
        <w:pStyle w:val="Sinespaciado"/>
        <w:jc w:val="both"/>
        <w:rPr>
          <w:rFonts w:ascii="Times New Roman" w:hAnsi="Times New Roman" w:cs="Times New Roman"/>
        </w:rPr>
      </w:pPr>
    </w:p>
    <w:p w:rsidR="00376802" w:rsidRPr="00E02B36" w:rsidRDefault="00376802" w:rsidP="00376802">
      <w:pPr>
        <w:pStyle w:val="Sinespaciado"/>
        <w:jc w:val="both"/>
        <w:rPr>
          <w:rFonts w:ascii="Times New Roman" w:hAnsi="Times New Roman" w:cs="Times New Roman"/>
        </w:rPr>
      </w:pPr>
      <w:r w:rsidRPr="00E02B36">
        <w:rPr>
          <w:rFonts w:ascii="Times New Roman" w:hAnsi="Times New Roman" w:cs="Times New Roman"/>
        </w:rPr>
        <w:t>La actividad económica medida por medio del Índice Compuesto Final de la Actividad Total se situó en marzo en los 53.1 puntos, por encima de los 50 puntos que dividen la contracción del crecimiento económico, pero por debajo de las expectativas de los analistas que esperaban 53.7 puntos, según el informe de Markit.  Por países, solo Irlanda y España registraron un ritmo más rápido de expansión de la actividad total en marzo, con 60.7 y 55.1 puntos respectivamente; el crecimiento económico en Alemania se ralentizó, lo que refleja un aumento relativamente modesto de la producción manufacturera y de la actividad servicios.  Italia registró una pérdida sustancial de la tasa de expansión en marzo, sugiriendo que su economía creció solo en 0.3% en el primer trimestre y Francia</w:t>
      </w:r>
      <w:r w:rsidR="00393E59" w:rsidRPr="00E02B36">
        <w:rPr>
          <w:rFonts w:ascii="Times New Roman" w:hAnsi="Times New Roman" w:cs="Times New Roman"/>
        </w:rPr>
        <w:t xml:space="preserve"> continúa estancada.</w:t>
      </w:r>
    </w:p>
    <w:p w:rsidR="00376802" w:rsidRPr="00E02B36" w:rsidRDefault="00376802" w:rsidP="00376802">
      <w:pPr>
        <w:pStyle w:val="Sinespaciado"/>
        <w:jc w:val="both"/>
        <w:rPr>
          <w:rFonts w:ascii="Times New Roman" w:hAnsi="Times New Roman" w:cs="Times New Roman"/>
        </w:rPr>
      </w:pPr>
    </w:p>
    <w:p w:rsidR="0042387A" w:rsidRDefault="0042387A" w:rsidP="0042387A">
      <w:pPr>
        <w:spacing w:after="0" w:line="240" w:lineRule="auto"/>
        <w:jc w:val="both"/>
        <w:rPr>
          <w:rFonts w:ascii="Times New Roman" w:hAnsi="Times New Roman" w:cs="Times New Roman"/>
          <w:lang w:val="es-MX"/>
        </w:rPr>
      </w:pPr>
      <w:r w:rsidRPr="00E02B36">
        <w:rPr>
          <w:rFonts w:ascii="Times New Roman" w:hAnsi="Times New Roman" w:cs="Times New Roman"/>
          <w:lang w:val="es-MX"/>
        </w:rPr>
        <w:t>En el ámbito interno, el nivel del Índice de Confianza de la Ac</w:t>
      </w:r>
      <w:r w:rsidR="00D50ABF" w:rsidRPr="00E02B36">
        <w:rPr>
          <w:rFonts w:ascii="Times New Roman" w:hAnsi="Times New Roman" w:cs="Times New Roman"/>
          <w:lang w:val="es-MX"/>
        </w:rPr>
        <w:t>tividad Económica se situó en 61.</w:t>
      </w:r>
      <w:r w:rsidRPr="00E02B36">
        <w:rPr>
          <w:rFonts w:ascii="Times New Roman" w:hAnsi="Times New Roman" w:cs="Times New Roman"/>
          <w:lang w:val="es-MX"/>
        </w:rPr>
        <w:t>5</w:t>
      </w:r>
      <w:r w:rsidR="00D50ABF" w:rsidRPr="00E02B36">
        <w:rPr>
          <w:rFonts w:ascii="Times New Roman" w:hAnsi="Times New Roman" w:cs="Times New Roman"/>
          <w:lang w:val="es-MX"/>
        </w:rPr>
        <w:t>4</w:t>
      </w:r>
      <w:r w:rsidRPr="00E02B36">
        <w:rPr>
          <w:rFonts w:ascii="Times New Roman" w:hAnsi="Times New Roman" w:cs="Times New Roman"/>
          <w:lang w:val="es-MX"/>
        </w:rPr>
        <w:t xml:space="preserve"> puntos, </w:t>
      </w:r>
      <w:r w:rsidR="00D50ABF" w:rsidRPr="00E02B36">
        <w:rPr>
          <w:rFonts w:ascii="Times New Roman" w:hAnsi="Times New Roman" w:cs="Times New Roman"/>
          <w:lang w:val="es-MX"/>
        </w:rPr>
        <w:t>superior en 1.47</w:t>
      </w:r>
      <w:r w:rsidRPr="00E02B36">
        <w:rPr>
          <w:rFonts w:ascii="Times New Roman" w:hAnsi="Times New Roman" w:cs="Times New Roman"/>
          <w:lang w:val="es-MX"/>
        </w:rPr>
        <w:t>% con el re</w:t>
      </w:r>
      <w:r w:rsidR="00D50ABF" w:rsidRPr="00E02B36">
        <w:rPr>
          <w:rFonts w:ascii="Times New Roman" w:hAnsi="Times New Roman" w:cs="Times New Roman"/>
          <w:lang w:val="es-MX"/>
        </w:rPr>
        <w:t xml:space="preserve">gistrado el mes anterior.  </w:t>
      </w:r>
    </w:p>
    <w:p w:rsidR="00E02B36" w:rsidRDefault="00E02B36" w:rsidP="0042387A">
      <w:pPr>
        <w:spacing w:after="0" w:line="240" w:lineRule="auto"/>
        <w:jc w:val="both"/>
        <w:rPr>
          <w:rFonts w:ascii="Times New Roman" w:hAnsi="Times New Roman" w:cs="Times New Roman"/>
          <w:lang w:val="es-MX"/>
        </w:rPr>
      </w:pPr>
    </w:p>
    <w:p w:rsidR="00603C4A" w:rsidRDefault="00603C4A" w:rsidP="0042387A">
      <w:pPr>
        <w:spacing w:after="0" w:line="240" w:lineRule="auto"/>
        <w:jc w:val="both"/>
        <w:rPr>
          <w:rFonts w:ascii="Times New Roman" w:hAnsi="Times New Roman" w:cs="Times New Roman"/>
          <w:lang w:val="es-MX"/>
        </w:rPr>
      </w:pPr>
    </w:p>
    <w:p w:rsidR="00603C4A" w:rsidRDefault="00603C4A" w:rsidP="0042387A">
      <w:pPr>
        <w:spacing w:after="0" w:line="240" w:lineRule="auto"/>
        <w:jc w:val="both"/>
        <w:rPr>
          <w:rFonts w:ascii="Times New Roman" w:hAnsi="Times New Roman" w:cs="Times New Roman"/>
          <w:lang w:val="es-MX"/>
        </w:rPr>
      </w:pPr>
    </w:p>
    <w:p w:rsidR="00603C4A" w:rsidRDefault="00603C4A" w:rsidP="0042387A">
      <w:pPr>
        <w:spacing w:after="0" w:line="240" w:lineRule="auto"/>
        <w:jc w:val="both"/>
        <w:rPr>
          <w:rFonts w:ascii="Times New Roman" w:hAnsi="Times New Roman" w:cs="Times New Roman"/>
          <w:lang w:val="es-MX"/>
        </w:rPr>
      </w:pPr>
    </w:p>
    <w:p w:rsidR="00603C4A" w:rsidRDefault="00603C4A" w:rsidP="0042387A">
      <w:pPr>
        <w:spacing w:after="0" w:line="240" w:lineRule="auto"/>
        <w:jc w:val="both"/>
        <w:rPr>
          <w:rFonts w:ascii="Times New Roman" w:hAnsi="Times New Roman" w:cs="Times New Roman"/>
          <w:lang w:val="es-MX"/>
        </w:rPr>
      </w:pPr>
    </w:p>
    <w:p w:rsidR="00603C4A" w:rsidRDefault="00603C4A" w:rsidP="0042387A">
      <w:pPr>
        <w:spacing w:after="0" w:line="240" w:lineRule="auto"/>
        <w:jc w:val="both"/>
        <w:rPr>
          <w:rFonts w:ascii="Times New Roman" w:hAnsi="Times New Roman" w:cs="Times New Roman"/>
          <w:lang w:val="es-MX"/>
        </w:rPr>
      </w:pPr>
    </w:p>
    <w:p w:rsidR="00603C4A" w:rsidRDefault="00603C4A" w:rsidP="0042387A">
      <w:pPr>
        <w:spacing w:after="0" w:line="240" w:lineRule="auto"/>
        <w:jc w:val="both"/>
        <w:rPr>
          <w:rFonts w:ascii="Times New Roman" w:hAnsi="Times New Roman" w:cs="Times New Roman"/>
          <w:lang w:val="es-MX"/>
        </w:rPr>
      </w:pPr>
    </w:p>
    <w:p w:rsidR="00603C4A" w:rsidRPr="00E02B36" w:rsidRDefault="00603C4A" w:rsidP="0042387A">
      <w:pPr>
        <w:spacing w:after="0" w:line="240" w:lineRule="auto"/>
        <w:jc w:val="both"/>
        <w:rPr>
          <w:rFonts w:ascii="Times New Roman" w:hAnsi="Times New Roman" w:cs="Times New Roman"/>
          <w:lang w:val="es-MX"/>
        </w:rPr>
      </w:pPr>
    </w:p>
    <w:p w:rsidR="0042387A" w:rsidRPr="00E02B36" w:rsidRDefault="0042387A" w:rsidP="0042387A">
      <w:pPr>
        <w:spacing w:after="0" w:line="240" w:lineRule="auto"/>
        <w:jc w:val="center"/>
        <w:rPr>
          <w:rFonts w:ascii="Times New Roman" w:hAnsi="Times New Roman" w:cs="Times New Roman"/>
          <w:b/>
          <w:sz w:val="24"/>
          <w:szCs w:val="24"/>
        </w:rPr>
      </w:pPr>
      <w:r w:rsidRPr="00E02B36">
        <w:rPr>
          <w:rFonts w:ascii="Times New Roman" w:hAnsi="Times New Roman" w:cs="Times New Roman"/>
          <w:b/>
          <w:sz w:val="24"/>
          <w:szCs w:val="24"/>
        </w:rPr>
        <w:lastRenderedPageBreak/>
        <w:t>Índice de confianza de la actividad económica</w:t>
      </w:r>
    </w:p>
    <w:p w:rsidR="0042387A" w:rsidRPr="00E02B36" w:rsidRDefault="00D50ABF" w:rsidP="0042387A">
      <w:pPr>
        <w:spacing w:after="0" w:line="240" w:lineRule="auto"/>
        <w:jc w:val="center"/>
        <w:rPr>
          <w:rFonts w:ascii="Times New Roman" w:hAnsi="Times New Roman" w:cs="Times New Roman"/>
          <w:sz w:val="18"/>
        </w:rPr>
      </w:pPr>
      <w:r w:rsidRPr="00E02B36">
        <w:rPr>
          <w:rFonts w:ascii="Times New Roman" w:hAnsi="Times New Roman" w:cs="Times New Roman"/>
          <w:sz w:val="18"/>
        </w:rPr>
        <w:t>Marzo</w:t>
      </w:r>
      <w:r w:rsidR="0042387A" w:rsidRPr="00E02B36">
        <w:rPr>
          <w:rFonts w:ascii="Times New Roman" w:hAnsi="Times New Roman" w:cs="Times New Roman"/>
          <w:sz w:val="18"/>
        </w:rPr>
        <w:t xml:space="preserve"> 2014 – 2016</w:t>
      </w:r>
    </w:p>
    <w:p w:rsidR="0042387A" w:rsidRPr="00E02B36" w:rsidRDefault="00D50ABF" w:rsidP="0042387A">
      <w:pPr>
        <w:spacing w:after="0" w:line="240" w:lineRule="auto"/>
        <w:jc w:val="both"/>
        <w:rPr>
          <w:rFonts w:ascii="Times New Roman" w:hAnsi="Times New Roman" w:cs="Times New Roman"/>
          <w:lang w:val="es-MX"/>
        </w:rPr>
      </w:pPr>
      <w:r w:rsidRPr="00E02B36">
        <w:rPr>
          <w:noProof/>
          <w:lang w:eastAsia="es-GT"/>
        </w:rPr>
        <w:drawing>
          <wp:inline distT="0" distB="0" distL="0" distR="0" wp14:anchorId="01322774" wp14:editId="7C20360C">
            <wp:extent cx="2581275" cy="1820174"/>
            <wp:effectExtent l="0" t="0" r="0" b="889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2387A" w:rsidRPr="00E02B36" w:rsidRDefault="0042387A" w:rsidP="0042387A">
      <w:pPr>
        <w:pStyle w:val="Sinespaciado"/>
        <w:jc w:val="both"/>
        <w:rPr>
          <w:rFonts w:ascii="Times New Roman" w:hAnsi="Times New Roman" w:cs="Times New Roman"/>
          <w:sz w:val="20"/>
        </w:rPr>
      </w:pPr>
      <w:r w:rsidRPr="00E02B36">
        <w:rPr>
          <w:rFonts w:ascii="Times New Roman" w:hAnsi="Times New Roman" w:cs="Times New Roman"/>
          <w:sz w:val="14"/>
          <w:szCs w:val="12"/>
          <w:lang w:val="es-MX"/>
        </w:rPr>
        <w:t xml:space="preserve">Fuente: Banco de Guatemala </w:t>
      </w:r>
    </w:p>
    <w:p w:rsidR="0042387A" w:rsidRPr="00E02B36" w:rsidRDefault="0042387A" w:rsidP="0042387A">
      <w:pPr>
        <w:spacing w:after="0" w:line="240" w:lineRule="auto"/>
        <w:jc w:val="both"/>
        <w:rPr>
          <w:rFonts w:ascii="Times New Roman" w:hAnsi="Times New Roman" w:cs="Times New Roman"/>
          <w:lang w:val="es-MX"/>
        </w:rPr>
      </w:pPr>
    </w:p>
    <w:p w:rsidR="004E4FDE" w:rsidRPr="00E02B36" w:rsidRDefault="00E02B36" w:rsidP="004E4FDE">
      <w:pPr>
        <w:pStyle w:val="Sinespaciado"/>
        <w:jc w:val="both"/>
        <w:rPr>
          <w:rFonts w:ascii="Times New Roman" w:hAnsi="Times New Roman" w:cs="Times New Roman"/>
          <w:lang w:val="es-MX"/>
        </w:rPr>
      </w:pPr>
      <w:r>
        <w:rPr>
          <w:rFonts w:ascii="Times New Roman" w:hAnsi="Times New Roman" w:cs="Times New Roman"/>
          <w:lang w:val="es-MX"/>
        </w:rPr>
        <w:t xml:space="preserve">En marzo, el </w:t>
      </w:r>
      <w:r w:rsidR="004E4FDE" w:rsidRPr="00E02B36">
        <w:rPr>
          <w:rFonts w:ascii="Times New Roman" w:hAnsi="Times New Roman" w:cs="Times New Roman"/>
          <w:lang w:val="es-MX"/>
        </w:rPr>
        <w:t>Índice de Precios al Consumidor se ubicó en 123.30, el comportamiento del nivel general de precios de la economía registró un</w:t>
      </w:r>
      <w:r w:rsidR="00C85696" w:rsidRPr="00E02B36">
        <w:rPr>
          <w:rFonts w:ascii="Times New Roman" w:hAnsi="Times New Roman" w:cs="Times New Roman"/>
          <w:lang w:val="es-MX"/>
        </w:rPr>
        <w:t>a variación intermensual de 0.20</w:t>
      </w:r>
      <w:r w:rsidR="004E4FDE" w:rsidRPr="00E02B36">
        <w:rPr>
          <w:rFonts w:ascii="Times New Roman" w:hAnsi="Times New Roman" w:cs="Times New Roman"/>
          <w:lang w:val="es-MX"/>
        </w:rPr>
        <w:t xml:space="preserve">% e </w:t>
      </w:r>
      <w:r w:rsidR="00C85696" w:rsidRPr="00E02B36">
        <w:rPr>
          <w:rFonts w:ascii="Times New Roman" w:hAnsi="Times New Roman" w:cs="Times New Roman"/>
          <w:lang w:val="es-MX"/>
        </w:rPr>
        <w:t>interanual de 4.26</w:t>
      </w:r>
      <w:r w:rsidR="004E4FDE" w:rsidRPr="00E02B36">
        <w:rPr>
          <w:rFonts w:ascii="Times New Roman" w:hAnsi="Times New Roman" w:cs="Times New Roman"/>
          <w:lang w:val="es-MX"/>
        </w:rPr>
        <w:t xml:space="preserve">%; la variación interanual del IPC se encuentra muy cercana a la estimación del BANGUAT de </w:t>
      </w:r>
      <w:r w:rsidR="00C85696" w:rsidRPr="00E02B36">
        <w:rPr>
          <w:rFonts w:ascii="Times New Roman" w:hAnsi="Times New Roman" w:cs="Times New Roman"/>
          <w:lang w:val="es-MX"/>
        </w:rPr>
        <w:t>4.08</w:t>
      </w:r>
      <w:r w:rsidR="004E4FDE" w:rsidRPr="00E02B36">
        <w:rPr>
          <w:rFonts w:ascii="Times New Roman" w:hAnsi="Times New Roman" w:cs="Times New Roman"/>
          <w:lang w:val="es-MX"/>
        </w:rPr>
        <w:t xml:space="preserve">% para final de año mostrada en su encuesta de expectativas, basada en el comportamiento de los combustibles, el desempeño de la política monetaria y fiscal y por la evolución de los precios de las materias primas.  </w:t>
      </w:r>
    </w:p>
    <w:p w:rsidR="00E02B36" w:rsidRDefault="00E02B36" w:rsidP="004E4FDE">
      <w:pPr>
        <w:pStyle w:val="Sinespaciado"/>
        <w:jc w:val="both"/>
        <w:rPr>
          <w:rFonts w:ascii="Times New Roman" w:hAnsi="Times New Roman" w:cs="Times New Roman"/>
          <w:lang w:val="es-MX"/>
        </w:rPr>
      </w:pPr>
    </w:p>
    <w:p w:rsidR="00603C4A" w:rsidRDefault="00603C4A" w:rsidP="004E4FDE">
      <w:pPr>
        <w:pStyle w:val="Sinespaciado"/>
        <w:jc w:val="both"/>
        <w:rPr>
          <w:rFonts w:ascii="Times New Roman" w:hAnsi="Times New Roman" w:cs="Times New Roman"/>
          <w:lang w:val="es-MX"/>
        </w:rPr>
      </w:pPr>
    </w:p>
    <w:p w:rsidR="00603C4A" w:rsidRDefault="00603C4A" w:rsidP="004E4FDE">
      <w:pPr>
        <w:pStyle w:val="Sinespaciado"/>
        <w:jc w:val="both"/>
        <w:rPr>
          <w:rFonts w:ascii="Times New Roman" w:hAnsi="Times New Roman" w:cs="Times New Roman"/>
          <w:lang w:val="es-MX"/>
        </w:rPr>
      </w:pPr>
    </w:p>
    <w:p w:rsidR="00603C4A" w:rsidRDefault="00603C4A" w:rsidP="004E4FDE">
      <w:pPr>
        <w:pStyle w:val="Sinespaciado"/>
        <w:jc w:val="both"/>
        <w:rPr>
          <w:rFonts w:ascii="Times New Roman" w:hAnsi="Times New Roman" w:cs="Times New Roman"/>
          <w:lang w:val="es-MX"/>
        </w:rPr>
      </w:pPr>
    </w:p>
    <w:p w:rsidR="00603C4A" w:rsidRDefault="00603C4A" w:rsidP="004E4FDE">
      <w:pPr>
        <w:pStyle w:val="Sinespaciado"/>
        <w:jc w:val="both"/>
        <w:rPr>
          <w:rFonts w:ascii="Times New Roman" w:hAnsi="Times New Roman" w:cs="Times New Roman"/>
          <w:lang w:val="es-MX"/>
        </w:rPr>
      </w:pPr>
    </w:p>
    <w:p w:rsidR="00603C4A" w:rsidRPr="00E02B36" w:rsidRDefault="00603C4A" w:rsidP="004E4FDE">
      <w:pPr>
        <w:pStyle w:val="Sinespaciado"/>
        <w:jc w:val="both"/>
        <w:rPr>
          <w:rFonts w:ascii="Times New Roman" w:hAnsi="Times New Roman" w:cs="Times New Roman"/>
          <w:lang w:val="es-MX"/>
        </w:rPr>
      </w:pPr>
    </w:p>
    <w:p w:rsidR="00603C4A" w:rsidRPr="00E02B36" w:rsidRDefault="004E4FDE" w:rsidP="00603C4A">
      <w:pPr>
        <w:pStyle w:val="Sinespaciado"/>
        <w:jc w:val="center"/>
        <w:rPr>
          <w:rFonts w:ascii="Times New Roman" w:hAnsi="Times New Roman" w:cs="Times New Roman"/>
          <w:b/>
          <w:lang w:val="es-MX"/>
        </w:rPr>
      </w:pPr>
      <w:r w:rsidRPr="00E02B36">
        <w:rPr>
          <w:rFonts w:ascii="Times New Roman" w:hAnsi="Times New Roman" w:cs="Times New Roman"/>
          <w:b/>
          <w:lang w:val="es-MX"/>
        </w:rPr>
        <w:lastRenderedPageBreak/>
        <w:t>Ritmo Inflacionario Total</w:t>
      </w:r>
    </w:p>
    <w:p w:rsidR="004E4FDE" w:rsidRPr="00E02B36" w:rsidRDefault="009A12F9" w:rsidP="004E4FDE">
      <w:pPr>
        <w:pStyle w:val="Sinespaciado"/>
        <w:jc w:val="center"/>
        <w:rPr>
          <w:rFonts w:ascii="Times New Roman" w:hAnsi="Times New Roman" w:cs="Times New Roman"/>
          <w:sz w:val="18"/>
          <w:lang w:val="es-MX"/>
        </w:rPr>
      </w:pPr>
      <w:r w:rsidRPr="00E02B36">
        <w:rPr>
          <w:rFonts w:ascii="Times New Roman" w:hAnsi="Times New Roman" w:cs="Times New Roman"/>
          <w:sz w:val="18"/>
          <w:lang w:val="es-MX"/>
        </w:rPr>
        <w:t>Marzo 2014</w:t>
      </w:r>
      <w:r w:rsidR="004E4FDE" w:rsidRPr="00E02B36">
        <w:rPr>
          <w:rFonts w:ascii="Times New Roman" w:hAnsi="Times New Roman" w:cs="Times New Roman"/>
          <w:sz w:val="18"/>
          <w:lang w:val="es-MX"/>
        </w:rPr>
        <w:t xml:space="preserve"> - </w:t>
      </w:r>
      <w:r w:rsidRPr="00E02B36">
        <w:rPr>
          <w:rFonts w:ascii="Times New Roman" w:hAnsi="Times New Roman" w:cs="Times New Roman"/>
          <w:sz w:val="18"/>
          <w:lang w:val="es-MX"/>
        </w:rPr>
        <w:t>2016</w:t>
      </w:r>
      <w:r w:rsidR="004E4FDE" w:rsidRPr="00E02B36">
        <w:rPr>
          <w:rFonts w:ascii="Times New Roman" w:hAnsi="Times New Roman" w:cs="Times New Roman"/>
          <w:sz w:val="18"/>
          <w:lang w:val="es-MX"/>
        </w:rPr>
        <w:t>, porcentaje</w:t>
      </w:r>
    </w:p>
    <w:p w:rsidR="004E4FDE" w:rsidRPr="00E02B36" w:rsidRDefault="00606D70" w:rsidP="004E4FDE">
      <w:pPr>
        <w:pStyle w:val="Sinespaciado"/>
        <w:jc w:val="center"/>
        <w:rPr>
          <w:rFonts w:ascii="Times New Roman" w:hAnsi="Times New Roman" w:cs="Times New Roman"/>
          <w:lang w:val="es-MX"/>
        </w:rPr>
      </w:pPr>
      <w:r w:rsidRPr="00E02B36">
        <w:rPr>
          <w:noProof/>
          <w:lang w:eastAsia="es-GT"/>
        </w:rPr>
        <w:drawing>
          <wp:inline distT="0" distB="0" distL="0" distR="0" wp14:anchorId="577BDF3F" wp14:editId="46306913">
            <wp:extent cx="2581275" cy="1548765"/>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E4FDE" w:rsidRPr="00E02B36" w:rsidRDefault="004E4FDE" w:rsidP="004E4FDE">
      <w:pPr>
        <w:pStyle w:val="Sinespaciado"/>
        <w:jc w:val="both"/>
        <w:rPr>
          <w:rFonts w:ascii="Times New Roman" w:hAnsi="Times New Roman" w:cs="Times New Roman"/>
          <w:sz w:val="16"/>
        </w:rPr>
      </w:pPr>
      <w:r w:rsidRPr="00E02B36">
        <w:rPr>
          <w:rFonts w:ascii="Times New Roman" w:hAnsi="Times New Roman" w:cs="Times New Roman"/>
          <w:sz w:val="16"/>
        </w:rPr>
        <w:t>Fuente: INE</w:t>
      </w:r>
    </w:p>
    <w:p w:rsidR="004E4FDE" w:rsidRPr="00E02B36" w:rsidRDefault="004E4FDE" w:rsidP="004E4FDE">
      <w:pPr>
        <w:pStyle w:val="Sinespaciado"/>
        <w:jc w:val="both"/>
        <w:rPr>
          <w:rFonts w:ascii="Times New Roman" w:hAnsi="Times New Roman" w:cs="Times New Roman"/>
        </w:rPr>
      </w:pPr>
    </w:p>
    <w:p w:rsidR="004E4FDE" w:rsidRPr="00E02B36" w:rsidRDefault="004E4FDE" w:rsidP="004E4FDE">
      <w:pPr>
        <w:pStyle w:val="Sinespaciado"/>
        <w:jc w:val="both"/>
        <w:rPr>
          <w:rFonts w:ascii="Times New Roman" w:hAnsi="Times New Roman" w:cs="Times New Roman"/>
          <w:lang w:val="es-MX"/>
        </w:rPr>
      </w:pPr>
      <w:r w:rsidRPr="00E02B36">
        <w:rPr>
          <w:rFonts w:ascii="Times New Roman" w:hAnsi="Times New Roman" w:cs="Times New Roman"/>
        </w:rPr>
        <w:t xml:space="preserve">El costo de adquisición de la Canasta Básica Alimentaria </w:t>
      </w:r>
      <w:r w:rsidR="00C85696" w:rsidRPr="00E02B36">
        <w:rPr>
          <w:rFonts w:ascii="Times New Roman" w:hAnsi="Times New Roman" w:cs="Times New Roman"/>
        </w:rPr>
        <w:t>disminuyo</w:t>
      </w:r>
      <w:r w:rsidRPr="00E02B36">
        <w:rPr>
          <w:rFonts w:ascii="Times New Roman" w:hAnsi="Times New Roman" w:cs="Times New Roman"/>
        </w:rPr>
        <w:t xml:space="preserve"> Q </w:t>
      </w:r>
      <w:r w:rsidR="00C85696" w:rsidRPr="00E02B36">
        <w:rPr>
          <w:rFonts w:ascii="Times New Roman" w:hAnsi="Times New Roman" w:cs="Times New Roman"/>
        </w:rPr>
        <w:t>3</w:t>
      </w:r>
      <w:r w:rsidRPr="00E02B36">
        <w:rPr>
          <w:rFonts w:ascii="Times New Roman" w:hAnsi="Times New Roman" w:cs="Times New Roman"/>
        </w:rPr>
        <w:t>.</w:t>
      </w:r>
      <w:r w:rsidR="00C85696" w:rsidRPr="00E02B36">
        <w:rPr>
          <w:rFonts w:ascii="Times New Roman" w:hAnsi="Times New Roman" w:cs="Times New Roman"/>
        </w:rPr>
        <w:t>28</w:t>
      </w:r>
      <w:r w:rsidRPr="00E02B36">
        <w:rPr>
          <w:rFonts w:ascii="Times New Roman" w:hAnsi="Times New Roman" w:cs="Times New Roman"/>
        </w:rPr>
        <w:t xml:space="preserve"> con relación al registrado el mes anterior y respecto al </w:t>
      </w:r>
      <w:r w:rsidR="00C85696" w:rsidRPr="00E02B36">
        <w:rPr>
          <w:rFonts w:ascii="Times New Roman" w:hAnsi="Times New Roman" w:cs="Times New Roman"/>
        </w:rPr>
        <w:t>año anterior se incrementó Q 386.13</w:t>
      </w:r>
      <w:r w:rsidRPr="00E02B36">
        <w:rPr>
          <w:rFonts w:ascii="Times New Roman" w:hAnsi="Times New Roman" w:cs="Times New Roman"/>
        </w:rPr>
        <w:t xml:space="preserve">.  El costo de adquisición de la Canasta Básica Vital también </w:t>
      </w:r>
      <w:r w:rsidR="00C85696" w:rsidRPr="00E02B36">
        <w:rPr>
          <w:rFonts w:ascii="Times New Roman" w:hAnsi="Times New Roman" w:cs="Times New Roman"/>
        </w:rPr>
        <w:t>disminuyó Q 6.00</w:t>
      </w:r>
      <w:r w:rsidRPr="00E02B36">
        <w:rPr>
          <w:rFonts w:ascii="Times New Roman" w:hAnsi="Times New Roman" w:cs="Times New Roman"/>
        </w:rPr>
        <w:t xml:space="preserve"> con relación al mes anterior y respecto a </w:t>
      </w:r>
      <w:r w:rsidR="00C85696" w:rsidRPr="00E02B36">
        <w:rPr>
          <w:rFonts w:ascii="Times New Roman" w:hAnsi="Times New Roman" w:cs="Times New Roman"/>
        </w:rPr>
        <w:t>marzo 2015</w:t>
      </w:r>
      <w:r w:rsidRPr="00E02B36">
        <w:rPr>
          <w:rFonts w:ascii="Times New Roman" w:hAnsi="Times New Roman" w:cs="Times New Roman"/>
        </w:rPr>
        <w:t xml:space="preserve"> se </w:t>
      </w:r>
      <w:r w:rsidR="00C85696" w:rsidRPr="00E02B36">
        <w:rPr>
          <w:rFonts w:ascii="Times New Roman" w:hAnsi="Times New Roman" w:cs="Times New Roman"/>
        </w:rPr>
        <w:t xml:space="preserve">incrementó </w:t>
      </w:r>
      <w:r w:rsidR="00603C4A">
        <w:rPr>
          <w:rFonts w:ascii="Times New Roman" w:hAnsi="Times New Roman" w:cs="Times New Roman"/>
        </w:rPr>
        <w:t xml:space="preserve"> </w:t>
      </w:r>
      <w:r w:rsidR="00C85696" w:rsidRPr="00E02B36">
        <w:rPr>
          <w:rFonts w:ascii="Times New Roman" w:hAnsi="Times New Roman" w:cs="Times New Roman"/>
        </w:rPr>
        <w:t xml:space="preserve"> 704.61</w:t>
      </w:r>
      <w:r w:rsidRPr="00E02B36">
        <w:rPr>
          <w:rFonts w:ascii="Times New Roman" w:hAnsi="Times New Roman" w:cs="Times New Roman"/>
        </w:rPr>
        <w:t xml:space="preserve">.  </w:t>
      </w:r>
    </w:p>
    <w:p w:rsidR="004E4FDE" w:rsidRPr="00E02B36" w:rsidRDefault="004E4FDE" w:rsidP="004E4FDE">
      <w:pPr>
        <w:pStyle w:val="Sinespaciado"/>
        <w:jc w:val="both"/>
        <w:rPr>
          <w:lang w:val="es-MX"/>
        </w:rPr>
      </w:pPr>
    </w:p>
    <w:p w:rsidR="004E4FDE" w:rsidRPr="00E02B36" w:rsidRDefault="004E4FDE" w:rsidP="004E4FDE">
      <w:pPr>
        <w:pStyle w:val="Sinespaciado"/>
        <w:jc w:val="both"/>
        <w:rPr>
          <w:rFonts w:ascii="Times New Roman" w:hAnsi="Times New Roman" w:cs="Times New Roman"/>
          <w:lang w:val="es-MX"/>
        </w:rPr>
      </w:pPr>
      <w:r w:rsidRPr="00E02B36">
        <w:rPr>
          <w:rFonts w:ascii="Times New Roman" w:hAnsi="Times New Roman" w:cs="Times New Roman"/>
          <w:lang w:val="es-MX"/>
        </w:rPr>
        <w:t xml:space="preserve">Este mes, la Junta Monetaria decidió mantener el nivel de la tasa de interés líder de política monetaria en 3.0%, en base a su análisis interno y externo, debido a factores como la recuperación del crecimiento moderado económico mundial y de los principales socios comerciales, los precios internacionales de las materias primas, especialmente el petróleo y la tendencia general de los precios que se mantienen dentro de la meta de inflación de 4.0% +/- 1 punto porcentual. </w:t>
      </w:r>
    </w:p>
    <w:p w:rsidR="004E4FDE" w:rsidRPr="00E02B36" w:rsidRDefault="004E4FDE" w:rsidP="0042387A">
      <w:pPr>
        <w:rPr>
          <w:lang w:val="es-MX"/>
        </w:rPr>
        <w:sectPr w:rsidR="004E4FDE" w:rsidRPr="00E02B36" w:rsidSect="00516433">
          <w:type w:val="continuous"/>
          <w:pgSz w:w="12240" w:h="15840"/>
          <w:pgMar w:top="1417" w:right="1701" w:bottom="1417" w:left="1701" w:header="708" w:footer="708" w:gutter="0"/>
          <w:cols w:num="2" w:space="708"/>
          <w:docGrid w:linePitch="360"/>
        </w:sectPr>
      </w:pPr>
    </w:p>
    <w:p w:rsidR="0042387A" w:rsidRPr="00E02B36" w:rsidRDefault="0042387A" w:rsidP="0042387A">
      <w:pPr>
        <w:spacing w:after="0" w:line="240" w:lineRule="auto"/>
        <w:rPr>
          <w:rFonts w:ascii="Times New Roman" w:hAnsi="Times New Roman" w:cs="Times New Roman"/>
          <w:lang w:val="es-MX"/>
        </w:rPr>
      </w:pPr>
    </w:p>
    <w:sectPr w:rsidR="0042387A" w:rsidRPr="00E02B36" w:rsidSect="007D4651">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0EA" w:rsidRDefault="00F360EA" w:rsidP="007D4651">
      <w:pPr>
        <w:spacing w:after="0" w:line="240" w:lineRule="auto"/>
      </w:pPr>
      <w:r>
        <w:separator/>
      </w:r>
    </w:p>
  </w:endnote>
  <w:endnote w:type="continuationSeparator" w:id="0">
    <w:p w:rsidR="00F360EA" w:rsidRDefault="00F360EA"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89789790"/>
      <w:docPartObj>
        <w:docPartGallery w:val="Page Numbers (Bottom of Page)"/>
        <w:docPartUnique/>
      </w:docPartObj>
    </w:sdtPr>
    <w:sdtEndPr/>
    <w:sdtContent>
      <w:p w:rsidR="007D4651" w:rsidRDefault="007D4651">
        <w:pPr>
          <w:pStyle w:val="Piedepgina"/>
          <w:jc w:val="right"/>
          <w:rPr>
            <w:lang w:val="es-ES"/>
          </w:rPr>
        </w:pPr>
      </w:p>
      <w:p w:rsidR="007D4651" w:rsidRDefault="007D465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5ABDC97B" wp14:editId="3DE76101">
                  <wp:simplePos x="0" y="0"/>
                  <wp:positionH relativeFrom="column">
                    <wp:posOffset>1776669</wp:posOffset>
                  </wp:positionH>
                  <wp:positionV relativeFrom="paragraph">
                    <wp:posOffset>70516</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88C79" id="3 Rectángulo" o:spid="_x0000_s1026" style="position:absolute;margin-left:139.9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Dziu1g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7D4651" w:rsidRDefault="007D465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03C4A" w:rsidRPr="00603C4A">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7D4651" w:rsidRDefault="007D4651" w:rsidP="007D4651">
    <w:pPr>
      <w:pStyle w:val="Piedepgina"/>
      <w:tabs>
        <w:tab w:val="clear" w:pos="4419"/>
        <w:tab w:val="clear" w:pos="8838"/>
        <w:tab w:val="left" w:pos="5777"/>
      </w:tabs>
    </w:pPr>
  </w:p>
  <w:p w:rsidR="0066791B" w:rsidRDefault="0066791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9405431"/>
      <w:docPartObj>
        <w:docPartGallery w:val="Page Numbers (Bottom of Page)"/>
        <w:docPartUnique/>
      </w:docPartObj>
    </w:sdtPr>
    <w:sdtEndPr/>
    <w:sdtContent>
      <w:p w:rsidR="00E16925" w:rsidRDefault="00E16925">
        <w:pPr>
          <w:pStyle w:val="Piedepgina"/>
          <w:jc w:val="right"/>
          <w:rPr>
            <w:lang w:val="es-ES"/>
          </w:rPr>
        </w:pPr>
      </w:p>
      <w:p w:rsidR="00E16925" w:rsidRDefault="00E1692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4E17D082" wp14:editId="02A6F10F">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69C4D1"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16925" w:rsidRDefault="00E1692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03C4A" w:rsidRPr="00603C4A">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16925" w:rsidRDefault="00E16925" w:rsidP="007D4651">
    <w:pPr>
      <w:pStyle w:val="Piedepgina"/>
      <w:tabs>
        <w:tab w:val="clear" w:pos="4419"/>
        <w:tab w:val="clear" w:pos="8838"/>
        <w:tab w:val="left" w:pos="5777"/>
      </w:tabs>
    </w:pPr>
  </w:p>
  <w:p w:rsidR="00E16925" w:rsidRDefault="00E1692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458232133"/>
      <w:docPartObj>
        <w:docPartGallery w:val="Page Numbers (Bottom of Page)"/>
        <w:docPartUnique/>
      </w:docPartObj>
    </w:sdtPr>
    <w:sdtEndPr/>
    <w:sdtContent>
      <w:p w:rsidR="00FA3B81" w:rsidRDefault="00FA3B81">
        <w:pPr>
          <w:pStyle w:val="Piedepgina"/>
          <w:jc w:val="right"/>
          <w:rPr>
            <w:lang w:val="es-ES"/>
          </w:rPr>
        </w:pPr>
      </w:p>
      <w:p w:rsidR="00FA3B81" w:rsidRDefault="00FA3B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6AE8135A" wp14:editId="643B6445">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0037DB"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A3B81" w:rsidRDefault="00FA3B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03C4A" w:rsidRPr="00603C4A">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FA3B81" w:rsidRDefault="00FA3B81" w:rsidP="007D4651">
    <w:pPr>
      <w:pStyle w:val="Piedepgina"/>
      <w:tabs>
        <w:tab w:val="clear" w:pos="4419"/>
        <w:tab w:val="clear" w:pos="8838"/>
        <w:tab w:val="left" w:pos="5777"/>
      </w:tabs>
    </w:pPr>
  </w:p>
  <w:p w:rsidR="00FA3B81" w:rsidRDefault="00FA3B8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20901799"/>
      <w:docPartObj>
        <w:docPartGallery w:val="Page Numbers (Bottom of Page)"/>
        <w:docPartUnique/>
      </w:docPartObj>
    </w:sdtPr>
    <w:sdtEndPr/>
    <w:sdtContent>
      <w:p w:rsidR="00F76491" w:rsidRDefault="00F76491">
        <w:pPr>
          <w:pStyle w:val="Piedepgina"/>
          <w:jc w:val="right"/>
          <w:rPr>
            <w:lang w:val="es-ES"/>
          </w:rPr>
        </w:pPr>
      </w:p>
      <w:p w:rsidR="00F76491" w:rsidRDefault="00F7649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6EA17CDA" wp14:editId="443FB9A5">
                  <wp:simplePos x="0" y="0"/>
                  <wp:positionH relativeFrom="column">
                    <wp:posOffset>1776669</wp:posOffset>
                  </wp:positionH>
                  <wp:positionV relativeFrom="paragraph">
                    <wp:posOffset>70516</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C03EBD" id="23 Rectángulo" o:spid="_x0000_s1026" style="position:absolute;margin-left:139.9pt;margin-top:5.55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YItCnj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76491" w:rsidRDefault="00F7649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03C4A" w:rsidRPr="00603C4A">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F76491" w:rsidRDefault="00F76491" w:rsidP="007D4651">
    <w:pPr>
      <w:pStyle w:val="Piedepgina"/>
      <w:tabs>
        <w:tab w:val="clear" w:pos="4419"/>
        <w:tab w:val="clear" w:pos="8838"/>
        <w:tab w:val="left" w:pos="5777"/>
      </w:tabs>
    </w:pPr>
  </w:p>
  <w:p w:rsidR="00F76491" w:rsidRDefault="00F7649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650588095"/>
      <w:docPartObj>
        <w:docPartGallery w:val="Page Numbers (Bottom of Page)"/>
        <w:docPartUnique/>
      </w:docPartObj>
    </w:sdtPr>
    <w:sdtEndPr/>
    <w:sdtContent>
      <w:p w:rsidR="00494D1D" w:rsidRDefault="00494D1D">
        <w:pPr>
          <w:pStyle w:val="Piedepgina"/>
          <w:jc w:val="right"/>
          <w:rPr>
            <w:lang w:val="es-ES"/>
          </w:rPr>
        </w:pPr>
      </w:p>
      <w:p w:rsidR="00494D1D" w:rsidRDefault="00494D1D"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0B49461D" wp14:editId="151374EB">
                  <wp:simplePos x="0" y="0"/>
                  <wp:positionH relativeFrom="column">
                    <wp:posOffset>1776669</wp:posOffset>
                  </wp:positionH>
                  <wp:positionV relativeFrom="paragraph">
                    <wp:posOffset>70516</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FB997" id="26 Rectángulo" o:spid="_x0000_s1026" style="position:absolute;margin-left:139.9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LgM0AD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94D1D" w:rsidRDefault="00494D1D">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03C4A" w:rsidRPr="00603C4A">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494D1D" w:rsidRDefault="00494D1D" w:rsidP="007D4651">
    <w:pPr>
      <w:pStyle w:val="Piedepgina"/>
      <w:tabs>
        <w:tab w:val="clear" w:pos="4419"/>
        <w:tab w:val="clear" w:pos="8838"/>
        <w:tab w:val="left" w:pos="5777"/>
      </w:tabs>
    </w:pPr>
  </w:p>
  <w:p w:rsidR="00494D1D" w:rsidRDefault="00494D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0EA" w:rsidRDefault="00F360EA" w:rsidP="007D4651">
      <w:pPr>
        <w:spacing w:after="0" w:line="240" w:lineRule="auto"/>
      </w:pPr>
      <w:r>
        <w:separator/>
      </w:r>
    </w:p>
  </w:footnote>
  <w:footnote w:type="continuationSeparator" w:id="0">
    <w:p w:rsidR="00F360EA" w:rsidRDefault="00F360EA" w:rsidP="007D4651">
      <w:pPr>
        <w:spacing w:after="0" w:line="240" w:lineRule="auto"/>
      </w:pPr>
      <w:r>
        <w:continuationSeparator/>
      </w:r>
    </w:p>
  </w:footnote>
  <w:footnote w:id="1">
    <w:p w:rsidR="007C1FD3" w:rsidRPr="00EE0C32" w:rsidRDefault="007C1FD3" w:rsidP="007C1FD3">
      <w:pPr>
        <w:pStyle w:val="Sinespaciado"/>
        <w:jc w:val="both"/>
        <w:rPr>
          <w:rFonts w:ascii="Times New Roman" w:hAnsi="Times New Roman" w:cs="Times New Roman"/>
          <w:sz w:val="14"/>
          <w:szCs w:val="16"/>
          <w:lang w:val="es-MX"/>
        </w:rPr>
      </w:pPr>
      <w:r w:rsidRPr="005223AA">
        <w:rPr>
          <w:rStyle w:val="Refdenotaalpie"/>
          <w:sz w:val="20"/>
        </w:rPr>
        <w:footnoteRef/>
      </w:r>
      <w:r w:rsidRPr="005223AA">
        <w:rPr>
          <w:sz w:val="20"/>
        </w:rPr>
        <w:t xml:space="preserve"> </w:t>
      </w:r>
      <w:r w:rsidRPr="00EE0C32">
        <w:rPr>
          <w:rFonts w:ascii="Times New Roman" w:hAnsi="Times New Roman" w:cs="Times New Roman"/>
          <w:sz w:val="14"/>
          <w:szCs w:val="16"/>
        </w:rPr>
        <w:t xml:space="preserve">Los renglones de gasto que integran este componente considerado como superfluo son: </w:t>
      </w:r>
      <w:r w:rsidRPr="00EE0C32">
        <w:rPr>
          <w:rFonts w:ascii="Times New Roman" w:hAnsi="Times New Roman" w:cs="Times New Roman"/>
          <w:sz w:val="14"/>
          <w:szCs w:val="16"/>
          <w:lang w:val="es-MX"/>
        </w:rPr>
        <w:t>Divulgación de información (121), Viáticos (131,132,133,134 y 135), Transporte de personas (141), Combustibles y lubricantes (262),</w:t>
      </w:r>
      <w:r w:rsidR="00603C4A">
        <w:rPr>
          <w:rFonts w:ascii="Times New Roman" w:hAnsi="Times New Roman" w:cs="Times New Roman"/>
          <w:sz w:val="14"/>
          <w:szCs w:val="16"/>
          <w:lang w:val="es-MX"/>
        </w:rPr>
        <w:t xml:space="preserve"> </w:t>
      </w:r>
      <w:r w:rsidRPr="00EE0C32">
        <w:rPr>
          <w:rFonts w:ascii="Times New Roman" w:hAnsi="Times New Roman" w:cs="Times New Roman"/>
          <w:sz w:val="14"/>
          <w:szCs w:val="16"/>
          <w:lang w:val="es-MX"/>
        </w:rPr>
        <w:t>Útiles de oficina (291</w:t>
      </w:r>
      <w:proofErr w:type="gramStart"/>
      <w:r w:rsidRPr="00EE0C32">
        <w:rPr>
          <w:rFonts w:ascii="Times New Roman" w:hAnsi="Times New Roman" w:cs="Times New Roman"/>
          <w:sz w:val="14"/>
          <w:szCs w:val="16"/>
          <w:lang w:val="es-MX"/>
        </w:rPr>
        <w:t>),Otros</w:t>
      </w:r>
      <w:proofErr w:type="gramEnd"/>
      <w:r w:rsidRPr="00EE0C32">
        <w:rPr>
          <w:rFonts w:ascii="Times New Roman" w:hAnsi="Times New Roman" w:cs="Times New Roman"/>
          <w:sz w:val="14"/>
          <w:szCs w:val="16"/>
          <w:lang w:val="es-MX"/>
        </w:rPr>
        <w:t xml:space="preserve"> materiales y suministros (299), Equipo de oficina (322), Equipo de transporte (325), Equipo de cómputo (328), Alimentos para personas (211)</w:t>
      </w:r>
    </w:p>
    <w:p w:rsidR="007C1FD3" w:rsidRPr="00EE0C32" w:rsidRDefault="007C1FD3" w:rsidP="007C1FD3">
      <w:pPr>
        <w:pStyle w:val="Textonotapie"/>
        <w:rPr>
          <w:sz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51" w:rsidRPr="007D4651" w:rsidRDefault="007D465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1312" behindDoc="1" locked="0" layoutInCell="1" allowOverlap="1" wp14:anchorId="495F9CE3" wp14:editId="74127C70">
          <wp:simplePos x="0" y="0"/>
          <wp:positionH relativeFrom="column">
            <wp:posOffset>-89849</wp:posOffset>
          </wp:positionH>
          <wp:positionV relativeFrom="paragraph">
            <wp:posOffset>-163027</wp:posOffset>
          </wp:positionV>
          <wp:extent cx="1697990" cy="914400"/>
          <wp:effectExtent l="0" t="0" r="0" b="0"/>
          <wp:wrapNone/>
          <wp:docPr id="5" name="Imagen 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D4651" w:rsidRPr="007D4651" w:rsidRDefault="00DD01C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w:t>
    </w:r>
    <w:r w:rsidR="007D4651" w:rsidRPr="007D4651">
      <w:rPr>
        <w:rFonts w:ascii="Times New Roman" w:hAnsi="Times New Roman" w:cs="Times New Roman"/>
        <w:color w:val="1F497D" w:themeColor="text2"/>
        <w:lang w:val="es-MX"/>
      </w:rPr>
      <w:t>o 2016</w:t>
    </w:r>
  </w:p>
  <w:p w:rsidR="007D4651" w:rsidRDefault="007D465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59264" behindDoc="0" locked="0" layoutInCell="1" allowOverlap="1" wp14:anchorId="043CDBF0" wp14:editId="2DCE346B">
              <wp:simplePos x="0" y="0"/>
              <wp:positionH relativeFrom="column">
                <wp:posOffset>1710568</wp:posOffset>
              </wp:positionH>
              <wp:positionV relativeFrom="paragraph">
                <wp:posOffset>29118</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732FB0" id="1 Rectángulo" o:spid="_x0000_s1026" style="position:absolute;margin-left:134.7pt;margin-top:2.3pt;width:40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3RGbA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66791B" w:rsidRDefault="007D465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25" w:rsidRPr="007D4651" w:rsidRDefault="00E1692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6432" behindDoc="1" locked="0" layoutInCell="1" allowOverlap="1" wp14:anchorId="2C1A13D5" wp14:editId="7F77918A">
          <wp:simplePos x="0" y="0"/>
          <wp:positionH relativeFrom="column">
            <wp:posOffset>-89849</wp:posOffset>
          </wp:positionH>
          <wp:positionV relativeFrom="paragraph">
            <wp:posOffset>-163027</wp:posOffset>
          </wp:positionV>
          <wp:extent cx="1697990" cy="914400"/>
          <wp:effectExtent l="0" t="0" r="0" b="0"/>
          <wp:wrapNone/>
          <wp:docPr id="9" name="Imagen 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16925" w:rsidRPr="007D4651" w:rsidRDefault="00DD01C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w:t>
    </w:r>
    <w:r w:rsidR="00E16925" w:rsidRPr="007D4651">
      <w:rPr>
        <w:rFonts w:ascii="Times New Roman" w:hAnsi="Times New Roman" w:cs="Times New Roman"/>
        <w:color w:val="1F497D" w:themeColor="text2"/>
        <w:lang w:val="es-MX"/>
      </w:rPr>
      <w:t>o 2016</w:t>
    </w:r>
  </w:p>
  <w:p w:rsidR="00E16925" w:rsidRDefault="00E1692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5408" behindDoc="0" locked="0" layoutInCell="1" allowOverlap="1" wp14:anchorId="2917600F" wp14:editId="00CCDBC5">
              <wp:simplePos x="0" y="0"/>
              <wp:positionH relativeFrom="column">
                <wp:posOffset>1710568</wp:posOffset>
              </wp:positionH>
              <wp:positionV relativeFrom="paragraph">
                <wp:posOffset>29118</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99A27C" id="6 Rectángulo" o:spid="_x0000_s1026" style="position:absolute;margin-left:134.7pt;margin-top:2.3pt;width:406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FTgscI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16925" w:rsidRDefault="00E16925"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1" w:rsidRPr="007D4651" w:rsidRDefault="00FA3B8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0528" behindDoc="1" locked="0" layoutInCell="1" allowOverlap="1" wp14:anchorId="04DA074A" wp14:editId="3B56543C">
          <wp:simplePos x="0" y="0"/>
          <wp:positionH relativeFrom="column">
            <wp:posOffset>-89849</wp:posOffset>
          </wp:positionH>
          <wp:positionV relativeFrom="paragraph">
            <wp:posOffset>-163027</wp:posOffset>
          </wp:positionV>
          <wp:extent cx="1697990" cy="914400"/>
          <wp:effectExtent l="0" t="0" r="0" b="0"/>
          <wp:wrapNone/>
          <wp:docPr id="17"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A3B81" w:rsidRPr="007D4651" w:rsidRDefault="00DD01C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w:t>
    </w:r>
    <w:r w:rsidR="00FA3B81" w:rsidRPr="007D4651">
      <w:rPr>
        <w:rFonts w:ascii="Times New Roman" w:hAnsi="Times New Roman" w:cs="Times New Roman"/>
        <w:color w:val="1F497D" w:themeColor="text2"/>
        <w:lang w:val="es-MX"/>
      </w:rPr>
      <w:t>o 2016</w:t>
    </w:r>
  </w:p>
  <w:p w:rsidR="00FA3B81" w:rsidRDefault="00FA3B8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9504" behindDoc="0" locked="0" layoutInCell="1" allowOverlap="1" wp14:anchorId="79EA5E08" wp14:editId="2F2649C0">
              <wp:simplePos x="0" y="0"/>
              <wp:positionH relativeFrom="column">
                <wp:posOffset>1710568</wp:posOffset>
              </wp:positionH>
              <wp:positionV relativeFrom="paragraph">
                <wp:posOffset>29118</wp:posOffset>
              </wp:positionV>
              <wp:extent cx="5155894" cy="45719"/>
              <wp:effectExtent l="38100" t="38100" r="64135" b="88265"/>
              <wp:wrapNone/>
              <wp:docPr id="15" name="1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7ACFC6" id="15 Rectángulo" o:spid="_x0000_s1026" style="position:absolute;margin-left:134.7pt;margin-top:2.3pt;width:406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&#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J9X2/A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A3B81" w:rsidRDefault="00FA3B8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FA3B81" w:rsidRPr="00E16925" w:rsidRDefault="00FA3B81"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91" w:rsidRPr="007D4651" w:rsidRDefault="00F7649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1CA9E512" wp14:editId="3CC59657">
          <wp:simplePos x="0" y="0"/>
          <wp:positionH relativeFrom="column">
            <wp:posOffset>-89849</wp:posOffset>
          </wp:positionH>
          <wp:positionV relativeFrom="paragraph">
            <wp:posOffset>-163027</wp:posOffset>
          </wp:positionV>
          <wp:extent cx="1697990" cy="914400"/>
          <wp:effectExtent l="0" t="0" r="0" b="0"/>
          <wp:wrapNone/>
          <wp:docPr id="24" name="Imagen 24"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76491" w:rsidRPr="007D4651" w:rsidRDefault="00DD01C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w:t>
    </w:r>
    <w:r w:rsidR="00F76491" w:rsidRPr="007D4651">
      <w:rPr>
        <w:rFonts w:ascii="Times New Roman" w:hAnsi="Times New Roman" w:cs="Times New Roman"/>
        <w:color w:val="1F497D" w:themeColor="text2"/>
        <w:lang w:val="es-MX"/>
      </w:rPr>
      <w:t>o 2016</w:t>
    </w:r>
  </w:p>
  <w:p w:rsidR="00F76491" w:rsidRDefault="00F7649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0325674B" wp14:editId="4CF859FF">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4FA5F6"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76491" w:rsidRDefault="00F7649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F76491" w:rsidRPr="00E16925" w:rsidRDefault="00F76491"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1D" w:rsidRPr="007D4651" w:rsidRDefault="00494D1D"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8720" behindDoc="1" locked="0" layoutInCell="1" allowOverlap="1" wp14:anchorId="6121D626" wp14:editId="6A215C39">
          <wp:simplePos x="0" y="0"/>
          <wp:positionH relativeFrom="column">
            <wp:posOffset>-89849</wp:posOffset>
          </wp:positionH>
          <wp:positionV relativeFrom="paragraph">
            <wp:posOffset>-163027</wp:posOffset>
          </wp:positionV>
          <wp:extent cx="1697990" cy="914400"/>
          <wp:effectExtent l="0" t="0" r="0" b="0"/>
          <wp:wrapNone/>
          <wp:docPr id="27"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494D1D" w:rsidRPr="007D4651" w:rsidRDefault="00DD01C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w:t>
    </w:r>
    <w:r w:rsidR="00494D1D" w:rsidRPr="007D4651">
      <w:rPr>
        <w:rFonts w:ascii="Times New Roman" w:hAnsi="Times New Roman" w:cs="Times New Roman"/>
        <w:color w:val="1F497D" w:themeColor="text2"/>
        <w:lang w:val="es-MX"/>
      </w:rPr>
      <w:t>o 2016</w:t>
    </w:r>
  </w:p>
  <w:p w:rsidR="00494D1D" w:rsidRDefault="00494D1D"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7696" behindDoc="0" locked="0" layoutInCell="1" allowOverlap="1" wp14:anchorId="1CDBF08B" wp14:editId="3CA7C54F">
              <wp:simplePos x="0" y="0"/>
              <wp:positionH relativeFrom="column">
                <wp:posOffset>1710568</wp:posOffset>
              </wp:positionH>
              <wp:positionV relativeFrom="paragraph">
                <wp:posOffset>29118</wp:posOffset>
              </wp:positionV>
              <wp:extent cx="5155894" cy="45719"/>
              <wp:effectExtent l="38100" t="38100" r="64135" b="88265"/>
              <wp:wrapNone/>
              <wp:docPr id="25" name="2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08DE5D" id="25 Rectángulo" o:spid="_x0000_s1026" style="position:absolute;margin-left:134.7pt;margin-top:2.3pt;width:406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&#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BVXKI2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494D1D" w:rsidRDefault="00494D1D"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494D1D" w:rsidRPr="00E16925" w:rsidRDefault="00494D1D"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7247"/>
    <w:rsid w:val="001D46C3"/>
    <w:rsid w:val="0021239D"/>
    <w:rsid w:val="00296D57"/>
    <w:rsid w:val="00345216"/>
    <w:rsid w:val="00376802"/>
    <w:rsid w:val="00393E59"/>
    <w:rsid w:val="003D100A"/>
    <w:rsid w:val="0042387A"/>
    <w:rsid w:val="00494D1D"/>
    <w:rsid w:val="00495F43"/>
    <w:rsid w:val="004C208F"/>
    <w:rsid w:val="004E4FDE"/>
    <w:rsid w:val="005077A5"/>
    <w:rsid w:val="005428C6"/>
    <w:rsid w:val="005A1EFC"/>
    <w:rsid w:val="00603C4A"/>
    <w:rsid w:val="00606D70"/>
    <w:rsid w:val="0066791B"/>
    <w:rsid w:val="00674742"/>
    <w:rsid w:val="006A1473"/>
    <w:rsid w:val="00741F6B"/>
    <w:rsid w:val="00754057"/>
    <w:rsid w:val="007C1FD3"/>
    <w:rsid w:val="007D38A9"/>
    <w:rsid w:val="007D4651"/>
    <w:rsid w:val="00892DE1"/>
    <w:rsid w:val="00910163"/>
    <w:rsid w:val="009A12F9"/>
    <w:rsid w:val="009D25F9"/>
    <w:rsid w:val="00A26C76"/>
    <w:rsid w:val="00A92D6E"/>
    <w:rsid w:val="00A970F8"/>
    <w:rsid w:val="00AA11B9"/>
    <w:rsid w:val="00BA4C52"/>
    <w:rsid w:val="00BC7539"/>
    <w:rsid w:val="00C85696"/>
    <w:rsid w:val="00D30D15"/>
    <w:rsid w:val="00D43052"/>
    <w:rsid w:val="00D50ABF"/>
    <w:rsid w:val="00D66D34"/>
    <w:rsid w:val="00DC44CF"/>
    <w:rsid w:val="00DD01C5"/>
    <w:rsid w:val="00DD4AB3"/>
    <w:rsid w:val="00DF71A8"/>
    <w:rsid w:val="00E02B36"/>
    <w:rsid w:val="00E16925"/>
    <w:rsid w:val="00E65E8C"/>
    <w:rsid w:val="00EA37FC"/>
    <w:rsid w:val="00ED2C29"/>
    <w:rsid w:val="00EE0C32"/>
    <w:rsid w:val="00F229CE"/>
    <w:rsid w:val="00F360EA"/>
    <w:rsid w:val="00F644EA"/>
    <w:rsid w:val="00F76491"/>
    <w:rsid w:val="00FA3B81"/>
    <w:rsid w:val="00FA5DE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27C0D"/>
  <w15:docId w15:val="{6C08A0DD-F35A-431F-9DF3-AECC6201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footer" Target="footer4.xml"/><Relationship Id="rId27" Type="http://schemas.openxmlformats.org/officeDocument/2006/relationships/chart" Target="charts/chart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edeleon.DC-DI01\Desktop\graficos%2005042016%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deleon.DC-DI01\Desktop\escritorio%2020%20marzo%202014\graficos%20de%20&#237;ndices%20burs&#225;tiles%20para%20informe%20semanal.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deleon.DC-DI01\Desktop\graficos%2005042016%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8298817830698"/>
          <c:y val="3.086114235720535E-2"/>
          <c:w val="0.76791231284768646"/>
          <c:h val="0.91486708846221276"/>
        </c:manualLayout>
      </c:layout>
      <c:barChart>
        <c:barDir val="bar"/>
        <c:grouping val="clustered"/>
        <c:varyColors val="0"/>
        <c:ser>
          <c:idx val="0"/>
          <c:order val="0"/>
          <c:tx>
            <c:strRef>
              <c:f>Hoja1!$B$1</c:f>
              <c:strCache>
                <c:ptCount val="1"/>
                <c:pt idx="0">
                  <c:v>2016-2015</c:v>
                </c:pt>
              </c:strCache>
            </c:strRef>
          </c:tx>
          <c:spPr>
            <a:solidFill>
              <a:srgbClr val="00B050"/>
            </a:solidFill>
          </c:spPr>
          <c:invertIfNegative val="0"/>
          <c:dPt>
            <c:idx val="0"/>
            <c:invertIfNegative val="0"/>
            <c:bubble3D val="0"/>
            <c:spPr>
              <a:solidFill>
                <a:schemeClr val="accent2"/>
              </a:solidFill>
            </c:spPr>
            <c:extLst>
              <c:ext xmlns:c16="http://schemas.microsoft.com/office/drawing/2014/chart" uri="{C3380CC4-5D6E-409C-BE32-E72D297353CC}">
                <c16:uniqueId val="{00000001-7B6C-4432-B5E5-1F47A232661E}"/>
              </c:ext>
            </c:extLst>
          </c:dPt>
          <c:dPt>
            <c:idx val="1"/>
            <c:invertIfNegative val="0"/>
            <c:bubble3D val="0"/>
            <c:spPr>
              <a:solidFill>
                <a:schemeClr val="accent2"/>
              </a:solidFill>
            </c:spPr>
            <c:extLst>
              <c:ext xmlns:c16="http://schemas.microsoft.com/office/drawing/2014/chart" uri="{C3380CC4-5D6E-409C-BE32-E72D297353CC}">
                <c16:uniqueId val="{00000003-7B6C-4432-B5E5-1F47A232661E}"/>
              </c:ext>
            </c:extLst>
          </c:dPt>
          <c:dPt>
            <c:idx val="2"/>
            <c:invertIfNegative val="0"/>
            <c:bubble3D val="0"/>
            <c:spPr>
              <a:solidFill>
                <a:schemeClr val="accent2"/>
              </a:solidFill>
            </c:spPr>
            <c:extLst>
              <c:ext xmlns:c16="http://schemas.microsoft.com/office/drawing/2014/chart" uri="{C3380CC4-5D6E-409C-BE32-E72D297353CC}">
                <c16:uniqueId val="{00000005-7B6C-4432-B5E5-1F47A232661E}"/>
              </c:ext>
            </c:extLst>
          </c:dPt>
          <c:dPt>
            <c:idx val="3"/>
            <c:invertIfNegative val="0"/>
            <c:bubble3D val="0"/>
            <c:spPr>
              <a:solidFill>
                <a:schemeClr val="accent2"/>
              </a:solidFill>
            </c:spPr>
            <c:extLst>
              <c:ext xmlns:c16="http://schemas.microsoft.com/office/drawing/2014/chart" uri="{C3380CC4-5D6E-409C-BE32-E72D297353CC}">
                <c16:uniqueId val="{00000007-7B6C-4432-B5E5-1F47A232661E}"/>
              </c:ext>
            </c:extLst>
          </c:dPt>
          <c:dLbls>
            <c:dLbl>
              <c:idx val="0"/>
              <c:spPr/>
              <c:txPr>
                <a:bodyPr/>
                <a:lstStyle/>
                <a:p>
                  <a:pPr>
                    <a:defRPr sz="600" b="1">
                      <a:solidFill>
                        <a:srgbClr val="C00000"/>
                      </a:solidFill>
                    </a:defRPr>
                  </a:pPr>
                  <a:endParaRPr lang="es-GT"/>
                </a:p>
              </c:txPr>
              <c:showLegendKey val="0"/>
              <c:showVal val="1"/>
              <c:showCatName val="0"/>
              <c:showSerName val="0"/>
              <c:showPercent val="0"/>
              <c:showBubbleSize val="0"/>
              <c:extLst>
                <c:ext xmlns:c16="http://schemas.microsoft.com/office/drawing/2014/chart" uri="{C3380CC4-5D6E-409C-BE32-E72D297353CC}">
                  <c16:uniqueId val="{00000001-7B6C-4432-B5E5-1F47A232661E}"/>
                </c:ext>
              </c:extLst>
            </c:dLbl>
            <c:dLbl>
              <c:idx val="1"/>
              <c:spPr/>
              <c:txPr>
                <a:bodyPr/>
                <a:lstStyle/>
                <a:p>
                  <a:pPr>
                    <a:defRPr sz="600" b="1">
                      <a:solidFill>
                        <a:srgbClr val="C00000"/>
                      </a:solidFill>
                    </a:defRPr>
                  </a:pPr>
                  <a:endParaRPr lang="es-GT"/>
                </a:p>
              </c:txPr>
              <c:showLegendKey val="0"/>
              <c:showVal val="1"/>
              <c:showCatName val="0"/>
              <c:showSerName val="0"/>
              <c:showPercent val="0"/>
              <c:showBubbleSize val="0"/>
              <c:extLst>
                <c:ext xmlns:c16="http://schemas.microsoft.com/office/drawing/2014/chart" uri="{C3380CC4-5D6E-409C-BE32-E72D297353CC}">
                  <c16:uniqueId val="{00000003-7B6C-4432-B5E5-1F47A232661E}"/>
                </c:ext>
              </c:extLst>
            </c:dLbl>
            <c:dLbl>
              <c:idx val="2"/>
              <c:spPr/>
              <c:txPr>
                <a:bodyPr/>
                <a:lstStyle/>
                <a:p>
                  <a:pPr>
                    <a:defRPr sz="600" b="1">
                      <a:solidFill>
                        <a:srgbClr val="C00000"/>
                      </a:solidFill>
                    </a:defRPr>
                  </a:pPr>
                  <a:endParaRPr lang="es-GT"/>
                </a:p>
              </c:txPr>
              <c:showLegendKey val="0"/>
              <c:showVal val="1"/>
              <c:showCatName val="0"/>
              <c:showSerName val="0"/>
              <c:showPercent val="0"/>
              <c:showBubbleSize val="0"/>
              <c:extLst>
                <c:ext xmlns:c16="http://schemas.microsoft.com/office/drawing/2014/chart" uri="{C3380CC4-5D6E-409C-BE32-E72D297353CC}">
                  <c16:uniqueId val="{00000005-7B6C-4432-B5E5-1F47A232661E}"/>
                </c:ext>
              </c:extLst>
            </c:dLbl>
            <c:spPr>
              <a:noFill/>
              <a:ln>
                <a:noFill/>
              </a:ln>
              <a:effectLst/>
            </c:spPr>
            <c:txPr>
              <a:bodyPr/>
              <a:lstStyle/>
              <a:p>
                <a:pPr>
                  <a:defRPr sz="600" b="1">
                    <a:solidFill>
                      <a:srgbClr val="00B05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Hoja1!$A$2:$A$19</c:f>
              <c:strCache>
                <c:ptCount val="18"/>
                <c:pt idx="0">
                  <c:v>Iva imp</c:v>
                </c:pt>
                <c:pt idx="1">
                  <c:v>Cemento</c:v>
                </c:pt>
                <c:pt idx="2">
                  <c:v>Regalías</c:v>
                </c:pt>
                <c:pt idx="3">
                  <c:v>IETAAP</c:v>
                </c:pt>
                <c:pt idx="4">
                  <c:v>Propiedad</c:v>
                </c:pt>
                <c:pt idx="5">
                  <c:v>Timbres</c:v>
                </c:pt>
                <c:pt idx="6">
                  <c:v>Otros</c:v>
                </c:pt>
                <c:pt idx="7">
                  <c:v>IEMA</c:v>
                </c:pt>
                <c:pt idx="8">
                  <c:v>ISR</c:v>
                </c:pt>
                <c:pt idx="9">
                  <c:v>IPRIMA</c:v>
                </c:pt>
                <c:pt idx="10">
                  <c:v>Salidas</c:v>
                </c:pt>
                <c:pt idx="11">
                  <c:v>Tabacos</c:v>
                </c:pt>
                <c:pt idx="12">
                  <c:v>Bebidas</c:v>
                </c:pt>
                <c:pt idx="13">
                  <c:v>Vehículos</c:v>
                </c:pt>
                <c:pt idx="14">
                  <c:v>DAI</c:v>
                </c:pt>
                <c:pt idx="15">
                  <c:v>Petróleo</c:v>
                </c:pt>
                <c:pt idx="16">
                  <c:v>ISO</c:v>
                </c:pt>
                <c:pt idx="17">
                  <c:v>IVA dom</c:v>
                </c:pt>
              </c:strCache>
            </c:strRef>
          </c:cat>
          <c:val>
            <c:numRef>
              <c:f>Hoja1!$B$2:$B$19</c:f>
              <c:numCache>
                <c:formatCode>0.0</c:formatCode>
                <c:ptCount val="18"/>
                <c:pt idx="0">
                  <c:v>-174.19913880999957</c:v>
                </c:pt>
                <c:pt idx="1">
                  <c:v>-40.726468059999995</c:v>
                </c:pt>
                <c:pt idx="2">
                  <c:v>-8.5073227599999939</c:v>
                </c:pt>
                <c:pt idx="3">
                  <c:v>0.19172952999999998</c:v>
                </c:pt>
                <c:pt idx="4">
                  <c:v>0.20415830000000001</c:v>
                </c:pt>
                <c:pt idx="5">
                  <c:v>0.33083654999998657</c:v>
                </c:pt>
                <c:pt idx="6">
                  <c:v>0.48922075999999992</c:v>
                </c:pt>
                <c:pt idx="7">
                  <c:v>0.93432987000000001</c:v>
                </c:pt>
                <c:pt idx="8">
                  <c:v>6.6691683599997305</c:v>
                </c:pt>
                <c:pt idx="9">
                  <c:v>6.7362301800000068</c:v>
                </c:pt>
                <c:pt idx="10">
                  <c:v>9.2456188000000097</c:v>
                </c:pt>
                <c:pt idx="11">
                  <c:v>12.451622979999996</c:v>
                </c:pt>
                <c:pt idx="12">
                  <c:v>12.687539430000015</c:v>
                </c:pt>
                <c:pt idx="13">
                  <c:v>18.098217160000004</c:v>
                </c:pt>
                <c:pt idx="14">
                  <c:v>53.247249839999881</c:v>
                </c:pt>
                <c:pt idx="15">
                  <c:v>78.680407440000067</c:v>
                </c:pt>
                <c:pt idx="16">
                  <c:v>94.711073159999842</c:v>
                </c:pt>
                <c:pt idx="17">
                  <c:v>114.81741516000011</c:v>
                </c:pt>
              </c:numCache>
            </c:numRef>
          </c:val>
          <c:extLst>
            <c:ext xmlns:c16="http://schemas.microsoft.com/office/drawing/2014/chart" uri="{C3380CC4-5D6E-409C-BE32-E72D297353CC}">
              <c16:uniqueId val="{00000008-7B6C-4432-B5E5-1F47A232661E}"/>
            </c:ext>
          </c:extLst>
        </c:ser>
        <c:dLbls>
          <c:showLegendKey val="0"/>
          <c:showVal val="0"/>
          <c:showCatName val="0"/>
          <c:showSerName val="0"/>
          <c:showPercent val="0"/>
          <c:showBubbleSize val="0"/>
        </c:dLbls>
        <c:gapWidth val="61"/>
        <c:axId val="41741312"/>
        <c:axId val="114156288"/>
      </c:barChart>
      <c:catAx>
        <c:axId val="41741312"/>
        <c:scaling>
          <c:orientation val="minMax"/>
        </c:scaling>
        <c:delete val="0"/>
        <c:axPos val="l"/>
        <c:majorGridlines>
          <c:spPr>
            <a:ln>
              <a:solidFill>
                <a:schemeClr val="accent1">
                  <a:shade val="95000"/>
                  <a:satMod val="105000"/>
                  <a:alpha val="15000"/>
                </a:schemeClr>
              </a:solidFill>
            </a:ln>
          </c:spPr>
        </c:majorGridlines>
        <c:numFmt formatCode="General" sourceLinked="0"/>
        <c:majorTickMark val="out"/>
        <c:minorTickMark val="none"/>
        <c:tickLblPos val="low"/>
        <c:txPr>
          <a:bodyPr/>
          <a:lstStyle/>
          <a:p>
            <a:pPr>
              <a:defRPr sz="700" b="1"/>
            </a:pPr>
            <a:endParaRPr lang="es-GT"/>
          </a:p>
        </c:txPr>
        <c:crossAx val="114156288"/>
        <c:crosses val="autoZero"/>
        <c:auto val="1"/>
        <c:lblAlgn val="ctr"/>
        <c:lblOffset val="100"/>
        <c:noMultiLvlLbl val="0"/>
      </c:catAx>
      <c:valAx>
        <c:axId val="114156288"/>
        <c:scaling>
          <c:orientation val="minMax"/>
          <c:min val="-220"/>
        </c:scaling>
        <c:delete val="0"/>
        <c:axPos val="b"/>
        <c:majorGridlines>
          <c:spPr>
            <a:ln>
              <a:solidFill>
                <a:schemeClr val="accent1">
                  <a:shade val="95000"/>
                  <a:satMod val="105000"/>
                  <a:alpha val="15000"/>
                </a:schemeClr>
              </a:solidFill>
            </a:ln>
          </c:spPr>
        </c:majorGridlines>
        <c:numFmt formatCode="0" sourceLinked="0"/>
        <c:majorTickMark val="out"/>
        <c:minorTickMark val="none"/>
        <c:tickLblPos val="nextTo"/>
        <c:txPr>
          <a:bodyPr/>
          <a:lstStyle/>
          <a:p>
            <a:pPr>
              <a:defRPr sz="700" b="1"/>
            </a:pPr>
            <a:endParaRPr lang="es-GT"/>
          </a:p>
        </c:txPr>
        <c:crossAx val="41741312"/>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50669790843618"/>
          <c:y val="8.9685139167490005E-2"/>
          <c:w val="0.84749330209156382"/>
          <c:h val="0.71533666656686912"/>
        </c:manualLayout>
      </c:layout>
      <c:barChart>
        <c:barDir val="col"/>
        <c:grouping val="clustered"/>
        <c:varyColors val="0"/>
        <c:ser>
          <c:idx val="0"/>
          <c:order val="0"/>
          <c:tx>
            <c:strRef>
              <c:f>Hoja1!$B$1</c:f>
              <c:strCache>
                <c:ptCount val="1"/>
                <c:pt idx="0">
                  <c:v>2015</c:v>
                </c:pt>
              </c:strCache>
            </c:strRef>
          </c:tx>
          <c:spPr>
            <a:solidFill>
              <a:schemeClr val="accent6">
                <a:lumMod val="75000"/>
              </a:schemeClr>
            </a:solidFill>
          </c:spPr>
          <c:invertIfNegative val="0"/>
          <c:dLbls>
            <c:numFmt formatCode="#,##0.0" sourceLinked="0"/>
            <c:spPr>
              <a:noFill/>
              <a:ln>
                <a:noFill/>
              </a:ln>
              <a:effectLst/>
            </c:spPr>
            <c:txPr>
              <a:bodyPr/>
              <a:lstStyle/>
              <a:p>
                <a:pPr>
                  <a:defRPr sz="900" b="1">
                    <a:solidFill>
                      <a:schemeClr val="accent6">
                        <a:lumMod val="75000"/>
                      </a:schemeClr>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Enero</c:v>
                </c:pt>
                <c:pt idx="1">
                  <c:v>Febrero</c:v>
                </c:pt>
                <c:pt idx="2">
                  <c:v>Marzo</c:v>
                </c:pt>
              </c:strCache>
            </c:strRef>
          </c:cat>
          <c:val>
            <c:numRef>
              <c:f>Hoja1!$B$2:$B$4</c:f>
              <c:numCache>
                <c:formatCode>General</c:formatCode>
                <c:ptCount val="3"/>
                <c:pt idx="0">
                  <c:v>1110.5704849000001</c:v>
                </c:pt>
                <c:pt idx="1">
                  <c:v>896.07514461000005</c:v>
                </c:pt>
                <c:pt idx="2">
                  <c:v>1560.3949177300001</c:v>
                </c:pt>
              </c:numCache>
            </c:numRef>
          </c:val>
          <c:extLst>
            <c:ext xmlns:c16="http://schemas.microsoft.com/office/drawing/2014/chart" uri="{C3380CC4-5D6E-409C-BE32-E72D297353CC}">
              <c16:uniqueId val="{00000000-919C-4797-BEC8-6AF058F805AE}"/>
            </c:ext>
          </c:extLst>
        </c:ser>
        <c:ser>
          <c:idx val="1"/>
          <c:order val="1"/>
          <c:tx>
            <c:strRef>
              <c:f>Hoja1!$C$1</c:f>
              <c:strCache>
                <c:ptCount val="1"/>
                <c:pt idx="0">
                  <c:v>2016</c:v>
                </c:pt>
              </c:strCache>
            </c:strRef>
          </c:tx>
          <c:spPr>
            <a:solidFill>
              <a:srgbClr val="0070C0"/>
            </a:solidFill>
          </c:spPr>
          <c:invertIfNegative val="0"/>
          <c:dLbls>
            <c:dLbl>
              <c:idx val="0"/>
              <c:layout>
                <c:manualLayout>
                  <c:x val="3.2295271049596307E-2"/>
                  <c:y val="-5.03144654088050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9C-4797-BEC8-6AF058F805AE}"/>
                </c:ext>
              </c:extLst>
            </c:dLbl>
            <c:dLbl>
              <c:idx val="1"/>
              <c:layout>
                <c:manualLayout>
                  <c:x val="3.2295271049596307E-2"/>
                  <c:y val="1.2578616352201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9C-4797-BEC8-6AF058F805AE}"/>
                </c:ext>
              </c:extLst>
            </c:dLbl>
            <c:dLbl>
              <c:idx val="2"/>
              <c:layout>
                <c:manualLayout>
                  <c:x val="4.61361014994233E-3"/>
                  <c:y val="-2.5157232704402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9C-4797-BEC8-6AF058F805AE}"/>
                </c:ext>
              </c:extLst>
            </c:dLbl>
            <c:numFmt formatCode="#,##0.0" sourceLinked="0"/>
            <c:spPr>
              <a:noFill/>
              <a:ln>
                <a:noFill/>
              </a:ln>
              <a:effectLst/>
            </c:spPr>
            <c:txPr>
              <a:bodyPr/>
              <a:lstStyle/>
              <a:p>
                <a:pPr>
                  <a:defRPr sz="900" b="1">
                    <a:solidFill>
                      <a:srgbClr val="0070C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Enero</c:v>
                </c:pt>
                <c:pt idx="1">
                  <c:v>Febrero</c:v>
                </c:pt>
                <c:pt idx="2">
                  <c:v>Marzo</c:v>
                </c:pt>
              </c:strCache>
            </c:strRef>
          </c:cat>
          <c:val>
            <c:numRef>
              <c:f>Hoja1!$C$2:$C$4</c:f>
              <c:numCache>
                <c:formatCode>General</c:formatCode>
                <c:ptCount val="3"/>
                <c:pt idx="0">
                  <c:v>1139.41660215</c:v>
                </c:pt>
                <c:pt idx="1">
                  <c:v>776.95507453999994</c:v>
                </c:pt>
                <c:pt idx="2">
                  <c:v>1657.3380389099998</c:v>
                </c:pt>
              </c:numCache>
            </c:numRef>
          </c:val>
          <c:extLst>
            <c:ext xmlns:c16="http://schemas.microsoft.com/office/drawing/2014/chart" uri="{C3380CC4-5D6E-409C-BE32-E72D297353CC}">
              <c16:uniqueId val="{00000004-919C-4797-BEC8-6AF058F805AE}"/>
            </c:ext>
          </c:extLst>
        </c:ser>
        <c:dLbls>
          <c:showLegendKey val="0"/>
          <c:showVal val="0"/>
          <c:showCatName val="0"/>
          <c:showSerName val="0"/>
          <c:showPercent val="0"/>
          <c:showBubbleSize val="0"/>
        </c:dLbls>
        <c:gapWidth val="67"/>
        <c:axId val="114480640"/>
        <c:axId val="114482176"/>
      </c:barChart>
      <c:catAx>
        <c:axId val="114480640"/>
        <c:scaling>
          <c:orientation val="minMax"/>
        </c:scaling>
        <c:delete val="0"/>
        <c:axPos val="b"/>
        <c:numFmt formatCode="General" sourceLinked="0"/>
        <c:majorTickMark val="out"/>
        <c:minorTickMark val="none"/>
        <c:tickLblPos val="nextTo"/>
        <c:txPr>
          <a:bodyPr/>
          <a:lstStyle/>
          <a:p>
            <a:pPr>
              <a:defRPr b="1"/>
            </a:pPr>
            <a:endParaRPr lang="es-GT"/>
          </a:p>
        </c:txPr>
        <c:crossAx val="114482176"/>
        <c:crosses val="autoZero"/>
        <c:auto val="1"/>
        <c:lblAlgn val="ctr"/>
        <c:lblOffset val="100"/>
        <c:noMultiLvlLbl val="0"/>
      </c:catAx>
      <c:valAx>
        <c:axId val="114482176"/>
        <c:scaling>
          <c:orientation val="minMax"/>
        </c:scaling>
        <c:delete val="0"/>
        <c:axPos val="l"/>
        <c:numFmt formatCode="General" sourceLinked="1"/>
        <c:majorTickMark val="out"/>
        <c:minorTickMark val="none"/>
        <c:tickLblPos val="nextTo"/>
        <c:crossAx val="114480640"/>
        <c:crosses val="autoZero"/>
        <c:crossBetween val="between"/>
      </c:valAx>
    </c:plotArea>
    <c:legend>
      <c:legendPos val="b"/>
      <c:layout>
        <c:manualLayout>
          <c:xMode val="edge"/>
          <c:yMode val="edge"/>
          <c:x val="0.39406697000245211"/>
          <c:y val="0.89330708661417324"/>
          <c:w val="0.33181956061720663"/>
          <c:h val="0.10669291338582677"/>
        </c:manualLayout>
      </c:layout>
      <c:overlay val="0"/>
      <c:txPr>
        <a:bodyPr/>
        <a:lstStyle/>
        <a:p>
          <a:pPr>
            <a:defRPr b="1"/>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4"/>
            <c:invertIfNegative val="0"/>
            <c:bubble3D val="0"/>
            <c:spPr>
              <a:solidFill>
                <a:schemeClr val="accent2">
                  <a:lumMod val="75000"/>
                </a:schemeClr>
              </a:solidFill>
            </c:spPr>
            <c:extLst>
              <c:ext xmlns:c16="http://schemas.microsoft.com/office/drawing/2014/chart" uri="{C3380CC4-5D6E-409C-BE32-E72D297353CC}">
                <c16:uniqueId val="{00000001-AA2D-436E-A311-458BF96283BA}"/>
              </c:ext>
            </c:extLst>
          </c:dPt>
          <c:dPt>
            <c:idx val="11"/>
            <c:invertIfNegative val="0"/>
            <c:bubble3D val="0"/>
            <c:spPr>
              <a:solidFill>
                <a:schemeClr val="accent3"/>
              </a:solidFill>
            </c:spPr>
            <c:extLst>
              <c:ext xmlns:c16="http://schemas.microsoft.com/office/drawing/2014/chart" uri="{C3380CC4-5D6E-409C-BE32-E72D297353CC}">
                <c16:uniqueId val="{00000003-AA2D-436E-A311-458BF96283BA}"/>
              </c:ext>
            </c:extLst>
          </c:dPt>
          <c:dLbls>
            <c:dLbl>
              <c:idx val="4"/>
              <c:layout>
                <c:manualLayout>
                  <c:x val="7.2222222222222215E-2"/>
                  <c:y val="8.7962962962962882E-2"/>
                </c:manualLayout>
              </c:layout>
              <c:numFmt formatCode="#,##0.0" sourceLinked="0"/>
              <c:spPr/>
              <c:txPr>
                <a:bodyPr/>
                <a:lstStyle/>
                <a:p>
                  <a:pPr>
                    <a:defRPr sz="600" b="1">
                      <a:solidFill>
                        <a:schemeClr val="accent2">
                          <a:lumMod val="75000"/>
                        </a:schemeClr>
                      </a:solidFill>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2D-436E-A311-458BF96283BA}"/>
                </c:ext>
              </c:extLst>
            </c:dLbl>
            <c:dLbl>
              <c:idx val="11"/>
              <c:numFmt formatCode="#,##0.0" sourceLinked="0"/>
              <c:spPr/>
              <c:txPr>
                <a:bodyPr/>
                <a:lstStyle/>
                <a:p>
                  <a:pPr>
                    <a:defRPr sz="600" b="1">
                      <a:solidFill>
                        <a:schemeClr val="accent3">
                          <a:lumMod val="50000"/>
                        </a:schemeClr>
                      </a:solidFill>
                    </a:defRPr>
                  </a:pPr>
                  <a:endParaRPr lang="es-GT"/>
                </a:p>
              </c:txPr>
              <c:showLegendKey val="0"/>
              <c:showVal val="1"/>
              <c:showCatName val="0"/>
              <c:showSerName val="0"/>
              <c:showPercent val="0"/>
              <c:showBubbleSize val="0"/>
              <c:extLst>
                <c:ext xmlns:c16="http://schemas.microsoft.com/office/drawing/2014/chart" uri="{C3380CC4-5D6E-409C-BE32-E72D297353CC}">
                  <c16:uniqueId val="{00000003-AA2D-436E-A311-458BF96283BA}"/>
                </c:ext>
              </c:extLst>
            </c:dLbl>
            <c:numFmt formatCode="#,##0.0" sourceLinked="0"/>
            <c:spPr>
              <a:noFill/>
              <a:ln>
                <a:noFill/>
              </a:ln>
              <a:effectLst/>
            </c:spPr>
            <c:txPr>
              <a:bodyPr/>
              <a:lstStyle/>
              <a:p>
                <a:pPr>
                  <a:defRPr sz="600" b="1">
                    <a:solidFill>
                      <a:schemeClr val="tx2"/>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Hoja3!$A$5:$B$16</c:f>
              <c:multiLvlStrCache>
                <c:ptCount val="12"/>
                <c:lvl>
                  <c:pt idx="0">
                    <c:v>T2</c:v>
                  </c:pt>
                  <c:pt idx="1">
                    <c:v>T3</c:v>
                  </c:pt>
                  <c:pt idx="2">
                    <c:v>T4</c:v>
                  </c:pt>
                  <c:pt idx="3">
                    <c:v>T1</c:v>
                  </c:pt>
                  <c:pt idx="4">
                    <c:v>T2</c:v>
                  </c:pt>
                  <c:pt idx="5">
                    <c:v>T3</c:v>
                  </c:pt>
                  <c:pt idx="6">
                    <c:v>T4</c:v>
                  </c:pt>
                  <c:pt idx="7">
                    <c:v>T1</c:v>
                  </c:pt>
                  <c:pt idx="8">
                    <c:v>T2</c:v>
                  </c:pt>
                  <c:pt idx="9">
                    <c:v>T3</c:v>
                  </c:pt>
                  <c:pt idx="10">
                    <c:v>T4</c:v>
                  </c:pt>
                  <c:pt idx="11">
                    <c:v>T1</c:v>
                  </c:pt>
                </c:lvl>
                <c:lvl>
                  <c:pt idx="0">
                    <c:v>2013</c:v>
                  </c:pt>
                  <c:pt idx="3">
                    <c:v>2014</c:v>
                  </c:pt>
                  <c:pt idx="7">
                    <c:v>2015</c:v>
                  </c:pt>
                  <c:pt idx="11">
                    <c:v>2016</c:v>
                  </c:pt>
                </c:lvl>
              </c:multiLvlStrCache>
            </c:multiLvlStrRef>
          </c:cat>
          <c:val>
            <c:numRef>
              <c:f>Hoja3!$C$5:$C$16</c:f>
              <c:numCache>
                <c:formatCode>General</c:formatCode>
                <c:ptCount val="12"/>
                <c:pt idx="0">
                  <c:v>1.9</c:v>
                </c:pt>
                <c:pt idx="1">
                  <c:v>1.1000000000000001</c:v>
                </c:pt>
                <c:pt idx="2">
                  <c:v>3</c:v>
                </c:pt>
                <c:pt idx="3">
                  <c:v>3.8</c:v>
                </c:pt>
                <c:pt idx="4">
                  <c:v>-0.9</c:v>
                </c:pt>
                <c:pt idx="5">
                  <c:v>4.5999999999999996</c:v>
                </c:pt>
                <c:pt idx="6">
                  <c:v>4.3</c:v>
                </c:pt>
                <c:pt idx="7">
                  <c:v>2.1</c:v>
                </c:pt>
                <c:pt idx="8">
                  <c:v>0.6</c:v>
                </c:pt>
                <c:pt idx="9">
                  <c:v>3.9</c:v>
                </c:pt>
                <c:pt idx="10">
                  <c:v>2</c:v>
                </c:pt>
                <c:pt idx="11">
                  <c:v>1.4</c:v>
                </c:pt>
              </c:numCache>
            </c:numRef>
          </c:val>
          <c:extLst>
            <c:ext xmlns:c16="http://schemas.microsoft.com/office/drawing/2014/chart" uri="{C3380CC4-5D6E-409C-BE32-E72D297353CC}">
              <c16:uniqueId val="{00000004-AA2D-436E-A311-458BF96283BA}"/>
            </c:ext>
          </c:extLst>
        </c:ser>
        <c:dLbls>
          <c:showLegendKey val="0"/>
          <c:showVal val="0"/>
          <c:showCatName val="0"/>
          <c:showSerName val="0"/>
          <c:showPercent val="0"/>
          <c:showBubbleSize val="0"/>
        </c:dLbls>
        <c:gapWidth val="60"/>
        <c:shape val="box"/>
        <c:axId val="114418816"/>
        <c:axId val="114420352"/>
        <c:axId val="0"/>
      </c:bar3DChart>
      <c:catAx>
        <c:axId val="114418816"/>
        <c:scaling>
          <c:orientation val="minMax"/>
        </c:scaling>
        <c:delete val="0"/>
        <c:axPos val="b"/>
        <c:numFmt formatCode="General" sourceLinked="0"/>
        <c:majorTickMark val="out"/>
        <c:minorTickMark val="none"/>
        <c:tickLblPos val="low"/>
        <c:txPr>
          <a:bodyPr/>
          <a:lstStyle/>
          <a:p>
            <a:pPr>
              <a:defRPr sz="600"/>
            </a:pPr>
            <a:endParaRPr lang="es-GT"/>
          </a:p>
        </c:txPr>
        <c:crossAx val="114420352"/>
        <c:crosses val="autoZero"/>
        <c:auto val="1"/>
        <c:lblAlgn val="ctr"/>
        <c:lblOffset val="100"/>
        <c:noMultiLvlLbl val="0"/>
      </c:catAx>
      <c:valAx>
        <c:axId val="114420352"/>
        <c:scaling>
          <c:orientation val="minMax"/>
        </c:scaling>
        <c:delete val="0"/>
        <c:axPos val="l"/>
        <c:numFmt formatCode="#,##0.0" sourceLinked="0"/>
        <c:majorTickMark val="out"/>
        <c:minorTickMark val="none"/>
        <c:tickLblPos val="nextTo"/>
        <c:txPr>
          <a:bodyPr/>
          <a:lstStyle/>
          <a:p>
            <a:pPr>
              <a:defRPr sz="600"/>
            </a:pPr>
            <a:endParaRPr lang="es-GT"/>
          </a:p>
        </c:txPr>
        <c:crossAx val="11441881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s-G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12700">
              <a:solidFill>
                <a:srgbClr val="FF0000"/>
              </a:solidFill>
            </a:ln>
            <a:effectLst>
              <a:outerShdw blurRad="50800" dist="38100" dir="2700000" algn="tl" rotWithShape="0">
                <a:prstClr val="black">
                  <a:alpha val="40000"/>
                </a:prstClr>
              </a:outerShdw>
            </a:effectLst>
          </c:spPr>
          <c:marker>
            <c:symbol val="square"/>
            <c:size val="2"/>
            <c:spPr>
              <a:solidFill>
                <a:srgbClr val="FF0000"/>
              </a:solidFill>
              <a:ln>
                <a:solidFill>
                  <a:srgbClr val="FF0000"/>
                </a:solidFill>
              </a:ln>
              <a:effectLst>
                <a:outerShdw blurRad="50800" dist="38100" dir="2700000" algn="tl" rotWithShape="0">
                  <a:prstClr val="black">
                    <a:alpha val="40000"/>
                  </a:prstClr>
                </a:outerShdw>
              </a:effectLst>
            </c:spPr>
          </c:marker>
          <c:dLbls>
            <c:dLbl>
              <c:idx val="0"/>
              <c:layout>
                <c:manualLayout>
                  <c:x val="-4.9189820418423333E-2"/>
                  <c:y val="5.7304336952079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5E-4FE4-B640-951EBB373D2F}"/>
                </c:ext>
              </c:extLst>
            </c:dLbl>
            <c:dLbl>
              <c:idx val="12"/>
              <c:layout>
                <c:manualLayout>
                  <c:x val="-4.4270838376580995E-2"/>
                  <c:y val="-4.9118003101782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5E-4FE4-B640-951EBB373D2F}"/>
                </c:ext>
              </c:extLst>
            </c:dLbl>
            <c:dLbl>
              <c:idx val="24"/>
              <c:layout>
                <c:manualLayout>
                  <c:x val="-9.8379640836846662E-3"/>
                  <c:y val="4.9172793525190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5E-4FE4-B640-951EBB373D2F}"/>
                </c:ext>
              </c:extLst>
            </c:dLbl>
            <c:spPr>
              <a:noFill/>
              <a:ln>
                <a:noFill/>
              </a:ln>
              <a:effectLst/>
            </c:spPr>
            <c:txPr>
              <a:bodyPr/>
              <a:lstStyle/>
              <a:p>
                <a:pPr>
                  <a:defRPr sz="600" b="1"/>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Hoja2!$E$149:$F$173</c:f>
              <c:multiLvlStrCache>
                <c:ptCount val="25"/>
                <c:lvl>
                  <c:pt idx="0">
                    <c:v>Marzo</c:v>
                  </c:pt>
                  <c:pt idx="1">
                    <c:v>Abril</c:v>
                  </c:pt>
                  <c:pt idx="2">
                    <c:v>Mayo</c:v>
                  </c:pt>
                  <c:pt idx="3">
                    <c:v>Junio</c:v>
                  </c:pt>
                  <c:pt idx="4">
                    <c:v>Julio</c:v>
                  </c:pt>
                  <c:pt idx="5">
                    <c:v>Agosto</c:v>
                  </c:pt>
                  <c:pt idx="6">
                    <c:v>Septiembre</c:v>
                  </c:pt>
                  <c:pt idx="7">
                    <c:v>Octubre</c:v>
                  </c:pt>
                  <c:pt idx="8">
                    <c:v>Noviembre</c:v>
                  </c:pt>
                  <c:pt idx="9">
                    <c:v>Diciembre</c:v>
                  </c:pt>
                  <c:pt idx="10">
                    <c:v>Enero</c:v>
                  </c:pt>
                  <c:pt idx="11">
                    <c:v>Febrero</c:v>
                  </c:pt>
                  <c:pt idx="12">
                    <c:v>Marzo</c:v>
                  </c:pt>
                  <c:pt idx="13">
                    <c:v>Abril</c:v>
                  </c:pt>
                  <c:pt idx="14">
                    <c:v>Mayo</c:v>
                  </c:pt>
                  <c:pt idx="15">
                    <c:v>Junio</c:v>
                  </c:pt>
                  <c:pt idx="16">
                    <c:v>Julio</c:v>
                  </c:pt>
                  <c:pt idx="17">
                    <c:v>Agosto</c:v>
                  </c:pt>
                  <c:pt idx="18">
                    <c:v>Septiembre</c:v>
                  </c:pt>
                  <c:pt idx="19">
                    <c:v>Octubre</c:v>
                  </c:pt>
                  <c:pt idx="20">
                    <c:v>Noviembre</c:v>
                  </c:pt>
                  <c:pt idx="21">
                    <c:v>Diciembre</c:v>
                  </c:pt>
                  <c:pt idx="22">
                    <c:v>Enero</c:v>
                  </c:pt>
                  <c:pt idx="23">
                    <c:v>Febrero</c:v>
                  </c:pt>
                  <c:pt idx="24">
                    <c:v>marzo</c:v>
                  </c:pt>
                </c:lvl>
                <c:lvl>
                  <c:pt idx="0">
                    <c:v>2014</c:v>
                  </c:pt>
                  <c:pt idx="10">
                    <c:v>2015</c:v>
                  </c:pt>
                  <c:pt idx="22">
                    <c:v>2016</c:v>
                  </c:pt>
                </c:lvl>
              </c:multiLvlStrCache>
            </c:multiLvlStrRef>
          </c:cat>
          <c:val>
            <c:numRef>
              <c:f>Hoja2!$G$149:$G$173</c:f>
              <c:numCache>
                <c:formatCode>General</c:formatCode>
                <c:ptCount val="25"/>
                <c:pt idx="0">
                  <c:v>59.73</c:v>
                </c:pt>
                <c:pt idx="1">
                  <c:v>62.5</c:v>
                </c:pt>
                <c:pt idx="2">
                  <c:v>52.78</c:v>
                </c:pt>
                <c:pt idx="3">
                  <c:v>64.290000000000006</c:v>
                </c:pt>
                <c:pt idx="4">
                  <c:v>53.75</c:v>
                </c:pt>
                <c:pt idx="5">
                  <c:v>39.31</c:v>
                </c:pt>
                <c:pt idx="6">
                  <c:v>42.71</c:v>
                </c:pt>
                <c:pt idx="7">
                  <c:v>48.86</c:v>
                </c:pt>
                <c:pt idx="8">
                  <c:v>51.25</c:v>
                </c:pt>
                <c:pt idx="9">
                  <c:v>52.28</c:v>
                </c:pt>
                <c:pt idx="10">
                  <c:v>43.89</c:v>
                </c:pt>
                <c:pt idx="11">
                  <c:v>60</c:v>
                </c:pt>
                <c:pt idx="12">
                  <c:v>57.82</c:v>
                </c:pt>
                <c:pt idx="13">
                  <c:v>51.14</c:v>
                </c:pt>
                <c:pt idx="14">
                  <c:v>41.67</c:v>
                </c:pt>
                <c:pt idx="15">
                  <c:v>33.04</c:v>
                </c:pt>
                <c:pt idx="16">
                  <c:v>28.68</c:v>
                </c:pt>
                <c:pt idx="17">
                  <c:v>21.67</c:v>
                </c:pt>
                <c:pt idx="18">
                  <c:v>46.67</c:v>
                </c:pt>
                <c:pt idx="19">
                  <c:v>47.12</c:v>
                </c:pt>
                <c:pt idx="20">
                  <c:v>64.319999999999993</c:v>
                </c:pt>
                <c:pt idx="21">
                  <c:v>54.97</c:v>
                </c:pt>
                <c:pt idx="22">
                  <c:v>66.97</c:v>
                </c:pt>
                <c:pt idx="23">
                  <c:v>60.65</c:v>
                </c:pt>
                <c:pt idx="24">
                  <c:v>61.54</c:v>
                </c:pt>
              </c:numCache>
            </c:numRef>
          </c:val>
          <c:smooth val="0"/>
          <c:extLst>
            <c:ext xmlns:c16="http://schemas.microsoft.com/office/drawing/2014/chart" uri="{C3380CC4-5D6E-409C-BE32-E72D297353CC}">
              <c16:uniqueId val="{00000003-525E-4FE4-B640-951EBB373D2F}"/>
            </c:ext>
          </c:extLst>
        </c:ser>
        <c:ser>
          <c:idx val="1"/>
          <c:order val="1"/>
          <c:spPr>
            <a:ln w="25400">
              <a:solidFill>
                <a:schemeClr val="tx1"/>
              </a:solidFill>
            </a:ln>
          </c:spPr>
          <c:marker>
            <c:symbol val="none"/>
          </c:marker>
          <c:cat>
            <c:multiLvlStrRef>
              <c:f>Hoja2!$E$149:$F$173</c:f>
              <c:multiLvlStrCache>
                <c:ptCount val="25"/>
                <c:lvl>
                  <c:pt idx="0">
                    <c:v>Marzo</c:v>
                  </c:pt>
                  <c:pt idx="1">
                    <c:v>Abril</c:v>
                  </c:pt>
                  <c:pt idx="2">
                    <c:v>Mayo</c:v>
                  </c:pt>
                  <c:pt idx="3">
                    <c:v>Junio</c:v>
                  </c:pt>
                  <c:pt idx="4">
                    <c:v>Julio</c:v>
                  </c:pt>
                  <c:pt idx="5">
                    <c:v>Agosto</c:v>
                  </c:pt>
                  <c:pt idx="6">
                    <c:v>Septiembre</c:v>
                  </c:pt>
                  <c:pt idx="7">
                    <c:v>Octubre</c:v>
                  </c:pt>
                  <c:pt idx="8">
                    <c:v>Noviembre</c:v>
                  </c:pt>
                  <c:pt idx="9">
                    <c:v>Diciembre</c:v>
                  </c:pt>
                  <c:pt idx="10">
                    <c:v>Enero</c:v>
                  </c:pt>
                  <c:pt idx="11">
                    <c:v>Febrero</c:v>
                  </c:pt>
                  <c:pt idx="12">
                    <c:v>Marzo</c:v>
                  </c:pt>
                  <c:pt idx="13">
                    <c:v>Abril</c:v>
                  </c:pt>
                  <c:pt idx="14">
                    <c:v>Mayo</c:v>
                  </c:pt>
                  <c:pt idx="15">
                    <c:v>Junio</c:v>
                  </c:pt>
                  <c:pt idx="16">
                    <c:v>Julio</c:v>
                  </c:pt>
                  <c:pt idx="17">
                    <c:v>Agosto</c:v>
                  </c:pt>
                  <c:pt idx="18">
                    <c:v>Septiembre</c:v>
                  </c:pt>
                  <c:pt idx="19">
                    <c:v>Octubre</c:v>
                  </c:pt>
                  <c:pt idx="20">
                    <c:v>Noviembre</c:v>
                  </c:pt>
                  <c:pt idx="21">
                    <c:v>Diciembre</c:v>
                  </c:pt>
                  <c:pt idx="22">
                    <c:v>Enero</c:v>
                  </c:pt>
                  <c:pt idx="23">
                    <c:v>Febrero</c:v>
                  </c:pt>
                  <c:pt idx="24">
                    <c:v>marzo</c:v>
                  </c:pt>
                </c:lvl>
                <c:lvl>
                  <c:pt idx="0">
                    <c:v>2014</c:v>
                  </c:pt>
                  <c:pt idx="10">
                    <c:v>2015</c:v>
                  </c:pt>
                  <c:pt idx="22">
                    <c:v>2016</c:v>
                  </c:pt>
                </c:lvl>
              </c:multiLvlStrCache>
            </c:multiLvlStrRef>
          </c:cat>
          <c:val>
            <c:numRef>
              <c:f>Hoja2!$H$149:$H$173</c:f>
              <c:numCache>
                <c:formatCode>General</c:formatCode>
                <c:ptCount val="25"/>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numCache>
            </c:numRef>
          </c:val>
          <c:smooth val="0"/>
          <c:extLst>
            <c:ext xmlns:c16="http://schemas.microsoft.com/office/drawing/2014/chart" uri="{C3380CC4-5D6E-409C-BE32-E72D297353CC}">
              <c16:uniqueId val="{00000004-525E-4FE4-B640-951EBB373D2F}"/>
            </c:ext>
          </c:extLst>
        </c:ser>
        <c:dLbls>
          <c:showLegendKey val="0"/>
          <c:showVal val="0"/>
          <c:showCatName val="0"/>
          <c:showSerName val="0"/>
          <c:showPercent val="0"/>
          <c:showBubbleSize val="0"/>
        </c:dLbls>
        <c:marker val="1"/>
        <c:smooth val="0"/>
        <c:axId val="114519424"/>
        <c:axId val="114533504"/>
      </c:lineChart>
      <c:catAx>
        <c:axId val="114519424"/>
        <c:scaling>
          <c:orientation val="minMax"/>
        </c:scaling>
        <c:delete val="0"/>
        <c:axPos val="b"/>
        <c:numFmt formatCode="General" sourceLinked="0"/>
        <c:majorTickMark val="out"/>
        <c:minorTickMark val="none"/>
        <c:tickLblPos val="nextTo"/>
        <c:txPr>
          <a:bodyPr/>
          <a:lstStyle/>
          <a:p>
            <a:pPr>
              <a:defRPr sz="600"/>
            </a:pPr>
            <a:endParaRPr lang="es-GT"/>
          </a:p>
        </c:txPr>
        <c:crossAx val="114533504"/>
        <c:crosses val="autoZero"/>
        <c:auto val="1"/>
        <c:lblAlgn val="ctr"/>
        <c:lblOffset val="100"/>
        <c:noMultiLvlLbl val="0"/>
      </c:catAx>
      <c:valAx>
        <c:axId val="114533504"/>
        <c:scaling>
          <c:orientation val="minMax"/>
          <c:min val="20"/>
        </c:scaling>
        <c:delete val="0"/>
        <c:axPos val="l"/>
        <c:numFmt formatCode="#,##0.00" sourceLinked="0"/>
        <c:majorTickMark val="out"/>
        <c:minorTickMark val="none"/>
        <c:tickLblPos val="nextTo"/>
        <c:txPr>
          <a:bodyPr/>
          <a:lstStyle/>
          <a:p>
            <a:pPr>
              <a:defRPr sz="600"/>
            </a:pPr>
            <a:endParaRPr lang="es-GT"/>
          </a:p>
        </c:txPr>
        <c:crossAx val="11451942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s-GT"/>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12700"/>
            <a:effectLst>
              <a:outerShdw blurRad="50800" dist="38100" dir="2700000" algn="tl" rotWithShape="0">
                <a:prstClr val="black">
                  <a:alpha val="40000"/>
                </a:prstClr>
              </a:outerShdw>
            </a:effectLst>
          </c:spPr>
          <c:marker>
            <c:symbol val="square"/>
            <c:size val="2"/>
            <c:spPr>
              <a:effectLst>
                <a:outerShdw blurRad="50800" dist="38100" dir="2700000" algn="tl" rotWithShape="0">
                  <a:prstClr val="black">
                    <a:alpha val="40000"/>
                  </a:prstClr>
                </a:outerShdw>
              </a:effectLst>
            </c:spPr>
          </c:marker>
          <c:dLbls>
            <c:dLbl>
              <c:idx val="0"/>
              <c:layout>
                <c:manualLayout>
                  <c:x val="-3.3333333333333347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DC-4D0B-ABA1-A0571A121B84}"/>
                </c:ext>
              </c:extLst>
            </c:dLbl>
            <c:dLbl>
              <c:idx val="12"/>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DC-4D0B-ABA1-A0571A121B84}"/>
                </c:ext>
              </c:extLst>
            </c:dLbl>
            <c:dLbl>
              <c:idx val="24"/>
              <c:layout>
                <c:manualLayout>
                  <c:x val="0"/>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DC-4D0B-ABA1-A0571A121B84}"/>
                </c:ext>
              </c:extLst>
            </c:dLbl>
            <c:spPr>
              <a:noFill/>
              <a:ln>
                <a:noFill/>
              </a:ln>
              <a:effectLst/>
            </c:spPr>
            <c:txPr>
              <a:bodyPr/>
              <a:lstStyle/>
              <a:p>
                <a:pPr>
                  <a:defRPr sz="600" b="1"/>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Hoja1!$A$53:$B$77</c:f>
              <c:multiLvlStrCache>
                <c:ptCount val="25"/>
                <c:lvl>
                  <c:pt idx="0">
                    <c:v>Marzo</c:v>
                  </c:pt>
                  <c:pt idx="1">
                    <c:v>Abril</c:v>
                  </c:pt>
                  <c:pt idx="2">
                    <c:v>Mayo</c:v>
                  </c:pt>
                  <c:pt idx="3">
                    <c:v>Junio</c:v>
                  </c:pt>
                  <c:pt idx="4">
                    <c:v>Julio</c:v>
                  </c:pt>
                  <c:pt idx="5">
                    <c:v>Agosto</c:v>
                  </c:pt>
                  <c:pt idx="6">
                    <c:v>Septiembre</c:v>
                  </c:pt>
                  <c:pt idx="7">
                    <c:v>Octubre</c:v>
                  </c:pt>
                  <c:pt idx="8">
                    <c:v>Noviembre</c:v>
                  </c:pt>
                  <c:pt idx="9">
                    <c:v>Diciembre</c:v>
                  </c:pt>
                  <c:pt idx="10">
                    <c:v>Enero</c:v>
                  </c:pt>
                  <c:pt idx="11">
                    <c:v>Febrero</c:v>
                  </c:pt>
                  <c:pt idx="12">
                    <c:v>Marzo</c:v>
                  </c:pt>
                  <c:pt idx="13">
                    <c:v>Abril</c:v>
                  </c:pt>
                  <c:pt idx="14">
                    <c:v>Mayo</c:v>
                  </c:pt>
                  <c:pt idx="15">
                    <c:v>Junio</c:v>
                  </c:pt>
                  <c:pt idx="16">
                    <c:v>Julio</c:v>
                  </c:pt>
                  <c:pt idx="17">
                    <c:v>Agosto</c:v>
                  </c:pt>
                  <c:pt idx="18">
                    <c:v>Septiembre</c:v>
                  </c:pt>
                  <c:pt idx="19">
                    <c:v>Octubre</c:v>
                  </c:pt>
                  <c:pt idx="20">
                    <c:v>Noviembre</c:v>
                  </c:pt>
                  <c:pt idx="21">
                    <c:v>Diciembre</c:v>
                  </c:pt>
                  <c:pt idx="22">
                    <c:v>Enero</c:v>
                  </c:pt>
                  <c:pt idx="23">
                    <c:v>Febrero</c:v>
                  </c:pt>
                  <c:pt idx="24">
                    <c:v>Marzo</c:v>
                  </c:pt>
                </c:lvl>
                <c:lvl>
                  <c:pt idx="0">
                    <c:v>2014</c:v>
                  </c:pt>
                  <c:pt idx="10">
                    <c:v>2015</c:v>
                  </c:pt>
                  <c:pt idx="22">
                    <c:v>2016</c:v>
                  </c:pt>
                </c:lvl>
              </c:multiLvlStrCache>
            </c:multiLvlStrRef>
          </c:cat>
          <c:val>
            <c:numRef>
              <c:f>Hoja1!$H$53:$H$77</c:f>
              <c:numCache>
                <c:formatCode>0.00%</c:formatCode>
                <c:ptCount val="25"/>
                <c:pt idx="0">
                  <c:v>3.2459983904140177E-2</c:v>
                </c:pt>
                <c:pt idx="1">
                  <c:v>3.2672737011248065E-2</c:v>
                </c:pt>
                <c:pt idx="2">
                  <c:v>3.2229344729344689E-2</c:v>
                </c:pt>
                <c:pt idx="3">
                  <c:v>3.1321889930985725E-2</c:v>
                </c:pt>
                <c:pt idx="4">
                  <c:v>3.4139026111503323E-2</c:v>
                </c:pt>
                <c:pt idx="5">
                  <c:v>3.6997885835095223E-2</c:v>
                </c:pt>
                <c:pt idx="6">
                  <c:v>3.4519104084321572E-2</c:v>
                </c:pt>
                <c:pt idx="7">
                  <c:v>3.6373220875066004E-2</c:v>
                </c:pt>
                <c:pt idx="8">
                  <c:v>3.3761917257062901E-2</c:v>
                </c:pt>
                <c:pt idx="9">
                  <c:v>2.9473317056156301E-2</c:v>
                </c:pt>
                <c:pt idx="10">
                  <c:v>2.3223449595546786E-2</c:v>
                </c:pt>
                <c:pt idx="11">
                  <c:v>2.4392361111111205E-2</c:v>
                </c:pt>
                <c:pt idx="12">
                  <c:v>2.4250822795773619E-2</c:v>
                </c:pt>
                <c:pt idx="13">
                  <c:v>2.5760719225449424E-2</c:v>
                </c:pt>
                <c:pt idx="14">
                  <c:v>2.5530446782818794E-2</c:v>
                </c:pt>
                <c:pt idx="15">
                  <c:v>2.3850377487989016E-2</c:v>
                </c:pt>
                <c:pt idx="16">
                  <c:v>2.3202251983280631E-2</c:v>
                </c:pt>
                <c:pt idx="17">
                  <c:v>1.9622833843017329E-2</c:v>
                </c:pt>
                <c:pt idx="18">
                  <c:v>1.8763796909492259E-2</c:v>
                </c:pt>
                <c:pt idx="19">
                  <c:v>2.2295693455408605E-2</c:v>
                </c:pt>
                <c:pt idx="20">
                  <c:v>2.5129029528724978E-2</c:v>
                </c:pt>
                <c:pt idx="21">
                  <c:v>3.0662375063527092E-2</c:v>
                </c:pt>
                <c:pt idx="22">
                  <c:v>4.3777626657599544E-2</c:v>
                </c:pt>
                <c:pt idx="23">
                  <c:v>4.2708245063977524E-2</c:v>
                </c:pt>
                <c:pt idx="24">
                  <c:v>4.2617960426179602E-2</c:v>
                </c:pt>
              </c:numCache>
            </c:numRef>
          </c:val>
          <c:smooth val="0"/>
          <c:extLst>
            <c:ext xmlns:c16="http://schemas.microsoft.com/office/drawing/2014/chart" uri="{C3380CC4-5D6E-409C-BE32-E72D297353CC}">
              <c16:uniqueId val="{00000003-29DC-4D0B-ABA1-A0571A121B84}"/>
            </c:ext>
          </c:extLst>
        </c:ser>
        <c:ser>
          <c:idx val="1"/>
          <c:order val="1"/>
          <c:spPr>
            <a:ln w="12700">
              <a:solidFill>
                <a:schemeClr val="tx1"/>
              </a:solidFill>
            </a:ln>
          </c:spPr>
          <c:marker>
            <c:symbol val="none"/>
          </c:marker>
          <c:cat>
            <c:multiLvlStrRef>
              <c:f>Hoja1!$A$53:$B$77</c:f>
              <c:multiLvlStrCache>
                <c:ptCount val="25"/>
                <c:lvl>
                  <c:pt idx="0">
                    <c:v>Marzo</c:v>
                  </c:pt>
                  <c:pt idx="1">
                    <c:v>Abril</c:v>
                  </c:pt>
                  <c:pt idx="2">
                    <c:v>Mayo</c:v>
                  </c:pt>
                  <c:pt idx="3">
                    <c:v>Junio</c:v>
                  </c:pt>
                  <c:pt idx="4">
                    <c:v>Julio</c:v>
                  </c:pt>
                  <c:pt idx="5">
                    <c:v>Agosto</c:v>
                  </c:pt>
                  <c:pt idx="6">
                    <c:v>Septiembre</c:v>
                  </c:pt>
                  <c:pt idx="7">
                    <c:v>Octubre</c:v>
                  </c:pt>
                  <c:pt idx="8">
                    <c:v>Noviembre</c:v>
                  </c:pt>
                  <c:pt idx="9">
                    <c:v>Diciembre</c:v>
                  </c:pt>
                  <c:pt idx="10">
                    <c:v>Enero</c:v>
                  </c:pt>
                  <c:pt idx="11">
                    <c:v>Febrero</c:v>
                  </c:pt>
                  <c:pt idx="12">
                    <c:v>Marzo</c:v>
                  </c:pt>
                  <c:pt idx="13">
                    <c:v>Abril</c:v>
                  </c:pt>
                  <c:pt idx="14">
                    <c:v>Mayo</c:v>
                  </c:pt>
                  <c:pt idx="15">
                    <c:v>Junio</c:v>
                  </c:pt>
                  <c:pt idx="16">
                    <c:v>Julio</c:v>
                  </c:pt>
                  <c:pt idx="17">
                    <c:v>Agosto</c:v>
                  </c:pt>
                  <c:pt idx="18">
                    <c:v>Septiembre</c:v>
                  </c:pt>
                  <c:pt idx="19">
                    <c:v>Octubre</c:v>
                  </c:pt>
                  <c:pt idx="20">
                    <c:v>Noviembre</c:v>
                  </c:pt>
                  <c:pt idx="21">
                    <c:v>Diciembre</c:v>
                  </c:pt>
                  <c:pt idx="22">
                    <c:v>Enero</c:v>
                  </c:pt>
                  <c:pt idx="23">
                    <c:v>Febrero</c:v>
                  </c:pt>
                  <c:pt idx="24">
                    <c:v>Marzo</c:v>
                  </c:pt>
                </c:lvl>
                <c:lvl>
                  <c:pt idx="0">
                    <c:v>2014</c:v>
                  </c:pt>
                  <c:pt idx="10">
                    <c:v>2015</c:v>
                  </c:pt>
                  <c:pt idx="22">
                    <c:v>2016</c:v>
                  </c:pt>
                </c:lvl>
              </c:multiLvlStrCache>
            </c:multiLvlStrRef>
          </c:cat>
          <c:val>
            <c:numRef>
              <c:f>Hoja1!$I$53:$I$77</c:f>
              <c:numCache>
                <c:formatCode>0.00%</c:formatCode>
                <c:ptCount val="25"/>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numCache>
            </c:numRef>
          </c:val>
          <c:smooth val="0"/>
          <c:extLst>
            <c:ext xmlns:c16="http://schemas.microsoft.com/office/drawing/2014/chart" uri="{C3380CC4-5D6E-409C-BE32-E72D297353CC}">
              <c16:uniqueId val="{00000004-29DC-4D0B-ABA1-A0571A121B84}"/>
            </c:ext>
          </c:extLst>
        </c:ser>
        <c:ser>
          <c:idx val="2"/>
          <c:order val="2"/>
          <c:spPr>
            <a:ln w="12700">
              <a:solidFill>
                <a:schemeClr val="tx1">
                  <a:lumMod val="50000"/>
                  <a:lumOff val="50000"/>
                </a:schemeClr>
              </a:solidFill>
              <a:prstDash val="dash"/>
            </a:ln>
          </c:spPr>
          <c:marker>
            <c:symbol val="none"/>
          </c:marker>
          <c:cat>
            <c:multiLvlStrRef>
              <c:f>Hoja1!$A$53:$B$77</c:f>
              <c:multiLvlStrCache>
                <c:ptCount val="25"/>
                <c:lvl>
                  <c:pt idx="0">
                    <c:v>Marzo</c:v>
                  </c:pt>
                  <c:pt idx="1">
                    <c:v>Abril</c:v>
                  </c:pt>
                  <c:pt idx="2">
                    <c:v>Mayo</c:v>
                  </c:pt>
                  <c:pt idx="3">
                    <c:v>Junio</c:v>
                  </c:pt>
                  <c:pt idx="4">
                    <c:v>Julio</c:v>
                  </c:pt>
                  <c:pt idx="5">
                    <c:v>Agosto</c:v>
                  </c:pt>
                  <c:pt idx="6">
                    <c:v>Septiembre</c:v>
                  </c:pt>
                  <c:pt idx="7">
                    <c:v>Octubre</c:v>
                  </c:pt>
                  <c:pt idx="8">
                    <c:v>Noviembre</c:v>
                  </c:pt>
                  <c:pt idx="9">
                    <c:v>Diciembre</c:v>
                  </c:pt>
                  <c:pt idx="10">
                    <c:v>Enero</c:v>
                  </c:pt>
                  <c:pt idx="11">
                    <c:v>Febrero</c:v>
                  </c:pt>
                  <c:pt idx="12">
                    <c:v>Marzo</c:v>
                  </c:pt>
                  <c:pt idx="13">
                    <c:v>Abril</c:v>
                  </c:pt>
                  <c:pt idx="14">
                    <c:v>Mayo</c:v>
                  </c:pt>
                  <c:pt idx="15">
                    <c:v>Junio</c:v>
                  </c:pt>
                  <c:pt idx="16">
                    <c:v>Julio</c:v>
                  </c:pt>
                  <c:pt idx="17">
                    <c:v>Agosto</c:v>
                  </c:pt>
                  <c:pt idx="18">
                    <c:v>Septiembre</c:v>
                  </c:pt>
                  <c:pt idx="19">
                    <c:v>Octubre</c:v>
                  </c:pt>
                  <c:pt idx="20">
                    <c:v>Noviembre</c:v>
                  </c:pt>
                  <c:pt idx="21">
                    <c:v>Diciembre</c:v>
                  </c:pt>
                  <c:pt idx="22">
                    <c:v>Enero</c:v>
                  </c:pt>
                  <c:pt idx="23">
                    <c:v>Febrero</c:v>
                  </c:pt>
                  <c:pt idx="24">
                    <c:v>Marzo</c:v>
                  </c:pt>
                </c:lvl>
                <c:lvl>
                  <c:pt idx="0">
                    <c:v>2014</c:v>
                  </c:pt>
                  <c:pt idx="10">
                    <c:v>2015</c:v>
                  </c:pt>
                  <c:pt idx="22">
                    <c:v>2016</c:v>
                  </c:pt>
                </c:lvl>
              </c:multiLvlStrCache>
            </c:multiLvlStrRef>
          </c:cat>
          <c:val>
            <c:numRef>
              <c:f>Hoja1!$J$53:$J$77</c:f>
              <c:numCache>
                <c:formatCode>0.00%</c:formatCode>
                <c:ptCount val="25"/>
                <c:pt idx="0">
                  <c:v>0.03</c:v>
                </c:pt>
                <c:pt idx="1">
                  <c:v>0.03</c:v>
                </c:pt>
                <c:pt idx="2">
                  <c:v>0.03</c:v>
                </c:pt>
                <c:pt idx="3">
                  <c:v>0.03</c:v>
                </c:pt>
                <c:pt idx="4">
                  <c:v>0.03</c:v>
                </c:pt>
                <c:pt idx="5">
                  <c:v>0.03</c:v>
                </c:pt>
                <c:pt idx="6">
                  <c:v>0.03</c:v>
                </c:pt>
                <c:pt idx="7">
                  <c:v>0.03</c:v>
                </c:pt>
                <c:pt idx="8">
                  <c:v>0.03</c:v>
                </c:pt>
                <c:pt idx="9">
                  <c:v>0.03</c:v>
                </c:pt>
                <c:pt idx="10">
                  <c:v>0.03</c:v>
                </c:pt>
                <c:pt idx="11">
                  <c:v>0.03</c:v>
                </c:pt>
                <c:pt idx="12">
                  <c:v>0.03</c:v>
                </c:pt>
                <c:pt idx="13">
                  <c:v>0.03</c:v>
                </c:pt>
                <c:pt idx="14">
                  <c:v>0.03</c:v>
                </c:pt>
                <c:pt idx="15">
                  <c:v>0.03</c:v>
                </c:pt>
                <c:pt idx="16">
                  <c:v>0.03</c:v>
                </c:pt>
                <c:pt idx="17">
                  <c:v>0.03</c:v>
                </c:pt>
                <c:pt idx="18">
                  <c:v>0.03</c:v>
                </c:pt>
                <c:pt idx="19">
                  <c:v>0.03</c:v>
                </c:pt>
                <c:pt idx="20">
                  <c:v>0.03</c:v>
                </c:pt>
                <c:pt idx="21">
                  <c:v>0.03</c:v>
                </c:pt>
                <c:pt idx="22">
                  <c:v>0.03</c:v>
                </c:pt>
                <c:pt idx="23">
                  <c:v>0.03</c:v>
                </c:pt>
                <c:pt idx="24">
                  <c:v>0.03</c:v>
                </c:pt>
              </c:numCache>
            </c:numRef>
          </c:val>
          <c:smooth val="0"/>
          <c:extLst>
            <c:ext xmlns:c16="http://schemas.microsoft.com/office/drawing/2014/chart" uri="{C3380CC4-5D6E-409C-BE32-E72D297353CC}">
              <c16:uniqueId val="{00000005-29DC-4D0B-ABA1-A0571A121B84}"/>
            </c:ext>
          </c:extLst>
        </c:ser>
        <c:ser>
          <c:idx val="3"/>
          <c:order val="3"/>
          <c:spPr>
            <a:ln w="12700">
              <a:solidFill>
                <a:schemeClr val="tx1">
                  <a:lumMod val="50000"/>
                  <a:lumOff val="50000"/>
                </a:schemeClr>
              </a:solidFill>
              <a:prstDash val="dash"/>
            </a:ln>
          </c:spPr>
          <c:marker>
            <c:symbol val="none"/>
          </c:marker>
          <c:cat>
            <c:multiLvlStrRef>
              <c:f>Hoja1!$A$53:$B$77</c:f>
              <c:multiLvlStrCache>
                <c:ptCount val="25"/>
                <c:lvl>
                  <c:pt idx="0">
                    <c:v>Marzo</c:v>
                  </c:pt>
                  <c:pt idx="1">
                    <c:v>Abril</c:v>
                  </c:pt>
                  <c:pt idx="2">
                    <c:v>Mayo</c:v>
                  </c:pt>
                  <c:pt idx="3">
                    <c:v>Junio</c:v>
                  </c:pt>
                  <c:pt idx="4">
                    <c:v>Julio</c:v>
                  </c:pt>
                  <c:pt idx="5">
                    <c:v>Agosto</c:v>
                  </c:pt>
                  <c:pt idx="6">
                    <c:v>Septiembre</c:v>
                  </c:pt>
                  <c:pt idx="7">
                    <c:v>Octubre</c:v>
                  </c:pt>
                  <c:pt idx="8">
                    <c:v>Noviembre</c:v>
                  </c:pt>
                  <c:pt idx="9">
                    <c:v>Diciembre</c:v>
                  </c:pt>
                  <c:pt idx="10">
                    <c:v>Enero</c:v>
                  </c:pt>
                  <c:pt idx="11">
                    <c:v>Febrero</c:v>
                  </c:pt>
                  <c:pt idx="12">
                    <c:v>Marzo</c:v>
                  </c:pt>
                  <c:pt idx="13">
                    <c:v>Abril</c:v>
                  </c:pt>
                  <c:pt idx="14">
                    <c:v>Mayo</c:v>
                  </c:pt>
                  <c:pt idx="15">
                    <c:v>Junio</c:v>
                  </c:pt>
                  <c:pt idx="16">
                    <c:v>Julio</c:v>
                  </c:pt>
                  <c:pt idx="17">
                    <c:v>Agosto</c:v>
                  </c:pt>
                  <c:pt idx="18">
                    <c:v>Septiembre</c:v>
                  </c:pt>
                  <c:pt idx="19">
                    <c:v>Octubre</c:v>
                  </c:pt>
                  <c:pt idx="20">
                    <c:v>Noviembre</c:v>
                  </c:pt>
                  <c:pt idx="21">
                    <c:v>Diciembre</c:v>
                  </c:pt>
                  <c:pt idx="22">
                    <c:v>Enero</c:v>
                  </c:pt>
                  <c:pt idx="23">
                    <c:v>Febrero</c:v>
                  </c:pt>
                  <c:pt idx="24">
                    <c:v>Marzo</c:v>
                  </c:pt>
                </c:lvl>
                <c:lvl>
                  <c:pt idx="0">
                    <c:v>2014</c:v>
                  </c:pt>
                  <c:pt idx="10">
                    <c:v>2015</c:v>
                  </c:pt>
                  <c:pt idx="22">
                    <c:v>2016</c:v>
                  </c:pt>
                </c:lvl>
              </c:multiLvlStrCache>
            </c:multiLvlStrRef>
          </c:cat>
          <c:val>
            <c:numRef>
              <c:f>Hoja1!$K$53:$K$77</c:f>
              <c:numCache>
                <c:formatCode>0.00%</c:formatCode>
                <c:ptCount val="25"/>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c:v>0.05</c:v>
                </c:pt>
              </c:numCache>
            </c:numRef>
          </c:val>
          <c:smooth val="0"/>
          <c:extLst>
            <c:ext xmlns:c16="http://schemas.microsoft.com/office/drawing/2014/chart" uri="{C3380CC4-5D6E-409C-BE32-E72D297353CC}">
              <c16:uniqueId val="{00000006-29DC-4D0B-ABA1-A0571A121B84}"/>
            </c:ext>
          </c:extLst>
        </c:ser>
        <c:dLbls>
          <c:showLegendKey val="0"/>
          <c:showVal val="0"/>
          <c:showCatName val="0"/>
          <c:showSerName val="0"/>
          <c:showPercent val="0"/>
          <c:showBubbleSize val="0"/>
        </c:dLbls>
        <c:marker val="1"/>
        <c:smooth val="0"/>
        <c:axId val="131747840"/>
        <c:axId val="131749376"/>
      </c:lineChart>
      <c:catAx>
        <c:axId val="131747840"/>
        <c:scaling>
          <c:orientation val="minMax"/>
        </c:scaling>
        <c:delete val="0"/>
        <c:axPos val="b"/>
        <c:numFmt formatCode="General" sourceLinked="0"/>
        <c:majorTickMark val="out"/>
        <c:minorTickMark val="none"/>
        <c:tickLblPos val="nextTo"/>
        <c:txPr>
          <a:bodyPr/>
          <a:lstStyle/>
          <a:p>
            <a:pPr>
              <a:defRPr sz="500"/>
            </a:pPr>
            <a:endParaRPr lang="es-GT"/>
          </a:p>
        </c:txPr>
        <c:crossAx val="131749376"/>
        <c:crosses val="autoZero"/>
        <c:auto val="1"/>
        <c:lblAlgn val="ctr"/>
        <c:lblOffset val="100"/>
        <c:noMultiLvlLbl val="0"/>
      </c:catAx>
      <c:valAx>
        <c:axId val="131749376"/>
        <c:scaling>
          <c:orientation val="minMax"/>
        </c:scaling>
        <c:delete val="0"/>
        <c:axPos val="l"/>
        <c:numFmt formatCode="0.00%" sourceLinked="1"/>
        <c:majorTickMark val="out"/>
        <c:minorTickMark val="none"/>
        <c:tickLblPos val="nextTo"/>
        <c:txPr>
          <a:bodyPr/>
          <a:lstStyle/>
          <a:p>
            <a:pPr>
              <a:defRPr sz="600"/>
            </a:pPr>
            <a:endParaRPr lang="es-GT"/>
          </a:p>
        </c:txPr>
        <c:crossAx val="13174784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s-G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0.9048</cdr:x>
      <cdr:y>0.02191</cdr:y>
    </cdr:from>
    <cdr:to>
      <cdr:x>0.98377</cdr:x>
      <cdr:y>0.85987</cdr:y>
    </cdr:to>
    <cdr:sp macro="" textlink="">
      <cdr:nvSpPr>
        <cdr:cNvPr id="2" name="1 Rectángulo"/>
        <cdr:cNvSpPr/>
      </cdr:nvSpPr>
      <cdr:spPr>
        <a:xfrm xmlns:a="http://schemas.openxmlformats.org/drawingml/2006/main">
          <a:off x="2335541" y="33972"/>
          <a:ext cx="203830" cy="1299410"/>
        </a:xfrm>
        <a:prstGeom xmlns:a="http://schemas.openxmlformats.org/drawingml/2006/main" prst="rect">
          <a:avLst/>
        </a:prstGeom>
        <a:solidFill xmlns:a="http://schemas.openxmlformats.org/drawingml/2006/main">
          <a:schemeClr val="accent6">
            <a:alpha val="16000"/>
          </a:schemeClr>
        </a:solidFill>
        <a:ln xmlns:a="http://schemas.openxmlformats.org/drawingml/2006/main" w="3175">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GT"/>
        </a:p>
      </cdr:txBody>
    </cdr:sp>
  </cdr:relSizeAnchor>
</c:userShapes>
</file>

<file path=word/drawings/drawing2.xml><?xml version="1.0" encoding="utf-8"?>
<c:userShapes xmlns:c="http://schemas.openxmlformats.org/drawingml/2006/chart">
  <cdr:relSizeAnchor xmlns:cdr="http://schemas.openxmlformats.org/drawingml/2006/chartDrawing">
    <cdr:from>
      <cdr:x>0.35424</cdr:x>
      <cdr:y>0.19821</cdr:y>
    </cdr:from>
    <cdr:to>
      <cdr:x>0.80464</cdr:x>
      <cdr:y>0.32051</cdr:y>
    </cdr:to>
    <cdr:sp macro="" textlink="">
      <cdr:nvSpPr>
        <cdr:cNvPr id="2" name="1 Cuadro de texto"/>
        <cdr:cNvSpPr txBox="1"/>
      </cdr:nvSpPr>
      <cdr:spPr>
        <a:xfrm xmlns:a="http://schemas.openxmlformats.org/drawingml/2006/main">
          <a:off x="914401" y="306977"/>
          <a:ext cx="1162593" cy="1894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s-MX" sz="500" dirty="0" smtClean="0">
              <a:latin typeface="Times New Roman" pitchFamily="18" charset="0"/>
              <a:cs typeface="Times New Roman" pitchFamily="18" charset="0"/>
            </a:rPr>
            <a:t>Meta de inflación 4.0% +/- 1 p.p.</a:t>
          </a:r>
          <a:endParaRPr lang="es-GT" sz="500" dirty="0">
            <a:latin typeface="Times New Roman" pitchFamily="18" charset="0"/>
            <a:cs typeface="Times New Roman" pitchFamily="18" charset="0"/>
          </a:endParaRPr>
        </a:p>
        <a:p xmlns:a="http://schemas.openxmlformats.org/drawingml/2006/main">
          <a:endParaRPr lang="es-GT" sz="5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0E17-C2BA-4DDD-BFB9-0A337D12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2087</Words>
  <Characters>11479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4</cp:revision>
  <dcterms:created xsi:type="dcterms:W3CDTF">2018-05-14T22:15:00Z</dcterms:created>
  <dcterms:modified xsi:type="dcterms:W3CDTF">2018-05-14T22:22:00Z</dcterms:modified>
</cp:coreProperties>
</file>