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C0C" w:rsidRPr="000120B8" w:rsidRDefault="00345E94" w:rsidP="00022C41">
      <w:pPr>
        <w:pStyle w:val="Sinespaciado"/>
        <w:pBdr>
          <w:top w:val="single" w:sz="12" w:space="1" w:color="auto"/>
          <w:left w:val="single" w:sz="12" w:space="4" w:color="auto"/>
          <w:bottom w:val="single" w:sz="12" w:space="1" w:color="auto"/>
          <w:right w:val="single" w:sz="12" w:space="4" w:color="auto"/>
        </w:pBdr>
        <w:shd w:val="clear" w:color="auto" w:fill="C6D9F1" w:themeFill="text2" w:themeFillTint="33"/>
        <w:jc w:val="center"/>
        <w:rPr>
          <w:rFonts w:ascii="Times New Roman" w:hAnsi="Times New Roman" w:cs="Times New Roman"/>
          <w:b/>
          <w:lang w:val="es-MX"/>
        </w:rPr>
      </w:pPr>
      <w:r w:rsidRPr="000120B8">
        <w:rPr>
          <w:rFonts w:ascii="Times New Roman" w:hAnsi="Times New Roman" w:cs="Times New Roman"/>
          <w:b/>
          <w:lang w:val="es-MX"/>
        </w:rPr>
        <w:t>Contención de gasto propicia aumento en superávit fiscal</w:t>
      </w:r>
    </w:p>
    <w:p w:rsidR="00052EE7" w:rsidRPr="000120B8" w:rsidRDefault="00052EE7" w:rsidP="00052EE7">
      <w:pPr>
        <w:pStyle w:val="Sinespaciado"/>
        <w:jc w:val="center"/>
        <w:rPr>
          <w:rFonts w:ascii="Times New Roman" w:hAnsi="Times New Roman" w:cs="Times New Roman"/>
          <w:b/>
          <w:lang w:val="es-MX"/>
        </w:rPr>
      </w:pPr>
    </w:p>
    <w:p w:rsidR="00052EE7" w:rsidRPr="000120B8" w:rsidRDefault="00052EE7" w:rsidP="00052EE7">
      <w:pPr>
        <w:pStyle w:val="Sinespaciado"/>
        <w:jc w:val="both"/>
        <w:rPr>
          <w:rFonts w:ascii="Times New Roman" w:hAnsi="Times New Roman" w:cs="Times New Roman"/>
          <w:lang w:val="es-MX"/>
        </w:rPr>
        <w:sectPr w:rsidR="00052EE7" w:rsidRPr="000120B8" w:rsidSect="00740239">
          <w:headerReference w:type="default" r:id="rId8"/>
          <w:footerReference w:type="default" r:id="rId9"/>
          <w:type w:val="continuous"/>
          <w:pgSz w:w="12240" w:h="15840"/>
          <w:pgMar w:top="2155" w:right="1701" w:bottom="1418" w:left="1701" w:header="567" w:footer="709" w:gutter="0"/>
          <w:cols w:space="708"/>
          <w:docGrid w:linePitch="360"/>
        </w:sectPr>
      </w:pPr>
      <w:bookmarkStart w:id="0" w:name="_GoBack"/>
      <w:bookmarkEnd w:id="0"/>
    </w:p>
    <w:p w:rsidR="00345E94" w:rsidRPr="000120B8" w:rsidRDefault="00297BC8" w:rsidP="00297BC8">
      <w:pPr>
        <w:pStyle w:val="Sinespaciado"/>
        <w:jc w:val="both"/>
        <w:rPr>
          <w:rFonts w:ascii="Times New Roman" w:hAnsi="Times New Roman" w:cs="Times New Roman"/>
          <w:b/>
          <w:lang w:val="es-MX"/>
        </w:rPr>
      </w:pPr>
      <w:r w:rsidRPr="000120B8">
        <w:rPr>
          <w:rFonts w:ascii="Times New Roman" w:hAnsi="Times New Roman" w:cs="Times New Roman"/>
          <w:lang w:val="es-MX"/>
        </w:rPr>
        <w:lastRenderedPageBreak/>
        <w:t xml:space="preserve">El resultado presupuestario del gobierno muestra, como en años anteriores, un superávit fiscal que se sitúa al 31 de enero de 2016 en Q 1,362.4 millones.  Este superávit está determinado por el nivel de recaudación tributaria que se suele dar en el primer mes del año, como consecuencia del vencimiento de algunos impuestos como el ISR sobre utilidades y el ISO que se paga </w:t>
      </w:r>
      <w:r w:rsidRPr="000120B8">
        <w:rPr>
          <w:rFonts w:ascii="Times New Roman" w:hAnsi="Times New Roman" w:cs="Times New Roman"/>
          <w:lang w:val="es-MX"/>
        </w:rPr>
        <w:lastRenderedPageBreak/>
        <w:t>trimestralmente, así como  el IVA doméstico que es mayor en este mes debido al aumento del consumo realizado en diciembre, lo anterior propició un incremento interanual de los ingresos fiscales de 4.9% con respecto a lo observado en enero de 2015.  Por su parte, el gasto público mostró lento crecimiento interanual (0.4%), en parte como resultado de la política de contención aplicada.</w:t>
      </w:r>
    </w:p>
    <w:p w:rsidR="00385C0C" w:rsidRPr="000120B8" w:rsidRDefault="00385C0C" w:rsidP="00345E94">
      <w:pPr>
        <w:pStyle w:val="Sinespaciado"/>
        <w:jc w:val="both"/>
        <w:rPr>
          <w:rFonts w:ascii="Times New Roman" w:hAnsi="Times New Roman" w:cs="Times New Roman"/>
          <w:b/>
          <w:lang w:val="es-MX"/>
        </w:rPr>
        <w:sectPr w:rsidR="00385C0C" w:rsidRPr="000120B8" w:rsidSect="00740239">
          <w:type w:val="continuous"/>
          <w:pgSz w:w="12240" w:h="15840"/>
          <w:pgMar w:top="2155" w:right="1701" w:bottom="1417" w:left="1701" w:header="708" w:footer="708" w:gutter="0"/>
          <w:cols w:num="2" w:space="708"/>
          <w:docGrid w:linePitch="360"/>
        </w:sectPr>
      </w:pPr>
    </w:p>
    <w:p w:rsidR="00052EE7" w:rsidRPr="000120B8" w:rsidRDefault="00052EE7" w:rsidP="009267E9">
      <w:pPr>
        <w:pStyle w:val="Sinespaciado"/>
        <w:jc w:val="both"/>
        <w:rPr>
          <w:rFonts w:ascii="Times New Roman" w:hAnsi="Times New Roman" w:cs="Times New Roman"/>
          <w:b/>
          <w:lang w:val="es-MX"/>
        </w:rPr>
      </w:pPr>
    </w:p>
    <w:p w:rsidR="00385C0C" w:rsidRPr="000120B8" w:rsidRDefault="00385C0C" w:rsidP="00385C0C">
      <w:pPr>
        <w:pStyle w:val="Sinespaciado"/>
        <w:jc w:val="center"/>
        <w:rPr>
          <w:rFonts w:ascii="Times New Roman" w:hAnsi="Times New Roman" w:cs="Times New Roman"/>
          <w:b/>
          <w:lang w:val="es-MX"/>
        </w:rPr>
      </w:pPr>
      <w:r w:rsidRPr="000120B8">
        <w:rPr>
          <w:rFonts w:ascii="Times New Roman" w:hAnsi="Times New Roman" w:cs="Times New Roman"/>
          <w:b/>
          <w:lang w:val="es-MX"/>
        </w:rPr>
        <w:t>Resultado Presupuestario</w:t>
      </w:r>
    </w:p>
    <w:p w:rsidR="00345E94" w:rsidRPr="000120B8" w:rsidRDefault="00345E94" w:rsidP="00345E94">
      <w:pPr>
        <w:pStyle w:val="Sinespaciado"/>
        <w:jc w:val="center"/>
        <w:rPr>
          <w:rFonts w:ascii="Times New Roman" w:hAnsi="Times New Roman" w:cs="Times New Roman"/>
          <w:sz w:val="18"/>
          <w:lang w:val="es-MX"/>
        </w:rPr>
      </w:pPr>
      <w:r w:rsidRPr="000120B8">
        <w:rPr>
          <w:rFonts w:ascii="Times New Roman" w:hAnsi="Times New Roman" w:cs="Times New Roman"/>
          <w:sz w:val="18"/>
          <w:lang w:val="es-MX"/>
        </w:rPr>
        <w:t>Al 31 de Enero de Cada Año</w:t>
      </w:r>
    </w:p>
    <w:p w:rsidR="00385C0C" w:rsidRPr="000120B8" w:rsidRDefault="00D659FA" w:rsidP="00385C0C">
      <w:pPr>
        <w:pStyle w:val="Sinespaciado"/>
        <w:jc w:val="center"/>
        <w:rPr>
          <w:rFonts w:ascii="Times New Roman" w:hAnsi="Times New Roman" w:cs="Times New Roman"/>
          <w:lang w:val="es-MX"/>
        </w:rPr>
      </w:pPr>
      <w:r w:rsidRPr="000120B8">
        <w:rPr>
          <w:noProof/>
          <w:lang w:eastAsia="es-GT"/>
        </w:rPr>
        <w:drawing>
          <wp:inline distT="0" distB="0" distL="0" distR="0" wp14:anchorId="5740125A" wp14:editId="500CD8AB">
            <wp:extent cx="3955774" cy="2373465"/>
            <wp:effectExtent l="0" t="0" r="698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1066" cy="2376640"/>
                    </a:xfrm>
                    <a:prstGeom prst="rect">
                      <a:avLst/>
                    </a:prstGeom>
                    <a:noFill/>
                    <a:ln>
                      <a:noFill/>
                    </a:ln>
                  </pic:spPr>
                </pic:pic>
              </a:graphicData>
            </a:graphic>
          </wp:inline>
        </w:drawing>
      </w:r>
    </w:p>
    <w:p w:rsidR="00385C0C" w:rsidRPr="000120B8" w:rsidRDefault="00D659FA" w:rsidP="00D659FA">
      <w:pPr>
        <w:pStyle w:val="Sinespaciado"/>
        <w:jc w:val="both"/>
        <w:rPr>
          <w:rFonts w:ascii="Times New Roman" w:hAnsi="Times New Roman" w:cs="Times New Roman"/>
          <w:sz w:val="16"/>
        </w:rPr>
      </w:pPr>
      <w:r w:rsidRPr="000120B8">
        <w:rPr>
          <w:rFonts w:ascii="Times New Roman" w:hAnsi="Times New Roman" w:cs="Times New Roman"/>
          <w:sz w:val="16"/>
        </w:rPr>
        <w:t xml:space="preserve">                         </w:t>
      </w:r>
      <w:r w:rsidR="00385C0C" w:rsidRPr="000120B8">
        <w:rPr>
          <w:rFonts w:ascii="Times New Roman" w:hAnsi="Times New Roman" w:cs="Times New Roman"/>
          <w:sz w:val="16"/>
        </w:rPr>
        <w:t>Fuente: Dirección de Análisis y Política fiscal</w:t>
      </w:r>
    </w:p>
    <w:p w:rsidR="00052EE7" w:rsidRPr="000120B8" w:rsidRDefault="00052EE7" w:rsidP="00052EE7">
      <w:pPr>
        <w:pStyle w:val="Sinespaciado"/>
        <w:jc w:val="center"/>
        <w:rPr>
          <w:rFonts w:ascii="Times New Roman" w:hAnsi="Times New Roman" w:cs="Times New Roman"/>
          <w:b/>
        </w:rPr>
        <w:sectPr w:rsidR="00052EE7" w:rsidRPr="000120B8" w:rsidSect="00740239">
          <w:type w:val="continuous"/>
          <w:pgSz w:w="12240" w:h="15840"/>
          <w:pgMar w:top="2155" w:right="1701" w:bottom="1417" w:left="1701" w:header="708" w:footer="708" w:gutter="0"/>
          <w:cols w:space="708"/>
          <w:docGrid w:linePitch="360"/>
        </w:sectPr>
      </w:pPr>
    </w:p>
    <w:p w:rsidR="00052EE7" w:rsidRPr="000120B8" w:rsidRDefault="00052EE7" w:rsidP="00D659FA">
      <w:pPr>
        <w:pStyle w:val="Sinespaciado"/>
        <w:rPr>
          <w:rFonts w:ascii="Times New Roman" w:hAnsi="Times New Roman" w:cs="Times New Roman"/>
          <w:b/>
        </w:rPr>
      </w:pPr>
    </w:p>
    <w:p w:rsidR="00052EE7" w:rsidRPr="000120B8" w:rsidRDefault="00052EE7" w:rsidP="000D2949">
      <w:pPr>
        <w:pStyle w:val="Sinespaciado"/>
        <w:rPr>
          <w:rFonts w:ascii="Times New Roman" w:hAnsi="Times New Roman" w:cs="Times New Roman"/>
          <w:sz w:val="10"/>
        </w:rPr>
        <w:sectPr w:rsidR="00052EE7" w:rsidRPr="000120B8" w:rsidSect="00740239">
          <w:type w:val="continuous"/>
          <w:pgSz w:w="12240" w:h="15840"/>
          <w:pgMar w:top="2155" w:right="1701" w:bottom="1417" w:left="1701" w:header="708" w:footer="708" w:gutter="0"/>
          <w:cols w:space="708"/>
          <w:docGrid w:linePitch="360"/>
        </w:sectPr>
      </w:pPr>
    </w:p>
    <w:p w:rsidR="00052EE7" w:rsidRPr="000120B8" w:rsidRDefault="00052EE7" w:rsidP="00052EE7">
      <w:pPr>
        <w:pStyle w:val="Sinespaciado"/>
        <w:rPr>
          <w:rFonts w:ascii="Times New Roman" w:hAnsi="Times New Roman" w:cs="Times New Roman"/>
          <w:b/>
          <w:sz w:val="10"/>
        </w:rPr>
      </w:pPr>
    </w:p>
    <w:p w:rsidR="00052EE7" w:rsidRPr="000120B8" w:rsidRDefault="00331AA7" w:rsidP="00052EE7">
      <w:pPr>
        <w:pStyle w:val="Sinespaciado"/>
        <w:pBdr>
          <w:top w:val="single" w:sz="12" w:space="1" w:color="auto"/>
          <w:left w:val="single" w:sz="12" w:space="4" w:color="auto"/>
          <w:bottom w:val="single" w:sz="12" w:space="1" w:color="auto"/>
          <w:right w:val="single" w:sz="12" w:space="4" w:color="auto"/>
        </w:pBdr>
        <w:shd w:val="clear" w:color="auto" w:fill="C6D9F1" w:themeFill="text2" w:themeFillTint="33"/>
        <w:jc w:val="center"/>
        <w:rPr>
          <w:rFonts w:ascii="Times New Roman" w:hAnsi="Times New Roman" w:cs="Times New Roman"/>
          <w:b/>
          <w:lang w:val="es-MX"/>
        </w:rPr>
        <w:sectPr w:rsidR="00052EE7" w:rsidRPr="000120B8" w:rsidSect="00740239">
          <w:type w:val="continuous"/>
          <w:pgSz w:w="12240" w:h="15840"/>
          <w:pgMar w:top="2155" w:right="1701" w:bottom="1417" w:left="1701" w:header="708" w:footer="708" w:gutter="0"/>
          <w:cols w:space="708"/>
          <w:docGrid w:linePitch="360"/>
        </w:sectPr>
      </w:pPr>
      <w:r w:rsidRPr="000120B8">
        <w:rPr>
          <w:rFonts w:ascii="Times New Roman" w:hAnsi="Times New Roman" w:cs="Times New Roman"/>
          <w:b/>
          <w:lang w:val="es-MX"/>
        </w:rPr>
        <w:t>Recaudación</w:t>
      </w:r>
      <w:r w:rsidR="000D2949" w:rsidRPr="000120B8">
        <w:rPr>
          <w:rFonts w:ascii="Times New Roman" w:hAnsi="Times New Roman" w:cs="Times New Roman"/>
          <w:b/>
          <w:lang w:val="es-MX"/>
        </w:rPr>
        <w:t xml:space="preserve"> de enero s</w:t>
      </w:r>
      <w:r w:rsidRPr="000120B8">
        <w:rPr>
          <w:rFonts w:ascii="Times New Roman" w:hAnsi="Times New Roman" w:cs="Times New Roman"/>
          <w:b/>
          <w:lang w:val="es-MX"/>
        </w:rPr>
        <w:t>uperó lo observado en 2015</w:t>
      </w:r>
    </w:p>
    <w:p w:rsidR="00052EE7" w:rsidRPr="00650B73" w:rsidRDefault="00052EE7" w:rsidP="00052EE7">
      <w:pPr>
        <w:spacing w:after="0" w:line="240" w:lineRule="auto"/>
        <w:jc w:val="both"/>
        <w:rPr>
          <w:rFonts w:ascii="Times New Roman" w:hAnsi="Times New Roman" w:cs="Times New Roman"/>
          <w:sz w:val="18"/>
          <w:lang w:val="es-MX"/>
        </w:rPr>
        <w:sectPr w:rsidR="00052EE7" w:rsidRPr="00650B73" w:rsidSect="00740239">
          <w:type w:val="continuous"/>
          <w:pgSz w:w="12240" w:h="15840"/>
          <w:pgMar w:top="2155" w:right="1701" w:bottom="1417" w:left="1701" w:header="708" w:footer="708" w:gutter="0"/>
          <w:cols w:space="708"/>
          <w:docGrid w:linePitch="360"/>
        </w:sectPr>
      </w:pPr>
    </w:p>
    <w:p w:rsidR="007B224B" w:rsidRDefault="00331AA7" w:rsidP="00331AA7">
      <w:pPr>
        <w:spacing w:after="0" w:line="240" w:lineRule="auto"/>
        <w:jc w:val="both"/>
        <w:rPr>
          <w:rFonts w:ascii="Times New Roman" w:hAnsi="Times New Roman" w:cs="Times New Roman"/>
          <w:szCs w:val="24"/>
          <w:lang w:val="es-MX"/>
        </w:rPr>
      </w:pPr>
      <w:r w:rsidRPr="000120B8">
        <w:rPr>
          <w:rFonts w:ascii="Times New Roman" w:hAnsi="Times New Roman" w:cs="Times New Roman"/>
          <w:szCs w:val="24"/>
          <w:lang w:val="es-MX"/>
        </w:rPr>
        <w:lastRenderedPageBreak/>
        <w:t>Información preliminar de recaudación de enero da cuenta de un crecimiento de 2.6% (Q 126 millones) respecto a lo observado a la misma fecha del año anterior, dicho crecimiento se logró por el buen desempeño observado en impuestos como el ISR, ISO y el impuesto a los derivados del petróleo.</w:t>
      </w:r>
    </w:p>
    <w:p w:rsidR="00650B73" w:rsidRDefault="00650B73" w:rsidP="00331AA7">
      <w:pPr>
        <w:spacing w:after="0" w:line="240" w:lineRule="auto"/>
        <w:jc w:val="both"/>
        <w:rPr>
          <w:rFonts w:ascii="Times New Roman" w:hAnsi="Times New Roman" w:cs="Times New Roman"/>
          <w:szCs w:val="24"/>
          <w:lang w:val="es-MX"/>
        </w:rPr>
      </w:pPr>
    </w:p>
    <w:p w:rsidR="00650B73" w:rsidRDefault="00650B73" w:rsidP="00331AA7">
      <w:pPr>
        <w:spacing w:after="0" w:line="240" w:lineRule="auto"/>
        <w:jc w:val="both"/>
        <w:rPr>
          <w:rFonts w:ascii="Times New Roman" w:hAnsi="Times New Roman" w:cs="Times New Roman"/>
          <w:szCs w:val="24"/>
          <w:lang w:val="es-MX"/>
        </w:rPr>
      </w:pPr>
    </w:p>
    <w:p w:rsidR="00650B73" w:rsidRDefault="00650B73" w:rsidP="00331AA7">
      <w:pPr>
        <w:spacing w:after="0" w:line="240" w:lineRule="auto"/>
        <w:jc w:val="both"/>
        <w:rPr>
          <w:rFonts w:ascii="Times New Roman" w:hAnsi="Times New Roman" w:cs="Times New Roman"/>
          <w:szCs w:val="24"/>
          <w:lang w:val="es-MX"/>
        </w:rPr>
      </w:pPr>
    </w:p>
    <w:p w:rsidR="00650B73" w:rsidRDefault="00650B73" w:rsidP="00331AA7">
      <w:pPr>
        <w:spacing w:after="0" w:line="240" w:lineRule="auto"/>
        <w:jc w:val="both"/>
        <w:rPr>
          <w:rFonts w:ascii="Times New Roman" w:hAnsi="Times New Roman" w:cs="Times New Roman"/>
          <w:szCs w:val="24"/>
          <w:lang w:val="es-MX"/>
        </w:rPr>
      </w:pPr>
    </w:p>
    <w:p w:rsidR="00650B73" w:rsidRDefault="00650B73" w:rsidP="00331AA7">
      <w:pPr>
        <w:spacing w:after="0" w:line="240" w:lineRule="auto"/>
        <w:jc w:val="both"/>
        <w:rPr>
          <w:rFonts w:ascii="Times New Roman" w:hAnsi="Times New Roman" w:cs="Times New Roman"/>
          <w:szCs w:val="24"/>
          <w:lang w:val="es-MX"/>
        </w:rPr>
      </w:pPr>
    </w:p>
    <w:p w:rsidR="00650B73" w:rsidRDefault="00650B73" w:rsidP="00331AA7">
      <w:pPr>
        <w:spacing w:after="0" w:line="240" w:lineRule="auto"/>
        <w:jc w:val="both"/>
        <w:rPr>
          <w:rFonts w:ascii="Times New Roman" w:hAnsi="Times New Roman" w:cs="Times New Roman"/>
          <w:szCs w:val="24"/>
          <w:lang w:val="es-MX"/>
        </w:rPr>
      </w:pPr>
    </w:p>
    <w:p w:rsidR="00650B73" w:rsidRDefault="00650B73" w:rsidP="00331AA7">
      <w:pPr>
        <w:spacing w:after="0" w:line="240" w:lineRule="auto"/>
        <w:jc w:val="both"/>
        <w:rPr>
          <w:rFonts w:ascii="Times New Roman" w:hAnsi="Times New Roman" w:cs="Times New Roman"/>
          <w:szCs w:val="24"/>
          <w:lang w:val="es-MX"/>
        </w:rPr>
      </w:pPr>
    </w:p>
    <w:p w:rsidR="00740239" w:rsidRPr="000120B8" w:rsidRDefault="00740239" w:rsidP="00331AA7">
      <w:pPr>
        <w:spacing w:after="0" w:line="240" w:lineRule="auto"/>
        <w:jc w:val="both"/>
        <w:rPr>
          <w:rFonts w:ascii="Times New Roman" w:hAnsi="Times New Roman" w:cs="Times New Roman"/>
          <w:szCs w:val="24"/>
          <w:lang w:val="es-MX"/>
        </w:rPr>
      </w:pPr>
    </w:p>
    <w:p w:rsidR="00331AA7" w:rsidRPr="000120B8" w:rsidRDefault="00331AA7" w:rsidP="00331AA7">
      <w:pPr>
        <w:spacing w:after="0" w:line="240" w:lineRule="auto"/>
        <w:jc w:val="center"/>
        <w:rPr>
          <w:rFonts w:ascii="Times New Roman" w:hAnsi="Times New Roman" w:cs="Times New Roman"/>
          <w:b/>
          <w:szCs w:val="24"/>
          <w:lang w:val="es-MX"/>
        </w:rPr>
      </w:pPr>
      <w:r w:rsidRPr="000120B8">
        <w:rPr>
          <w:rFonts w:ascii="Times New Roman" w:hAnsi="Times New Roman" w:cs="Times New Roman"/>
          <w:b/>
          <w:szCs w:val="24"/>
          <w:lang w:val="es-MX"/>
        </w:rPr>
        <w:lastRenderedPageBreak/>
        <w:t>Recaudación tributaria de enero</w:t>
      </w:r>
    </w:p>
    <w:p w:rsidR="00331AA7" w:rsidRPr="000120B8" w:rsidRDefault="00331AA7" w:rsidP="00331AA7">
      <w:pPr>
        <w:spacing w:after="0" w:line="240" w:lineRule="auto"/>
        <w:jc w:val="center"/>
        <w:rPr>
          <w:rFonts w:ascii="Times New Roman" w:hAnsi="Times New Roman" w:cs="Times New Roman"/>
          <w:sz w:val="18"/>
          <w:szCs w:val="24"/>
          <w:lang w:val="es-MX"/>
        </w:rPr>
      </w:pPr>
      <w:r w:rsidRPr="000120B8">
        <w:rPr>
          <w:rFonts w:ascii="Times New Roman" w:hAnsi="Times New Roman" w:cs="Times New Roman"/>
          <w:sz w:val="18"/>
          <w:szCs w:val="24"/>
          <w:lang w:val="es-MX"/>
        </w:rPr>
        <w:t>Millones de quetzales</w:t>
      </w:r>
    </w:p>
    <w:p w:rsidR="00331AA7" w:rsidRPr="000120B8" w:rsidRDefault="00331AA7" w:rsidP="00331AA7">
      <w:pPr>
        <w:spacing w:after="0" w:line="240" w:lineRule="auto"/>
        <w:jc w:val="both"/>
        <w:rPr>
          <w:rFonts w:ascii="Times New Roman" w:hAnsi="Times New Roman" w:cs="Times New Roman"/>
          <w:szCs w:val="24"/>
          <w:lang w:val="es-MX"/>
        </w:rPr>
      </w:pPr>
      <w:r w:rsidRPr="000120B8">
        <w:rPr>
          <w:rFonts w:ascii="Times New Roman" w:hAnsi="Times New Roman" w:cs="Times New Roman"/>
          <w:noProof/>
          <w:szCs w:val="24"/>
          <w:lang w:eastAsia="es-GT"/>
        </w:rPr>
        <w:drawing>
          <wp:inline distT="0" distB="0" distL="0" distR="0" wp14:anchorId="17E0E706" wp14:editId="2A0B8EEC">
            <wp:extent cx="2584174" cy="1977887"/>
            <wp:effectExtent l="0" t="0" r="6985"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31AA7" w:rsidRPr="000120B8" w:rsidRDefault="00331AA7" w:rsidP="00331AA7">
      <w:pPr>
        <w:spacing w:after="0" w:line="240" w:lineRule="auto"/>
        <w:jc w:val="both"/>
        <w:rPr>
          <w:rFonts w:ascii="Times New Roman" w:hAnsi="Times New Roman" w:cs="Times New Roman"/>
          <w:sz w:val="16"/>
          <w:szCs w:val="24"/>
          <w:lang w:val="es-MX"/>
        </w:rPr>
      </w:pPr>
      <w:r w:rsidRPr="000120B8">
        <w:rPr>
          <w:rFonts w:ascii="Times New Roman" w:hAnsi="Times New Roman" w:cs="Times New Roman"/>
          <w:sz w:val="16"/>
          <w:szCs w:val="24"/>
          <w:lang w:val="es-MX"/>
        </w:rPr>
        <w:t>Fuente: Dirección de análisis y política fiscal</w:t>
      </w:r>
    </w:p>
    <w:p w:rsidR="00650B73" w:rsidRDefault="00650B73" w:rsidP="00331AA7">
      <w:pPr>
        <w:spacing w:after="0" w:line="240" w:lineRule="auto"/>
        <w:jc w:val="both"/>
        <w:rPr>
          <w:rFonts w:ascii="Times New Roman" w:hAnsi="Times New Roman" w:cs="Times New Roman"/>
          <w:szCs w:val="24"/>
          <w:lang w:val="es-MX"/>
        </w:rPr>
      </w:pPr>
    </w:p>
    <w:p w:rsidR="00331AA7" w:rsidRPr="000120B8" w:rsidRDefault="00331AA7" w:rsidP="00331AA7">
      <w:pPr>
        <w:spacing w:after="0" w:line="240" w:lineRule="auto"/>
        <w:jc w:val="both"/>
        <w:rPr>
          <w:rFonts w:ascii="Times New Roman" w:hAnsi="Times New Roman" w:cs="Times New Roman"/>
          <w:szCs w:val="24"/>
          <w:lang w:val="es-MX"/>
        </w:rPr>
      </w:pPr>
      <w:r w:rsidRPr="000120B8">
        <w:rPr>
          <w:rFonts w:ascii="Times New Roman" w:hAnsi="Times New Roman" w:cs="Times New Roman"/>
          <w:szCs w:val="24"/>
          <w:lang w:val="es-MX"/>
        </w:rPr>
        <w:t>Para el IVA total es preciso indicar que la recaudación del año anterior no se alcanzó quedando por abajo en Q 48.9 millones de los cuales el IVA doméstico aporto de forma positiva en Q 2.6 millones y el IVA asociado a las importaciones mostró una caída de        Q 51.5 millones la cual puede estar explicada por la caída del precio internacional del petróleo en las importaciones gravadas.</w:t>
      </w:r>
    </w:p>
    <w:p w:rsidR="00331AA7" w:rsidRPr="000120B8" w:rsidRDefault="00331AA7" w:rsidP="00331AA7">
      <w:pPr>
        <w:spacing w:after="0" w:line="240" w:lineRule="auto"/>
        <w:jc w:val="both"/>
        <w:rPr>
          <w:rFonts w:ascii="Times New Roman" w:hAnsi="Times New Roman" w:cs="Times New Roman"/>
          <w:szCs w:val="24"/>
          <w:lang w:val="es-MX"/>
        </w:rPr>
      </w:pPr>
    </w:p>
    <w:p w:rsidR="00331AA7" w:rsidRPr="000120B8" w:rsidRDefault="00331AA7" w:rsidP="00331AA7">
      <w:pPr>
        <w:spacing w:after="0" w:line="240" w:lineRule="auto"/>
        <w:jc w:val="both"/>
        <w:rPr>
          <w:rFonts w:ascii="Times New Roman" w:hAnsi="Times New Roman" w:cs="Times New Roman"/>
          <w:szCs w:val="24"/>
          <w:lang w:val="es-MX"/>
        </w:rPr>
      </w:pPr>
      <w:r w:rsidRPr="000120B8">
        <w:rPr>
          <w:rFonts w:ascii="Times New Roman" w:hAnsi="Times New Roman" w:cs="Times New Roman"/>
          <w:szCs w:val="24"/>
          <w:lang w:val="es-MX"/>
        </w:rPr>
        <w:t>De los impuestos específicos es preciso indicar que el impuesto al cemento no alcanzo lo recaudado en 2014 ya que en ese año es muy probable que la parte importada de cemento de enero se halla cancelado con cuota de Q 5.0 por saco, el impuesto a las bebidas y el de tabacos superaron lo observado en la misma fecha.</w:t>
      </w:r>
    </w:p>
    <w:p w:rsidR="00331AA7" w:rsidRPr="000120B8" w:rsidRDefault="00331AA7" w:rsidP="00331AA7">
      <w:pPr>
        <w:spacing w:after="0" w:line="240" w:lineRule="auto"/>
        <w:jc w:val="both"/>
        <w:rPr>
          <w:rFonts w:ascii="Times New Roman" w:hAnsi="Times New Roman" w:cs="Times New Roman"/>
          <w:szCs w:val="24"/>
          <w:lang w:val="es-MX"/>
        </w:rPr>
      </w:pPr>
    </w:p>
    <w:p w:rsidR="00331AA7" w:rsidRPr="000120B8" w:rsidRDefault="00331AA7" w:rsidP="00331AA7">
      <w:pPr>
        <w:spacing w:after="0" w:line="240" w:lineRule="auto"/>
        <w:jc w:val="both"/>
        <w:rPr>
          <w:rFonts w:ascii="Times New Roman" w:hAnsi="Times New Roman" w:cs="Times New Roman"/>
          <w:szCs w:val="24"/>
          <w:lang w:val="es-MX"/>
        </w:rPr>
      </w:pPr>
      <w:r w:rsidRPr="000120B8">
        <w:rPr>
          <w:rFonts w:ascii="Times New Roman" w:hAnsi="Times New Roman" w:cs="Times New Roman"/>
          <w:szCs w:val="24"/>
          <w:lang w:val="es-MX"/>
        </w:rPr>
        <w:t>De los impuestos asociados al comercio exterior (IVA importaciones y derechos arancelarios) es preciso indicar que estos presentaron una caída de 3.1%  (Q 34 millones) básicamente por la caída del IVA de importaciones.</w:t>
      </w:r>
    </w:p>
    <w:p w:rsidR="000120B8" w:rsidRPr="000120B8" w:rsidRDefault="000120B8" w:rsidP="00331AA7">
      <w:pPr>
        <w:spacing w:after="0" w:line="240" w:lineRule="auto"/>
        <w:jc w:val="both"/>
        <w:rPr>
          <w:rFonts w:ascii="Times New Roman" w:hAnsi="Times New Roman" w:cs="Times New Roman"/>
          <w:szCs w:val="24"/>
          <w:lang w:val="es-MX"/>
        </w:rPr>
      </w:pPr>
    </w:p>
    <w:p w:rsidR="00331AA7" w:rsidRPr="000120B8" w:rsidRDefault="00331AA7" w:rsidP="00331AA7">
      <w:pPr>
        <w:spacing w:after="0" w:line="240" w:lineRule="auto"/>
        <w:jc w:val="center"/>
        <w:rPr>
          <w:rFonts w:ascii="Times New Roman" w:hAnsi="Times New Roman" w:cs="Times New Roman"/>
          <w:b/>
          <w:szCs w:val="24"/>
          <w:lang w:val="es-MX"/>
        </w:rPr>
      </w:pPr>
      <w:r w:rsidRPr="000120B8">
        <w:rPr>
          <w:rFonts w:ascii="Times New Roman" w:hAnsi="Times New Roman" w:cs="Times New Roman"/>
          <w:b/>
          <w:szCs w:val="24"/>
          <w:lang w:val="es-MX"/>
        </w:rPr>
        <w:t>Variación de la recaudación tributaria</w:t>
      </w:r>
    </w:p>
    <w:p w:rsidR="00331AA7" w:rsidRPr="000120B8" w:rsidRDefault="00331AA7" w:rsidP="00331AA7">
      <w:pPr>
        <w:spacing w:after="0" w:line="240" w:lineRule="auto"/>
        <w:jc w:val="center"/>
        <w:rPr>
          <w:rFonts w:ascii="Times New Roman" w:hAnsi="Times New Roman" w:cs="Times New Roman"/>
          <w:sz w:val="18"/>
          <w:szCs w:val="24"/>
          <w:lang w:val="es-MX"/>
        </w:rPr>
      </w:pPr>
      <w:r w:rsidRPr="000120B8">
        <w:rPr>
          <w:rFonts w:ascii="Times New Roman" w:hAnsi="Times New Roman" w:cs="Times New Roman"/>
          <w:sz w:val="18"/>
          <w:szCs w:val="24"/>
          <w:lang w:val="es-MX"/>
        </w:rPr>
        <w:t>Millones de quetzales</w:t>
      </w:r>
    </w:p>
    <w:p w:rsidR="00331AA7" w:rsidRPr="000120B8" w:rsidRDefault="00331AA7" w:rsidP="00331AA7">
      <w:pPr>
        <w:spacing w:after="0" w:line="240" w:lineRule="auto"/>
        <w:jc w:val="both"/>
        <w:rPr>
          <w:rFonts w:ascii="Times New Roman" w:hAnsi="Times New Roman" w:cs="Times New Roman"/>
          <w:szCs w:val="24"/>
          <w:lang w:val="es-MX"/>
        </w:rPr>
      </w:pPr>
      <w:r w:rsidRPr="000120B8">
        <w:rPr>
          <w:rFonts w:ascii="Times New Roman" w:hAnsi="Times New Roman" w:cs="Times New Roman"/>
          <w:noProof/>
          <w:szCs w:val="24"/>
          <w:lang w:eastAsia="es-GT"/>
        </w:rPr>
        <w:drawing>
          <wp:inline distT="0" distB="0" distL="0" distR="0" wp14:anchorId="1876C0FD" wp14:editId="1ED667CE">
            <wp:extent cx="2633870" cy="2912165"/>
            <wp:effectExtent l="0" t="0" r="0" b="254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1AA7" w:rsidRPr="000120B8" w:rsidRDefault="00331AA7" w:rsidP="00331AA7">
      <w:pPr>
        <w:spacing w:after="0" w:line="240" w:lineRule="auto"/>
        <w:jc w:val="both"/>
        <w:rPr>
          <w:rFonts w:ascii="Times New Roman" w:hAnsi="Times New Roman" w:cs="Times New Roman"/>
          <w:sz w:val="16"/>
          <w:szCs w:val="24"/>
          <w:lang w:val="es-MX"/>
        </w:rPr>
      </w:pPr>
      <w:r w:rsidRPr="000120B8">
        <w:rPr>
          <w:rFonts w:ascii="Times New Roman" w:hAnsi="Times New Roman" w:cs="Times New Roman"/>
          <w:sz w:val="16"/>
          <w:szCs w:val="24"/>
          <w:lang w:val="es-MX"/>
        </w:rPr>
        <w:t>Fuente: Dirección de análisis y política fiscal</w:t>
      </w:r>
    </w:p>
    <w:p w:rsidR="00C91DB4" w:rsidRPr="000120B8" w:rsidRDefault="00C91DB4" w:rsidP="00C91DB4">
      <w:pPr>
        <w:spacing w:after="0" w:line="240" w:lineRule="auto"/>
        <w:rPr>
          <w:rFonts w:ascii="Times New Roman" w:hAnsi="Times New Roman" w:cs="Times New Roman"/>
          <w:lang w:val="es-MX"/>
        </w:rPr>
        <w:sectPr w:rsidR="00C91DB4" w:rsidRPr="000120B8" w:rsidSect="00740239">
          <w:type w:val="continuous"/>
          <w:pgSz w:w="12240" w:h="15840"/>
          <w:pgMar w:top="2155" w:right="1701" w:bottom="1418" w:left="1701" w:header="709" w:footer="709" w:gutter="0"/>
          <w:cols w:num="2" w:space="708"/>
          <w:docGrid w:linePitch="360"/>
        </w:sectPr>
      </w:pPr>
    </w:p>
    <w:p w:rsidR="00C91DB4" w:rsidRPr="000120B8" w:rsidRDefault="00C91DB4" w:rsidP="00C91DB4">
      <w:pPr>
        <w:spacing w:after="0" w:line="240" w:lineRule="auto"/>
        <w:rPr>
          <w:rFonts w:ascii="Times New Roman" w:hAnsi="Times New Roman" w:cs="Times New Roman"/>
          <w:b/>
          <w:sz w:val="10"/>
          <w:lang w:val="es-MX"/>
        </w:rPr>
      </w:pPr>
    </w:p>
    <w:p w:rsidR="00C91DB4" w:rsidRPr="00650B73" w:rsidRDefault="00C91DB4" w:rsidP="00C91DB4">
      <w:pPr>
        <w:spacing w:after="0" w:line="240" w:lineRule="auto"/>
        <w:rPr>
          <w:rFonts w:ascii="Times New Roman" w:hAnsi="Times New Roman" w:cs="Times New Roman"/>
          <w:b/>
          <w:lang w:val="es-MX"/>
        </w:rPr>
      </w:pPr>
    </w:p>
    <w:p w:rsidR="00596F8D" w:rsidRPr="000120B8" w:rsidRDefault="00596F8D" w:rsidP="004056AF">
      <w:pPr>
        <w:spacing w:after="0" w:line="240" w:lineRule="auto"/>
        <w:rPr>
          <w:rFonts w:ascii="Times New Roman" w:hAnsi="Times New Roman" w:cs="Times New Roman"/>
          <w:b/>
          <w:sz w:val="14"/>
          <w:lang w:val="es-MX"/>
        </w:rPr>
        <w:sectPr w:rsidR="00596F8D" w:rsidRPr="000120B8" w:rsidSect="00740239">
          <w:headerReference w:type="default" r:id="rId13"/>
          <w:footerReference w:type="default" r:id="rId14"/>
          <w:type w:val="continuous"/>
          <w:pgSz w:w="12240" w:h="15840"/>
          <w:pgMar w:top="2155" w:right="1701" w:bottom="1417" w:left="1701" w:header="708" w:footer="708" w:gutter="0"/>
          <w:cols w:num="2" w:space="708"/>
          <w:docGrid w:linePitch="360"/>
        </w:sectPr>
      </w:pPr>
    </w:p>
    <w:p w:rsidR="00701B17" w:rsidRPr="000120B8" w:rsidRDefault="00701B17" w:rsidP="00D90C85">
      <w:pPr>
        <w:spacing w:after="0" w:line="240" w:lineRule="auto"/>
        <w:jc w:val="both"/>
        <w:rPr>
          <w:rFonts w:ascii="Times New Roman" w:hAnsi="Times New Roman" w:cs="Times New Roman"/>
          <w:sz w:val="6"/>
          <w:lang w:val="es-MX"/>
        </w:rPr>
      </w:pPr>
    </w:p>
    <w:p w:rsidR="00582390" w:rsidRPr="000120B8" w:rsidRDefault="00780A0F" w:rsidP="00582390">
      <w:pPr>
        <w:pStyle w:val="Sinespaciado"/>
        <w:pBdr>
          <w:top w:val="single" w:sz="12" w:space="1" w:color="auto"/>
          <w:left w:val="single" w:sz="12" w:space="4" w:color="auto"/>
          <w:bottom w:val="single" w:sz="12" w:space="1" w:color="auto"/>
          <w:right w:val="single" w:sz="12" w:space="4" w:color="auto"/>
        </w:pBdr>
        <w:shd w:val="clear" w:color="auto" w:fill="C6D9F1" w:themeFill="text2" w:themeFillTint="33"/>
        <w:jc w:val="center"/>
        <w:rPr>
          <w:rFonts w:ascii="Times New Roman" w:hAnsi="Times New Roman" w:cs="Times New Roman"/>
          <w:b/>
          <w:lang w:val="es-MX"/>
        </w:rPr>
      </w:pPr>
      <w:r w:rsidRPr="000120B8">
        <w:rPr>
          <w:rFonts w:ascii="Times New Roman" w:hAnsi="Times New Roman" w:cs="Times New Roman"/>
          <w:b/>
          <w:lang w:val="es-MX"/>
        </w:rPr>
        <w:t>Ejecución de gasto experimenta un lento crecimiento</w:t>
      </w:r>
    </w:p>
    <w:p w:rsidR="00BD010A" w:rsidRPr="000120B8" w:rsidRDefault="00BD010A" w:rsidP="00363CC7">
      <w:pPr>
        <w:pStyle w:val="Sinespaciado"/>
        <w:jc w:val="both"/>
        <w:rPr>
          <w:rFonts w:ascii="Times New Roman" w:hAnsi="Times New Roman" w:cs="Times New Roman"/>
          <w:lang w:val="es-MX"/>
        </w:rPr>
      </w:pPr>
    </w:p>
    <w:p w:rsidR="00BD010A" w:rsidRPr="000120B8" w:rsidRDefault="00BD010A" w:rsidP="00363CC7">
      <w:pPr>
        <w:pStyle w:val="Sinespaciado"/>
        <w:jc w:val="both"/>
        <w:rPr>
          <w:rFonts w:ascii="Times New Roman" w:hAnsi="Times New Roman" w:cs="Times New Roman"/>
          <w:lang w:val="es-MX"/>
        </w:rPr>
        <w:sectPr w:rsidR="00BD010A" w:rsidRPr="000120B8" w:rsidSect="00740239">
          <w:type w:val="continuous"/>
          <w:pgSz w:w="12240" w:h="15840"/>
          <w:pgMar w:top="2155" w:right="1701" w:bottom="1417" w:left="1701" w:header="708" w:footer="708" w:gutter="0"/>
          <w:cols w:space="708"/>
          <w:docGrid w:linePitch="360"/>
        </w:sectPr>
      </w:pPr>
    </w:p>
    <w:p w:rsidR="00213772" w:rsidRPr="000120B8" w:rsidRDefault="00213772" w:rsidP="00213772">
      <w:pPr>
        <w:pStyle w:val="Sinespaciado"/>
        <w:jc w:val="both"/>
        <w:rPr>
          <w:rFonts w:ascii="Times New Roman" w:hAnsi="Times New Roman" w:cs="Times New Roman"/>
          <w:lang w:val="es-MX"/>
        </w:rPr>
      </w:pPr>
      <w:r w:rsidRPr="000120B8">
        <w:rPr>
          <w:rFonts w:ascii="Times New Roman" w:hAnsi="Times New Roman" w:cs="Times New Roman"/>
          <w:lang w:val="es-MX"/>
        </w:rPr>
        <w:t>La incertidumbre en cuanto al nivel de recaudación que la Superintendencia de Administración Tributaria pudiera alcanzar en el año, aunado a los pagos pendientes de liquidar que quedaron al cierre de 2015, fueron determinantes para que las autoridades fiscales desde inicios de año  mantuvieran la política de contención y austeridad en el gasto público, medida que únicamente podría modificarse si la recaudación tributaria o a través de otras fuentes de financiamiento se incrementan en el transcurso del año.  Por lo que la racionalización y priorización del gasto serán los principales instrumentos de política en el presente ejercicio fiscal.</w:t>
      </w:r>
    </w:p>
    <w:p w:rsidR="00213772" w:rsidRPr="000120B8" w:rsidRDefault="00213772" w:rsidP="00213772">
      <w:pPr>
        <w:pStyle w:val="Sinespaciado"/>
        <w:jc w:val="both"/>
        <w:rPr>
          <w:rFonts w:ascii="Times New Roman" w:hAnsi="Times New Roman" w:cs="Times New Roman"/>
          <w:lang w:val="es-MX"/>
        </w:rPr>
      </w:pPr>
      <w:r w:rsidRPr="000120B8">
        <w:rPr>
          <w:rFonts w:ascii="Times New Roman" w:hAnsi="Times New Roman" w:cs="Times New Roman"/>
          <w:lang w:val="es-MX"/>
        </w:rPr>
        <w:t xml:space="preserve"> </w:t>
      </w:r>
    </w:p>
    <w:p w:rsidR="00213772" w:rsidRDefault="00213772" w:rsidP="00213772">
      <w:pPr>
        <w:pStyle w:val="Sinespaciado"/>
        <w:jc w:val="both"/>
        <w:rPr>
          <w:rFonts w:ascii="Times New Roman" w:hAnsi="Times New Roman" w:cs="Times New Roman"/>
          <w:lang w:val="es-MX"/>
        </w:rPr>
      </w:pPr>
      <w:r w:rsidRPr="000120B8">
        <w:rPr>
          <w:rFonts w:ascii="Times New Roman" w:hAnsi="Times New Roman" w:cs="Times New Roman"/>
          <w:lang w:val="es-MX"/>
        </w:rPr>
        <w:t xml:space="preserve">De esa cuenta, al 31 de enero de 2016, el nivel de ejecución gasto público se sitúa </w:t>
      </w:r>
      <w:r w:rsidR="00650B73">
        <w:rPr>
          <w:rFonts w:ascii="Times New Roman" w:hAnsi="Times New Roman" w:cs="Times New Roman"/>
          <w:lang w:val="es-MX"/>
        </w:rPr>
        <w:t xml:space="preserve">      </w:t>
      </w:r>
      <w:r w:rsidRPr="000120B8">
        <w:rPr>
          <w:rFonts w:ascii="Times New Roman" w:hAnsi="Times New Roman" w:cs="Times New Roman"/>
          <w:lang w:val="es-MX"/>
        </w:rPr>
        <w:t>Q</w:t>
      </w:r>
      <w:r w:rsidR="007B224B">
        <w:rPr>
          <w:rFonts w:ascii="Times New Roman" w:hAnsi="Times New Roman" w:cs="Times New Roman"/>
          <w:lang w:val="es-MX"/>
        </w:rPr>
        <w:t xml:space="preserve"> </w:t>
      </w:r>
      <w:r w:rsidRPr="000120B8">
        <w:rPr>
          <w:rFonts w:ascii="Times New Roman" w:hAnsi="Times New Roman" w:cs="Times New Roman"/>
          <w:lang w:val="es-MX"/>
        </w:rPr>
        <w:t xml:space="preserve">3,934.7 millones, con un crecimiento interanual del 0.4%, respecto al cierre de enero de 2015 cuya variación fue de 14.4%. </w:t>
      </w:r>
    </w:p>
    <w:p w:rsidR="007B224B" w:rsidRPr="000120B8" w:rsidRDefault="007B224B" w:rsidP="00213772">
      <w:pPr>
        <w:pStyle w:val="Sinespaciado"/>
        <w:jc w:val="both"/>
        <w:rPr>
          <w:rFonts w:ascii="Times New Roman" w:hAnsi="Times New Roman" w:cs="Times New Roman"/>
          <w:lang w:val="es-MX"/>
        </w:rPr>
      </w:pPr>
    </w:p>
    <w:p w:rsidR="00213772" w:rsidRPr="000120B8" w:rsidRDefault="00213772" w:rsidP="00213772">
      <w:pPr>
        <w:pStyle w:val="Sinespaciado"/>
        <w:jc w:val="center"/>
        <w:rPr>
          <w:rFonts w:ascii="Times New Roman" w:hAnsi="Times New Roman" w:cs="Times New Roman"/>
          <w:b/>
          <w:lang w:val="es-MX"/>
        </w:rPr>
      </w:pPr>
      <w:r w:rsidRPr="000120B8">
        <w:rPr>
          <w:rFonts w:ascii="Times New Roman" w:hAnsi="Times New Roman" w:cs="Times New Roman"/>
          <w:b/>
          <w:lang w:val="es-MX"/>
        </w:rPr>
        <w:t>Ritmo de Ejecución del Gasto</w:t>
      </w:r>
    </w:p>
    <w:p w:rsidR="00213772" w:rsidRPr="000120B8" w:rsidRDefault="00213772" w:rsidP="00213772">
      <w:pPr>
        <w:pStyle w:val="Sinespaciado"/>
        <w:jc w:val="center"/>
        <w:rPr>
          <w:rFonts w:ascii="Times New Roman" w:hAnsi="Times New Roman" w:cs="Times New Roman"/>
          <w:sz w:val="18"/>
          <w:lang w:val="es-MX"/>
        </w:rPr>
      </w:pPr>
      <w:r w:rsidRPr="000120B8">
        <w:rPr>
          <w:rFonts w:ascii="Times New Roman" w:hAnsi="Times New Roman" w:cs="Times New Roman"/>
          <w:sz w:val="18"/>
          <w:lang w:val="es-MX"/>
        </w:rPr>
        <w:t>Variación Interanual</w:t>
      </w:r>
    </w:p>
    <w:p w:rsidR="00213772" w:rsidRPr="000120B8" w:rsidRDefault="00213772" w:rsidP="00213772">
      <w:pPr>
        <w:pStyle w:val="Sinespaciado"/>
        <w:jc w:val="both"/>
        <w:rPr>
          <w:rFonts w:ascii="Times New Roman" w:hAnsi="Times New Roman" w:cs="Times New Roman"/>
          <w:lang w:val="es-MX"/>
        </w:rPr>
      </w:pPr>
      <w:r w:rsidRPr="000120B8">
        <w:rPr>
          <w:rFonts w:ascii="Times New Roman" w:hAnsi="Times New Roman" w:cs="Times New Roman"/>
          <w:noProof/>
          <w:lang w:eastAsia="es-GT"/>
        </w:rPr>
        <w:drawing>
          <wp:inline distT="0" distB="0" distL="0" distR="0" wp14:anchorId="2258FEAA" wp14:editId="4B2E7568">
            <wp:extent cx="2586366" cy="2365514"/>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5542" cy="2373906"/>
                    </a:xfrm>
                    <a:prstGeom prst="rect">
                      <a:avLst/>
                    </a:prstGeom>
                    <a:noFill/>
                  </pic:spPr>
                </pic:pic>
              </a:graphicData>
            </a:graphic>
          </wp:inline>
        </w:drawing>
      </w:r>
    </w:p>
    <w:p w:rsidR="00213772" w:rsidRPr="000120B8" w:rsidRDefault="00213772" w:rsidP="00213772">
      <w:pPr>
        <w:pStyle w:val="Sinespaciado"/>
        <w:jc w:val="both"/>
        <w:rPr>
          <w:rFonts w:ascii="Times New Roman" w:hAnsi="Times New Roman" w:cs="Times New Roman"/>
          <w:sz w:val="16"/>
        </w:rPr>
      </w:pPr>
      <w:r w:rsidRPr="000120B8">
        <w:rPr>
          <w:rFonts w:ascii="Times New Roman" w:hAnsi="Times New Roman" w:cs="Times New Roman"/>
          <w:sz w:val="16"/>
        </w:rPr>
        <w:t>Fuente: Dirección de Análisis y Política fiscal</w:t>
      </w:r>
    </w:p>
    <w:p w:rsidR="00213772" w:rsidRPr="000120B8" w:rsidRDefault="00213772" w:rsidP="00213772">
      <w:pPr>
        <w:pStyle w:val="Sinespaciado"/>
        <w:jc w:val="both"/>
        <w:rPr>
          <w:rFonts w:ascii="Times New Roman" w:hAnsi="Times New Roman" w:cs="Times New Roman"/>
        </w:rPr>
      </w:pPr>
    </w:p>
    <w:p w:rsidR="00213772" w:rsidRPr="000120B8" w:rsidRDefault="00213772" w:rsidP="00213772">
      <w:pPr>
        <w:pStyle w:val="Sinespaciado"/>
        <w:jc w:val="both"/>
        <w:rPr>
          <w:rFonts w:ascii="Times New Roman" w:hAnsi="Times New Roman" w:cs="Times New Roman"/>
          <w:lang w:val="es-MX"/>
        </w:rPr>
      </w:pPr>
      <w:r w:rsidRPr="000120B8">
        <w:rPr>
          <w:rFonts w:ascii="Times New Roman" w:hAnsi="Times New Roman" w:cs="Times New Roman"/>
          <w:lang w:val="es-MX"/>
        </w:rPr>
        <w:t>El gasto público privilegió el pago de la nómina, el servicio de la deuda pública, la pensiones y jubilaciones, y los aportes institucionales a  descentralizadas, autónomas y municipalidades.</w:t>
      </w:r>
    </w:p>
    <w:p w:rsidR="00213772" w:rsidRPr="000120B8" w:rsidRDefault="00213772" w:rsidP="00213772">
      <w:pPr>
        <w:pStyle w:val="Sinespaciado"/>
        <w:jc w:val="both"/>
        <w:rPr>
          <w:rFonts w:ascii="Times New Roman" w:hAnsi="Times New Roman" w:cs="Times New Roman"/>
          <w:lang w:val="es-MX"/>
        </w:rPr>
      </w:pPr>
    </w:p>
    <w:p w:rsidR="00213772" w:rsidRPr="000120B8" w:rsidRDefault="00213772" w:rsidP="00213772">
      <w:pPr>
        <w:pStyle w:val="Sinespaciado"/>
        <w:jc w:val="both"/>
        <w:rPr>
          <w:rFonts w:ascii="Times New Roman" w:hAnsi="Times New Roman" w:cs="Times New Roman"/>
          <w:lang w:val="es-MX"/>
        </w:rPr>
      </w:pPr>
      <w:r w:rsidRPr="000120B8">
        <w:rPr>
          <w:rFonts w:ascii="Times New Roman" w:hAnsi="Times New Roman" w:cs="Times New Roman"/>
          <w:lang w:val="es-MX"/>
        </w:rPr>
        <w:t xml:space="preserve">La principal contracción en el gasto se observa en los rubros bienes y servicios y en menor medida en los aportes al sector privados (ONG) y en el gasto de inversión pública. </w:t>
      </w:r>
    </w:p>
    <w:p w:rsidR="00213772" w:rsidRPr="000120B8" w:rsidRDefault="00213772" w:rsidP="00213772">
      <w:pPr>
        <w:pStyle w:val="Sinespaciado"/>
        <w:jc w:val="both"/>
        <w:rPr>
          <w:rFonts w:ascii="Times New Roman" w:hAnsi="Times New Roman" w:cs="Times New Roman"/>
          <w:lang w:val="es-MX"/>
        </w:rPr>
      </w:pPr>
      <w:r w:rsidRPr="000120B8">
        <w:rPr>
          <w:rFonts w:ascii="Times New Roman" w:hAnsi="Times New Roman" w:cs="Times New Roman"/>
          <w:lang w:val="es-MX"/>
        </w:rPr>
        <w:t xml:space="preserve"> </w:t>
      </w:r>
    </w:p>
    <w:p w:rsidR="00213772" w:rsidRPr="000120B8" w:rsidRDefault="00213772" w:rsidP="00213772">
      <w:pPr>
        <w:pStyle w:val="Sinespaciado"/>
        <w:jc w:val="both"/>
        <w:rPr>
          <w:rFonts w:ascii="Times New Roman" w:hAnsi="Times New Roman" w:cs="Times New Roman"/>
        </w:rPr>
      </w:pPr>
      <w:r w:rsidRPr="000120B8">
        <w:rPr>
          <w:rFonts w:ascii="Times New Roman" w:hAnsi="Times New Roman" w:cs="Times New Roman"/>
          <w:lang w:val="es-MX"/>
        </w:rPr>
        <w:t>El comportamiento del gasto realizado,  permitió que el grado de ejecución presupuestaria, se ubicara al cierre de enero de 2015 en 6.0%,  por arriba de lo obtenido en igual período de 2015 (5.8%) por arriba del promedio de los años (2008-2015) que fue de 5.8%.  El  desempeño alcanzado en este indicador se debe a que el presupuesto aprobado de este año es ligeramente superior al de 2015 (0.4%), esto hace que, un leve aumento de gasto se traduzca un mayor grado de ejecución.</w:t>
      </w:r>
    </w:p>
    <w:p w:rsidR="00213772" w:rsidRPr="000120B8" w:rsidRDefault="00213772" w:rsidP="00213772">
      <w:pPr>
        <w:pStyle w:val="Sinespaciado"/>
        <w:jc w:val="both"/>
        <w:rPr>
          <w:rFonts w:ascii="Times New Roman" w:hAnsi="Times New Roman" w:cs="Times New Roman"/>
        </w:rPr>
      </w:pPr>
    </w:p>
    <w:p w:rsidR="00213772" w:rsidRPr="000120B8" w:rsidRDefault="00213772" w:rsidP="00213772">
      <w:pPr>
        <w:pStyle w:val="Sinespaciado"/>
        <w:jc w:val="both"/>
        <w:rPr>
          <w:rFonts w:ascii="Times New Roman" w:hAnsi="Times New Roman" w:cs="Times New Roman"/>
        </w:rPr>
      </w:pPr>
      <w:r w:rsidRPr="000120B8">
        <w:rPr>
          <w:rFonts w:ascii="Times New Roman" w:hAnsi="Times New Roman" w:cs="Times New Roman"/>
        </w:rPr>
        <w:t>La ejecución de gasto incluyendo las amortizaciones de la deuda pública, al 31 de enero de 2016, se ubicó en Q 4,264.1 millones.  Dentro de las entidades que muestran mayor  ejecución en enero de este año, destacan Obligaciones del Estado, Educación, el Servicio de la Deuda, Salud Pública y Gobernación.   Por su parte, los ministerios cuya ejecución fue relativamente baja se encuentran Desarrollo, Economía, Ambiente, Energía y Minas y la PGN.</w:t>
      </w:r>
    </w:p>
    <w:p w:rsidR="00213772" w:rsidRPr="00650B73" w:rsidRDefault="00213772" w:rsidP="00213772">
      <w:pPr>
        <w:pStyle w:val="Sinespaciado"/>
        <w:jc w:val="both"/>
        <w:rPr>
          <w:rFonts w:ascii="Times New Roman" w:hAnsi="Times New Roman" w:cs="Times New Roman"/>
          <w:sz w:val="8"/>
        </w:rPr>
      </w:pPr>
    </w:p>
    <w:p w:rsidR="000120B8" w:rsidRPr="00650B73" w:rsidRDefault="000120B8" w:rsidP="00213772">
      <w:pPr>
        <w:pStyle w:val="Sinespaciado"/>
        <w:jc w:val="both"/>
        <w:rPr>
          <w:rFonts w:ascii="Times New Roman" w:hAnsi="Times New Roman" w:cs="Times New Roman"/>
          <w:sz w:val="6"/>
        </w:rPr>
      </w:pPr>
    </w:p>
    <w:p w:rsidR="000120B8" w:rsidRPr="00650B73" w:rsidRDefault="000120B8" w:rsidP="00213772">
      <w:pPr>
        <w:pStyle w:val="Sinespaciado"/>
        <w:jc w:val="both"/>
        <w:rPr>
          <w:rFonts w:ascii="Times New Roman" w:hAnsi="Times New Roman" w:cs="Times New Roman"/>
          <w:sz w:val="12"/>
        </w:rPr>
      </w:pPr>
    </w:p>
    <w:p w:rsidR="000120B8" w:rsidRPr="000120B8" w:rsidRDefault="000120B8" w:rsidP="00213772">
      <w:pPr>
        <w:pStyle w:val="Sinespaciado"/>
        <w:jc w:val="both"/>
        <w:rPr>
          <w:rFonts w:ascii="Times New Roman" w:hAnsi="Times New Roman" w:cs="Times New Roman"/>
          <w:sz w:val="14"/>
        </w:rPr>
      </w:pPr>
    </w:p>
    <w:p w:rsidR="000120B8" w:rsidRPr="000120B8" w:rsidRDefault="000120B8" w:rsidP="00213772">
      <w:pPr>
        <w:pStyle w:val="Sinespaciado"/>
        <w:jc w:val="both"/>
        <w:rPr>
          <w:rFonts w:ascii="Times New Roman" w:hAnsi="Times New Roman" w:cs="Times New Roman"/>
          <w:sz w:val="8"/>
        </w:rPr>
      </w:pPr>
    </w:p>
    <w:p w:rsidR="00213772" w:rsidRPr="000120B8" w:rsidRDefault="00213772" w:rsidP="00213772">
      <w:pPr>
        <w:pStyle w:val="Sinespaciado"/>
        <w:jc w:val="center"/>
        <w:rPr>
          <w:rFonts w:ascii="Times New Roman" w:hAnsi="Times New Roman" w:cs="Times New Roman"/>
          <w:b/>
          <w:lang w:val="es-MX"/>
        </w:rPr>
      </w:pPr>
      <w:r w:rsidRPr="000120B8">
        <w:rPr>
          <w:rFonts w:ascii="Times New Roman" w:hAnsi="Times New Roman" w:cs="Times New Roman"/>
          <w:b/>
          <w:lang w:val="es-MX"/>
        </w:rPr>
        <w:lastRenderedPageBreak/>
        <w:t>Ejecución por Entidad</w:t>
      </w:r>
    </w:p>
    <w:p w:rsidR="00213772" w:rsidRPr="000120B8" w:rsidRDefault="00213772" w:rsidP="00213772">
      <w:pPr>
        <w:pStyle w:val="Sinespaciado"/>
        <w:jc w:val="center"/>
        <w:rPr>
          <w:rFonts w:ascii="Times New Roman" w:hAnsi="Times New Roman" w:cs="Times New Roman"/>
          <w:sz w:val="18"/>
          <w:szCs w:val="18"/>
          <w:lang w:val="es-MX"/>
        </w:rPr>
      </w:pPr>
      <w:r w:rsidRPr="000120B8">
        <w:rPr>
          <w:rFonts w:ascii="Times New Roman" w:hAnsi="Times New Roman" w:cs="Times New Roman"/>
          <w:sz w:val="18"/>
          <w:szCs w:val="18"/>
          <w:lang w:val="es-MX"/>
        </w:rPr>
        <w:t>Al 31 de Enero de 2015</w:t>
      </w:r>
    </w:p>
    <w:p w:rsidR="00213772" w:rsidRPr="000120B8" w:rsidRDefault="00213772" w:rsidP="00213772">
      <w:pPr>
        <w:pStyle w:val="Sinespaciado"/>
        <w:jc w:val="center"/>
        <w:rPr>
          <w:rFonts w:ascii="Times New Roman" w:hAnsi="Times New Roman" w:cs="Times New Roman"/>
          <w:sz w:val="18"/>
          <w:szCs w:val="18"/>
          <w:lang w:val="es-MX"/>
        </w:rPr>
      </w:pPr>
      <w:r w:rsidRPr="000120B8">
        <w:rPr>
          <w:rFonts w:ascii="Times New Roman" w:hAnsi="Times New Roman" w:cs="Times New Roman"/>
          <w:sz w:val="18"/>
          <w:szCs w:val="18"/>
          <w:lang w:val="es-MX"/>
        </w:rPr>
        <w:t>Millones de quetzales</w:t>
      </w:r>
    </w:p>
    <w:p w:rsidR="00213772" w:rsidRPr="000120B8" w:rsidRDefault="00213772" w:rsidP="00213772">
      <w:pPr>
        <w:pStyle w:val="Sinespaciado"/>
        <w:jc w:val="both"/>
        <w:rPr>
          <w:rFonts w:ascii="Times New Roman" w:hAnsi="Times New Roman" w:cs="Times New Roman"/>
        </w:rPr>
      </w:pPr>
      <w:r w:rsidRPr="000120B8">
        <w:rPr>
          <w:rFonts w:ascii="Times New Roman" w:hAnsi="Times New Roman" w:cs="Times New Roman"/>
          <w:noProof/>
          <w:lang w:eastAsia="es-GT"/>
        </w:rPr>
        <mc:AlternateContent>
          <mc:Choice Requires="wps">
            <w:drawing>
              <wp:anchor distT="0" distB="0" distL="114300" distR="114300" simplePos="0" relativeHeight="251661312" behindDoc="0" locked="0" layoutInCell="1" allowOverlap="1" wp14:anchorId="505AF2B8" wp14:editId="4C1E51D0">
                <wp:simplePos x="0" y="0"/>
                <wp:positionH relativeFrom="column">
                  <wp:posOffset>927735</wp:posOffset>
                </wp:positionH>
                <wp:positionV relativeFrom="paragraph">
                  <wp:posOffset>1163955</wp:posOffset>
                </wp:positionV>
                <wp:extent cx="1676400" cy="295275"/>
                <wp:effectExtent l="0" t="0" r="0" b="9525"/>
                <wp:wrapNone/>
                <wp:docPr id="19" name="19 Cuadro de texto"/>
                <wp:cNvGraphicFramePr/>
                <a:graphic xmlns:a="http://schemas.openxmlformats.org/drawingml/2006/main">
                  <a:graphicData uri="http://schemas.microsoft.com/office/word/2010/wordprocessingShape">
                    <wps:wsp>
                      <wps:cNvSpPr txBox="1"/>
                      <wps:spPr>
                        <a:xfrm>
                          <a:off x="0" y="0"/>
                          <a:ext cx="1676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3772" w:rsidRPr="00180810" w:rsidRDefault="00213772" w:rsidP="00213772">
                            <w:pPr>
                              <w:rPr>
                                <w:rFonts w:ascii="Times New Roman" w:hAnsi="Times New Roman" w:cs="Times New Roman"/>
                                <w:b/>
                                <w:sz w:val="20"/>
                                <w:lang w:val="es-MX"/>
                              </w:rPr>
                            </w:pPr>
                            <w:r w:rsidRPr="00180810">
                              <w:rPr>
                                <w:rFonts w:ascii="Times New Roman" w:hAnsi="Times New Roman" w:cs="Times New Roman"/>
                                <w:b/>
                                <w:sz w:val="20"/>
                                <w:lang w:val="es-MX"/>
                              </w:rPr>
                              <w:t>Total: Q</w:t>
                            </w:r>
                            <w:r>
                              <w:rPr>
                                <w:rFonts w:ascii="Times New Roman" w:hAnsi="Times New Roman" w:cs="Times New Roman"/>
                                <w:b/>
                                <w:sz w:val="20"/>
                                <w:lang w:val="es-MX"/>
                              </w:rPr>
                              <w:t xml:space="preserve"> </w:t>
                            </w:r>
                            <w:r w:rsidRPr="00180810">
                              <w:rPr>
                                <w:rFonts w:ascii="Times New Roman" w:hAnsi="Times New Roman" w:cs="Times New Roman"/>
                                <w:b/>
                                <w:sz w:val="20"/>
                                <w:lang w:val="es-MX"/>
                              </w:rPr>
                              <w:t>4,264.1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AF2B8" id="_x0000_t202" coordsize="21600,21600" o:spt="202" path="m,l,21600r21600,l21600,xe">
                <v:stroke joinstyle="miter"/>
                <v:path gradientshapeok="t" o:connecttype="rect"/>
              </v:shapetype>
              <v:shape id="19 Cuadro de texto" o:spid="_x0000_s1026" type="#_x0000_t202" style="position:absolute;left:0;text-align:left;margin-left:73.05pt;margin-top:91.65pt;width:132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" fillcolor="white [3201]" stroked="f" strokeweight=".5pt">
                <v:textbox>
                  <w:txbxContent>
                    <w:p w:rsidR="00213772" w:rsidRPr="00180810" w:rsidRDefault="00213772" w:rsidP="00213772">
                      <w:pPr>
                        <w:rPr>
                          <w:rFonts w:ascii="Times New Roman" w:hAnsi="Times New Roman" w:cs="Times New Roman"/>
                          <w:b/>
                          <w:sz w:val="20"/>
                          <w:lang w:val="es-MX"/>
                        </w:rPr>
                      </w:pPr>
                      <w:r w:rsidRPr="00180810">
                        <w:rPr>
                          <w:rFonts w:ascii="Times New Roman" w:hAnsi="Times New Roman" w:cs="Times New Roman"/>
                          <w:b/>
                          <w:sz w:val="20"/>
                          <w:lang w:val="es-MX"/>
                        </w:rPr>
                        <w:t>Total: Q</w:t>
                      </w:r>
                      <w:r>
                        <w:rPr>
                          <w:rFonts w:ascii="Times New Roman" w:hAnsi="Times New Roman" w:cs="Times New Roman"/>
                          <w:b/>
                          <w:sz w:val="20"/>
                          <w:lang w:val="es-MX"/>
                        </w:rPr>
                        <w:t xml:space="preserve"> </w:t>
                      </w:r>
                      <w:r w:rsidRPr="00180810">
                        <w:rPr>
                          <w:rFonts w:ascii="Times New Roman" w:hAnsi="Times New Roman" w:cs="Times New Roman"/>
                          <w:b/>
                          <w:sz w:val="20"/>
                          <w:lang w:val="es-MX"/>
                        </w:rPr>
                        <w:t>4,264.1 millones</w:t>
                      </w:r>
                    </w:p>
                  </w:txbxContent>
                </v:textbox>
              </v:shape>
            </w:pict>
          </mc:Fallback>
        </mc:AlternateContent>
      </w:r>
      <w:r w:rsidRPr="000120B8">
        <w:rPr>
          <w:rFonts w:ascii="Times New Roman" w:hAnsi="Times New Roman" w:cs="Times New Roman"/>
          <w:noProof/>
          <w:lang w:eastAsia="es-GT"/>
        </w:rPr>
        <w:drawing>
          <wp:inline distT="0" distB="0" distL="0" distR="0" wp14:anchorId="423571A7" wp14:editId="1755EC63">
            <wp:extent cx="2691438" cy="21766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270" cy="2183004"/>
                    </a:xfrm>
                    <a:prstGeom prst="rect">
                      <a:avLst/>
                    </a:prstGeom>
                    <a:noFill/>
                  </pic:spPr>
                </pic:pic>
              </a:graphicData>
            </a:graphic>
          </wp:inline>
        </w:drawing>
      </w:r>
    </w:p>
    <w:p w:rsidR="00213772" w:rsidRPr="000120B8" w:rsidRDefault="00213772" w:rsidP="00213772">
      <w:pPr>
        <w:pStyle w:val="Sinespaciado"/>
        <w:jc w:val="both"/>
        <w:rPr>
          <w:rFonts w:ascii="Times New Roman" w:hAnsi="Times New Roman" w:cs="Times New Roman"/>
          <w:sz w:val="16"/>
        </w:rPr>
      </w:pPr>
      <w:r w:rsidRPr="000120B8">
        <w:rPr>
          <w:rFonts w:ascii="Times New Roman" w:hAnsi="Times New Roman" w:cs="Times New Roman"/>
          <w:sz w:val="16"/>
        </w:rPr>
        <w:t>Fuente: Dirección de Análisis y Política fiscal</w:t>
      </w:r>
    </w:p>
    <w:p w:rsidR="00213772" w:rsidRPr="000120B8" w:rsidRDefault="00213772" w:rsidP="00213772">
      <w:pPr>
        <w:pStyle w:val="Sinespaciado"/>
        <w:jc w:val="both"/>
        <w:rPr>
          <w:rFonts w:ascii="Times New Roman" w:hAnsi="Times New Roman" w:cs="Times New Roman"/>
        </w:rPr>
      </w:pPr>
    </w:p>
    <w:p w:rsidR="00213772" w:rsidRPr="000120B8" w:rsidRDefault="00213772" w:rsidP="00213772">
      <w:pPr>
        <w:pStyle w:val="Sinespaciado"/>
        <w:jc w:val="both"/>
        <w:rPr>
          <w:rFonts w:ascii="Times New Roman" w:hAnsi="Times New Roman" w:cs="Times New Roman"/>
        </w:rPr>
      </w:pPr>
      <w:r w:rsidRPr="000120B8">
        <w:rPr>
          <w:rFonts w:ascii="Times New Roman" w:hAnsi="Times New Roman" w:cs="Times New Roman"/>
        </w:rPr>
        <w:t>Potencialmente la ejecución de gasto fuera  mayor si las entidades hubieran ejecutado el 100% de la cuota financiera autorizada por la COPEP, considerando que la programación financiera para enero contemplaba un límite máximo para gastar de Q 4,604.3 millones, cuya ejecución (Q 4,264.1 millones) alcanzó el 92.6% de la cuota total aprobada.</w:t>
      </w:r>
    </w:p>
    <w:p w:rsidR="00213772" w:rsidRPr="000120B8" w:rsidRDefault="00213772" w:rsidP="00213772">
      <w:pPr>
        <w:pStyle w:val="Sinespaciado"/>
        <w:jc w:val="both"/>
        <w:rPr>
          <w:rFonts w:ascii="Times New Roman" w:hAnsi="Times New Roman" w:cs="Times New Roman"/>
        </w:rPr>
      </w:pPr>
    </w:p>
    <w:p w:rsidR="00213772" w:rsidRDefault="00213772" w:rsidP="00213772">
      <w:pPr>
        <w:pStyle w:val="Sinespaciado"/>
        <w:jc w:val="both"/>
        <w:rPr>
          <w:rFonts w:ascii="Times New Roman" w:hAnsi="Times New Roman" w:cs="Times New Roman"/>
        </w:rPr>
      </w:pPr>
      <w:r w:rsidRPr="000120B8">
        <w:rPr>
          <w:rFonts w:ascii="Times New Roman" w:hAnsi="Times New Roman" w:cs="Times New Roman"/>
        </w:rPr>
        <w:t xml:space="preserve">Por último, es importante indicar que como parte de la priorización, cerca del 40% del gasto ejecutado en enero se orientó a atender los sectores sociales en educación, salud y vivienda (Q 1,555.4 millones) financiando con ello la nómina de las entidades rectoras de estos sectores, así como los servicios básicos e insumos críticos, apoyando con ello la dotación de bienes y servicios necesarios conforme se programó en el marco de la gestión por resultados. </w:t>
      </w:r>
    </w:p>
    <w:p w:rsidR="00650B73" w:rsidRPr="000120B8" w:rsidRDefault="00650B73" w:rsidP="00213772">
      <w:pPr>
        <w:pStyle w:val="Sinespaciado"/>
        <w:jc w:val="both"/>
        <w:rPr>
          <w:rFonts w:ascii="Times New Roman" w:hAnsi="Times New Roman" w:cs="Times New Roman"/>
        </w:rPr>
      </w:pPr>
    </w:p>
    <w:p w:rsidR="00780A0F" w:rsidRPr="000120B8" w:rsidRDefault="00780A0F" w:rsidP="00780A0F">
      <w:pPr>
        <w:spacing w:after="0" w:line="240" w:lineRule="auto"/>
        <w:rPr>
          <w:rFonts w:ascii="Times New Roman" w:hAnsi="Times New Roman" w:cs="Times New Roman"/>
          <w:lang w:val="es-MX"/>
        </w:rPr>
        <w:sectPr w:rsidR="00780A0F" w:rsidRPr="000120B8" w:rsidSect="00740239">
          <w:type w:val="continuous"/>
          <w:pgSz w:w="12240" w:h="15840"/>
          <w:pgMar w:top="2155" w:right="1701" w:bottom="851" w:left="1701" w:header="709" w:footer="709" w:gutter="0"/>
          <w:cols w:num="2" w:space="708"/>
          <w:docGrid w:linePitch="360"/>
        </w:sectPr>
      </w:pPr>
    </w:p>
    <w:p w:rsidR="00780A0F" w:rsidRPr="00650B73" w:rsidRDefault="00780A0F" w:rsidP="00780A0F">
      <w:pPr>
        <w:spacing w:after="0" w:line="240" w:lineRule="auto"/>
        <w:rPr>
          <w:rFonts w:ascii="Times New Roman" w:hAnsi="Times New Roman" w:cs="Times New Roman"/>
          <w:b/>
          <w:sz w:val="8"/>
          <w:lang w:val="es-MX"/>
        </w:rPr>
      </w:pPr>
    </w:p>
    <w:p w:rsidR="00780A0F" w:rsidRPr="00650B73" w:rsidRDefault="00780A0F" w:rsidP="00780A0F">
      <w:pPr>
        <w:spacing w:after="0" w:line="240" w:lineRule="auto"/>
        <w:rPr>
          <w:rFonts w:ascii="Times New Roman" w:hAnsi="Times New Roman" w:cs="Times New Roman"/>
          <w:b/>
          <w:sz w:val="4"/>
          <w:lang w:val="es-MX"/>
        </w:rPr>
        <w:sectPr w:rsidR="00780A0F" w:rsidRPr="00650B73" w:rsidSect="00740239">
          <w:headerReference w:type="default" r:id="rId17"/>
          <w:footerReference w:type="default" r:id="rId18"/>
          <w:type w:val="continuous"/>
          <w:pgSz w:w="12240" w:h="15840"/>
          <w:pgMar w:top="2155" w:right="1701" w:bottom="1417" w:left="1701" w:header="708" w:footer="708" w:gutter="0"/>
          <w:cols w:num="2" w:space="708"/>
          <w:docGrid w:linePitch="360"/>
        </w:sectPr>
      </w:pPr>
    </w:p>
    <w:p w:rsidR="00780A0F" w:rsidRPr="000120B8" w:rsidRDefault="00213772" w:rsidP="00780A0F">
      <w:pPr>
        <w:pStyle w:val="Sinespaciado"/>
        <w:pBdr>
          <w:top w:val="single" w:sz="12" w:space="1" w:color="auto"/>
          <w:left w:val="single" w:sz="12" w:space="4" w:color="auto"/>
          <w:bottom w:val="single" w:sz="12" w:space="1" w:color="auto"/>
          <w:right w:val="single" w:sz="12" w:space="4" w:color="auto"/>
        </w:pBdr>
        <w:shd w:val="clear" w:color="auto" w:fill="C6D9F1" w:themeFill="text2" w:themeFillTint="33"/>
        <w:jc w:val="center"/>
        <w:rPr>
          <w:rFonts w:ascii="Times New Roman" w:hAnsi="Times New Roman" w:cs="Times New Roman"/>
          <w:b/>
          <w:lang w:val="es-MX"/>
        </w:rPr>
      </w:pPr>
      <w:r w:rsidRPr="000120B8">
        <w:rPr>
          <w:rFonts w:ascii="Times New Roman" w:hAnsi="Times New Roman" w:cs="Times New Roman"/>
          <w:b/>
          <w:lang w:val="es-MX"/>
        </w:rPr>
        <w:lastRenderedPageBreak/>
        <w:t>Inicia con buen ritmo la colocación de Bonos del Tesoro</w:t>
      </w:r>
    </w:p>
    <w:p w:rsidR="00780A0F" w:rsidRPr="000120B8" w:rsidRDefault="00780A0F" w:rsidP="00780A0F">
      <w:pPr>
        <w:pStyle w:val="Sinespaciado"/>
        <w:jc w:val="center"/>
        <w:rPr>
          <w:rFonts w:ascii="Times New Roman" w:hAnsi="Times New Roman" w:cs="Times New Roman"/>
          <w:b/>
        </w:rPr>
        <w:sectPr w:rsidR="00780A0F" w:rsidRPr="000120B8" w:rsidSect="00740239">
          <w:type w:val="continuous"/>
          <w:pgSz w:w="12240" w:h="15840"/>
          <w:pgMar w:top="2155" w:right="1701" w:bottom="1417" w:left="1701" w:header="708" w:footer="708" w:gutter="0"/>
          <w:cols w:space="708"/>
          <w:docGrid w:linePitch="360"/>
        </w:sectPr>
      </w:pPr>
    </w:p>
    <w:p w:rsidR="00780A0F" w:rsidRPr="000120B8" w:rsidRDefault="00780A0F" w:rsidP="00780A0F">
      <w:pPr>
        <w:pStyle w:val="Sinespaciado"/>
        <w:jc w:val="center"/>
        <w:rPr>
          <w:rFonts w:ascii="Times New Roman" w:hAnsi="Times New Roman" w:cs="Times New Roman"/>
          <w:b/>
        </w:rPr>
      </w:pPr>
    </w:p>
    <w:p w:rsidR="00780A0F" w:rsidRPr="000120B8" w:rsidRDefault="00780A0F" w:rsidP="00780A0F">
      <w:pPr>
        <w:pStyle w:val="Sinespaciado"/>
        <w:jc w:val="both"/>
        <w:rPr>
          <w:rFonts w:ascii="Times New Roman" w:hAnsi="Times New Roman" w:cs="Times New Roman"/>
        </w:rPr>
        <w:sectPr w:rsidR="00780A0F" w:rsidRPr="000120B8" w:rsidSect="00740239">
          <w:type w:val="continuous"/>
          <w:pgSz w:w="12240" w:h="15840"/>
          <w:pgMar w:top="2155" w:right="1701" w:bottom="1417" w:left="1701" w:header="708" w:footer="708" w:gutter="0"/>
          <w:cols w:num="2" w:space="708"/>
          <w:docGrid w:linePitch="360"/>
        </w:sectPr>
      </w:pPr>
    </w:p>
    <w:p w:rsidR="00213772" w:rsidRPr="000120B8" w:rsidRDefault="00213772" w:rsidP="00213772">
      <w:pPr>
        <w:pStyle w:val="Sinespaciado"/>
        <w:jc w:val="both"/>
        <w:rPr>
          <w:rFonts w:ascii="Times New Roman" w:hAnsi="Times New Roman" w:cs="Times New Roman"/>
        </w:rPr>
      </w:pPr>
      <w:r w:rsidRPr="000120B8">
        <w:rPr>
          <w:rFonts w:ascii="Times New Roman" w:hAnsi="Times New Roman" w:cs="Times New Roman"/>
        </w:rPr>
        <w:lastRenderedPageBreak/>
        <w:t xml:space="preserve">En cuanto al financiamiento del déficit de presupuesto, al cierre de enero se obtuvo un flujo negativo en el endeudamiento externo neto por el equivalente a Q 311.5 millones, debido a que las amortizaciones de préstamos realizados fueron mayor a los desembolsos </w:t>
      </w:r>
      <w:r w:rsidRPr="000120B8">
        <w:rPr>
          <w:rFonts w:ascii="Times New Roman" w:hAnsi="Times New Roman" w:cs="Times New Roman"/>
        </w:rPr>
        <w:lastRenderedPageBreak/>
        <w:t xml:space="preserve">que se captaron en dicho mes.  Situación que es contraria a lo ocurrido en enero de 2015, en donde se recibió un desembolso importante de un préstamo de apoyo presupuestario del Banco Mundial (US$ 340 millones), este tipo de préstamos no esperan </w:t>
      </w:r>
      <w:r w:rsidRPr="000120B8">
        <w:rPr>
          <w:rFonts w:ascii="Times New Roman" w:hAnsi="Times New Roman" w:cs="Times New Roman"/>
        </w:rPr>
        <w:lastRenderedPageBreak/>
        <w:t>recibir según el presupuesto aprobado para este año.</w:t>
      </w:r>
    </w:p>
    <w:p w:rsidR="00213772" w:rsidRPr="000120B8" w:rsidRDefault="00213772" w:rsidP="00213772">
      <w:pPr>
        <w:pStyle w:val="Sinespaciado"/>
        <w:jc w:val="both"/>
        <w:rPr>
          <w:rFonts w:ascii="Times New Roman" w:hAnsi="Times New Roman" w:cs="Times New Roman"/>
        </w:rPr>
      </w:pPr>
    </w:p>
    <w:p w:rsidR="00213772" w:rsidRPr="000120B8" w:rsidRDefault="00213772" w:rsidP="00213772">
      <w:pPr>
        <w:pStyle w:val="Sinespaciado"/>
        <w:jc w:val="both"/>
        <w:rPr>
          <w:rFonts w:ascii="Times New Roman" w:hAnsi="Times New Roman" w:cs="Times New Roman"/>
        </w:rPr>
      </w:pPr>
      <w:r w:rsidRPr="000120B8">
        <w:rPr>
          <w:rFonts w:ascii="Times New Roman" w:hAnsi="Times New Roman" w:cs="Times New Roman"/>
        </w:rPr>
        <w:t xml:space="preserve">Asimismo, en la colocación de Bonos del Tesoro, en el primer evento del año, realizado en enero,  se obtuvo una fuerte demanda por parte de los inversionistas cuyo monto se ubicó en Q 2,884.5 millones, de los cuales se adjudicaron Q 1,826.0 millones, por lo que </w:t>
      </w:r>
      <w:r w:rsidRPr="000120B8">
        <w:rPr>
          <w:rFonts w:ascii="Times New Roman" w:hAnsi="Times New Roman" w:cs="Times New Roman"/>
        </w:rPr>
        <w:lastRenderedPageBreak/>
        <w:t xml:space="preserve">quedaría pendiente de colocar Q 13,134.9 millones (incluyendo roll over). Asimismo, Las condiciones financieras a las que fueron colocados los títulos del gobierno fueron bastante favorables ya que en términos generales se mantuvo el costo promedio en 7.5% y el plazo  fue de 15 años.  Además el monto colocado a la fecha se adjudicó con prima. </w:t>
      </w:r>
    </w:p>
    <w:p w:rsidR="00213772" w:rsidRPr="000120B8" w:rsidRDefault="00213772" w:rsidP="00213772">
      <w:pPr>
        <w:pStyle w:val="Sinespaciado"/>
        <w:jc w:val="both"/>
        <w:rPr>
          <w:rFonts w:ascii="Times New Roman" w:hAnsi="Times New Roman" w:cs="Times New Roman"/>
        </w:rPr>
        <w:sectPr w:rsidR="00213772" w:rsidRPr="000120B8" w:rsidSect="00740239">
          <w:type w:val="continuous"/>
          <w:pgSz w:w="12240" w:h="15840"/>
          <w:pgMar w:top="2155" w:right="1701" w:bottom="1417" w:left="1701" w:header="708" w:footer="708" w:gutter="0"/>
          <w:cols w:num="2" w:space="708"/>
          <w:docGrid w:linePitch="360"/>
        </w:sectPr>
      </w:pPr>
    </w:p>
    <w:p w:rsidR="00213772" w:rsidRPr="000120B8" w:rsidRDefault="00213772" w:rsidP="00213772">
      <w:pPr>
        <w:pStyle w:val="Sinespaciado"/>
        <w:rPr>
          <w:rFonts w:ascii="Times New Roman" w:hAnsi="Times New Roman" w:cs="Times New Roman"/>
          <w:b/>
        </w:rPr>
      </w:pPr>
    </w:p>
    <w:p w:rsidR="00213772" w:rsidRPr="000120B8" w:rsidRDefault="00213772" w:rsidP="00213772">
      <w:pPr>
        <w:pStyle w:val="Sinespaciado"/>
        <w:jc w:val="center"/>
        <w:rPr>
          <w:rFonts w:ascii="Times New Roman" w:hAnsi="Times New Roman" w:cs="Times New Roman"/>
          <w:b/>
        </w:rPr>
      </w:pPr>
      <w:r w:rsidRPr="000120B8">
        <w:rPr>
          <w:rFonts w:ascii="Times New Roman" w:hAnsi="Times New Roman" w:cs="Times New Roman"/>
          <w:b/>
        </w:rPr>
        <w:t>Colocación de Bonos del Tesoro</w:t>
      </w:r>
    </w:p>
    <w:p w:rsidR="00213772" w:rsidRPr="000120B8" w:rsidRDefault="00213772" w:rsidP="00213772">
      <w:pPr>
        <w:pStyle w:val="Sinespaciado"/>
        <w:jc w:val="center"/>
        <w:rPr>
          <w:rFonts w:ascii="Times New Roman" w:hAnsi="Times New Roman" w:cs="Times New Roman"/>
          <w:sz w:val="20"/>
        </w:rPr>
      </w:pPr>
      <w:r w:rsidRPr="000120B8">
        <w:rPr>
          <w:rFonts w:ascii="Times New Roman" w:hAnsi="Times New Roman" w:cs="Times New Roman"/>
          <w:sz w:val="20"/>
        </w:rPr>
        <w:t>Enero 2016</w:t>
      </w:r>
    </w:p>
    <w:p w:rsidR="00213772" w:rsidRPr="000120B8" w:rsidRDefault="00213772" w:rsidP="00213772">
      <w:pPr>
        <w:pStyle w:val="Sinespaciado"/>
        <w:jc w:val="center"/>
        <w:rPr>
          <w:rFonts w:ascii="Times New Roman" w:hAnsi="Times New Roman" w:cs="Times New Roman"/>
          <w:sz w:val="20"/>
        </w:rPr>
      </w:pPr>
      <w:r w:rsidRPr="000120B8">
        <w:rPr>
          <w:rFonts w:ascii="Times New Roman" w:hAnsi="Times New Roman" w:cs="Times New Roman"/>
          <w:sz w:val="20"/>
        </w:rPr>
        <w:t>Millones de Quetzales y Porcentajes</w:t>
      </w:r>
    </w:p>
    <w:p w:rsidR="00213772" w:rsidRPr="000120B8" w:rsidRDefault="00213772" w:rsidP="00213772">
      <w:pPr>
        <w:pStyle w:val="Sinespaciado"/>
        <w:jc w:val="both"/>
        <w:rPr>
          <w:rFonts w:ascii="Times New Roman" w:hAnsi="Times New Roman" w:cs="Times New Roman"/>
        </w:rPr>
      </w:pPr>
    </w:p>
    <w:p w:rsidR="00213772" w:rsidRPr="000120B8" w:rsidRDefault="00213772" w:rsidP="000120B8">
      <w:pPr>
        <w:spacing w:after="0" w:line="240" w:lineRule="auto"/>
        <w:jc w:val="center"/>
        <w:rPr>
          <w:lang w:val="es-MX"/>
        </w:rPr>
        <w:sectPr w:rsidR="00213772" w:rsidRPr="000120B8" w:rsidSect="00740239">
          <w:type w:val="continuous"/>
          <w:pgSz w:w="12240" w:h="15840"/>
          <w:pgMar w:top="2155" w:right="1701" w:bottom="1417" w:left="1701" w:header="708" w:footer="708" w:gutter="0"/>
          <w:cols w:space="708"/>
          <w:docGrid w:linePitch="360"/>
        </w:sectPr>
      </w:pPr>
      <w:r w:rsidRPr="000120B8">
        <w:rPr>
          <w:noProof/>
          <w:lang w:eastAsia="es-GT"/>
        </w:rPr>
        <w:drawing>
          <wp:inline distT="0" distB="0" distL="0" distR="0" wp14:anchorId="565A47D6" wp14:editId="6082CD95">
            <wp:extent cx="3309730" cy="2032557"/>
            <wp:effectExtent l="0" t="0" r="508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6544" cy="2042883"/>
                    </a:xfrm>
                    <a:prstGeom prst="rect">
                      <a:avLst/>
                    </a:prstGeom>
                    <a:noFill/>
                  </pic:spPr>
                </pic:pic>
              </a:graphicData>
            </a:graphic>
          </wp:inline>
        </w:drawing>
      </w:r>
    </w:p>
    <w:p w:rsidR="00213772" w:rsidRPr="000120B8" w:rsidRDefault="00213772" w:rsidP="000120B8">
      <w:pPr>
        <w:pStyle w:val="Sinespaciado"/>
        <w:ind w:left="708" w:firstLine="708"/>
        <w:jc w:val="both"/>
        <w:rPr>
          <w:rFonts w:ascii="Times New Roman" w:hAnsi="Times New Roman" w:cs="Times New Roman"/>
          <w:sz w:val="16"/>
        </w:rPr>
      </w:pPr>
      <w:r w:rsidRPr="000120B8">
        <w:rPr>
          <w:rFonts w:ascii="Times New Roman" w:hAnsi="Times New Roman" w:cs="Times New Roman"/>
          <w:sz w:val="16"/>
        </w:rPr>
        <w:lastRenderedPageBreak/>
        <w:t>Fuente: Dirección de Crédito Público</w:t>
      </w:r>
    </w:p>
    <w:p w:rsidR="00780A0F" w:rsidRPr="000120B8" w:rsidRDefault="00780A0F" w:rsidP="00780A0F">
      <w:pPr>
        <w:pStyle w:val="Sinespaciado"/>
        <w:jc w:val="both"/>
        <w:rPr>
          <w:rFonts w:ascii="Times New Roman" w:hAnsi="Times New Roman" w:cs="Times New Roman"/>
          <w:sz w:val="12"/>
        </w:rPr>
      </w:pPr>
      <w:r w:rsidRPr="000120B8">
        <w:rPr>
          <w:rFonts w:ascii="Times New Roman" w:hAnsi="Times New Roman" w:cs="Times New Roman"/>
          <w:lang w:val="es-MX"/>
        </w:rPr>
        <w:t xml:space="preserve"> </w:t>
      </w:r>
    </w:p>
    <w:p w:rsidR="008762C2" w:rsidRPr="000120B8" w:rsidRDefault="008762C2" w:rsidP="008762C2">
      <w:pPr>
        <w:pStyle w:val="Sinespaciado"/>
        <w:jc w:val="both"/>
        <w:rPr>
          <w:rFonts w:ascii="Times New Roman" w:hAnsi="Times New Roman" w:cs="Times New Roman"/>
          <w:sz w:val="16"/>
        </w:rPr>
      </w:pPr>
    </w:p>
    <w:p w:rsidR="0058760A" w:rsidRPr="000120B8" w:rsidRDefault="0058760A" w:rsidP="007D057D">
      <w:pPr>
        <w:pStyle w:val="Sinespaciado"/>
        <w:rPr>
          <w:i/>
          <w:sz w:val="4"/>
        </w:rPr>
        <w:sectPr w:rsidR="0058760A" w:rsidRPr="000120B8" w:rsidSect="00740239">
          <w:headerReference w:type="default" r:id="rId20"/>
          <w:footerReference w:type="default" r:id="rId21"/>
          <w:type w:val="continuous"/>
          <w:pgSz w:w="12240" w:h="15840"/>
          <w:pgMar w:top="2155" w:right="1701" w:bottom="1417" w:left="1701" w:header="708" w:footer="708" w:gutter="0"/>
          <w:cols w:num="2" w:space="708"/>
          <w:docGrid w:linePitch="360"/>
        </w:sectPr>
      </w:pPr>
    </w:p>
    <w:p w:rsidR="000360E0" w:rsidRPr="000120B8" w:rsidRDefault="000360E0" w:rsidP="007D057D">
      <w:pPr>
        <w:pStyle w:val="Sinespaciado"/>
        <w:rPr>
          <w:sz w:val="12"/>
          <w:lang w:val="es-MX"/>
        </w:rPr>
        <w:sectPr w:rsidR="000360E0" w:rsidRPr="000120B8" w:rsidSect="00740239">
          <w:type w:val="continuous"/>
          <w:pgSz w:w="12240" w:h="15840"/>
          <w:pgMar w:top="2155" w:right="1701" w:bottom="1417" w:left="1701" w:header="708" w:footer="708" w:gutter="0"/>
          <w:cols w:num="2" w:space="708"/>
          <w:docGrid w:linePitch="360"/>
        </w:sectPr>
      </w:pPr>
    </w:p>
    <w:p w:rsidR="00336B3D" w:rsidRPr="000120B8" w:rsidRDefault="00336B3D" w:rsidP="007D057D">
      <w:pPr>
        <w:pStyle w:val="Sinespaciado"/>
        <w:rPr>
          <w:sz w:val="2"/>
          <w:lang w:val="es-MX"/>
        </w:rPr>
      </w:pPr>
    </w:p>
    <w:p w:rsidR="0013777B" w:rsidRPr="000120B8" w:rsidRDefault="006434D8" w:rsidP="00FD23D8">
      <w:pPr>
        <w:pStyle w:val="Sinespaciado"/>
        <w:pBdr>
          <w:top w:val="single" w:sz="12" w:space="1" w:color="auto"/>
          <w:left w:val="single" w:sz="12" w:space="4" w:color="auto"/>
          <w:bottom w:val="single" w:sz="12" w:space="1" w:color="auto"/>
          <w:right w:val="single" w:sz="12" w:space="4" w:color="auto"/>
        </w:pBdr>
        <w:shd w:val="clear" w:color="auto" w:fill="C6D9F1" w:themeFill="text2" w:themeFillTint="33"/>
        <w:jc w:val="center"/>
        <w:rPr>
          <w:rFonts w:ascii="Times New Roman" w:hAnsi="Times New Roman" w:cs="Times New Roman"/>
          <w:b/>
          <w:lang w:val="es-MX"/>
        </w:rPr>
      </w:pPr>
      <w:r w:rsidRPr="000120B8">
        <w:rPr>
          <w:rFonts w:ascii="Times New Roman" w:hAnsi="Times New Roman" w:cs="Times New Roman"/>
          <w:b/>
          <w:lang w:val="es-MX"/>
        </w:rPr>
        <w:t xml:space="preserve">Ambientes </w:t>
      </w:r>
      <w:r w:rsidR="00C621D5" w:rsidRPr="000120B8">
        <w:rPr>
          <w:rFonts w:ascii="Times New Roman" w:hAnsi="Times New Roman" w:cs="Times New Roman"/>
          <w:b/>
          <w:lang w:val="es-MX"/>
        </w:rPr>
        <w:t xml:space="preserve">macroeconómicos </w:t>
      </w:r>
      <w:r w:rsidRPr="000120B8">
        <w:rPr>
          <w:rFonts w:ascii="Times New Roman" w:hAnsi="Times New Roman" w:cs="Times New Roman"/>
          <w:b/>
          <w:lang w:val="es-MX"/>
        </w:rPr>
        <w:t xml:space="preserve">externo e interno </w:t>
      </w:r>
    </w:p>
    <w:p w:rsidR="00D701DF" w:rsidRPr="000120B8" w:rsidRDefault="00D701DF" w:rsidP="00D701DF">
      <w:pPr>
        <w:pStyle w:val="Prrafodelista"/>
        <w:spacing w:after="0" w:line="240" w:lineRule="auto"/>
        <w:ind w:left="0"/>
        <w:rPr>
          <w:rFonts w:cs="Times New Roman"/>
          <w:lang w:val="es-MX"/>
        </w:rPr>
        <w:sectPr w:rsidR="00D701DF" w:rsidRPr="000120B8" w:rsidSect="00740239">
          <w:type w:val="continuous"/>
          <w:pgSz w:w="12240" w:h="15840"/>
          <w:pgMar w:top="2155" w:right="1701" w:bottom="1417" w:left="1701" w:header="708" w:footer="708" w:gutter="0"/>
          <w:cols w:space="708"/>
          <w:docGrid w:linePitch="360"/>
        </w:sectPr>
      </w:pPr>
    </w:p>
    <w:p w:rsidR="00734097" w:rsidRPr="000120B8" w:rsidRDefault="00734097" w:rsidP="00D5686A">
      <w:pPr>
        <w:pStyle w:val="Prrafodelista"/>
        <w:spacing w:after="0" w:line="240" w:lineRule="auto"/>
        <w:ind w:left="0"/>
        <w:rPr>
          <w:rFonts w:cs="Times New Roman"/>
          <w:lang w:val="es-MX"/>
        </w:rPr>
      </w:pPr>
    </w:p>
    <w:p w:rsidR="008F73B7" w:rsidRPr="000120B8" w:rsidRDefault="008F73B7" w:rsidP="008F73B7">
      <w:pPr>
        <w:pStyle w:val="Prrafodelista"/>
        <w:spacing w:after="0" w:line="240" w:lineRule="auto"/>
        <w:ind w:left="0"/>
        <w:rPr>
          <w:rFonts w:cs="Times New Roman"/>
          <w:lang w:val="es-MX"/>
        </w:rPr>
        <w:sectPr w:rsidR="008F73B7" w:rsidRPr="000120B8" w:rsidSect="00740239">
          <w:headerReference w:type="even" r:id="rId22"/>
          <w:headerReference w:type="default" r:id="rId23"/>
          <w:footerReference w:type="even" r:id="rId24"/>
          <w:footerReference w:type="default" r:id="rId25"/>
          <w:headerReference w:type="first" r:id="rId26"/>
          <w:footerReference w:type="first" r:id="rId27"/>
          <w:type w:val="continuous"/>
          <w:pgSz w:w="12240" w:h="15840"/>
          <w:pgMar w:top="2155" w:right="1467" w:bottom="1417" w:left="1701" w:header="680" w:footer="708" w:gutter="0"/>
          <w:cols w:space="708"/>
          <w:docGrid w:linePitch="360"/>
        </w:sectPr>
      </w:pPr>
    </w:p>
    <w:p w:rsidR="00817674" w:rsidRPr="000120B8" w:rsidRDefault="00DB7163" w:rsidP="008762C2">
      <w:pPr>
        <w:pStyle w:val="Sinespaciado"/>
        <w:jc w:val="both"/>
        <w:rPr>
          <w:rFonts w:ascii="Times New Roman" w:hAnsi="Times New Roman" w:cs="Times New Roman"/>
          <w:lang w:val="es-MX"/>
        </w:rPr>
      </w:pPr>
      <w:r w:rsidRPr="000120B8">
        <w:rPr>
          <w:rFonts w:ascii="Times New Roman" w:hAnsi="Times New Roman" w:cs="Times New Roman"/>
          <w:lang w:val="es-MX"/>
        </w:rPr>
        <w:lastRenderedPageBreak/>
        <w:t>E</w:t>
      </w:r>
      <w:r w:rsidR="00694934" w:rsidRPr="000120B8">
        <w:rPr>
          <w:rFonts w:ascii="Times New Roman" w:hAnsi="Times New Roman" w:cs="Times New Roman"/>
          <w:lang w:val="es-MX"/>
        </w:rPr>
        <w:t>l</w:t>
      </w:r>
      <w:r w:rsidR="00D2035D" w:rsidRPr="000120B8">
        <w:rPr>
          <w:rFonts w:ascii="Times New Roman" w:hAnsi="Times New Roman" w:cs="Times New Roman"/>
          <w:lang w:val="es-MX"/>
        </w:rPr>
        <w:t xml:space="preserve"> entorno</w:t>
      </w:r>
      <w:r w:rsidR="00E35B0A" w:rsidRPr="000120B8">
        <w:rPr>
          <w:rFonts w:ascii="Times New Roman" w:hAnsi="Times New Roman" w:cs="Times New Roman"/>
          <w:lang w:val="es-MX"/>
        </w:rPr>
        <w:t xml:space="preserve"> macroeconómico</w:t>
      </w:r>
      <w:r w:rsidR="00D2035D" w:rsidRPr="000120B8">
        <w:rPr>
          <w:rFonts w:ascii="Times New Roman" w:hAnsi="Times New Roman" w:cs="Times New Roman"/>
          <w:lang w:val="es-MX"/>
        </w:rPr>
        <w:t xml:space="preserve"> continúa </w:t>
      </w:r>
      <w:r w:rsidR="00694934" w:rsidRPr="000120B8">
        <w:rPr>
          <w:rFonts w:ascii="Times New Roman" w:hAnsi="Times New Roman" w:cs="Times New Roman"/>
          <w:lang w:val="es-MX"/>
        </w:rPr>
        <w:t xml:space="preserve">impactado por </w:t>
      </w:r>
      <w:r w:rsidR="00D2035D" w:rsidRPr="000120B8">
        <w:rPr>
          <w:rFonts w:ascii="Times New Roman" w:hAnsi="Times New Roman" w:cs="Times New Roman"/>
          <w:lang w:val="es-MX"/>
        </w:rPr>
        <w:t>el enlentecimiento de la economía mundial, debido a</w:t>
      </w:r>
      <w:r w:rsidRPr="000120B8">
        <w:rPr>
          <w:rFonts w:ascii="Times New Roman" w:hAnsi="Times New Roman" w:cs="Times New Roman"/>
          <w:lang w:val="es-MX"/>
        </w:rPr>
        <w:t xml:space="preserve"> las afecciones generadas por la caída en los precios de las materias primas, fundamentalmente del petróleo</w:t>
      </w:r>
      <w:r w:rsidR="00B27DB6" w:rsidRPr="000120B8">
        <w:rPr>
          <w:rFonts w:ascii="Times New Roman" w:hAnsi="Times New Roman" w:cs="Times New Roman"/>
          <w:lang w:val="es-MX"/>
        </w:rPr>
        <w:t>,</w:t>
      </w:r>
      <w:r w:rsidR="00D2035D" w:rsidRPr="000120B8">
        <w:rPr>
          <w:rFonts w:ascii="Times New Roman" w:hAnsi="Times New Roman" w:cs="Times New Roman"/>
          <w:lang w:val="es-MX"/>
        </w:rPr>
        <w:t xml:space="preserve"> la incertidumbre sobre China</w:t>
      </w:r>
      <w:r w:rsidR="00B27DB6" w:rsidRPr="000120B8">
        <w:rPr>
          <w:rFonts w:ascii="Times New Roman" w:hAnsi="Times New Roman" w:cs="Times New Roman"/>
          <w:lang w:val="es-MX"/>
        </w:rPr>
        <w:t xml:space="preserve"> y la revaloración de riesgos crediticios</w:t>
      </w:r>
      <w:r w:rsidRPr="000120B8">
        <w:rPr>
          <w:rFonts w:ascii="Times New Roman" w:hAnsi="Times New Roman" w:cs="Times New Roman"/>
          <w:lang w:val="es-MX"/>
        </w:rPr>
        <w:t xml:space="preserve">; </w:t>
      </w:r>
      <w:r w:rsidR="00D2035D" w:rsidRPr="000120B8">
        <w:rPr>
          <w:rFonts w:ascii="Times New Roman" w:hAnsi="Times New Roman" w:cs="Times New Roman"/>
          <w:lang w:val="es-MX"/>
        </w:rPr>
        <w:t>la evolución económica global ya genera riesgos en economías como la de Estados Unidos</w:t>
      </w:r>
      <w:r w:rsidR="00B27DB6" w:rsidRPr="000120B8">
        <w:rPr>
          <w:rFonts w:ascii="Times New Roman" w:hAnsi="Times New Roman" w:cs="Times New Roman"/>
          <w:lang w:val="es-MX"/>
        </w:rPr>
        <w:t xml:space="preserve">, que aunque la Fed prevé un crecimiento moderado, también advierte sobre la existencias de condiciones financieras menos favorables para el país ante la disminución de acciones y el aumento del dólar que tarde o temprano pueden pesar en la actividad y en el mercado de trabajo.  En el caso de China, se </w:t>
      </w:r>
      <w:r w:rsidR="00B27DB6" w:rsidRPr="000120B8">
        <w:rPr>
          <w:rFonts w:ascii="Times New Roman" w:hAnsi="Times New Roman" w:cs="Times New Roman"/>
          <w:lang w:val="es-MX"/>
        </w:rPr>
        <w:lastRenderedPageBreak/>
        <w:t>prevé una desaceleración, pero no una desestabilización del panorama global; las autoridades chinas cuentan con la ventaja de un sistema bancario con</w:t>
      </w:r>
      <w:r w:rsidR="00817674" w:rsidRPr="000120B8">
        <w:rPr>
          <w:rFonts w:ascii="Times New Roman" w:hAnsi="Times New Roman" w:cs="Times New Roman"/>
          <w:lang w:val="es-MX"/>
        </w:rPr>
        <w:t>trolado por el Estado, que permite frenar una posible crisis ayudando a empresas en dificultades.  Esto minimiza riesgos en los mercados emergentes y puede reducir la incertidumbre debido a que el país es importador neto.</w:t>
      </w:r>
      <w:r w:rsidR="00B27DB6" w:rsidRPr="000120B8">
        <w:rPr>
          <w:rFonts w:ascii="Times New Roman" w:hAnsi="Times New Roman" w:cs="Times New Roman"/>
          <w:lang w:val="es-MX"/>
        </w:rPr>
        <w:t xml:space="preserve"> </w:t>
      </w:r>
    </w:p>
    <w:p w:rsidR="00650B73" w:rsidRDefault="00650B73" w:rsidP="008762C2">
      <w:pPr>
        <w:pStyle w:val="Sinespaciado"/>
        <w:jc w:val="both"/>
        <w:rPr>
          <w:rFonts w:ascii="Times New Roman" w:hAnsi="Times New Roman" w:cs="Times New Roman"/>
          <w:lang w:val="es-MX"/>
        </w:rPr>
      </w:pPr>
    </w:p>
    <w:p w:rsidR="00DB7163" w:rsidRPr="000120B8" w:rsidRDefault="00DB7163" w:rsidP="008762C2">
      <w:pPr>
        <w:pStyle w:val="Sinespaciado"/>
        <w:jc w:val="both"/>
        <w:rPr>
          <w:rFonts w:ascii="Times New Roman" w:hAnsi="Times New Roman" w:cs="Times New Roman"/>
          <w:lang w:val="es-MX"/>
        </w:rPr>
      </w:pPr>
      <w:r w:rsidRPr="000120B8">
        <w:rPr>
          <w:rFonts w:ascii="Times New Roman" w:hAnsi="Times New Roman" w:cs="Times New Roman"/>
          <w:lang w:val="es-MX"/>
        </w:rPr>
        <w:t>India</w:t>
      </w:r>
      <w:r w:rsidR="00817674" w:rsidRPr="000120B8">
        <w:rPr>
          <w:rFonts w:ascii="Times New Roman" w:hAnsi="Times New Roman" w:cs="Times New Roman"/>
          <w:lang w:val="es-MX"/>
        </w:rPr>
        <w:t xml:space="preserve"> por su parte,</w:t>
      </w:r>
      <w:r w:rsidRPr="000120B8">
        <w:rPr>
          <w:rFonts w:ascii="Times New Roman" w:hAnsi="Times New Roman" w:cs="Times New Roman"/>
          <w:lang w:val="es-MX"/>
        </w:rPr>
        <w:t xml:space="preserve"> es considerado como el punto positivo en este momento, destacándose entre las economías emergentes, debido a que el precio bajo del crudo está ayudando a su economía a crecer y también a </w:t>
      </w:r>
      <w:r w:rsidRPr="000120B8">
        <w:rPr>
          <w:rFonts w:ascii="Times New Roman" w:hAnsi="Times New Roman" w:cs="Times New Roman"/>
          <w:lang w:val="es-MX"/>
        </w:rPr>
        <w:lastRenderedPageBreak/>
        <w:t>la implementación de algunas reformas iniciales.</w:t>
      </w:r>
    </w:p>
    <w:p w:rsidR="00DD34C6" w:rsidRPr="000120B8" w:rsidRDefault="00DD34C6" w:rsidP="008762C2">
      <w:pPr>
        <w:pStyle w:val="Sinespaciado"/>
        <w:jc w:val="both"/>
        <w:rPr>
          <w:rFonts w:ascii="Times New Roman" w:hAnsi="Times New Roman" w:cs="Times New Roman"/>
          <w:lang w:val="es-MX"/>
        </w:rPr>
      </w:pPr>
    </w:p>
    <w:p w:rsidR="00DD34C6" w:rsidRPr="000120B8" w:rsidRDefault="0032442F" w:rsidP="008762C2">
      <w:pPr>
        <w:pStyle w:val="Sinespaciado"/>
        <w:jc w:val="both"/>
        <w:rPr>
          <w:rFonts w:ascii="Times New Roman" w:hAnsi="Times New Roman" w:cs="Times New Roman"/>
          <w:lang w:val="es-MX"/>
        </w:rPr>
      </w:pPr>
      <w:r w:rsidRPr="000120B8">
        <w:rPr>
          <w:rFonts w:ascii="Times New Roman" w:hAnsi="Times New Roman" w:cs="Times New Roman"/>
          <w:lang w:val="es-MX"/>
        </w:rPr>
        <w:t xml:space="preserve">En Estados Unidos, </w:t>
      </w:r>
      <w:r w:rsidR="00DD34C6" w:rsidRPr="000120B8">
        <w:rPr>
          <w:rFonts w:ascii="Times New Roman" w:hAnsi="Times New Roman" w:cs="Times New Roman"/>
          <w:lang w:val="es-MX"/>
        </w:rPr>
        <w:t>los resultados de los principales indicadores en enero muestran síntomas de forta</w:t>
      </w:r>
      <w:r w:rsidRPr="000120B8">
        <w:rPr>
          <w:rFonts w:ascii="Times New Roman" w:hAnsi="Times New Roman" w:cs="Times New Roman"/>
          <w:lang w:val="es-MX"/>
        </w:rPr>
        <w:t>leza, con la tasa de desocupación disminuyendo a 4.9%</w:t>
      </w:r>
      <w:r w:rsidR="00817674" w:rsidRPr="000120B8">
        <w:rPr>
          <w:rFonts w:ascii="Times New Roman" w:hAnsi="Times New Roman" w:cs="Times New Roman"/>
          <w:lang w:val="es-MX"/>
        </w:rPr>
        <w:t xml:space="preserve"> que representa 7.8 millones de desempleados, y la generación de</w:t>
      </w:r>
      <w:r w:rsidRPr="000120B8">
        <w:rPr>
          <w:rFonts w:ascii="Times New Roman" w:hAnsi="Times New Roman" w:cs="Times New Roman"/>
          <w:lang w:val="es-MX"/>
        </w:rPr>
        <w:t xml:space="preserve"> 151,000 nuevos empleos netos, mostrando una fuerte caída respecto al promedio de 271,000 de los dos meses previos. </w:t>
      </w:r>
      <w:r w:rsidR="00817674" w:rsidRPr="000120B8">
        <w:rPr>
          <w:rFonts w:ascii="Times New Roman" w:hAnsi="Times New Roman" w:cs="Times New Roman"/>
          <w:lang w:val="es-MX"/>
        </w:rPr>
        <w:t xml:space="preserve">La creación de empleos se mantuvo en el comercio minorista, de </w:t>
      </w:r>
      <w:r w:rsidR="00190A13" w:rsidRPr="000120B8">
        <w:rPr>
          <w:rFonts w:ascii="Times New Roman" w:hAnsi="Times New Roman" w:cs="Times New Roman"/>
          <w:lang w:val="es-MX"/>
        </w:rPr>
        <w:t>cafés</w:t>
      </w:r>
      <w:r w:rsidR="00817674" w:rsidRPr="000120B8">
        <w:rPr>
          <w:rFonts w:ascii="Times New Roman" w:hAnsi="Times New Roman" w:cs="Times New Roman"/>
          <w:lang w:val="es-MX"/>
        </w:rPr>
        <w:t xml:space="preserve"> y restaurantes y en los servicios de salud principalmente.  Los salarios mejoraron ligeramente, la hora promedio aumentó 0.5% con respecto a diciembre, situándose en US$ 25.39.  </w:t>
      </w:r>
    </w:p>
    <w:p w:rsidR="00817674" w:rsidRPr="000120B8" w:rsidRDefault="00817674" w:rsidP="008762C2">
      <w:pPr>
        <w:pStyle w:val="Sinespaciado"/>
        <w:jc w:val="both"/>
        <w:rPr>
          <w:rFonts w:ascii="Times New Roman" w:hAnsi="Times New Roman" w:cs="Times New Roman"/>
          <w:lang w:val="es-MX"/>
        </w:rPr>
      </w:pPr>
    </w:p>
    <w:p w:rsidR="004B26DE" w:rsidRPr="000120B8" w:rsidRDefault="004B26DE" w:rsidP="008762C2">
      <w:pPr>
        <w:pStyle w:val="Sinespaciado"/>
        <w:jc w:val="both"/>
        <w:rPr>
          <w:rFonts w:ascii="Times New Roman" w:hAnsi="Times New Roman" w:cs="Times New Roman"/>
          <w:lang w:val="es-MX"/>
        </w:rPr>
      </w:pPr>
      <w:r w:rsidRPr="000120B8">
        <w:rPr>
          <w:rFonts w:ascii="Times New Roman" w:hAnsi="Times New Roman" w:cs="Times New Roman"/>
        </w:rPr>
        <w:t xml:space="preserve">Durante enero, la Fed presento el informe elaborado por los doce bancos estatales estadounidenses denominado Libro Beige, en donde se indica que la mayoría de regiones de Estados Unidos inician el nuevo ciclo con una modesta recuperación económica, destacando la expansión de la actividad económica en la mayoría de los doce distritos desde la publicación anterior, a pesar de que sectores como el manufacturero, el energético y el agrícola cargan con las consecuencias derivadas de la caída de precios de las materias primas o el fortalecimiento del dólar. </w:t>
      </w:r>
    </w:p>
    <w:p w:rsidR="004B26DE" w:rsidRPr="000120B8" w:rsidRDefault="004B26DE" w:rsidP="008762C2">
      <w:pPr>
        <w:pStyle w:val="Sinespaciado"/>
        <w:jc w:val="both"/>
        <w:rPr>
          <w:rFonts w:ascii="Times New Roman" w:hAnsi="Times New Roman" w:cs="Times New Roman"/>
          <w:lang w:val="es-MX"/>
        </w:rPr>
      </w:pPr>
    </w:p>
    <w:p w:rsidR="00DC3753" w:rsidRPr="000120B8" w:rsidRDefault="00AF1247" w:rsidP="008762C2">
      <w:pPr>
        <w:pStyle w:val="Sinespaciado"/>
        <w:jc w:val="both"/>
        <w:rPr>
          <w:rFonts w:ascii="Times New Roman" w:hAnsi="Times New Roman" w:cs="Times New Roman"/>
          <w:lang w:val="es-MX"/>
        </w:rPr>
      </w:pPr>
      <w:r w:rsidRPr="000120B8">
        <w:rPr>
          <w:rFonts w:ascii="Times New Roman" w:hAnsi="Times New Roman" w:cs="Times New Roman"/>
          <w:lang w:val="es-MX"/>
        </w:rPr>
        <w:t xml:space="preserve">El Departamento de Comercio </w:t>
      </w:r>
      <w:r w:rsidR="00190A13" w:rsidRPr="000120B8">
        <w:rPr>
          <w:rFonts w:ascii="Times New Roman" w:hAnsi="Times New Roman" w:cs="Times New Roman"/>
          <w:lang w:val="es-MX"/>
        </w:rPr>
        <w:t>publicó este mes el dato preliminar del gasto personal de los consumidores, descendiendo en 700 millones de dólares respecto al anterior; a lo largo del año 2015, el gasto de los consumidores estadounidenses se incrementó 3.4% frente al aumento de 4.2% del 2014 y los ingresos personales aumentaron 4.5%, una décima más que el dato del 2014.</w:t>
      </w:r>
    </w:p>
    <w:p w:rsidR="00674E4A" w:rsidRPr="000120B8" w:rsidRDefault="00674E4A" w:rsidP="008762C2">
      <w:pPr>
        <w:pStyle w:val="Sinespaciado"/>
        <w:jc w:val="both"/>
        <w:rPr>
          <w:rFonts w:ascii="Times New Roman" w:hAnsi="Times New Roman" w:cs="Times New Roman"/>
          <w:lang w:val="es-MX"/>
        </w:rPr>
      </w:pPr>
    </w:p>
    <w:p w:rsidR="004B26DE" w:rsidRPr="000120B8" w:rsidRDefault="00674E4A" w:rsidP="004B26DE">
      <w:pPr>
        <w:pStyle w:val="Sinespaciado"/>
        <w:jc w:val="both"/>
        <w:rPr>
          <w:rFonts w:ascii="Times New Roman" w:hAnsi="Times New Roman" w:cs="Times New Roman"/>
        </w:rPr>
      </w:pPr>
      <w:r w:rsidRPr="000120B8">
        <w:rPr>
          <w:rFonts w:ascii="Times New Roman" w:hAnsi="Times New Roman" w:cs="Times New Roman"/>
          <w:lang w:val="es-MX"/>
        </w:rPr>
        <w:t>En la Zona Euro,</w:t>
      </w:r>
      <w:r w:rsidR="004B26DE" w:rsidRPr="000120B8">
        <w:rPr>
          <w:rFonts w:ascii="Times New Roman" w:hAnsi="Times New Roman" w:cs="Times New Roman"/>
          <w:lang w:val="es-MX"/>
        </w:rPr>
        <w:t xml:space="preserve"> </w:t>
      </w:r>
      <w:r w:rsidR="00694934" w:rsidRPr="000120B8">
        <w:rPr>
          <w:rFonts w:ascii="Times New Roman" w:hAnsi="Times New Roman" w:cs="Times New Roman"/>
          <w:lang w:val="es-MX"/>
        </w:rPr>
        <w:t xml:space="preserve">al inicio del año </w:t>
      </w:r>
      <w:r w:rsidR="004B26DE" w:rsidRPr="000120B8">
        <w:rPr>
          <w:rFonts w:ascii="Times New Roman" w:hAnsi="Times New Roman" w:cs="Times New Roman"/>
        </w:rPr>
        <w:t xml:space="preserve">su economía podría ser definida por una inflación muy baja y un crecimiento modesto, con una probabilidad casi nula de que el BCE incremente sus compras mensuales de bonos; </w:t>
      </w:r>
      <w:r w:rsidR="004B26DE" w:rsidRPr="000120B8">
        <w:rPr>
          <w:rFonts w:ascii="Times New Roman" w:hAnsi="Times New Roman" w:cs="Times New Roman"/>
        </w:rPr>
        <w:lastRenderedPageBreak/>
        <w:t xml:space="preserve">si bien es cierto que el crecimiento a lo largo de las principales economías de la zona parece estar fracturado, Alemania continúa exhibiendo un desempeño superior e Italia muestra señales de un resurgimiento, al mismo tiempo que Francia y España siguen con una recuperación opaca que genera riesgos de continuar con un alto índice de desempleo.  Dichos indicios son generados del sondeo realizado por Reuters a más de 100 economistas, en donde también se resaltó que la economía de la zona se expandiría un 0.4% en cada trimestre hasta el primero de 2017, un poco mayor por encima del dato oficial del tercer trimestre del 2015 de 0.3%. </w:t>
      </w:r>
    </w:p>
    <w:p w:rsidR="00742D06" w:rsidRPr="000120B8" w:rsidRDefault="00742D06" w:rsidP="008762C2">
      <w:pPr>
        <w:pStyle w:val="Sinespaciado"/>
        <w:jc w:val="both"/>
        <w:rPr>
          <w:rFonts w:ascii="Times New Roman" w:hAnsi="Times New Roman" w:cs="Times New Roman"/>
          <w:lang w:val="es-MX"/>
        </w:rPr>
      </w:pPr>
    </w:p>
    <w:p w:rsidR="00742D06" w:rsidRPr="000120B8" w:rsidRDefault="00742D06" w:rsidP="008762C2">
      <w:pPr>
        <w:pStyle w:val="Sinespaciado"/>
        <w:jc w:val="both"/>
        <w:rPr>
          <w:rFonts w:ascii="Times New Roman" w:hAnsi="Times New Roman" w:cs="Times New Roman"/>
          <w:lang w:val="es-MX"/>
        </w:rPr>
      </w:pPr>
      <w:r w:rsidRPr="000120B8">
        <w:rPr>
          <w:rFonts w:ascii="Times New Roman" w:hAnsi="Times New Roman" w:cs="Times New Roman"/>
          <w:lang w:val="es-MX"/>
        </w:rPr>
        <w:t>China</w:t>
      </w:r>
      <w:r w:rsidR="00F82ED4" w:rsidRPr="000120B8">
        <w:rPr>
          <w:rFonts w:ascii="Times New Roman" w:hAnsi="Times New Roman" w:cs="Times New Roman"/>
          <w:lang w:val="es-MX"/>
        </w:rPr>
        <w:t xml:space="preserve"> por su parte</w:t>
      </w:r>
      <w:r w:rsidRPr="000120B8">
        <w:rPr>
          <w:rFonts w:ascii="Times New Roman" w:hAnsi="Times New Roman" w:cs="Times New Roman"/>
          <w:lang w:val="es-MX"/>
        </w:rPr>
        <w:t>,</w:t>
      </w:r>
      <w:r w:rsidR="00182BC7" w:rsidRPr="000120B8">
        <w:rPr>
          <w:rFonts w:ascii="Times New Roman" w:hAnsi="Times New Roman" w:cs="Times New Roman"/>
          <w:lang w:val="es-MX"/>
        </w:rPr>
        <w:t xml:space="preserve"> </w:t>
      </w:r>
      <w:r w:rsidR="00F82ED4" w:rsidRPr="000120B8">
        <w:rPr>
          <w:rFonts w:ascii="Times New Roman" w:hAnsi="Times New Roman" w:cs="Times New Roman"/>
          <w:lang w:val="es-MX"/>
        </w:rPr>
        <w:t>estableció una proyección de crecimiento de entre 6.5% y 7% para este año</w:t>
      </w:r>
      <w:r w:rsidR="00BA253A" w:rsidRPr="000120B8">
        <w:rPr>
          <w:rFonts w:ascii="Times New Roman" w:hAnsi="Times New Roman" w:cs="Times New Roman"/>
          <w:lang w:val="es-MX"/>
        </w:rPr>
        <w:t>, centrando sus inversiones hacia el resarcimiento de los puntos débiles y ajustes estructurales, incluyendo infraestructura en las regiones del centro y oeste, en los sectores de educación, salud, así como mantener el desempleo b</w:t>
      </w:r>
      <w:r w:rsidR="004D391B" w:rsidRPr="000120B8">
        <w:rPr>
          <w:rFonts w:ascii="Times New Roman" w:hAnsi="Times New Roman" w:cs="Times New Roman"/>
          <w:lang w:val="es-MX"/>
        </w:rPr>
        <w:t xml:space="preserve">ajo.  El indicador PMI de servicios se expandió en enero, aumentando a 52.4 desde el 50.2 de diciembre; el subíndice que mide el empleo alcanzó los 51.8 puntos frente a los 51.3 de diciembre, mientras que el subíndice de nuevos negocios también avanzó, indicando que las compañías del sector de servicios crearon más empleos para cubrir mayores necesidades.  </w:t>
      </w:r>
    </w:p>
    <w:p w:rsidR="00E35B0A" w:rsidRPr="000120B8" w:rsidRDefault="00E35B0A" w:rsidP="008762C2">
      <w:pPr>
        <w:pStyle w:val="Sinespaciado"/>
        <w:jc w:val="both"/>
        <w:rPr>
          <w:rFonts w:ascii="Times New Roman" w:hAnsi="Times New Roman" w:cs="Times New Roman"/>
          <w:lang w:val="es-MX"/>
        </w:rPr>
      </w:pPr>
    </w:p>
    <w:p w:rsidR="004B26DE" w:rsidRPr="000120B8" w:rsidRDefault="004B26DE" w:rsidP="004B26DE">
      <w:pPr>
        <w:pStyle w:val="Sinespaciado"/>
        <w:jc w:val="both"/>
        <w:rPr>
          <w:rFonts w:ascii="Times New Roman" w:hAnsi="Times New Roman" w:cs="Times New Roman"/>
        </w:rPr>
      </w:pPr>
      <w:r w:rsidRPr="000120B8">
        <w:rPr>
          <w:rFonts w:ascii="Times New Roman" w:hAnsi="Times New Roman" w:cs="Times New Roman"/>
        </w:rPr>
        <w:t>El Banco de Japón anunció los últimos días del mes que aplicará un tipo de interés negativo del -0.1% a las cuentas que las instituciones financieras mantienen con la entidad, un movimiento con el que pretenden impulsar el crecimiento de la nación y conseguir las metas de inflación fijadas. El Banco también hizo público la revisión a la baja de sus pronósticos sobre el IPC, ya que ha recortado hasta el 0.8% el aumento de precios que espera para el próximo ejercicio fiscal, que iniciará el 1 de abril.</w:t>
      </w:r>
    </w:p>
    <w:p w:rsidR="004B26DE" w:rsidRPr="000120B8" w:rsidRDefault="004B26DE" w:rsidP="008762C2">
      <w:pPr>
        <w:pStyle w:val="Sinespaciado"/>
        <w:jc w:val="both"/>
        <w:rPr>
          <w:rFonts w:ascii="Times New Roman" w:hAnsi="Times New Roman" w:cs="Times New Roman"/>
        </w:rPr>
      </w:pPr>
    </w:p>
    <w:p w:rsidR="00100189" w:rsidRPr="000120B8" w:rsidRDefault="00100189" w:rsidP="00100189">
      <w:pPr>
        <w:spacing w:after="0" w:line="240" w:lineRule="auto"/>
        <w:jc w:val="both"/>
        <w:rPr>
          <w:rFonts w:ascii="Times New Roman" w:hAnsi="Times New Roman" w:cs="Times New Roman"/>
          <w:lang w:val="es-MX"/>
        </w:rPr>
      </w:pPr>
      <w:r w:rsidRPr="000120B8">
        <w:rPr>
          <w:rFonts w:ascii="Times New Roman" w:hAnsi="Times New Roman" w:cs="Times New Roman"/>
          <w:lang w:val="es-MX"/>
        </w:rPr>
        <w:t xml:space="preserve">En el ámbito interno, factores como la trayectoria del precio internacional del </w:t>
      </w:r>
      <w:r w:rsidRPr="000120B8">
        <w:rPr>
          <w:rFonts w:ascii="Times New Roman" w:hAnsi="Times New Roman" w:cs="Times New Roman"/>
          <w:lang w:val="es-MX"/>
        </w:rPr>
        <w:lastRenderedPageBreak/>
        <w:t xml:space="preserve">petróleo, el comportamiento de los combustibles, el desempeño de la política fiscal, el tipo de cambio nominal y la evolución de los precios de las materias primas ayudaron a mantener estable en enero la percepción sobre la situación económica actual y el ambiente para los negocios; el Banco de Guatemala consideró en base a esto, una proyección del ritmo inflacionario de 3.14% para enero, 3.24%, para febrero y 3.23% para marzo del presente año y se esperaría que se registre un crecimiento de 3.7% en el Producto Interno Bruto Real para el primer trimestre 2016.  </w:t>
      </w:r>
    </w:p>
    <w:p w:rsidR="00100189" w:rsidRPr="000120B8" w:rsidRDefault="00100189" w:rsidP="00100189">
      <w:pPr>
        <w:spacing w:after="0" w:line="240" w:lineRule="auto"/>
        <w:jc w:val="both"/>
        <w:rPr>
          <w:rFonts w:ascii="Times New Roman" w:hAnsi="Times New Roman" w:cs="Times New Roman"/>
          <w:lang w:val="es-MX"/>
        </w:rPr>
      </w:pPr>
    </w:p>
    <w:p w:rsidR="00100189" w:rsidRPr="000120B8" w:rsidRDefault="00100189" w:rsidP="00100189">
      <w:pPr>
        <w:spacing w:after="0" w:line="240" w:lineRule="auto"/>
        <w:jc w:val="both"/>
        <w:rPr>
          <w:rFonts w:ascii="Times New Roman" w:hAnsi="Times New Roman" w:cs="Times New Roman"/>
          <w:lang w:val="es-MX"/>
        </w:rPr>
      </w:pPr>
      <w:r w:rsidRPr="000120B8">
        <w:rPr>
          <w:rFonts w:ascii="Times New Roman" w:hAnsi="Times New Roman" w:cs="Times New Roman"/>
          <w:lang w:val="es-MX"/>
        </w:rPr>
        <w:t>El nivel del Índice de Confianza de la Actividad Económica se situó en 66.97 puntos, superior en 21.83% con el registrado el mes anterior.  El 78.6% de los analistas económicos entrevistados para la elaboración del indicador, consideran una evolución positiva en el clima de los negocios para las actividades productivas del sector privado en los próximos seis meses; el 71.4% considera que la economía no está mejor que hace un año y el 85.7% espera que la evolución económica del país mejore durante el primer semestre del año.</w:t>
      </w:r>
    </w:p>
    <w:p w:rsidR="00100189" w:rsidRPr="000120B8" w:rsidRDefault="00100189" w:rsidP="00100189">
      <w:pPr>
        <w:spacing w:after="0" w:line="240" w:lineRule="auto"/>
        <w:jc w:val="both"/>
        <w:rPr>
          <w:rFonts w:ascii="Times New Roman" w:hAnsi="Times New Roman" w:cs="Times New Roman"/>
          <w:lang w:val="es-MX"/>
        </w:rPr>
      </w:pPr>
    </w:p>
    <w:p w:rsidR="00100189" w:rsidRPr="000120B8" w:rsidRDefault="00100189" w:rsidP="00100189">
      <w:pPr>
        <w:pStyle w:val="Prrafodelista"/>
        <w:spacing w:after="0" w:line="240" w:lineRule="auto"/>
        <w:ind w:left="0"/>
        <w:rPr>
          <w:rFonts w:cs="Times New Roman"/>
          <w:lang w:val="es-MX"/>
        </w:rPr>
      </w:pPr>
      <w:r w:rsidRPr="000120B8">
        <w:rPr>
          <w:rFonts w:cs="Times New Roman"/>
          <w:lang w:val="es-MX"/>
        </w:rPr>
        <w:lastRenderedPageBreak/>
        <w:t xml:space="preserve">La más reciente publicación de los resultados de la actividad económica medida a través del IMAE indica que existió un crecimiento de 3.7% en diciembre 2014, impulsado por el desempeño de las actividades económicas como Transporte, almacenamiento y comunicaciones, Comercio al por mayor y menor y Servicios privados.   Se esperaría que el ritmo de la actividad económica para el primer trimestre del 2015 continúe evolucionando positivamente debido al estímulo que provocan los precios de los combustibles, la estabilidad en el tipo de cambio nominal y el fortalecimiento del mercado interno.   </w:t>
      </w:r>
    </w:p>
    <w:p w:rsidR="00100189" w:rsidRPr="000120B8" w:rsidRDefault="00100189" w:rsidP="00100189">
      <w:pPr>
        <w:pStyle w:val="Prrafodelista"/>
        <w:spacing w:after="0" w:line="240" w:lineRule="auto"/>
        <w:ind w:left="0"/>
        <w:rPr>
          <w:rFonts w:cs="Times New Roman"/>
          <w:lang w:val="es-MX"/>
        </w:rPr>
      </w:pPr>
    </w:p>
    <w:p w:rsidR="00100189" w:rsidRPr="000120B8" w:rsidRDefault="00100189" w:rsidP="00100189">
      <w:pPr>
        <w:spacing w:after="0" w:line="240" w:lineRule="auto"/>
        <w:jc w:val="center"/>
        <w:rPr>
          <w:rFonts w:ascii="Times New Roman" w:hAnsi="Times New Roman" w:cs="Times New Roman"/>
          <w:b/>
          <w:sz w:val="24"/>
          <w:szCs w:val="24"/>
        </w:rPr>
      </w:pPr>
      <w:r w:rsidRPr="000120B8">
        <w:rPr>
          <w:rFonts w:ascii="Times New Roman" w:hAnsi="Times New Roman" w:cs="Times New Roman"/>
          <w:b/>
          <w:sz w:val="24"/>
          <w:szCs w:val="24"/>
        </w:rPr>
        <w:t>Índice Mensual de la Actividad Económica</w:t>
      </w:r>
    </w:p>
    <w:p w:rsidR="00100189" w:rsidRPr="000120B8" w:rsidRDefault="001B0ADD" w:rsidP="001B0ADD">
      <w:pPr>
        <w:spacing w:after="0" w:line="240" w:lineRule="auto"/>
        <w:jc w:val="center"/>
        <w:rPr>
          <w:rFonts w:ascii="Times New Roman" w:hAnsi="Times New Roman" w:cs="Times New Roman"/>
          <w:sz w:val="18"/>
        </w:rPr>
      </w:pPr>
      <w:r w:rsidRPr="000120B8">
        <w:rPr>
          <w:rFonts w:ascii="Times New Roman" w:hAnsi="Times New Roman" w:cs="Times New Roman"/>
          <w:sz w:val="18"/>
        </w:rPr>
        <w:t>Diciembre 2013 – 2015</w:t>
      </w:r>
    </w:p>
    <w:p w:rsidR="00100189" w:rsidRPr="000120B8" w:rsidRDefault="001B0ADD" w:rsidP="00100189">
      <w:pPr>
        <w:spacing w:after="0" w:line="240" w:lineRule="auto"/>
        <w:jc w:val="both"/>
        <w:rPr>
          <w:rFonts w:ascii="Times New Roman" w:hAnsi="Times New Roman" w:cs="Times New Roman"/>
          <w:lang w:val="es-MX"/>
        </w:rPr>
      </w:pPr>
      <w:r w:rsidRPr="000120B8">
        <w:rPr>
          <w:noProof/>
          <w:lang w:eastAsia="es-GT"/>
        </w:rPr>
        <w:drawing>
          <wp:inline distT="0" distB="0" distL="0" distR="0" wp14:anchorId="1515BC1A" wp14:editId="7DDDE54B">
            <wp:extent cx="2613992" cy="1759226"/>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0B73" w:rsidRPr="000120B8" w:rsidRDefault="001B0ADD" w:rsidP="00650B73">
      <w:pPr>
        <w:pStyle w:val="Sinespaciado"/>
        <w:jc w:val="both"/>
        <w:rPr>
          <w:rFonts w:ascii="Times New Roman" w:hAnsi="Times New Roman" w:cs="Times New Roman"/>
        </w:rPr>
      </w:pPr>
      <w:r w:rsidRPr="000120B8">
        <w:rPr>
          <w:rFonts w:ascii="Times New Roman" w:hAnsi="Times New Roman" w:cs="Times New Roman"/>
          <w:sz w:val="16"/>
          <w:szCs w:val="12"/>
          <w:lang w:val="es-MX"/>
        </w:rPr>
        <w:t>Fuente: Banco de Guatemala</w:t>
      </w:r>
      <w:r w:rsidR="00650B73">
        <w:rPr>
          <w:rFonts w:ascii="Times New Roman" w:hAnsi="Times New Roman" w:cs="Times New Roman"/>
          <w:sz w:val="16"/>
          <w:szCs w:val="12"/>
          <w:lang w:val="es-MX"/>
        </w:rPr>
        <w:t xml:space="preserve"> </w:t>
      </w:r>
    </w:p>
    <w:p w:rsidR="00650B73" w:rsidRPr="000120B8" w:rsidRDefault="00650B73" w:rsidP="00650B73">
      <w:pPr>
        <w:spacing w:after="0" w:line="240" w:lineRule="auto"/>
        <w:rPr>
          <w:rFonts w:ascii="Times New Roman" w:hAnsi="Times New Roman" w:cs="Times New Roman"/>
          <w:lang w:val="es-MX"/>
        </w:rPr>
        <w:sectPr w:rsidR="00650B73" w:rsidRPr="000120B8" w:rsidSect="00740239">
          <w:type w:val="continuous"/>
          <w:pgSz w:w="12240" w:h="15840"/>
          <w:pgMar w:top="2155" w:right="1701" w:bottom="1417" w:left="1701" w:header="708" w:footer="708" w:gutter="0"/>
          <w:cols w:num="2" w:space="708"/>
          <w:docGrid w:linePitch="360"/>
        </w:sectPr>
      </w:pPr>
    </w:p>
    <w:p w:rsidR="008762C2" w:rsidRPr="000120B8" w:rsidRDefault="008762C2" w:rsidP="008F2262">
      <w:pPr>
        <w:spacing w:after="0" w:line="240" w:lineRule="auto"/>
        <w:jc w:val="both"/>
        <w:rPr>
          <w:rFonts w:ascii="Times New Roman" w:hAnsi="Times New Roman" w:cs="Times New Roman"/>
          <w:sz w:val="12"/>
          <w:szCs w:val="12"/>
          <w:lang w:val="es-MX"/>
        </w:rPr>
      </w:pPr>
    </w:p>
    <w:sectPr w:rsidR="008762C2" w:rsidRPr="000120B8" w:rsidSect="00740239">
      <w:type w:val="continuous"/>
      <w:pgSz w:w="12240" w:h="15840"/>
      <w:pgMar w:top="2155" w:right="1608" w:bottom="1417" w:left="1701" w:header="68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1F0" w:rsidRDefault="000741F0" w:rsidP="00A6098E">
      <w:pPr>
        <w:spacing w:after="0" w:line="240" w:lineRule="auto"/>
      </w:pPr>
      <w:r>
        <w:separator/>
      </w:r>
    </w:p>
  </w:endnote>
  <w:endnote w:type="continuationSeparator" w:id="0">
    <w:p w:rsidR="000741F0" w:rsidRDefault="000741F0" w:rsidP="00A60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1F497D" w:themeColor="text2"/>
      </w:rPr>
      <w:id w:val="-1324736442"/>
      <w:docPartObj>
        <w:docPartGallery w:val="Page Numbers (Bottom of Page)"/>
        <w:docPartUnique/>
      </w:docPartObj>
    </w:sdtPr>
    <w:sdtEndPr>
      <w:rPr>
        <w:rFonts w:ascii="Times New Roman" w:hAnsi="Times New Roman"/>
        <w:sz w:val="20"/>
        <w:szCs w:val="20"/>
      </w:rPr>
    </w:sdtEndPr>
    <w:sdtContent>
      <w:p w:rsidR="00052EE7" w:rsidRPr="00740239" w:rsidRDefault="009A1CCC" w:rsidP="00740239">
        <w:pPr>
          <w:pStyle w:val="Encabezado"/>
          <w:rPr>
            <w:color w:val="1F497D" w:themeColor="text2"/>
          </w:rPr>
        </w:pPr>
        <w:r>
          <w:rPr>
            <w:noProof/>
            <w:color w:val="1F497D" w:themeColor="text2"/>
            <w:lang w:eastAsia="es-GT"/>
          </w:rPr>
          <mc:AlternateContent>
            <mc:Choice Requires="wps">
              <w:drawing>
                <wp:anchor distT="0" distB="0" distL="114300" distR="114300" simplePos="0" relativeHeight="251742208" behindDoc="0" locked="0" layoutInCell="1" allowOverlap="1" wp14:anchorId="3027647C" wp14:editId="7246C821">
                  <wp:simplePos x="0" y="0"/>
                  <wp:positionH relativeFrom="column">
                    <wp:posOffset>735965</wp:posOffset>
                  </wp:positionH>
                  <wp:positionV relativeFrom="paragraph">
                    <wp:posOffset>64770</wp:posOffset>
                  </wp:positionV>
                  <wp:extent cx="5949950" cy="45085"/>
                  <wp:effectExtent l="0" t="0" r="0" b="0"/>
                  <wp:wrapNone/>
                  <wp:docPr id="46" name="46 Rectángulo"/>
                  <wp:cNvGraphicFramePr/>
                  <a:graphic xmlns:a="http://schemas.openxmlformats.org/drawingml/2006/main">
                    <a:graphicData uri="http://schemas.microsoft.com/office/word/2010/wordprocessingShape">
                      <wps:wsp>
                        <wps:cNvSpPr/>
                        <wps:spPr>
                          <a:xfrm>
                            <a:off x="0" y="0"/>
                            <a:ext cx="5949950" cy="45085"/>
                          </a:xfrm>
                          <a:prstGeom prst="rect">
                            <a:avLst/>
                          </a:prstGeom>
                          <a:gradFill flip="none" rotWithShape="1">
                            <a:gsLst>
                              <a:gs pos="32502">
                                <a:srgbClr val="CAB518"/>
                              </a:gs>
                              <a:gs pos="72900">
                                <a:schemeClr val="bg2">
                                  <a:lumMod val="90000"/>
                                </a:schemeClr>
                              </a:gs>
                              <a:gs pos="24000">
                                <a:schemeClr val="bg2">
                                  <a:lumMod val="90000"/>
                                </a:schemeClr>
                              </a:gs>
                              <a:gs pos="0">
                                <a:srgbClr val="CAB518"/>
                              </a:gs>
                              <a:gs pos="50000">
                                <a:srgbClr val="CAB518"/>
                              </a:gs>
                              <a:gs pos="100000">
                                <a:srgbClr val="CAB518"/>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0CED6F" id="46 Rectángulo" o:spid="_x0000_s1026" style="position:absolute;margin-left:57.95pt;margin-top:5.1pt;width:468.5pt;height:3.5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" fillcolor="#cab518" stroked="f" strokeweight="2pt">
                  <v:fill color2="#cab518" rotate="t" angle="90" colors="0 #cab518;15729f #ddd9c3;21301f #cab518;.5 #cab518;47776f #ddd9c3;1 #cab518" focus="100%" type="gradient"/>
                </v:rect>
              </w:pict>
            </mc:Fallback>
          </mc:AlternateContent>
        </w:r>
        <w:r w:rsidR="00650B73" w:rsidRPr="00740239">
          <w:rPr>
            <w:noProof/>
            <w:color w:val="1F497D" w:themeColor="text2"/>
            <w:lang w:eastAsia="es-GT"/>
          </w:rPr>
          <w:drawing>
            <wp:anchor distT="0" distB="0" distL="114300" distR="114300" simplePos="0" relativeHeight="251741184" behindDoc="1" locked="0" layoutInCell="1" allowOverlap="1" wp14:anchorId="20788716" wp14:editId="4AE31C73">
              <wp:simplePos x="0" y="0"/>
              <wp:positionH relativeFrom="column">
                <wp:posOffset>-937260</wp:posOffset>
              </wp:positionH>
              <wp:positionV relativeFrom="paragraph">
                <wp:posOffset>2199005</wp:posOffset>
              </wp:positionV>
              <wp:extent cx="7796530" cy="733425"/>
              <wp:effectExtent l="0" t="0" r="0"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acpro:Desktop:Ministerio de Finanzas Públicas:Nuevas:Vice Ingresos:OFICIO:Análisis y Politica Fiscal_of-09.jpg"/>
                      <pic:cNvPicPr>
                        <a:picLocks noChangeAspect="1" noChangeArrowheads="1"/>
                      </pic:cNvPicPr>
                    </pic:nvPicPr>
                    <pic:blipFill rotWithShape="1">
                      <a:blip r:embed="rId1">
                        <a:extLst>
                          <a:ext uri="{28A0092B-C50C-407E-A947-70E740481C1C}">
                            <a14:useLocalDpi xmlns:a14="http://schemas.microsoft.com/office/drawing/2010/main" val="0"/>
                          </a:ext>
                        </a:extLst>
                      </a:blip>
                      <a:srcRect t="93851" b="-1"/>
                      <a:stretch/>
                    </pic:blipFill>
                    <pic:spPr bwMode="auto">
                      <a:xfrm>
                        <a:off x="0" y="0"/>
                        <a:ext cx="779653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52EE7" w:rsidRPr="00740239" w:rsidRDefault="00052EE7" w:rsidP="007A041E">
    <w:pPr>
      <w:pStyle w:val="Piedepgina"/>
      <w:jc w:val="right"/>
      <w:rPr>
        <w:rFonts w:ascii="Times New Roman" w:hAnsi="Times New Roman"/>
        <w:color w:val="1F497D" w:themeColor="text2"/>
        <w:sz w:val="20"/>
        <w:szCs w:val="20"/>
      </w:rPr>
    </w:pPr>
    <w:r w:rsidRPr="00740239">
      <w:rPr>
        <w:rFonts w:ascii="Times New Roman" w:hAnsi="Times New Roman"/>
        <w:b/>
        <w:color w:val="1F497D" w:themeColor="text2"/>
        <w:sz w:val="20"/>
        <w:szCs w:val="20"/>
      </w:rPr>
      <w:t xml:space="preserve">Página </w:t>
    </w:r>
    <w:r w:rsidRPr="00740239">
      <w:rPr>
        <w:rFonts w:ascii="Times New Roman" w:hAnsi="Times New Roman"/>
        <w:b/>
        <w:color w:val="1F497D" w:themeColor="text2"/>
        <w:sz w:val="20"/>
        <w:szCs w:val="20"/>
      </w:rPr>
      <w:fldChar w:fldCharType="begin"/>
    </w:r>
    <w:r w:rsidRPr="00740239">
      <w:rPr>
        <w:rFonts w:ascii="Times New Roman" w:hAnsi="Times New Roman"/>
        <w:b/>
        <w:color w:val="1F497D" w:themeColor="text2"/>
        <w:sz w:val="20"/>
        <w:szCs w:val="20"/>
      </w:rPr>
      <w:instrText>PAGE   \* MERGEFORMAT</w:instrText>
    </w:r>
    <w:r w:rsidRPr="00740239">
      <w:rPr>
        <w:rFonts w:ascii="Times New Roman" w:hAnsi="Times New Roman"/>
        <w:b/>
        <w:color w:val="1F497D" w:themeColor="text2"/>
        <w:sz w:val="20"/>
        <w:szCs w:val="20"/>
      </w:rPr>
      <w:fldChar w:fldCharType="separate"/>
    </w:r>
    <w:r w:rsidR="008B5533">
      <w:rPr>
        <w:rFonts w:ascii="Times New Roman" w:hAnsi="Times New Roman"/>
        <w:b/>
        <w:noProof/>
        <w:color w:val="1F497D" w:themeColor="text2"/>
        <w:sz w:val="20"/>
        <w:szCs w:val="20"/>
      </w:rPr>
      <w:t>1</w:t>
    </w:r>
    <w:r w:rsidRPr="00740239">
      <w:rPr>
        <w:rFonts w:ascii="Times New Roman" w:hAnsi="Times New Roman"/>
        <w:b/>
        <w:color w:val="1F497D" w:themeColor="text2"/>
        <w:sz w:val="20"/>
        <w:szCs w:val="20"/>
      </w:rPr>
      <w:fldChar w:fldCharType="end"/>
    </w:r>
    <w:r w:rsidRPr="00740239">
      <w:rPr>
        <w:rFonts w:ascii="Times New Roman" w:hAnsi="Times New Roman"/>
        <w:color w:val="1F497D" w:themeColor="text2"/>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D6" w:rsidRPr="00740239" w:rsidRDefault="009A1CCC" w:rsidP="00740239">
    <w:pPr>
      <w:pStyle w:val="Piedepgina"/>
      <w:rPr>
        <w:rFonts w:ascii="Times New Roman" w:hAnsi="Times New Roman"/>
        <w:color w:val="1F497D" w:themeColor="text2"/>
        <w:sz w:val="20"/>
        <w:szCs w:val="20"/>
      </w:rPr>
    </w:pPr>
    <w:r>
      <w:rPr>
        <w:noProof/>
        <w:color w:val="1F497D" w:themeColor="text2"/>
        <w:lang w:eastAsia="es-GT"/>
      </w:rPr>
      <mc:AlternateContent>
        <mc:Choice Requires="wps">
          <w:drawing>
            <wp:anchor distT="0" distB="0" distL="114300" distR="114300" simplePos="0" relativeHeight="251744256" behindDoc="0" locked="0" layoutInCell="1" allowOverlap="1" wp14:anchorId="2ED2F6AA" wp14:editId="6E4DB3FE">
              <wp:simplePos x="0" y="0"/>
              <wp:positionH relativeFrom="column">
                <wp:posOffset>741680</wp:posOffset>
              </wp:positionH>
              <wp:positionV relativeFrom="paragraph">
                <wp:posOffset>60325</wp:posOffset>
              </wp:positionV>
              <wp:extent cx="5949950" cy="45085"/>
              <wp:effectExtent l="0" t="0" r="0" b="0"/>
              <wp:wrapNone/>
              <wp:docPr id="48" name="48 Rectángulo"/>
              <wp:cNvGraphicFramePr/>
              <a:graphic xmlns:a="http://schemas.openxmlformats.org/drawingml/2006/main">
                <a:graphicData uri="http://schemas.microsoft.com/office/word/2010/wordprocessingShape">
                  <wps:wsp>
                    <wps:cNvSpPr/>
                    <wps:spPr>
                      <a:xfrm>
                        <a:off x="0" y="0"/>
                        <a:ext cx="5949950" cy="45085"/>
                      </a:xfrm>
                      <a:prstGeom prst="rect">
                        <a:avLst/>
                      </a:prstGeom>
                      <a:gradFill flip="none" rotWithShape="1">
                        <a:gsLst>
                          <a:gs pos="32502">
                            <a:srgbClr val="CAB518"/>
                          </a:gs>
                          <a:gs pos="72900">
                            <a:schemeClr val="bg2">
                              <a:lumMod val="90000"/>
                            </a:schemeClr>
                          </a:gs>
                          <a:gs pos="24000">
                            <a:schemeClr val="bg2">
                              <a:lumMod val="90000"/>
                            </a:schemeClr>
                          </a:gs>
                          <a:gs pos="0">
                            <a:srgbClr val="CAB518"/>
                          </a:gs>
                          <a:gs pos="50000">
                            <a:srgbClr val="CAB518"/>
                          </a:gs>
                          <a:gs pos="100000">
                            <a:srgbClr val="CAB518"/>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63B03F" id="48 Rectángulo" o:spid="_x0000_s1026" style="position:absolute;margin-left:58.4pt;margin-top:4.75pt;width:468.5pt;height:3.5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" fillcolor="#cab518" stroked="f" strokeweight="2pt">
              <v:fill color2="#cab518" rotate="t" angle="90" colors="0 #cab518;15729f #ddd9c3;21301f #cab518;.5 #cab518;47776f #ddd9c3;1 #cab518" focus="100%" type="gradient"/>
            </v:rect>
          </w:pict>
        </mc:Fallback>
      </mc:AlternateContent>
    </w:r>
    <w:r w:rsidR="004B2DD6">
      <w:rPr>
        <w:rFonts w:ascii="Times New Roman" w:hAnsi="Times New Roman"/>
        <w:color w:val="4F81BD" w:themeColor="accent1"/>
        <w:sz w:val="20"/>
        <w:szCs w:val="20"/>
      </w:rPr>
      <w:t xml:space="preserve">  </w:t>
    </w:r>
  </w:p>
  <w:p w:rsidR="00D13827" w:rsidRPr="00740239" w:rsidRDefault="00740239" w:rsidP="00740239">
    <w:pPr>
      <w:ind w:left="7080" w:firstLine="708"/>
      <w:rPr>
        <w:color w:val="1F497D" w:themeColor="text2"/>
      </w:rPr>
    </w:pPr>
    <w:r w:rsidRPr="00740239">
      <w:rPr>
        <w:rFonts w:ascii="Times New Roman" w:hAnsi="Times New Roman"/>
        <w:b/>
        <w:color w:val="1F497D" w:themeColor="text2"/>
        <w:sz w:val="20"/>
        <w:szCs w:val="20"/>
      </w:rPr>
      <w:t xml:space="preserve">Página </w:t>
    </w:r>
    <w:r w:rsidRPr="00740239">
      <w:rPr>
        <w:rFonts w:ascii="Times New Roman" w:hAnsi="Times New Roman"/>
        <w:b/>
        <w:color w:val="1F497D" w:themeColor="text2"/>
        <w:sz w:val="20"/>
        <w:szCs w:val="20"/>
      </w:rPr>
      <w:fldChar w:fldCharType="begin"/>
    </w:r>
    <w:r w:rsidRPr="00740239">
      <w:rPr>
        <w:rFonts w:ascii="Times New Roman" w:hAnsi="Times New Roman"/>
        <w:b/>
        <w:color w:val="1F497D" w:themeColor="text2"/>
        <w:sz w:val="20"/>
        <w:szCs w:val="20"/>
      </w:rPr>
      <w:instrText>PAGE   \* MERGEFORMAT</w:instrText>
    </w:r>
    <w:r w:rsidRPr="00740239">
      <w:rPr>
        <w:rFonts w:ascii="Times New Roman" w:hAnsi="Times New Roman"/>
        <w:b/>
        <w:color w:val="1F497D" w:themeColor="text2"/>
        <w:sz w:val="20"/>
        <w:szCs w:val="20"/>
      </w:rPr>
      <w:fldChar w:fldCharType="separate"/>
    </w:r>
    <w:r w:rsidR="008B5533">
      <w:rPr>
        <w:rFonts w:ascii="Times New Roman" w:hAnsi="Times New Roman"/>
        <w:b/>
        <w:noProof/>
        <w:color w:val="1F497D" w:themeColor="text2"/>
        <w:sz w:val="20"/>
        <w:szCs w:val="20"/>
      </w:rPr>
      <w:t>3</w:t>
    </w:r>
    <w:r w:rsidRPr="00740239">
      <w:rPr>
        <w:rFonts w:ascii="Times New Roman" w:hAnsi="Times New Roman"/>
        <w:b/>
        <w:color w:val="1F497D" w:themeColor="text2"/>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A0F" w:rsidRPr="00740239" w:rsidRDefault="009A1CCC" w:rsidP="00740239">
    <w:pPr>
      <w:pStyle w:val="Encabezado"/>
      <w:jc w:val="right"/>
    </w:pPr>
    <w:r>
      <w:rPr>
        <w:noProof/>
        <w:color w:val="1F497D" w:themeColor="text2"/>
        <w:lang w:eastAsia="es-GT"/>
      </w:rPr>
      <mc:AlternateContent>
        <mc:Choice Requires="wps">
          <w:drawing>
            <wp:anchor distT="0" distB="0" distL="114300" distR="114300" simplePos="0" relativeHeight="251746304" behindDoc="0" locked="0" layoutInCell="1" allowOverlap="1" wp14:anchorId="52A919D5" wp14:editId="3C50EE60">
              <wp:simplePos x="0" y="0"/>
              <wp:positionH relativeFrom="column">
                <wp:posOffset>747395</wp:posOffset>
              </wp:positionH>
              <wp:positionV relativeFrom="paragraph">
                <wp:posOffset>87630</wp:posOffset>
              </wp:positionV>
              <wp:extent cx="5949950" cy="45085"/>
              <wp:effectExtent l="0" t="0" r="0" b="0"/>
              <wp:wrapNone/>
              <wp:docPr id="49" name="49 Rectángulo"/>
              <wp:cNvGraphicFramePr/>
              <a:graphic xmlns:a="http://schemas.openxmlformats.org/drawingml/2006/main">
                <a:graphicData uri="http://schemas.microsoft.com/office/word/2010/wordprocessingShape">
                  <wps:wsp>
                    <wps:cNvSpPr/>
                    <wps:spPr>
                      <a:xfrm>
                        <a:off x="0" y="0"/>
                        <a:ext cx="5949950" cy="45085"/>
                      </a:xfrm>
                      <a:prstGeom prst="rect">
                        <a:avLst/>
                      </a:prstGeom>
                      <a:gradFill flip="none" rotWithShape="1">
                        <a:gsLst>
                          <a:gs pos="32502">
                            <a:srgbClr val="CAB518"/>
                          </a:gs>
                          <a:gs pos="72900">
                            <a:schemeClr val="bg2">
                              <a:lumMod val="90000"/>
                            </a:schemeClr>
                          </a:gs>
                          <a:gs pos="24000">
                            <a:schemeClr val="bg2">
                              <a:lumMod val="90000"/>
                            </a:schemeClr>
                          </a:gs>
                          <a:gs pos="0">
                            <a:srgbClr val="CAB518"/>
                          </a:gs>
                          <a:gs pos="50000">
                            <a:srgbClr val="CAB518"/>
                          </a:gs>
                          <a:gs pos="100000">
                            <a:srgbClr val="CAB518"/>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20465" id="49 Rectángulo" o:spid="_x0000_s1026" style="position:absolute;margin-left:58.85pt;margin-top:6.9pt;width:468.5pt;height:3.5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" fillcolor="#cab518" stroked="f" strokeweight="2pt">
              <v:fill color2="#cab518" rotate="t" angle="90" colors="0 #cab518;15729f #ddd9c3;21301f #cab518;.5 #cab518;47776f #ddd9c3;1 #cab518" focus="100%" type="gradient"/>
            </v:rect>
          </w:pict>
        </mc:Fallback>
      </mc:AlternateContent>
    </w:r>
  </w:p>
  <w:p w:rsidR="00780A0F" w:rsidRPr="00740239" w:rsidRDefault="00780A0F" w:rsidP="007A041E">
    <w:pPr>
      <w:pStyle w:val="Piedepgina"/>
      <w:jc w:val="right"/>
      <w:rPr>
        <w:rFonts w:ascii="Times New Roman" w:hAnsi="Times New Roman"/>
        <w:color w:val="1F497D" w:themeColor="text2"/>
        <w:sz w:val="20"/>
        <w:szCs w:val="20"/>
      </w:rPr>
    </w:pPr>
    <w:r w:rsidRPr="00740239">
      <w:rPr>
        <w:rFonts w:ascii="Times New Roman" w:hAnsi="Times New Roman"/>
        <w:b/>
        <w:color w:val="1F497D" w:themeColor="text2"/>
        <w:sz w:val="20"/>
        <w:szCs w:val="20"/>
      </w:rPr>
      <w:t xml:space="preserve">Página </w:t>
    </w:r>
    <w:r w:rsidRPr="00740239">
      <w:rPr>
        <w:rFonts w:ascii="Times New Roman" w:hAnsi="Times New Roman"/>
        <w:b/>
        <w:color w:val="1F497D" w:themeColor="text2"/>
        <w:sz w:val="20"/>
        <w:szCs w:val="20"/>
      </w:rPr>
      <w:fldChar w:fldCharType="begin"/>
    </w:r>
    <w:r w:rsidRPr="00740239">
      <w:rPr>
        <w:rFonts w:ascii="Times New Roman" w:hAnsi="Times New Roman"/>
        <w:b/>
        <w:color w:val="1F497D" w:themeColor="text2"/>
        <w:sz w:val="20"/>
        <w:szCs w:val="20"/>
      </w:rPr>
      <w:instrText>PAGE   \* MERGEFORMAT</w:instrText>
    </w:r>
    <w:r w:rsidRPr="00740239">
      <w:rPr>
        <w:rFonts w:ascii="Times New Roman" w:hAnsi="Times New Roman"/>
        <w:b/>
        <w:color w:val="1F497D" w:themeColor="text2"/>
        <w:sz w:val="20"/>
        <w:szCs w:val="20"/>
      </w:rPr>
      <w:fldChar w:fldCharType="separate"/>
    </w:r>
    <w:r w:rsidR="008B5533">
      <w:rPr>
        <w:rFonts w:ascii="Times New Roman" w:hAnsi="Times New Roman"/>
        <w:b/>
        <w:noProof/>
        <w:color w:val="1F497D" w:themeColor="text2"/>
        <w:sz w:val="20"/>
        <w:szCs w:val="20"/>
      </w:rPr>
      <w:t>4</w:t>
    </w:r>
    <w:r w:rsidRPr="00740239">
      <w:rPr>
        <w:rFonts w:ascii="Times New Roman" w:hAnsi="Times New Roman"/>
        <w:b/>
        <w:color w:val="1F497D" w:themeColor="text2"/>
        <w:sz w:val="20"/>
        <w:szCs w:val="20"/>
      </w:rPr>
      <w:fldChar w:fldCharType="end"/>
    </w:r>
    <w:r w:rsidRPr="00740239">
      <w:rPr>
        <w:rFonts w:ascii="Times New Roman" w:hAnsi="Times New Roman"/>
        <w:color w:val="1F497D" w:themeColor="text2"/>
        <w:sz w:val="20"/>
        <w:szCs w:val="20"/>
      </w:rPr>
      <w:t xml:space="preserve">  </w:t>
    </w:r>
  </w:p>
  <w:p w:rsidR="00780A0F" w:rsidRDefault="00780A0F"/>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694759"/>
      <w:docPartObj>
        <w:docPartGallery w:val="Page Numbers (Bottom of Page)"/>
        <w:docPartUnique/>
      </w:docPartObj>
    </w:sdtPr>
    <w:sdtEndPr>
      <w:rPr>
        <w:rFonts w:ascii="Times New Roman" w:hAnsi="Times New Roman"/>
        <w:color w:val="4F81BD" w:themeColor="accent1"/>
        <w:sz w:val="20"/>
        <w:szCs w:val="20"/>
      </w:rPr>
    </w:sdtEndPr>
    <w:sdtContent>
      <w:p w:rsidR="00734097" w:rsidRDefault="00734097" w:rsidP="00A46956">
        <w:pPr>
          <w:pStyle w:val="Encabezado"/>
          <w:jc w:val="right"/>
        </w:pPr>
      </w:p>
      <w:p w:rsidR="00734097" w:rsidRDefault="00734097" w:rsidP="00A46956">
        <w:pPr>
          <w:pStyle w:val="Encabezado"/>
          <w:jc w:val="right"/>
          <w:rPr>
            <w:rFonts w:ascii="Times New Roman" w:hAnsi="Times New Roman"/>
            <w:color w:val="4F81BD" w:themeColor="accent1"/>
            <w:sz w:val="20"/>
            <w:szCs w:val="20"/>
          </w:rPr>
        </w:pPr>
        <w:r w:rsidRPr="004920BA">
          <w:rPr>
            <w:noProof/>
            <w:color w:val="0F243E" w:themeColor="text2" w:themeShade="80"/>
            <w:lang w:eastAsia="es-GT"/>
          </w:rPr>
          <mc:AlternateContent>
            <mc:Choice Requires="wps">
              <w:drawing>
                <wp:anchor distT="4294967295" distB="4294967295" distL="114300" distR="114300" simplePos="0" relativeHeight="251691008" behindDoc="0" locked="0" layoutInCell="1" allowOverlap="1" wp14:anchorId="61739437" wp14:editId="2A09F539">
                  <wp:simplePos x="0" y="0"/>
                  <wp:positionH relativeFrom="column">
                    <wp:posOffset>1663700</wp:posOffset>
                  </wp:positionH>
                  <wp:positionV relativeFrom="paragraph">
                    <wp:posOffset>-7620</wp:posOffset>
                  </wp:positionV>
                  <wp:extent cx="4010025" cy="0"/>
                  <wp:effectExtent l="0" t="0" r="9525" b="19050"/>
                  <wp:wrapNone/>
                  <wp:docPr id="30"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100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3BBEE22" id="6 Conector recto"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1pt,-.6pt" to="446.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" strokecolor="#4579b8">
                  <o:lock v:ext="edit" shapetype="f"/>
                </v:line>
              </w:pict>
            </mc:Fallback>
          </mc:AlternateContent>
        </w:r>
        <w:r w:rsidRPr="00BA1004">
          <w:rPr>
            <w:rFonts w:ascii="Times New Roman" w:hAnsi="Times New Roman"/>
            <w:color w:val="0F243E" w:themeColor="text2" w:themeShade="80"/>
            <w:sz w:val="20"/>
            <w:szCs w:val="20"/>
          </w:rPr>
          <w:t>Dirección de Análisis y Política Fiscal</w:t>
        </w:r>
        <w:r w:rsidRPr="00B91C2D">
          <w:rPr>
            <w:rFonts w:ascii="Times New Roman" w:hAnsi="Times New Roman"/>
            <w:color w:val="4F81BD" w:themeColor="accent1"/>
            <w:sz w:val="20"/>
            <w:szCs w:val="20"/>
          </w:rPr>
          <w:t xml:space="preserve"> </w:t>
        </w:r>
      </w:p>
    </w:sdtContent>
  </w:sdt>
  <w:p w:rsidR="00734097" w:rsidRPr="007A041E" w:rsidRDefault="00734097" w:rsidP="007A041E">
    <w:pPr>
      <w:pStyle w:val="Piedepgina"/>
      <w:jc w:val="right"/>
      <w:rPr>
        <w:rFonts w:ascii="Times New Roman" w:hAnsi="Times New Roman"/>
        <w:color w:val="4F81BD" w:themeColor="accent1"/>
        <w:sz w:val="20"/>
        <w:szCs w:val="20"/>
      </w:rPr>
    </w:pPr>
    <w:r w:rsidRPr="002068BB">
      <w:rPr>
        <w:rFonts w:ascii="Times New Roman" w:hAnsi="Times New Roman"/>
        <w:b/>
        <w:color w:val="4F81BD" w:themeColor="accent1"/>
        <w:sz w:val="20"/>
        <w:szCs w:val="20"/>
      </w:rPr>
      <w:t>Página</w:t>
    </w:r>
    <w:r>
      <w:rPr>
        <w:rFonts w:ascii="Times New Roman" w:hAnsi="Times New Roman"/>
        <w:b/>
        <w:color w:val="4F81BD" w:themeColor="accent1"/>
        <w:sz w:val="20"/>
        <w:szCs w:val="20"/>
      </w:rPr>
      <w:t xml:space="preserve"> </w:t>
    </w:r>
    <w:r w:rsidRPr="002068BB">
      <w:rPr>
        <w:rFonts w:ascii="Times New Roman" w:hAnsi="Times New Roman"/>
        <w:b/>
        <w:color w:val="4F81BD" w:themeColor="accent1"/>
        <w:sz w:val="20"/>
        <w:szCs w:val="20"/>
      </w:rPr>
      <w:fldChar w:fldCharType="begin"/>
    </w:r>
    <w:r w:rsidRPr="002068BB">
      <w:rPr>
        <w:rFonts w:ascii="Times New Roman" w:hAnsi="Times New Roman"/>
        <w:b/>
        <w:color w:val="4F81BD" w:themeColor="accent1"/>
        <w:sz w:val="20"/>
        <w:szCs w:val="20"/>
      </w:rPr>
      <w:instrText>PAGE   \* MERGEFORMAT</w:instrText>
    </w:r>
    <w:r w:rsidRPr="002068BB">
      <w:rPr>
        <w:rFonts w:ascii="Times New Roman" w:hAnsi="Times New Roman"/>
        <w:b/>
        <w:color w:val="4F81BD" w:themeColor="accent1"/>
        <w:sz w:val="20"/>
        <w:szCs w:val="20"/>
      </w:rPr>
      <w:fldChar w:fldCharType="separate"/>
    </w:r>
    <w:r w:rsidR="00331AA7">
      <w:rPr>
        <w:rFonts w:ascii="Times New Roman" w:hAnsi="Times New Roman"/>
        <w:b/>
        <w:noProof/>
        <w:color w:val="4F81BD" w:themeColor="accent1"/>
        <w:sz w:val="20"/>
        <w:szCs w:val="20"/>
      </w:rPr>
      <w:t>6</w:t>
    </w:r>
    <w:r w:rsidRPr="002068BB">
      <w:rPr>
        <w:rFonts w:ascii="Times New Roman" w:hAnsi="Times New Roman"/>
        <w:b/>
        <w:color w:val="4F81BD" w:themeColor="accent1"/>
        <w:sz w:val="20"/>
        <w:szCs w:val="20"/>
      </w:rPr>
      <w:fldChar w:fldCharType="end"/>
    </w:r>
    <w:r>
      <w:rPr>
        <w:rFonts w:ascii="Times New Roman" w:hAnsi="Times New Roman"/>
        <w:color w:val="4F81BD" w:themeColor="accent1"/>
        <w:sz w:val="20"/>
        <w:szCs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D6" w:rsidRDefault="004B2DD6">
    <w:pPr>
      <w:pStyle w:val="Piedepgina"/>
    </w:pPr>
  </w:p>
  <w:p w:rsidR="004B2DD6" w:rsidRDefault="004B2DD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D6" w:rsidRPr="005D13A6" w:rsidRDefault="009A1CCC" w:rsidP="00740239">
    <w:pPr>
      <w:pStyle w:val="Encabezado"/>
      <w:rPr>
        <w:rFonts w:ascii="Times New Roman" w:hAnsi="Times New Roman" w:cs="Times New Roman"/>
        <w:color w:val="4F81BD" w:themeColor="accent1"/>
        <w:sz w:val="20"/>
        <w:szCs w:val="20"/>
      </w:rPr>
    </w:pPr>
    <w:r>
      <w:rPr>
        <w:noProof/>
        <w:color w:val="1F497D" w:themeColor="text2"/>
        <w:lang w:eastAsia="es-GT"/>
      </w:rPr>
      <mc:AlternateContent>
        <mc:Choice Requires="wps">
          <w:drawing>
            <wp:anchor distT="0" distB="0" distL="114300" distR="114300" simplePos="0" relativeHeight="251748352" behindDoc="0" locked="0" layoutInCell="1" allowOverlap="1" wp14:anchorId="4A60BC62" wp14:editId="7C27CACC">
              <wp:simplePos x="0" y="0"/>
              <wp:positionH relativeFrom="column">
                <wp:posOffset>753999</wp:posOffset>
              </wp:positionH>
              <wp:positionV relativeFrom="paragraph">
                <wp:posOffset>39370</wp:posOffset>
              </wp:positionV>
              <wp:extent cx="5949950" cy="45085"/>
              <wp:effectExtent l="0" t="0" r="0" b="0"/>
              <wp:wrapNone/>
              <wp:docPr id="50" name="50 Rectángulo"/>
              <wp:cNvGraphicFramePr/>
              <a:graphic xmlns:a="http://schemas.openxmlformats.org/drawingml/2006/main">
                <a:graphicData uri="http://schemas.microsoft.com/office/word/2010/wordprocessingShape">
                  <wps:wsp>
                    <wps:cNvSpPr/>
                    <wps:spPr>
                      <a:xfrm>
                        <a:off x="0" y="0"/>
                        <a:ext cx="5949950" cy="45085"/>
                      </a:xfrm>
                      <a:prstGeom prst="rect">
                        <a:avLst/>
                      </a:prstGeom>
                      <a:gradFill flip="none" rotWithShape="1">
                        <a:gsLst>
                          <a:gs pos="32502">
                            <a:srgbClr val="CAB518"/>
                          </a:gs>
                          <a:gs pos="72900">
                            <a:schemeClr val="bg2">
                              <a:lumMod val="90000"/>
                            </a:schemeClr>
                          </a:gs>
                          <a:gs pos="24000">
                            <a:schemeClr val="bg2">
                              <a:lumMod val="90000"/>
                            </a:schemeClr>
                          </a:gs>
                          <a:gs pos="0">
                            <a:srgbClr val="CAB518"/>
                          </a:gs>
                          <a:gs pos="50000">
                            <a:srgbClr val="CAB518"/>
                          </a:gs>
                          <a:gs pos="100000">
                            <a:srgbClr val="CAB518"/>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96F7A2" id="50 Rectángulo" o:spid="_x0000_s1026" style="position:absolute;margin-left:59.35pt;margin-top:3.1pt;width:468.5pt;height:3.5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" fillcolor="#cab518" stroked="f" strokeweight="2pt">
              <v:fill color2="#cab518" rotate="t" angle="90" colors="0 #cab518;15729f #ddd9c3;21301f #cab518;.5 #cab518;47776f #ddd9c3;1 #cab518" focus="100%" type="gradient"/>
            </v:rect>
          </w:pict>
        </mc:Fallback>
      </mc:AlternateContent>
    </w:r>
  </w:p>
  <w:p w:rsidR="004B2DD6" w:rsidRPr="00740239" w:rsidRDefault="004B2DD6" w:rsidP="00017573">
    <w:pPr>
      <w:pStyle w:val="Piedepgina"/>
      <w:ind w:right="-93"/>
      <w:jc w:val="right"/>
      <w:rPr>
        <w:rFonts w:ascii="Times New Roman" w:hAnsi="Times New Roman" w:cs="Times New Roman"/>
        <w:color w:val="1F497D" w:themeColor="text2"/>
        <w:sz w:val="20"/>
        <w:szCs w:val="20"/>
      </w:rPr>
    </w:pPr>
    <w:r w:rsidRPr="00740239">
      <w:rPr>
        <w:rFonts w:ascii="Times New Roman" w:hAnsi="Times New Roman" w:cs="Times New Roman"/>
        <w:b/>
        <w:color w:val="1F497D" w:themeColor="text2"/>
        <w:sz w:val="20"/>
        <w:szCs w:val="20"/>
      </w:rPr>
      <w:t xml:space="preserve">Página </w:t>
    </w:r>
    <w:r w:rsidRPr="00740239">
      <w:rPr>
        <w:rFonts w:ascii="Times New Roman" w:hAnsi="Times New Roman" w:cs="Times New Roman"/>
        <w:b/>
        <w:color w:val="1F497D" w:themeColor="text2"/>
        <w:sz w:val="20"/>
        <w:szCs w:val="20"/>
      </w:rPr>
      <w:fldChar w:fldCharType="begin"/>
    </w:r>
    <w:r w:rsidRPr="00740239">
      <w:rPr>
        <w:rFonts w:ascii="Times New Roman" w:hAnsi="Times New Roman" w:cs="Times New Roman"/>
        <w:b/>
        <w:color w:val="1F497D" w:themeColor="text2"/>
        <w:sz w:val="20"/>
        <w:szCs w:val="20"/>
      </w:rPr>
      <w:instrText>PAGE   \* MERGEFORMAT</w:instrText>
    </w:r>
    <w:r w:rsidRPr="00740239">
      <w:rPr>
        <w:rFonts w:ascii="Times New Roman" w:hAnsi="Times New Roman" w:cs="Times New Roman"/>
        <w:b/>
        <w:color w:val="1F497D" w:themeColor="text2"/>
        <w:sz w:val="20"/>
        <w:szCs w:val="20"/>
      </w:rPr>
      <w:fldChar w:fldCharType="separate"/>
    </w:r>
    <w:r w:rsidR="008B5533">
      <w:rPr>
        <w:rFonts w:ascii="Times New Roman" w:hAnsi="Times New Roman" w:cs="Times New Roman"/>
        <w:b/>
        <w:noProof/>
        <w:color w:val="1F497D" w:themeColor="text2"/>
        <w:sz w:val="20"/>
        <w:szCs w:val="20"/>
      </w:rPr>
      <w:t>6</w:t>
    </w:r>
    <w:r w:rsidRPr="00740239">
      <w:rPr>
        <w:rFonts w:ascii="Times New Roman" w:hAnsi="Times New Roman" w:cs="Times New Roman"/>
        <w:b/>
        <w:color w:val="1F497D" w:themeColor="text2"/>
        <w:sz w:val="20"/>
        <w:szCs w:val="20"/>
      </w:rPr>
      <w:fldChar w:fldCharType="end"/>
    </w:r>
    <w:r w:rsidR="007A041E" w:rsidRPr="00740239">
      <w:rPr>
        <w:rFonts w:ascii="Times New Roman" w:hAnsi="Times New Roman" w:cs="Times New Roman"/>
        <w:color w:val="1F497D" w:themeColor="text2"/>
        <w:sz w:val="20"/>
        <w:szCs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D6" w:rsidRDefault="004B2DD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1F0" w:rsidRDefault="000741F0" w:rsidP="00A6098E">
      <w:pPr>
        <w:spacing w:after="0" w:line="240" w:lineRule="auto"/>
      </w:pPr>
      <w:r>
        <w:separator/>
      </w:r>
    </w:p>
  </w:footnote>
  <w:footnote w:type="continuationSeparator" w:id="0">
    <w:p w:rsidR="000741F0" w:rsidRDefault="000741F0" w:rsidP="00A609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EE7" w:rsidRPr="004920BA" w:rsidRDefault="007B224B" w:rsidP="004F33E6">
    <w:pPr>
      <w:pStyle w:val="Encabezado"/>
      <w:jc w:val="right"/>
      <w:rPr>
        <w:rFonts w:ascii="Times New Roman" w:hAnsi="Times New Roman"/>
        <w:b/>
        <w:color w:val="0F243E" w:themeColor="text2" w:themeShade="80"/>
      </w:rPr>
    </w:pPr>
    <w:r>
      <w:rPr>
        <w:noProof/>
        <w:lang w:eastAsia="es-GT"/>
      </w:rPr>
      <w:drawing>
        <wp:anchor distT="0" distB="0" distL="114300" distR="114300" simplePos="0" relativeHeight="251732992" behindDoc="1" locked="0" layoutInCell="1" allowOverlap="1" wp14:anchorId="29430DA7" wp14:editId="0C6F9803">
          <wp:simplePos x="0" y="0"/>
          <wp:positionH relativeFrom="column">
            <wp:posOffset>-1086347</wp:posOffset>
          </wp:positionH>
          <wp:positionV relativeFrom="paragraph">
            <wp:posOffset>-446267</wp:posOffset>
          </wp:positionV>
          <wp:extent cx="7796969" cy="13906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acpro:Desktop:Ministerio de Finanzas Públicas:Nuevas:Vice Ingresos:OFICIO:Análisis y Politica Fiscal_of-09.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88339"/>
                  <a:stretch/>
                </pic:blipFill>
                <pic:spPr bwMode="auto">
                  <a:xfrm>
                    <a:off x="0" y="0"/>
                    <a:ext cx="7796969"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EE7" w:rsidRPr="004920BA">
      <w:rPr>
        <w:rFonts w:ascii="Times New Roman" w:hAnsi="Times New Roman"/>
        <w:b/>
        <w:color w:val="0F243E" w:themeColor="text2" w:themeShade="80"/>
      </w:rPr>
      <w:t xml:space="preserve">                                               Informe de las Finanzas Públicas </w:t>
    </w:r>
  </w:p>
  <w:p w:rsidR="00052EE7" w:rsidRDefault="00CE33AC" w:rsidP="00CE33AC">
    <w:pPr>
      <w:pStyle w:val="Encabezado"/>
      <w:tabs>
        <w:tab w:val="left" w:pos="753"/>
      </w:tabs>
      <w:rPr>
        <w:rFonts w:ascii="Times New Roman" w:hAnsi="Times New Roman"/>
        <w:color w:val="0F243E" w:themeColor="text2" w:themeShade="80"/>
        <w:sz w:val="20"/>
        <w:szCs w:val="20"/>
      </w:rPr>
    </w:pPr>
    <w:r>
      <w:rPr>
        <w:rFonts w:ascii="Times New Roman" w:hAnsi="Times New Roman"/>
        <w:b/>
        <w:color w:val="0F243E" w:themeColor="text2" w:themeShade="80"/>
      </w:rPr>
      <w:tab/>
    </w:r>
    <w:r>
      <w:rPr>
        <w:rFonts w:ascii="Times New Roman" w:hAnsi="Times New Roman"/>
        <w:b/>
        <w:color w:val="0F243E" w:themeColor="text2" w:themeShade="80"/>
      </w:rPr>
      <w:tab/>
    </w:r>
    <w:r w:rsidR="00052EE7" w:rsidRPr="004920BA">
      <w:rPr>
        <w:rFonts w:ascii="Times New Roman" w:hAnsi="Times New Roman"/>
        <w:b/>
        <w:color w:val="0F243E" w:themeColor="text2" w:themeShade="80"/>
      </w:rPr>
      <w:t xml:space="preserve"> </w:t>
    </w:r>
    <w:r w:rsidR="00052EE7" w:rsidRPr="004920BA">
      <w:rPr>
        <w:rFonts w:ascii="Times New Roman" w:hAnsi="Times New Roman"/>
        <w:b/>
        <w:color w:val="0F243E" w:themeColor="text2" w:themeShade="80"/>
      </w:rPr>
      <w:tab/>
      <w:t xml:space="preserve">                                                          </w:t>
    </w:r>
    <w:r w:rsidR="00FE0BAC">
      <w:rPr>
        <w:rFonts w:ascii="Times New Roman" w:hAnsi="Times New Roman"/>
        <w:color w:val="0F243E" w:themeColor="text2" w:themeShade="80"/>
        <w:sz w:val="20"/>
        <w:szCs w:val="20"/>
      </w:rPr>
      <w:t>En</w:t>
    </w:r>
    <w:r w:rsidR="00385C0C">
      <w:rPr>
        <w:rFonts w:ascii="Times New Roman" w:hAnsi="Times New Roman"/>
        <w:color w:val="0F243E" w:themeColor="text2" w:themeShade="80"/>
        <w:sz w:val="20"/>
        <w:szCs w:val="20"/>
      </w:rPr>
      <w:t>e</w:t>
    </w:r>
    <w:r w:rsidR="00FE0BAC">
      <w:rPr>
        <w:rFonts w:ascii="Times New Roman" w:hAnsi="Times New Roman"/>
        <w:color w:val="0F243E" w:themeColor="text2" w:themeShade="80"/>
        <w:sz w:val="20"/>
        <w:szCs w:val="20"/>
      </w:rPr>
      <w:t>ro</w:t>
    </w:r>
    <w:r w:rsidR="00385C0C">
      <w:rPr>
        <w:rFonts w:ascii="Times New Roman" w:hAnsi="Times New Roman"/>
        <w:color w:val="0F243E" w:themeColor="text2" w:themeShade="80"/>
        <w:sz w:val="20"/>
        <w:szCs w:val="20"/>
      </w:rPr>
      <w:t xml:space="preserve"> </w:t>
    </w:r>
    <w:r w:rsidR="00052EE7" w:rsidRPr="004920BA">
      <w:rPr>
        <w:rFonts w:ascii="Times New Roman" w:hAnsi="Times New Roman"/>
        <w:color w:val="0F243E" w:themeColor="text2" w:themeShade="80"/>
        <w:sz w:val="20"/>
        <w:szCs w:val="20"/>
      </w:rPr>
      <w:t>201</w:t>
    </w:r>
    <w:r w:rsidR="00FE0BAC">
      <w:rPr>
        <w:rFonts w:ascii="Times New Roman" w:hAnsi="Times New Roman"/>
        <w:color w:val="0F243E" w:themeColor="text2" w:themeShade="80"/>
        <w:sz w:val="20"/>
        <w:szCs w:val="20"/>
      </w:rPr>
      <w:t>6</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D6" w:rsidRPr="004920BA" w:rsidRDefault="00650B73" w:rsidP="004F33E6">
    <w:pPr>
      <w:pStyle w:val="Encabezado"/>
      <w:jc w:val="right"/>
      <w:rPr>
        <w:rFonts w:ascii="Times New Roman" w:hAnsi="Times New Roman"/>
        <w:b/>
        <w:color w:val="0F243E" w:themeColor="text2" w:themeShade="80"/>
      </w:rPr>
    </w:pPr>
    <w:r>
      <w:rPr>
        <w:noProof/>
        <w:lang w:eastAsia="es-GT"/>
      </w:rPr>
      <w:drawing>
        <wp:anchor distT="0" distB="0" distL="114300" distR="114300" simplePos="0" relativeHeight="251735040" behindDoc="1" locked="0" layoutInCell="1" allowOverlap="1" wp14:anchorId="1A9534CC" wp14:editId="69172CFE">
          <wp:simplePos x="0" y="0"/>
          <wp:positionH relativeFrom="column">
            <wp:posOffset>-1102415</wp:posOffset>
          </wp:positionH>
          <wp:positionV relativeFrom="paragraph">
            <wp:posOffset>-462335</wp:posOffset>
          </wp:positionV>
          <wp:extent cx="7796969" cy="139065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acpro:Desktop:Ministerio de Finanzas Públicas:Nuevas:Vice Ingresos:OFICIO:Análisis y Politica Fiscal_of-09.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88339"/>
                  <a:stretch/>
                </pic:blipFill>
                <pic:spPr bwMode="auto">
                  <a:xfrm>
                    <a:off x="0" y="0"/>
                    <a:ext cx="7796969"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DD6" w:rsidRPr="004920BA">
      <w:rPr>
        <w:rFonts w:ascii="Times New Roman" w:hAnsi="Times New Roman"/>
        <w:b/>
        <w:color w:val="0F243E" w:themeColor="text2" w:themeShade="80"/>
      </w:rPr>
      <w:t xml:space="preserve">                                               Informe de las Finanzas Públicas </w:t>
    </w:r>
  </w:p>
  <w:p w:rsidR="00D13827" w:rsidRPr="004A5200" w:rsidRDefault="004B2DD6" w:rsidP="004A5200">
    <w:pPr>
      <w:pStyle w:val="Encabezado"/>
      <w:jc w:val="right"/>
      <w:rPr>
        <w:rFonts w:ascii="Times New Roman" w:hAnsi="Times New Roman"/>
        <w:color w:val="0F243E" w:themeColor="text2" w:themeShade="80"/>
        <w:sz w:val="20"/>
        <w:szCs w:val="20"/>
      </w:rPr>
    </w:pPr>
    <w:r w:rsidRPr="004920BA">
      <w:rPr>
        <w:rFonts w:ascii="Times New Roman" w:hAnsi="Times New Roman"/>
        <w:b/>
        <w:color w:val="0F243E" w:themeColor="text2" w:themeShade="80"/>
      </w:rPr>
      <w:t xml:space="preserve"> </w:t>
    </w:r>
    <w:r w:rsidRPr="004920BA">
      <w:rPr>
        <w:rFonts w:ascii="Times New Roman" w:hAnsi="Times New Roman"/>
        <w:b/>
        <w:color w:val="0F243E" w:themeColor="text2" w:themeShade="80"/>
      </w:rPr>
      <w:tab/>
      <w:t xml:space="preserve">                                                            </w:t>
    </w:r>
    <w:r w:rsidR="002F68DC">
      <w:rPr>
        <w:rFonts w:ascii="Times New Roman" w:hAnsi="Times New Roman"/>
        <w:color w:val="0F243E" w:themeColor="text2" w:themeShade="80"/>
        <w:sz w:val="20"/>
        <w:szCs w:val="20"/>
      </w:rPr>
      <w:t>Enero</w:t>
    </w:r>
    <w:r w:rsidR="001967A7">
      <w:rPr>
        <w:rFonts w:ascii="Times New Roman" w:hAnsi="Times New Roman"/>
        <w:color w:val="0F243E" w:themeColor="text2" w:themeShade="80"/>
        <w:sz w:val="20"/>
        <w:szCs w:val="20"/>
      </w:rPr>
      <w:t xml:space="preserve"> </w:t>
    </w:r>
    <w:r w:rsidRPr="004920BA">
      <w:rPr>
        <w:rFonts w:ascii="Times New Roman" w:hAnsi="Times New Roman"/>
        <w:color w:val="0F243E" w:themeColor="text2" w:themeShade="80"/>
        <w:sz w:val="20"/>
        <w:szCs w:val="20"/>
      </w:rPr>
      <w:t>201</w:t>
    </w:r>
    <w:r w:rsidR="002F68DC">
      <w:rPr>
        <w:rFonts w:ascii="Times New Roman" w:hAnsi="Times New Roman"/>
        <w:color w:val="0F243E" w:themeColor="text2" w:themeShade="80"/>
        <w:sz w:val="20"/>
        <w:szCs w:val="20"/>
      </w:rPr>
      <w:t>6</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A0F" w:rsidRPr="004920BA" w:rsidRDefault="00650B73" w:rsidP="004F33E6">
    <w:pPr>
      <w:pStyle w:val="Encabezado"/>
      <w:jc w:val="right"/>
      <w:rPr>
        <w:rFonts w:ascii="Times New Roman" w:hAnsi="Times New Roman"/>
        <w:b/>
        <w:color w:val="0F243E" w:themeColor="text2" w:themeShade="80"/>
      </w:rPr>
    </w:pPr>
    <w:r>
      <w:rPr>
        <w:noProof/>
        <w:lang w:eastAsia="es-GT"/>
      </w:rPr>
      <w:drawing>
        <wp:anchor distT="0" distB="0" distL="114300" distR="114300" simplePos="0" relativeHeight="251658752" behindDoc="1" locked="0" layoutInCell="1" allowOverlap="1" wp14:anchorId="1AA93D74" wp14:editId="69A74B6D">
          <wp:simplePos x="0" y="0"/>
          <wp:positionH relativeFrom="column">
            <wp:posOffset>-1099047</wp:posOffset>
          </wp:positionH>
          <wp:positionV relativeFrom="paragraph">
            <wp:posOffset>-439088</wp:posOffset>
          </wp:positionV>
          <wp:extent cx="7796969" cy="139065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acpro:Desktop:Ministerio de Finanzas Públicas:Nuevas:Vice Ingresos:OFICIO:Análisis y Politica Fiscal_of-09.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88339"/>
                  <a:stretch/>
                </pic:blipFill>
                <pic:spPr bwMode="auto">
                  <a:xfrm>
                    <a:off x="0" y="0"/>
                    <a:ext cx="7796969"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A0F" w:rsidRPr="004920BA">
      <w:rPr>
        <w:rFonts w:ascii="Times New Roman" w:hAnsi="Times New Roman"/>
        <w:b/>
        <w:color w:val="0F243E" w:themeColor="text2" w:themeShade="80"/>
      </w:rPr>
      <w:t xml:space="preserve">                                               Informe de las Finanzas Públicas </w:t>
    </w:r>
  </w:p>
  <w:p w:rsidR="00780A0F" w:rsidRPr="004A5200" w:rsidRDefault="00780A0F" w:rsidP="004A5200">
    <w:pPr>
      <w:pStyle w:val="Encabezado"/>
      <w:jc w:val="right"/>
      <w:rPr>
        <w:rFonts w:ascii="Times New Roman" w:hAnsi="Times New Roman"/>
        <w:color w:val="0F243E" w:themeColor="text2" w:themeShade="80"/>
        <w:sz w:val="20"/>
        <w:szCs w:val="20"/>
      </w:rPr>
    </w:pPr>
    <w:r w:rsidRPr="004920BA">
      <w:rPr>
        <w:rFonts w:ascii="Times New Roman" w:hAnsi="Times New Roman"/>
        <w:b/>
        <w:color w:val="0F243E" w:themeColor="text2" w:themeShade="80"/>
      </w:rPr>
      <w:t xml:space="preserve"> </w:t>
    </w:r>
    <w:r w:rsidRPr="004920BA">
      <w:rPr>
        <w:rFonts w:ascii="Times New Roman" w:hAnsi="Times New Roman"/>
        <w:b/>
        <w:color w:val="0F243E" w:themeColor="text2" w:themeShade="80"/>
      </w:rPr>
      <w:tab/>
      <w:t xml:space="preserve">                                                            </w:t>
    </w:r>
    <w:r w:rsidR="008B5533">
      <w:rPr>
        <w:rFonts w:ascii="Times New Roman" w:hAnsi="Times New Roman"/>
        <w:color w:val="0F243E" w:themeColor="text2" w:themeShade="80"/>
        <w:sz w:val="20"/>
        <w:szCs w:val="20"/>
      </w:rPr>
      <w:t xml:space="preserve">Enero </w:t>
    </w:r>
    <w:r w:rsidRPr="004920BA">
      <w:rPr>
        <w:rFonts w:ascii="Times New Roman" w:hAnsi="Times New Roman"/>
        <w:color w:val="0F243E" w:themeColor="text2" w:themeShade="80"/>
        <w:sz w:val="20"/>
        <w:szCs w:val="20"/>
      </w:rPr>
      <w:t>201</w:t>
    </w:r>
    <w:r w:rsidR="008B5533">
      <w:rPr>
        <w:rFonts w:ascii="Times New Roman" w:hAnsi="Times New Roman"/>
        <w:color w:val="0F243E" w:themeColor="text2" w:themeShade="80"/>
        <w:sz w:val="20"/>
        <w:szCs w:val="20"/>
      </w:rPr>
      <w:t>6</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097" w:rsidRPr="004920BA" w:rsidRDefault="00DF2707" w:rsidP="004F33E6">
    <w:pPr>
      <w:pStyle w:val="Encabezado"/>
      <w:jc w:val="right"/>
      <w:rPr>
        <w:rFonts w:ascii="Times New Roman" w:hAnsi="Times New Roman"/>
        <w:b/>
        <w:color w:val="0F243E" w:themeColor="text2" w:themeShade="80"/>
      </w:rPr>
    </w:pPr>
    <w:r>
      <w:rPr>
        <w:noProof/>
        <w:lang w:eastAsia="es-GT"/>
      </w:rPr>
      <w:drawing>
        <wp:anchor distT="0" distB="0" distL="114300" distR="114300" simplePos="0" relativeHeight="251722752" behindDoc="0" locked="0" layoutInCell="1" allowOverlap="1" wp14:anchorId="4790775C" wp14:editId="0C3FDBCB">
          <wp:simplePos x="0" y="0"/>
          <wp:positionH relativeFrom="column">
            <wp:posOffset>-83185</wp:posOffset>
          </wp:positionH>
          <wp:positionV relativeFrom="paragraph">
            <wp:posOffset>-128270</wp:posOffset>
          </wp:positionV>
          <wp:extent cx="742950" cy="666115"/>
          <wp:effectExtent l="0" t="0" r="0" b="635"/>
          <wp:wrapSquare wrapText="bothSides"/>
          <wp:docPr id="16" name="Imagen 16" descr="C:\Users\edeleon.DC-DI01\AppData\Roaming\Microsoft\Firmas\Firma 2015\Firma800x95.jpg"/>
          <wp:cNvGraphicFramePr/>
          <a:graphic xmlns:a="http://schemas.openxmlformats.org/drawingml/2006/main">
            <a:graphicData uri="http://schemas.openxmlformats.org/drawingml/2006/picture">
              <pic:pic xmlns:pic="http://schemas.openxmlformats.org/drawingml/2006/picture">
                <pic:nvPicPr>
                  <pic:cNvPr id="1" name="Imagen 1" descr="C:\Users\edeleon.DC-DI01\AppData\Roaming\Microsoft\Firmas\Firma 2015\Firma800x95.jpg"/>
                  <pic:cNvPicPr/>
                </pic:nvPicPr>
                <pic:blipFill rotWithShape="1">
                  <a:blip r:link="rId1">
                    <a:extLst>
                      <a:ext uri="{28A0092B-C50C-407E-A947-70E740481C1C}">
                        <a14:useLocalDpi xmlns:a14="http://schemas.microsoft.com/office/drawing/2010/main" val="0"/>
                      </a:ext>
                    </a:extLst>
                  </a:blip>
                  <a:srcRect r="86759"/>
                  <a:stretch/>
                </pic:blipFill>
                <pic:spPr bwMode="auto">
                  <a:xfrm>
                    <a:off x="0" y="0"/>
                    <a:ext cx="742950" cy="66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097" w:rsidRPr="004920BA">
      <w:rPr>
        <w:rFonts w:ascii="Times New Roman" w:hAnsi="Times New Roman"/>
        <w:b/>
        <w:color w:val="0F243E" w:themeColor="text2" w:themeShade="80"/>
      </w:rPr>
      <w:t xml:space="preserve">                                               Informe de las Finanzas Públicas </w:t>
    </w:r>
  </w:p>
  <w:p w:rsidR="00734097" w:rsidRDefault="00734097" w:rsidP="004F33E6">
    <w:pPr>
      <w:pStyle w:val="Encabezado"/>
      <w:jc w:val="right"/>
      <w:rPr>
        <w:rFonts w:ascii="Times New Roman" w:hAnsi="Times New Roman"/>
        <w:color w:val="0F243E" w:themeColor="text2" w:themeShade="80"/>
        <w:sz w:val="20"/>
        <w:szCs w:val="20"/>
      </w:rPr>
    </w:pPr>
    <w:r w:rsidRPr="004920BA">
      <w:rPr>
        <w:noProof/>
        <w:color w:val="0F243E" w:themeColor="text2" w:themeShade="80"/>
        <w:lang w:eastAsia="es-GT"/>
      </w:rPr>
      <mc:AlternateContent>
        <mc:Choice Requires="wps">
          <w:drawing>
            <wp:anchor distT="4294967295" distB="4294967295" distL="114300" distR="114300" simplePos="0" relativeHeight="251688960" behindDoc="0" locked="0" layoutInCell="1" allowOverlap="1" wp14:anchorId="08DFA648" wp14:editId="06FAE017">
              <wp:simplePos x="0" y="0"/>
              <wp:positionH relativeFrom="column">
                <wp:posOffset>977265</wp:posOffset>
              </wp:positionH>
              <wp:positionV relativeFrom="paragraph">
                <wp:posOffset>142240</wp:posOffset>
              </wp:positionV>
              <wp:extent cx="5019675" cy="0"/>
              <wp:effectExtent l="0" t="0" r="9525" b="19050"/>
              <wp:wrapNone/>
              <wp:docPr id="29"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967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716FA28" id="6 Conector recto"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6.95pt,11.2pt" to="472.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" strokecolor="#4579b8">
              <o:lock v:ext="edit" shapetype="f"/>
            </v:line>
          </w:pict>
        </mc:Fallback>
      </mc:AlternateContent>
    </w:r>
    <w:r w:rsidRPr="004920BA">
      <w:rPr>
        <w:rFonts w:ascii="Times New Roman" w:hAnsi="Times New Roman"/>
        <w:b/>
        <w:color w:val="0F243E" w:themeColor="text2" w:themeShade="80"/>
      </w:rPr>
      <w:t xml:space="preserve"> </w:t>
    </w:r>
    <w:r w:rsidRPr="004920BA">
      <w:rPr>
        <w:rFonts w:ascii="Times New Roman" w:hAnsi="Times New Roman"/>
        <w:b/>
        <w:color w:val="0F243E" w:themeColor="text2" w:themeShade="80"/>
      </w:rPr>
      <w:tab/>
      <w:t xml:space="preserve">                                                            </w:t>
    </w:r>
    <w:r w:rsidR="00DF2707">
      <w:rPr>
        <w:rFonts w:ascii="Times New Roman" w:hAnsi="Times New Roman"/>
        <w:color w:val="0F243E" w:themeColor="text2" w:themeShade="80"/>
        <w:sz w:val="20"/>
        <w:szCs w:val="20"/>
      </w:rPr>
      <w:t>Enero</w:t>
    </w:r>
    <w:r>
      <w:rPr>
        <w:rFonts w:ascii="Times New Roman" w:hAnsi="Times New Roman"/>
        <w:color w:val="0F243E" w:themeColor="text2" w:themeShade="80"/>
        <w:sz w:val="20"/>
        <w:szCs w:val="20"/>
      </w:rPr>
      <w:t xml:space="preserve"> </w:t>
    </w:r>
    <w:r w:rsidRPr="004920BA">
      <w:rPr>
        <w:rFonts w:ascii="Times New Roman" w:hAnsi="Times New Roman"/>
        <w:color w:val="0F243E" w:themeColor="text2" w:themeShade="80"/>
        <w:sz w:val="20"/>
        <w:szCs w:val="20"/>
      </w:rPr>
      <w:t>201</w:t>
    </w:r>
    <w:r w:rsidR="00DF2707">
      <w:rPr>
        <w:rFonts w:ascii="Times New Roman" w:hAnsi="Times New Roman"/>
        <w:color w:val="0F243E" w:themeColor="text2" w:themeShade="80"/>
        <w:sz w:val="20"/>
        <w:szCs w:val="20"/>
      </w:rPr>
      <w:t>6</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D6" w:rsidRDefault="004B2DD6">
    <w:pPr>
      <w:pStyle w:val="Encabezado"/>
    </w:pPr>
  </w:p>
  <w:p w:rsidR="004B2DD6" w:rsidRDefault="004B2DD6"/>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2B8" w:rsidRPr="004920BA" w:rsidRDefault="00650B73" w:rsidP="009B52B8">
    <w:pPr>
      <w:pStyle w:val="Encabezado"/>
      <w:jc w:val="right"/>
      <w:rPr>
        <w:rFonts w:ascii="Times New Roman" w:hAnsi="Times New Roman"/>
        <w:b/>
        <w:color w:val="0F243E" w:themeColor="text2" w:themeShade="80"/>
      </w:rPr>
    </w:pPr>
    <w:r>
      <w:rPr>
        <w:noProof/>
        <w:lang w:eastAsia="es-GT"/>
      </w:rPr>
      <w:drawing>
        <wp:anchor distT="0" distB="0" distL="114300" distR="114300" simplePos="0" relativeHeight="251739136" behindDoc="1" locked="0" layoutInCell="1" allowOverlap="1" wp14:anchorId="5B114D1E" wp14:editId="41C867B1">
          <wp:simplePos x="0" y="0"/>
          <wp:positionH relativeFrom="column">
            <wp:posOffset>-1095237</wp:posOffset>
          </wp:positionH>
          <wp:positionV relativeFrom="paragraph">
            <wp:posOffset>-437570</wp:posOffset>
          </wp:positionV>
          <wp:extent cx="7796969" cy="139065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acpro:Desktop:Ministerio de Finanzas Públicas:Nuevas:Vice Ingresos:OFICIO:Análisis y Politica Fiscal_of-09.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88339"/>
                  <a:stretch/>
                </pic:blipFill>
                <pic:spPr bwMode="auto">
                  <a:xfrm>
                    <a:off x="0" y="0"/>
                    <a:ext cx="7796969"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2B8" w:rsidRPr="004920BA">
      <w:rPr>
        <w:b/>
        <w:color w:val="0F243E" w:themeColor="text2" w:themeShade="80"/>
      </w:rPr>
      <w:t xml:space="preserve">                 </w:t>
    </w:r>
    <w:r w:rsidR="009B52B8">
      <w:rPr>
        <w:b/>
        <w:color w:val="0F243E" w:themeColor="text2" w:themeShade="80"/>
      </w:rPr>
      <w:t xml:space="preserve">                              </w:t>
    </w:r>
    <w:r w:rsidR="009B52B8" w:rsidRPr="004920BA">
      <w:rPr>
        <w:rFonts w:ascii="Times New Roman" w:hAnsi="Times New Roman"/>
        <w:b/>
        <w:color w:val="0F243E" w:themeColor="text2" w:themeShade="80"/>
      </w:rPr>
      <w:t xml:space="preserve">Informe de las Finanzas Públicas </w:t>
    </w:r>
  </w:p>
  <w:p w:rsidR="00F6224F" w:rsidRDefault="009B52B8" w:rsidP="00F6224F">
    <w:pPr>
      <w:pStyle w:val="Encabezado"/>
      <w:jc w:val="right"/>
      <w:rPr>
        <w:rFonts w:ascii="Times New Roman" w:hAnsi="Times New Roman"/>
        <w:color w:val="0F243E" w:themeColor="text2" w:themeShade="80"/>
        <w:sz w:val="20"/>
        <w:szCs w:val="20"/>
      </w:rPr>
    </w:pPr>
    <w:r w:rsidRPr="004920BA">
      <w:rPr>
        <w:rFonts w:ascii="Times New Roman" w:hAnsi="Times New Roman"/>
        <w:b/>
        <w:color w:val="0F243E" w:themeColor="text2" w:themeShade="80"/>
      </w:rPr>
      <w:t xml:space="preserve"> </w:t>
    </w:r>
    <w:r w:rsidRPr="004920BA">
      <w:rPr>
        <w:rFonts w:ascii="Times New Roman" w:hAnsi="Times New Roman"/>
        <w:b/>
        <w:color w:val="0F243E" w:themeColor="text2" w:themeShade="80"/>
      </w:rPr>
      <w:tab/>
      <w:t xml:space="preserve">                                                            </w:t>
    </w:r>
    <w:r w:rsidR="00DF2707">
      <w:rPr>
        <w:rFonts w:ascii="Times New Roman" w:hAnsi="Times New Roman"/>
        <w:color w:val="0F243E" w:themeColor="text2" w:themeShade="80"/>
        <w:sz w:val="20"/>
        <w:szCs w:val="20"/>
      </w:rPr>
      <w:t>Enero</w:t>
    </w:r>
    <w:r w:rsidR="008762C2">
      <w:rPr>
        <w:rFonts w:ascii="Times New Roman" w:hAnsi="Times New Roman"/>
        <w:color w:val="0F243E" w:themeColor="text2" w:themeShade="80"/>
        <w:sz w:val="20"/>
        <w:szCs w:val="20"/>
      </w:rPr>
      <w:t xml:space="preserve"> </w:t>
    </w:r>
    <w:r w:rsidR="00F6224F">
      <w:rPr>
        <w:rFonts w:ascii="Times New Roman" w:hAnsi="Times New Roman"/>
        <w:color w:val="0F243E" w:themeColor="text2" w:themeShade="80"/>
        <w:sz w:val="20"/>
        <w:szCs w:val="20"/>
      </w:rPr>
      <w:t xml:space="preserve"> </w:t>
    </w:r>
    <w:r w:rsidR="00F6224F" w:rsidRPr="004920BA">
      <w:rPr>
        <w:rFonts w:ascii="Times New Roman" w:hAnsi="Times New Roman"/>
        <w:color w:val="0F243E" w:themeColor="text2" w:themeShade="80"/>
        <w:sz w:val="20"/>
        <w:szCs w:val="20"/>
      </w:rPr>
      <w:t>201</w:t>
    </w:r>
    <w:r w:rsidR="00DF2707">
      <w:rPr>
        <w:rFonts w:ascii="Times New Roman" w:hAnsi="Times New Roman"/>
        <w:color w:val="0F243E" w:themeColor="text2" w:themeShade="80"/>
        <w:sz w:val="20"/>
        <w:szCs w:val="20"/>
      </w:rPr>
      <w:t>6</w:t>
    </w:r>
  </w:p>
  <w:p w:rsidR="004B2DD6" w:rsidRPr="004A1025" w:rsidRDefault="004B2DD6" w:rsidP="00444213">
    <w:pPr>
      <w:pStyle w:val="Encabezado"/>
      <w:jc w:val="right"/>
      <w:rPr>
        <w:rFonts w:ascii="Times New Roman" w:hAnsi="Times New Roman"/>
        <w:color w:val="0F243E" w:themeColor="text2" w:themeShade="80"/>
        <w:sz w:val="20"/>
        <w:szCs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D6" w:rsidRDefault="004B2DD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668B"/>
    <w:multiLevelType w:val="hybridMultilevel"/>
    <w:tmpl w:val="6AB8A770"/>
    <w:lvl w:ilvl="0" w:tplc="100A0019">
      <w:start w:val="1"/>
      <w:numFmt w:val="lowerLetter"/>
      <w:lvlText w:val="%1."/>
      <w:lvlJc w:val="left"/>
      <w:pPr>
        <w:ind w:left="360" w:hanging="360"/>
      </w:pPr>
      <w:rPr>
        <w:rFonts w:hint="default"/>
      </w:rPr>
    </w:lvl>
    <w:lvl w:ilvl="1" w:tplc="100A000D">
      <w:start w:val="1"/>
      <w:numFmt w:val="bullet"/>
      <w:lvlText w:val=""/>
      <w:lvlJc w:val="left"/>
      <w:pPr>
        <w:ind w:left="1080" w:hanging="360"/>
      </w:pPr>
      <w:rPr>
        <w:rFonts w:ascii="Wingdings" w:hAnsi="Wingdings"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1" w15:restartNumberingAfterBreak="0">
    <w:nsid w:val="06592DB4"/>
    <w:multiLevelType w:val="hybridMultilevel"/>
    <w:tmpl w:val="7054AAAC"/>
    <w:lvl w:ilvl="0" w:tplc="100A0001">
      <w:start w:val="1"/>
      <w:numFmt w:val="bullet"/>
      <w:lvlText w:val=""/>
      <w:lvlJc w:val="left"/>
      <w:pPr>
        <w:ind w:left="360" w:hanging="360"/>
      </w:pPr>
      <w:rPr>
        <w:rFonts w:ascii="Symbol" w:hAnsi="Symbol"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0AFB7790"/>
    <w:multiLevelType w:val="hybridMultilevel"/>
    <w:tmpl w:val="49F478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B7B0D4A"/>
    <w:multiLevelType w:val="hybridMultilevel"/>
    <w:tmpl w:val="FE2ED948"/>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C0D7CD2"/>
    <w:multiLevelType w:val="hybridMultilevel"/>
    <w:tmpl w:val="0BFE6956"/>
    <w:lvl w:ilvl="0" w:tplc="4D12FE22">
      <w:start w:val="2013"/>
      <w:numFmt w:val="bullet"/>
      <w:lvlText w:val=""/>
      <w:lvlJc w:val="left"/>
      <w:pPr>
        <w:ind w:left="720" w:hanging="360"/>
      </w:pPr>
      <w:rPr>
        <w:rFonts w:ascii="Symbol" w:eastAsiaTheme="minorHAnsi"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17A33FB"/>
    <w:multiLevelType w:val="hybridMultilevel"/>
    <w:tmpl w:val="E036167E"/>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7F126D8"/>
    <w:multiLevelType w:val="hybridMultilevel"/>
    <w:tmpl w:val="BC5A826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1ADE6A16"/>
    <w:multiLevelType w:val="hybridMultilevel"/>
    <w:tmpl w:val="3ECA2A0C"/>
    <w:lvl w:ilvl="0" w:tplc="100A000F">
      <w:start w:val="1"/>
      <w:numFmt w:val="decimal"/>
      <w:lvlText w:val="%1."/>
      <w:lvlJc w:val="left"/>
      <w:pPr>
        <w:ind w:left="360" w:hanging="360"/>
      </w:pPr>
    </w:lvl>
    <w:lvl w:ilvl="1" w:tplc="100A0001">
      <w:start w:val="1"/>
      <w:numFmt w:val="bullet"/>
      <w:lvlText w:val=""/>
      <w:lvlJc w:val="left"/>
      <w:pPr>
        <w:ind w:left="1080" w:hanging="360"/>
      </w:pPr>
      <w:rPr>
        <w:rFonts w:ascii="Symbol" w:hAnsi="Symbol" w:hint="default"/>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1CD54EBA"/>
    <w:multiLevelType w:val="hybridMultilevel"/>
    <w:tmpl w:val="02CE1684"/>
    <w:lvl w:ilvl="0" w:tplc="100A0001">
      <w:start w:val="1"/>
      <w:numFmt w:val="bullet"/>
      <w:lvlText w:val=""/>
      <w:lvlJc w:val="left"/>
      <w:pPr>
        <w:ind w:left="1080" w:hanging="360"/>
      </w:pPr>
      <w:rPr>
        <w:rFonts w:ascii="Symbol" w:hAnsi="Symbol" w:hint="default"/>
        <w:sz w:val="22"/>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0" w15:restartNumberingAfterBreak="0">
    <w:nsid w:val="1D627E0D"/>
    <w:multiLevelType w:val="hybridMultilevel"/>
    <w:tmpl w:val="2AEE32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B227E5A"/>
    <w:multiLevelType w:val="hybridMultilevel"/>
    <w:tmpl w:val="1CA41C5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306D7AAA"/>
    <w:multiLevelType w:val="hybridMultilevel"/>
    <w:tmpl w:val="2578F0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34EB554F"/>
    <w:multiLevelType w:val="hybridMultilevel"/>
    <w:tmpl w:val="0F3E003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383C26A3"/>
    <w:multiLevelType w:val="hybridMultilevel"/>
    <w:tmpl w:val="714A85D2"/>
    <w:lvl w:ilvl="0" w:tplc="6AD27464">
      <w:start w:val="1"/>
      <w:numFmt w:val="decimal"/>
      <w:lvlText w:val="%1."/>
      <w:lvlJc w:val="left"/>
      <w:pPr>
        <w:ind w:left="720" w:hanging="360"/>
      </w:pPr>
      <w:rPr>
        <w:color w:val="auto"/>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5" w15:restartNumberingAfterBreak="0">
    <w:nsid w:val="4AFE3836"/>
    <w:multiLevelType w:val="hybridMultilevel"/>
    <w:tmpl w:val="7F0671BE"/>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6" w15:restartNumberingAfterBreak="0">
    <w:nsid w:val="4F1F1422"/>
    <w:multiLevelType w:val="hybridMultilevel"/>
    <w:tmpl w:val="ECB205F6"/>
    <w:lvl w:ilvl="0" w:tplc="100A000F">
      <w:start w:val="1"/>
      <w:numFmt w:val="decimal"/>
      <w:lvlText w:val="%1."/>
      <w:lvlJc w:val="left"/>
      <w:pPr>
        <w:ind w:left="360" w:hanging="360"/>
      </w:pPr>
    </w:lvl>
    <w:lvl w:ilvl="1" w:tplc="15DACC7C">
      <w:start w:val="1"/>
      <w:numFmt w:val="bullet"/>
      <w:lvlText w:val="-"/>
      <w:lvlJc w:val="left"/>
      <w:pPr>
        <w:ind w:left="1080" w:hanging="360"/>
      </w:pPr>
      <w:rPr>
        <w:rFonts w:ascii="Courier New" w:hAnsi="Courier New" w:cs="Times New Roman"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17" w15:restartNumberingAfterBreak="0">
    <w:nsid w:val="52F01983"/>
    <w:multiLevelType w:val="hybridMultilevel"/>
    <w:tmpl w:val="C5BEC19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570B08F8"/>
    <w:multiLevelType w:val="hybridMultilevel"/>
    <w:tmpl w:val="714A85D2"/>
    <w:lvl w:ilvl="0" w:tplc="6AD27464">
      <w:start w:val="1"/>
      <w:numFmt w:val="decimal"/>
      <w:lvlText w:val="%1."/>
      <w:lvlJc w:val="left"/>
      <w:pPr>
        <w:ind w:left="720" w:hanging="360"/>
      </w:pPr>
      <w:rPr>
        <w:color w:val="auto"/>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9" w15:restartNumberingAfterBreak="0">
    <w:nsid w:val="5B3378EA"/>
    <w:multiLevelType w:val="hybridMultilevel"/>
    <w:tmpl w:val="EA1029B4"/>
    <w:lvl w:ilvl="0" w:tplc="1174EC28">
      <w:start w:val="1"/>
      <w:numFmt w:val="decimal"/>
      <w:lvlText w:val="%1."/>
      <w:lvlJc w:val="left"/>
      <w:pPr>
        <w:ind w:left="1080" w:hanging="360"/>
      </w:pPr>
      <w:rPr>
        <w:rFonts w:hint="default"/>
        <w:sz w:val="22"/>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0" w15:restartNumberingAfterBreak="0">
    <w:nsid w:val="5B940A8B"/>
    <w:multiLevelType w:val="hybridMultilevel"/>
    <w:tmpl w:val="6C045D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6B0A1E70"/>
    <w:multiLevelType w:val="hybridMultilevel"/>
    <w:tmpl w:val="CF7EBD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71B27820"/>
    <w:multiLevelType w:val="hybridMultilevel"/>
    <w:tmpl w:val="7108C1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74C45B97"/>
    <w:multiLevelType w:val="hybridMultilevel"/>
    <w:tmpl w:val="07F6A57E"/>
    <w:lvl w:ilvl="0" w:tplc="BB92613E">
      <w:start w:val="1"/>
      <w:numFmt w:val="bullet"/>
      <w:lvlText w:val="-"/>
      <w:lvlJc w:val="left"/>
      <w:pPr>
        <w:ind w:left="360" w:hanging="360"/>
      </w:pPr>
      <w:rPr>
        <w:rFonts w:ascii="Courier New" w:hAnsi="Courier New"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15:restartNumberingAfterBreak="0">
    <w:nsid w:val="766D1754"/>
    <w:multiLevelType w:val="hybridMultilevel"/>
    <w:tmpl w:val="728AA336"/>
    <w:lvl w:ilvl="0" w:tplc="BB92613E">
      <w:start w:val="1"/>
      <w:numFmt w:val="bullet"/>
      <w:lvlText w:val="-"/>
      <w:lvlJc w:val="left"/>
      <w:pPr>
        <w:ind w:left="360" w:hanging="360"/>
      </w:pPr>
      <w:rPr>
        <w:rFonts w:ascii="Courier New" w:hAnsi="Courier New"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7B042D2F"/>
    <w:multiLevelType w:val="hybridMultilevel"/>
    <w:tmpl w:val="4482B69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 w15:restartNumberingAfterBreak="0">
    <w:nsid w:val="7D306B01"/>
    <w:multiLevelType w:val="hybridMultilevel"/>
    <w:tmpl w:val="9BE4F1AE"/>
    <w:lvl w:ilvl="0" w:tplc="071C361E">
      <w:start w:val="2013"/>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17"/>
  </w:num>
  <w:num w:numId="4">
    <w:abstractNumId w:val="4"/>
  </w:num>
  <w:num w:numId="5">
    <w:abstractNumId w:val="27"/>
  </w:num>
  <w:num w:numId="6">
    <w:abstractNumId w:val="11"/>
  </w:num>
  <w:num w:numId="7">
    <w:abstractNumId w:val="8"/>
  </w:num>
  <w:num w:numId="8">
    <w:abstractNumId w:val="7"/>
  </w:num>
  <w:num w:numId="9">
    <w:abstractNumId w:val="15"/>
  </w:num>
  <w:num w:numId="10">
    <w:abstractNumId w:val="10"/>
  </w:num>
  <w:num w:numId="11">
    <w:abstractNumId w:val="23"/>
  </w:num>
  <w:num w:numId="12">
    <w:abstractNumId w:val="22"/>
  </w:num>
  <w:num w:numId="13">
    <w:abstractNumId w:val="2"/>
  </w:num>
  <w:num w:numId="14">
    <w:abstractNumId w:val="24"/>
  </w:num>
  <w:num w:numId="15">
    <w:abstractNumId w:val="19"/>
  </w:num>
  <w:num w:numId="16">
    <w:abstractNumId w:val="6"/>
  </w:num>
  <w:num w:numId="17">
    <w:abstractNumId w:val="3"/>
  </w:num>
  <w:num w:numId="18">
    <w:abstractNumId w:val="9"/>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8"/>
  </w:num>
  <w:num w:numId="22">
    <w:abstractNumId w:val="20"/>
  </w:num>
  <w:num w:numId="23">
    <w:abstractNumId w:val="1"/>
  </w:num>
  <w:num w:numId="24">
    <w:abstractNumId w:val="12"/>
  </w:num>
  <w:num w:numId="25">
    <w:abstractNumId w:val="28"/>
  </w:num>
  <w:num w:numId="26">
    <w:abstractNumId w:val="25"/>
  </w:num>
  <w:num w:numId="27">
    <w:abstractNumId w:val="5"/>
  </w:num>
  <w:num w:numId="28">
    <w:abstractNumId w:val="16"/>
    <w:lvlOverride w:ilvl="0">
      <w:startOverride w:val="1"/>
    </w:lvlOverride>
    <w:lvlOverride w:ilvl="1"/>
    <w:lvlOverride w:ilvl="2"/>
    <w:lvlOverride w:ilvl="3"/>
    <w:lvlOverride w:ilvl="4"/>
    <w:lvlOverride w:ilvl="5"/>
    <w:lvlOverride w:ilvl="6"/>
    <w:lvlOverride w:ilvl="7"/>
    <w:lvlOverride w:ilvl="8"/>
  </w:num>
  <w:num w:numId="29">
    <w:abstractNumId w:val="16"/>
  </w:num>
  <w:num w:numId="30">
    <w:abstractNumId w:val="2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19D"/>
    <w:rsid w:val="0000279B"/>
    <w:rsid w:val="000037EF"/>
    <w:rsid w:val="00004A29"/>
    <w:rsid w:val="00004DC2"/>
    <w:rsid w:val="000102D0"/>
    <w:rsid w:val="00011009"/>
    <w:rsid w:val="000120B8"/>
    <w:rsid w:val="000146A5"/>
    <w:rsid w:val="0001479D"/>
    <w:rsid w:val="00014EF9"/>
    <w:rsid w:val="00017573"/>
    <w:rsid w:val="000202C4"/>
    <w:rsid w:val="00020A54"/>
    <w:rsid w:val="000218E4"/>
    <w:rsid w:val="00022090"/>
    <w:rsid w:val="00022C41"/>
    <w:rsid w:val="00023B9B"/>
    <w:rsid w:val="00025914"/>
    <w:rsid w:val="00025E27"/>
    <w:rsid w:val="00030F3B"/>
    <w:rsid w:val="00032ECB"/>
    <w:rsid w:val="00033317"/>
    <w:rsid w:val="000360E0"/>
    <w:rsid w:val="000428F3"/>
    <w:rsid w:val="00043185"/>
    <w:rsid w:val="000446C3"/>
    <w:rsid w:val="00044B8F"/>
    <w:rsid w:val="00051051"/>
    <w:rsid w:val="00052DB1"/>
    <w:rsid w:val="00052DBD"/>
    <w:rsid w:val="00052EE7"/>
    <w:rsid w:val="00055163"/>
    <w:rsid w:val="000615FB"/>
    <w:rsid w:val="0006199A"/>
    <w:rsid w:val="00061BAE"/>
    <w:rsid w:val="00062716"/>
    <w:rsid w:val="00062BB8"/>
    <w:rsid w:val="00064896"/>
    <w:rsid w:val="00064B05"/>
    <w:rsid w:val="000652DE"/>
    <w:rsid w:val="0006628E"/>
    <w:rsid w:val="00066D0C"/>
    <w:rsid w:val="00067C80"/>
    <w:rsid w:val="00067D3D"/>
    <w:rsid w:val="0007086E"/>
    <w:rsid w:val="000735AF"/>
    <w:rsid w:val="000741F0"/>
    <w:rsid w:val="00081520"/>
    <w:rsid w:val="00081E78"/>
    <w:rsid w:val="000830CB"/>
    <w:rsid w:val="00083BF1"/>
    <w:rsid w:val="00085DF8"/>
    <w:rsid w:val="00086944"/>
    <w:rsid w:val="00086B4B"/>
    <w:rsid w:val="00090C9C"/>
    <w:rsid w:val="000915C8"/>
    <w:rsid w:val="000915E4"/>
    <w:rsid w:val="00094984"/>
    <w:rsid w:val="00096480"/>
    <w:rsid w:val="00096FBD"/>
    <w:rsid w:val="0009796C"/>
    <w:rsid w:val="000A0883"/>
    <w:rsid w:val="000A388B"/>
    <w:rsid w:val="000A45A1"/>
    <w:rsid w:val="000A488B"/>
    <w:rsid w:val="000B3282"/>
    <w:rsid w:val="000B494E"/>
    <w:rsid w:val="000B6620"/>
    <w:rsid w:val="000B7EB3"/>
    <w:rsid w:val="000C0211"/>
    <w:rsid w:val="000C205B"/>
    <w:rsid w:val="000C45CB"/>
    <w:rsid w:val="000C45D9"/>
    <w:rsid w:val="000C5FBE"/>
    <w:rsid w:val="000C6E80"/>
    <w:rsid w:val="000D07E2"/>
    <w:rsid w:val="000D2949"/>
    <w:rsid w:val="000D3651"/>
    <w:rsid w:val="000D40DE"/>
    <w:rsid w:val="000D6132"/>
    <w:rsid w:val="000D7133"/>
    <w:rsid w:val="000E01A4"/>
    <w:rsid w:val="000E0508"/>
    <w:rsid w:val="000E258A"/>
    <w:rsid w:val="000E35C8"/>
    <w:rsid w:val="000E6714"/>
    <w:rsid w:val="000F05F1"/>
    <w:rsid w:val="000F0645"/>
    <w:rsid w:val="000F0976"/>
    <w:rsid w:val="000F0CEC"/>
    <w:rsid w:val="000F13E8"/>
    <w:rsid w:val="000F1AFB"/>
    <w:rsid w:val="000F2CC8"/>
    <w:rsid w:val="000F460A"/>
    <w:rsid w:val="000F49D2"/>
    <w:rsid w:val="000F4EE1"/>
    <w:rsid w:val="000F6631"/>
    <w:rsid w:val="000F6714"/>
    <w:rsid w:val="000F75D7"/>
    <w:rsid w:val="00100189"/>
    <w:rsid w:val="00101652"/>
    <w:rsid w:val="00104229"/>
    <w:rsid w:val="00104BCC"/>
    <w:rsid w:val="00104E71"/>
    <w:rsid w:val="00106B9F"/>
    <w:rsid w:val="00107767"/>
    <w:rsid w:val="00107C39"/>
    <w:rsid w:val="001106EC"/>
    <w:rsid w:val="0011279A"/>
    <w:rsid w:val="001130E0"/>
    <w:rsid w:val="00114616"/>
    <w:rsid w:val="00114776"/>
    <w:rsid w:val="00115D0D"/>
    <w:rsid w:val="001218CD"/>
    <w:rsid w:val="00121DB5"/>
    <w:rsid w:val="001224F9"/>
    <w:rsid w:val="0012331E"/>
    <w:rsid w:val="001261A9"/>
    <w:rsid w:val="001304C1"/>
    <w:rsid w:val="00132927"/>
    <w:rsid w:val="00132D19"/>
    <w:rsid w:val="00133899"/>
    <w:rsid w:val="0013412B"/>
    <w:rsid w:val="001351DD"/>
    <w:rsid w:val="00135A13"/>
    <w:rsid w:val="0013777B"/>
    <w:rsid w:val="00141CE0"/>
    <w:rsid w:val="00143FCD"/>
    <w:rsid w:val="00145B27"/>
    <w:rsid w:val="00147046"/>
    <w:rsid w:val="00150442"/>
    <w:rsid w:val="0015238F"/>
    <w:rsid w:val="00153937"/>
    <w:rsid w:val="001555CF"/>
    <w:rsid w:val="00155CF9"/>
    <w:rsid w:val="0015623C"/>
    <w:rsid w:val="00157581"/>
    <w:rsid w:val="00157E21"/>
    <w:rsid w:val="001635FC"/>
    <w:rsid w:val="00163822"/>
    <w:rsid w:val="00164007"/>
    <w:rsid w:val="00164613"/>
    <w:rsid w:val="00166761"/>
    <w:rsid w:val="001672D5"/>
    <w:rsid w:val="00170835"/>
    <w:rsid w:val="00174B50"/>
    <w:rsid w:val="00175142"/>
    <w:rsid w:val="00175925"/>
    <w:rsid w:val="0017625F"/>
    <w:rsid w:val="001767DB"/>
    <w:rsid w:val="00177CC8"/>
    <w:rsid w:val="001800B5"/>
    <w:rsid w:val="00180A63"/>
    <w:rsid w:val="00182206"/>
    <w:rsid w:val="00182BC7"/>
    <w:rsid w:val="001864CE"/>
    <w:rsid w:val="00186D70"/>
    <w:rsid w:val="0018768E"/>
    <w:rsid w:val="00190529"/>
    <w:rsid w:val="001906FF"/>
    <w:rsid w:val="00190784"/>
    <w:rsid w:val="00190A13"/>
    <w:rsid w:val="001924F3"/>
    <w:rsid w:val="00193707"/>
    <w:rsid w:val="001953B7"/>
    <w:rsid w:val="001967A7"/>
    <w:rsid w:val="00196AFB"/>
    <w:rsid w:val="00197BF1"/>
    <w:rsid w:val="001A2FBE"/>
    <w:rsid w:val="001B01B9"/>
    <w:rsid w:val="001B0ADD"/>
    <w:rsid w:val="001B2034"/>
    <w:rsid w:val="001B34D7"/>
    <w:rsid w:val="001B657B"/>
    <w:rsid w:val="001C18D9"/>
    <w:rsid w:val="001C220C"/>
    <w:rsid w:val="001C2708"/>
    <w:rsid w:val="001C3644"/>
    <w:rsid w:val="001C37C1"/>
    <w:rsid w:val="001C3BD6"/>
    <w:rsid w:val="001C596A"/>
    <w:rsid w:val="001C68B5"/>
    <w:rsid w:val="001C7C21"/>
    <w:rsid w:val="001D03A3"/>
    <w:rsid w:val="001D339A"/>
    <w:rsid w:val="001D3A1C"/>
    <w:rsid w:val="001D63C1"/>
    <w:rsid w:val="001D7E32"/>
    <w:rsid w:val="001E0B82"/>
    <w:rsid w:val="001E1091"/>
    <w:rsid w:val="001E236D"/>
    <w:rsid w:val="001E2662"/>
    <w:rsid w:val="001E28F7"/>
    <w:rsid w:val="001E4C8B"/>
    <w:rsid w:val="001E5C2B"/>
    <w:rsid w:val="001E5EB7"/>
    <w:rsid w:val="001E7116"/>
    <w:rsid w:val="001E7605"/>
    <w:rsid w:val="001F6B3A"/>
    <w:rsid w:val="001F734B"/>
    <w:rsid w:val="0020581F"/>
    <w:rsid w:val="00205BED"/>
    <w:rsid w:val="00207C28"/>
    <w:rsid w:val="00210C11"/>
    <w:rsid w:val="0021193D"/>
    <w:rsid w:val="00213772"/>
    <w:rsid w:val="00213F7F"/>
    <w:rsid w:val="002205DA"/>
    <w:rsid w:val="00221737"/>
    <w:rsid w:val="00222A73"/>
    <w:rsid w:val="002231A2"/>
    <w:rsid w:val="002237F4"/>
    <w:rsid w:val="00223941"/>
    <w:rsid w:val="00224637"/>
    <w:rsid w:val="00230859"/>
    <w:rsid w:val="00233052"/>
    <w:rsid w:val="00234D4F"/>
    <w:rsid w:val="0023606E"/>
    <w:rsid w:val="00242B4A"/>
    <w:rsid w:val="00244507"/>
    <w:rsid w:val="00246CBB"/>
    <w:rsid w:val="0025020C"/>
    <w:rsid w:val="00250FFF"/>
    <w:rsid w:val="00252BB9"/>
    <w:rsid w:val="00254173"/>
    <w:rsid w:val="00256CB7"/>
    <w:rsid w:val="0026027C"/>
    <w:rsid w:val="0026057C"/>
    <w:rsid w:val="00261690"/>
    <w:rsid w:val="00262849"/>
    <w:rsid w:val="002648CE"/>
    <w:rsid w:val="00265B78"/>
    <w:rsid w:val="00266309"/>
    <w:rsid w:val="00270F41"/>
    <w:rsid w:val="00274449"/>
    <w:rsid w:val="002765D6"/>
    <w:rsid w:val="00276765"/>
    <w:rsid w:val="00280FEF"/>
    <w:rsid w:val="00285083"/>
    <w:rsid w:val="002900A6"/>
    <w:rsid w:val="00290D97"/>
    <w:rsid w:val="002920CA"/>
    <w:rsid w:val="0029370F"/>
    <w:rsid w:val="00295A33"/>
    <w:rsid w:val="00297BC8"/>
    <w:rsid w:val="00297DDA"/>
    <w:rsid w:val="00297E65"/>
    <w:rsid w:val="002A0332"/>
    <w:rsid w:val="002A04DD"/>
    <w:rsid w:val="002A1B95"/>
    <w:rsid w:val="002A4294"/>
    <w:rsid w:val="002A518F"/>
    <w:rsid w:val="002A7890"/>
    <w:rsid w:val="002B2C11"/>
    <w:rsid w:val="002B6D89"/>
    <w:rsid w:val="002C0CF5"/>
    <w:rsid w:val="002C56BD"/>
    <w:rsid w:val="002D2D6B"/>
    <w:rsid w:val="002D396D"/>
    <w:rsid w:val="002D3C75"/>
    <w:rsid w:val="002D512C"/>
    <w:rsid w:val="002D56D4"/>
    <w:rsid w:val="002E0141"/>
    <w:rsid w:val="002E0E0F"/>
    <w:rsid w:val="002E256D"/>
    <w:rsid w:val="002E2627"/>
    <w:rsid w:val="002E2819"/>
    <w:rsid w:val="002E2846"/>
    <w:rsid w:val="002E35E1"/>
    <w:rsid w:val="002E39F1"/>
    <w:rsid w:val="002E3B8C"/>
    <w:rsid w:val="002E4033"/>
    <w:rsid w:val="002E5DD8"/>
    <w:rsid w:val="002E65BD"/>
    <w:rsid w:val="002E7046"/>
    <w:rsid w:val="002F0044"/>
    <w:rsid w:val="002F556A"/>
    <w:rsid w:val="002F5A60"/>
    <w:rsid w:val="002F68DC"/>
    <w:rsid w:val="00300207"/>
    <w:rsid w:val="0030095F"/>
    <w:rsid w:val="003019EB"/>
    <w:rsid w:val="00301FDF"/>
    <w:rsid w:val="003030A7"/>
    <w:rsid w:val="00304798"/>
    <w:rsid w:val="00304E9C"/>
    <w:rsid w:val="00304FFC"/>
    <w:rsid w:val="00306069"/>
    <w:rsid w:val="00307197"/>
    <w:rsid w:val="003079EC"/>
    <w:rsid w:val="00307BF2"/>
    <w:rsid w:val="003105D9"/>
    <w:rsid w:val="00310CAD"/>
    <w:rsid w:val="00312418"/>
    <w:rsid w:val="00312862"/>
    <w:rsid w:val="003131DA"/>
    <w:rsid w:val="00313C71"/>
    <w:rsid w:val="00313EBA"/>
    <w:rsid w:val="003140BC"/>
    <w:rsid w:val="00314DD4"/>
    <w:rsid w:val="00315983"/>
    <w:rsid w:val="00321222"/>
    <w:rsid w:val="00321919"/>
    <w:rsid w:val="00322042"/>
    <w:rsid w:val="0032228F"/>
    <w:rsid w:val="0032279A"/>
    <w:rsid w:val="0032442F"/>
    <w:rsid w:val="00324D8A"/>
    <w:rsid w:val="0032582D"/>
    <w:rsid w:val="00325E48"/>
    <w:rsid w:val="003319E4"/>
    <w:rsid w:val="00331AA7"/>
    <w:rsid w:val="00332AE5"/>
    <w:rsid w:val="00335649"/>
    <w:rsid w:val="00336958"/>
    <w:rsid w:val="00336B3D"/>
    <w:rsid w:val="00336C66"/>
    <w:rsid w:val="00336D40"/>
    <w:rsid w:val="003370C6"/>
    <w:rsid w:val="0033711E"/>
    <w:rsid w:val="00337156"/>
    <w:rsid w:val="003405DB"/>
    <w:rsid w:val="00340B24"/>
    <w:rsid w:val="00340DF7"/>
    <w:rsid w:val="00343A25"/>
    <w:rsid w:val="003442D7"/>
    <w:rsid w:val="003444DF"/>
    <w:rsid w:val="003459D6"/>
    <w:rsid w:val="00345E94"/>
    <w:rsid w:val="003461BF"/>
    <w:rsid w:val="00346DC4"/>
    <w:rsid w:val="00347AD0"/>
    <w:rsid w:val="00347D04"/>
    <w:rsid w:val="00351C4D"/>
    <w:rsid w:val="0035282A"/>
    <w:rsid w:val="0035404C"/>
    <w:rsid w:val="003540F5"/>
    <w:rsid w:val="003552A1"/>
    <w:rsid w:val="00356D2C"/>
    <w:rsid w:val="003576D2"/>
    <w:rsid w:val="00362779"/>
    <w:rsid w:val="00363CC7"/>
    <w:rsid w:val="00364D0C"/>
    <w:rsid w:val="00364F00"/>
    <w:rsid w:val="003671AA"/>
    <w:rsid w:val="00367319"/>
    <w:rsid w:val="0037079B"/>
    <w:rsid w:val="00374679"/>
    <w:rsid w:val="00385C0C"/>
    <w:rsid w:val="0038703A"/>
    <w:rsid w:val="00390A86"/>
    <w:rsid w:val="00392616"/>
    <w:rsid w:val="00393E38"/>
    <w:rsid w:val="003945DF"/>
    <w:rsid w:val="003A2318"/>
    <w:rsid w:val="003A3D0B"/>
    <w:rsid w:val="003A5D6A"/>
    <w:rsid w:val="003A601D"/>
    <w:rsid w:val="003A618F"/>
    <w:rsid w:val="003B2BB1"/>
    <w:rsid w:val="003B3A93"/>
    <w:rsid w:val="003B450E"/>
    <w:rsid w:val="003B4583"/>
    <w:rsid w:val="003B4E8D"/>
    <w:rsid w:val="003B5D90"/>
    <w:rsid w:val="003B7BE9"/>
    <w:rsid w:val="003C6336"/>
    <w:rsid w:val="003C635E"/>
    <w:rsid w:val="003D02EE"/>
    <w:rsid w:val="003D0A2F"/>
    <w:rsid w:val="003D16F0"/>
    <w:rsid w:val="003D2496"/>
    <w:rsid w:val="003D2958"/>
    <w:rsid w:val="003D3239"/>
    <w:rsid w:val="003D796A"/>
    <w:rsid w:val="003E03B1"/>
    <w:rsid w:val="003E100D"/>
    <w:rsid w:val="003E2099"/>
    <w:rsid w:val="003E4AE1"/>
    <w:rsid w:val="003E688B"/>
    <w:rsid w:val="003E6D42"/>
    <w:rsid w:val="003F0152"/>
    <w:rsid w:val="003F0BD0"/>
    <w:rsid w:val="003F1A34"/>
    <w:rsid w:val="003F3A77"/>
    <w:rsid w:val="003F5CC7"/>
    <w:rsid w:val="003F6806"/>
    <w:rsid w:val="004025F8"/>
    <w:rsid w:val="00402D20"/>
    <w:rsid w:val="00403C43"/>
    <w:rsid w:val="00404A7D"/>
    <w:rsid w:val="004056AF"/>
    <w:rsid w:val="00406291"/>
    <w:rsid w:val="00407AA3"/>
    <w:rsid w:val="00407F52"/>
    <w:rsid w:val="004115A7"/>
    <w:rsid w:val="00415A5D"/>
    <w:rsid w:val="00415FEB"/>
    <w:rsid w:val="00416D15"/>
    <w:rsid w:val="00420914"/>
    <w:rsid w:val="004211F9"/>
    <w:rsid w:val="004224A4"/>
    <w:rsid w:val="00422591"/>
    <w:rsid w:val="0042376B"/>
    <w:rsid w:val="00427CE0"/>
    <w:rsid w:val="00430E61"/>
    <w:rsid w:val="004316FA"/>
    <w:rsid w:val="00432456"/>
    <w:rsid w:val="00432CAA"/>
    <w:rsid w:val="00433974"/>
    <w:rsid w:val="00434261"/>
    <w:rsid w:val="004359E1"/>
    <w:rsid w:val="00436029"/>
    <w:rsid w:val="00436C67"/>
    <w:rsid w:val="00436F94"/>
    <w:rsid w:val="00440106"/>
    <w:rsid w:val="00440FE3"/>
    <w:rsid w:val="004427C8"/>
    <w:rsid w:val="00442AD8"/>
    <w:rsid w:val="00444213"/>
    <w:rsid w:val="00445FA0"/>
    <w:rsid w:val="0044606C"/>
    <w:rsid w:val="00447E34"/>
    <w:rsid w:val="00450227"/>
    <w:rsid w:val="004519CA"/>
    <w:rsid w:val="00454F98"/>
    <w:rsid w:val="004555CF"/>
    <w:rsid w:val="004557F7"/>
    <w:rsid w:val="00456F13"/>
    <w:rsid w:val="00461CB3"/>
    <w:rsid w:val="00463788"/>
    <w:rsid w:val="0046593C"/>
    <w:rsid w:val="004673CB"/>
    <w:rsid w:val="00467DF4"/>
    <w:rsid w:val="00470AD4"/>
    <w:rsid w:val="00471344"/>
    <w:rsid w:val="004714A3"/>
    <w:rsid w:val="00473D12"/>
    <w:rsid w:val="00477BB4"/>
    <w:rsid w:val="00480B7D"/>
    <w:rsid w:val="004836DB"/>
    <w:rsid w:val="00490CAA"/>
    <w:rsid w:val="004916BF"/>
    <w:rsid w:val="004932FC"/>
    <w:rsid w:val="00495743"/>
    <w:rsid w:val="00497A4C"/>
    <w:rsid w:val="004A1025"/>
    <w:rsid w:val="004A21C1"/>
    <w:rsid w:val="004A437D"/>
    <w:rsid w:val="004A5200"/>
    <w:rsid w:val="004A7194"/>
    <w:rsid w:val="004B26DE"/>
    <w:rsid w:val="004B2DD6"/>
    <w:rsid w:val="004B3439"/>
    <w:rsid w:val="004B3B4B"/>
    <w:rsid w:val="004B49C0"/>
    <w:rsid w:val="004B5C7B"/>
    <w:rsid w:val="004B67DD"/>
    <w:rsid w:val="004C164F"/>
    <w:rsid w:val="004C2927"/>
    <w:rsid w:val="004C3723"/>
    <w:rsid w:val="004C42C7"/>
    <w:rsid w:val="004C7C69"/>
    <w:rsid w:val="004D008D"/>
    <w:rsid w:val="004D1837"/>
    <w:rsid w:val="004D1925"/>
    <w:rsid w:val="004D1D66"/>
    <w:rsid w:val="004D1E5F"/>
    <w:rsid w:val="004D2DA1"/>
    <w:rsid w:val="004D391B"/>
    <w:rsid w:val="004D510B"/>
    <w:rsid w:val="004D5601"/>
    <w:rsid w:val="004D56B4"/>
    <w:rsid w:val="004D679A"/>
    <w:rsid w:val="004D6962"/>
    <w:rsid w:val="004D6D48"/>
    <w:rsid w:val="004E0E73"/>
    <w:rsid w:val="004E178E"/>
    <w:rsid w:val="004E298E"/>
    <w:rsid w:val="004E2A43"/>
    <w:rsid w:val="004E4357"/>
    <w:rsid w:val="004E4AB2"/>
    <w:rsid w:val="004E5632"/>
    <w:rsid w:val="004E7747"/>
    <w:rsid w:val="004F1BAA"/>
    <w:rsid w:val="004F33E6"/>
    <w:rsid w:val="004F408F"/>
    <w:rsid w:val="004F6CD7"/>
    <w:rsid w:val="004F77A2"/>
    <w:rsid w:val="00502FD1"/>
    <w:rsid w:val="00503509"/>
    <w:rsid w:val="005047E7"/>
    <w:rsid w:val="00506166"/>
    <w:rsid w:val="00506A83"/>
    <w:rsid w:val="00506D20"/>
    <w:rsid w:val="00510804"/>
    <w:rsid w:val="00511646"/>
    <w:rsid w:val="00517DFB"/>
    <w:rsid w:val="00524E28"/>
    <w:rsid w:val="00530288"/>
    <w:rsid w:val="0053070B"/>
    <w:rsid w:val="0053086F"/>
    <w:rsid w:val="00531564"/>
    <w:rsid w:val="00531F25"/>
    <w:rsid w:val="00532B8D"/>
    <w:rsid w:val="005348D5"/>
    <w:rsid w:val="00536E71"/>
    <w:rsid w:val="00540D2D"/>
    <w:rsid w:val="00541BA8"/>
    <w:rsid w:val="005448EC"/>
    <w:rsid w:val="00545F34"/>
    <w:rsid w:val="00547D82"/>
    <w:rsid w:val="00550F63"/>
    <w:rsid w:val="00552AE0"/>
    <w:rsid w:val="005535BC"/>
    <w:rsid w:val="00553601"/>
    <w:rsid w:val="00553900"/>
    <w:rsid w:val="00555101"/>
    <w:rsid w:val="00555326"/>
    <w:rsid w:val="00556C09"/>
    <w:rsid w:val="00561ED2"/>
    <w:rsid w:val="00562345"/>
    <w:rsid w:val="00563AE6"/>
    <w:rsid w:val="00566FC1"/>
    <w:rsid w:val="005673A7"/>
    <w:rsid w:val="005674F3"/>
    <w:rsid w:val="005709C4"/>
    <w:rsid w:val="005709F1"/>
    <w:rsid w:val="00570A24"/>
    <w:rsid w:val="005715C1"/>
    <w:rsid w:val="00582390"/>
    <w:rsid w:val="00582E23"/>
    <w:rsid w:val="0058582B"/>
    <w:rsid w:val="00585E3A"/>
    <w:rsid w:val="005866ED"/>
    <w:rsid w:val="0058760A"/>
    <w:rsid w:val="00590954"/>
    <w:rsid w:val="00591262"/>
    <w:rsid w:val="00593B7D"/>
    <w:rsid w:val="00596F8D"/>
    <w:rsid w:val="005A1C38"/>
    <w:rsid w:val="005A1F0A"/>
    <w:rsid w:val="005A21EB"/>
    <w:rsid w:val="005A4164"/>
    <w:rsid w:val="005A6D23"/>
    <w:rsid w:val="005A6D47"/>
    <w:rsid w:val="005B0481"/>
    <w:rsid w:val="005B0980"/>
    <w:rsid w:val="005B0ABD"/>
    <w:rsid w:val="005B49D0"/>
    <w:rsid w:val="005B70C8"/>
    <w:rsid w:val="005B78FE"/>
    <w:rsid w:val="005B7E2A"/>
    <w:rsid w:val="005C5D0D"/>
    <w:rsid w:val="005C7988"/>
    <w:rsid w:val="005D13A6"/>
    <w:rsid w:val="005D17DD"/>
    <w:rsid w:val="005D220A"/>
    <w:rsid w:val="005D6A2E"/>
    <w:rsid w:val="005E0EBE"/>
    <w:rsid w:val="005E1A9A"/>
    <w:rsid w:val="005E24B7"/>
    <w:rsid w:val="005E3B49"/>
    <w:rsid w:val="005E5023"/>
    <w:rsid w:val="005F0D50"/>
    <w:rsid w:val="005F0DC0"/>
    <w:rsid w:val="005F1D4B"/>
    <w:rsid w:val="005F3652"/>
    <w:rsid w:val="005F486C"/>
    <w:rsid w:val="005F615F"/>
    <w:rsid w:val="00600038"/>
    <w:rsid w:val="006013DD"/>
    <w:rsid w:val="00602DDD"/>
    <w:rsid w:val="006035F3"/>
    <w:rsid w:val="0060390C"/>
    <w:rsid w:val="00604709"/>
    <w:rsid w:val="0060580D"/>
    <w:rsid w:val="0060691A"/>
    <w:rsid w:val="0061060D"/>
    <w:rsid w:val="00611193"/>
    <w:rsid w:val="0061149F"/>
    <w:rsid w:val="0061268A"/>
    <w:rsid w:val="006127C4"/>
    <w:rsid w:val="00615E2A"/>
    <w:rsid w:val="00616AB0"/>
    <w:rsid w:val="0061797D"/>
    <w:rsid w:val="00617FEF"/>
    <w:rsid w:val="00621B84"/>
    <w:rsid w:val="00621C8A"/>
    <w:rsid w:val="0062206B"/>
    <w:rsid w:val="00622C9A"/>
    <w:rsid w:val="00624926"/>
    <w:rsid w:val="00624DB1"/>
    <w:rsid w:val="00625915"/>
    <w:rsid w:val="006270F5"/>
    <w:rsid w:val="00631BA2"/>
    <w:rsid w:val="006338A2"/>
    <w:rsid w:val="00635EF9"/>
    <w:rsid w:val="0063626B"/>
    <w:rsid w:val="00636CA1"/>
    <w:rsid w:val="006375A1"/>
    <w:rsid w:val="006431F0"/>
    <w:rsid w:val="006434D8"/>
    <w:rsid w:val="00644321"/>
    <w:rsid w:val="006447EF"/>
    <w:rsid w:val="00646A57"/>
    <w:rsid w:val="00647116"/>
    <w:rsid w:val="00647B24"/>
    <w:rsid w:val="00650200"/>
    <w:rsid w:val="00650B73"/>
    <w:rsid w:val="00651BD9"/>
    <w:rsid w:val="00652185"/>
    <w:rsid w:val="006529AF"/>
    <w:rsid w:val="00655658"/>
    <w:rsid w:val="00657C5C"/>
    <w:rsid w:val="00657F3A"/>
    <w:rsid w:val="00662125"/>
    <w:rsid w:val="00662C0E"/>
    <w:rsid w:val="006640DF"/>
    <w:rsid w:val="00665599"/>
    <w:rsid w:val="00665AB1"/>
    <w:rsid w:val="00667C0E"/>
    <w:rsid w:val="006700AA"/>
    <w:rsid w:val="00670857"/>
    <w:rsid w:val="0067234F"/>
    <w:rsid w:val="006728E4"/>
    <w:rsid w:val="00674E4A"/>
    <w:rsid w:val="00675739"/>
    <w:rsid w:val="006760F8"/>
    <w:rsid w:val="006778BF"/>
    <w:rsid w:val="00677EC7"/>
    <w:rsid w:val="0068048F"/>
    <w:rsid w:val="00686A6E"/>
    <w:rsid w:val="0069219D"/>
    <w:rsid w:val="0069472F"/>
    <w:rsid w:val="00694934"/>
    <w:rsid w:val="006A51AF"/>
    <w:rsid w:val="006A6DAC"/>
    <w:rsid w:val="006B195A"/>
    <w:rsid w:val="006B2D1F"/>
    <w:rsid w:val="006B2EC5"/>
    <w:rsid w:val="006B3BC8"/>
    <w:rsid w:val="006B4755"/>
    <w:rsid w:val="006B4B1E"/>
    <w:rsid w:val="006B54A8"/>
    <w:rsid w:val="006B7034"/>
    <w:rsid w:val="006C0D85"/>
    <w:rsid w:val="006C29D9"/>
    <w:rsid w:val="006C32F8"/>
    <w:rsid w:val="006C4E5C"/>
    <w:rsid w:val="006C7F9E"/>
    <w:rsid w:val="006D0D12"/>
    <w:rsid w:val="006D0DF1"/>
    <w:rsid w:val="006D0FF4"/>
    <w:rsid w:val="006D1164"/>
    <w:rsid w:val="006D702C"/>
    <w:rsid w:val="006D7AED"/>
    <w:rsid w:val="006D7DB2"/>
    <w:rsid w:val="006E1FA6"/>
    <w:rsid w:val="006E223E"/>
    <w:rsid w:val="006E3038"/>
    <w:rsid w:val="006E30AD"/>
    <w:rsid w:val="006E6120"/>
    <w:rsid w:val="006E7E46"/>
    <w:rsid w:val="006F1F3C"/>
    <w:rsid w:val="006F2296"/>
    <w:rsid w:val="006F2299"/>
    <w:rsid w:val="006F26E2"/>
    <w:rsid w:val="006F7629"/>
    <w:rsid w:val="007004B0"/>
    <w:rsid w:val="00700DA8"/>
    <w:rsid w:val="00701821"/>
    <w:rsid w:val="00701B17"/>
    <w:rsid w:val="00702185"/>
    <w:rsid w:val="007057D1"/>
    <w:rsid w:val="0070602D"/>
    <w:rsid w:val="0071021D"/>
    <w:rsid w:val="007118D5"/>
    <w:rsid w:val="007150D3"/>
    <w:rsid w:val="00716641"/>
    <w:rsid w:val="00716B30"/>
    <w:rsid w:val="00716E0D"/>
    <w:rsid w:val="00717C8A"/>
    <w:rsid w:val="007214A2"/>
    <w:rsid w:val="00721678"/>
    <w:rsid w:val="0072264D"/>
    <w:rsid w:val="00722FB7"/>
    <w:rsid w:val="00726446"/>
    <w:rsid w:val="00727A97"/>
    <w:rsid w:val="00734097"/>
    <w:rsid w:val="00734634"/>
    <w:rsid w:val="00735EB9"/>
    <w:rsid w:val="00735F1A"/>
    <w:rsid w:val="00736435"/>
    <w:rsid w:val="00736B2A"/>
    <w:rsid w:val="007378F6"/>
    <w:rsid w:val="00740239"/>
    <w:rsid w:val="00740E61"/>
    <w:rsid w:val="007417EE"/>
    <w:rsid w:val="007418E1"/>
    <w:rsid w:val="00741A68"/>
    <w:rsid w:val="00741F4D"/>
    <w:rsid w:val="00742D06"/>
    <w:rsid w:val="00742DE1"/>
    <w:rsid w:val="007443B5"/>
    <w:rsid w:val="00744BE8"/>
    <w:rsid w:val="00746D0F"/>
    <w:rsid w:val="00747124"/>
    <w:rsid w:val="00750612"/>
    <w:rsid w:val="007521DF"/>
    <w:rsid w:val="007552DE"/>
    <w:rsid w:val="00757037"/>
    <w:rsid w:val="00760DA7"/>
    <w:rsid w:val="00763BB6"/>
    <w:rsid w:val="00764713"/>
    <w:rsid w:val="00764CEC"/>
    <w:rsid w:val="007657FE"/>
    <w:rsid w:val="0076615E"/>
    <w:rsid w:val="0076629E"/>
    <w:rsid w:val="00767783"/>
    <w:rsid w:val="0077090E"/>
    <w:rsid w:val="0077556D"/>
    <w:rsid w:val="00775A30"/>
    <w:rsid w:val="00777D8B"/>
    <w:rsid w:val="00780A0F"/>
    <w:rsid w:val="00784370"/>
    <w:rsid w:val="00784DEA"/>
    <w:rsid w:val="007852B9"/>
    <w:rsid w:val="00787FA7"/>
    <w:rsid w:val="00790007"/>
    <w:rsid w:val="00790104"/>
    <w:rsid w:val="007901D4"/>
    <w:rsid w:val="007936FF"/>
    <w:rsid w:val="00793ED4"/>
    <w:rsid w:val="007977E2"/>
    <w:rsid w:val="00797A01"/>
    <w:rsid w:val="007A041E"/>
    <w:rsid w:val="007A1273"/>
    <w:rsid w:val="007A29B0"/>
    <w:rsid w:val="007A2B5C"/>
    <w:rsid w:val="007A62C7"/>
    <w:rsid w:val="007B224B"/>
    <w:rsid w:val="007B2B63"/>
    <w:rsid w:val="007B36E7"/>
    <w:rsid w:val="007B3D9C"/>
    <w:rsid w:val="007B54AB"/>
    <w:rsid w:val="007B743B"/>
    <w:rsid w:val="007C192C"/>
    <w:rsid w:val="007C2981"/>
    <w:rsid w:val="007C5BFA"/>
    <w:rsid w:val="007C5F73"/>
    <w:rsid w:val="007C7EA1"/>
    <w:rsid w:val="007D057D"/>
    <w:rsid w:val="007E017B"/>
    <w:rsid w:val="007E0642"/>
    <w:rsid w:val="007F29D0"/>
    <w:rsid w:val="007F30FF"/>
    <w:rsid w:val="007F7B47"/>
    <w:rsid w:val="00800730"/>
    <w:rsid w:val="0080098E"/>
    <w:rsid w:val="00800CFA"/>
    <w:rsid w:val="008025D8"/>
    <w:rsid w:val="008029E4"/>
    <w:rsid w:val="00803C6E"/>
    <w:rsid w:val="0080505B"/>
    <w:rsid w:val="0080534A"/>
    <w:rsid w:val="008057E8"/>
    <w:rsid w:val="008107FE"/>
    <w:rsid w:val="0081346B"/>
    <w:rsid w:val="0081447D"/>
    <w:rsid w:val="00815509"/>
    <w:rsid w:val="0081628F"/>
    <w:rsid w:val="008162FC"/>
    <w:rsid w:val="00817674"/>
    <w:rsid w:val="00822104"/>
    <w:rsid w:val="00822539"/>
    <w:rsid w:val="00823BCA"/>
    <w:rsid w:val="008243E2"/>
    <w:rsid w:val="00826AA6"/>
    <w:rsid w:val="00830E8B"/>
    <w:rsid w:val="0083359A"/>
    <w:rsid w:val="0083521C"/>
    <w:rsid w:val="0083602E"/>
    <w:rsid w:val="0083785F"/>
    <w:rsid w:val="008378D1"/>
    <w:rsid w:val="00842941"/>
    <w:rsid w:val="008463BF"/>
    <w:rsid w:val="00846488"/>
    <w:rsid w:val="00847F5F"/>
    <w:rsid w:val="00851CC8"/>
    <w:rsid w:val="00853346"/>
    <w:rsid w:val="00855EF4"/>
    <w:rsid w:val="008562B4"/>
    <w:rsid w:val="00861F4B"/>
    <w:rsid w:val="008629B0"/>
    <w:rsid w:val="00863C4D"/>
    <w:rsid w:val="008661DF"/>
    <w:rsid w:val="008662A9"/>
    <w:rsid w:val="008673E0"/>
    <w:rsid w:val="008743E4"/>
    <w:rsid w:val="00875248"/>
    <w:rsid w:val="008753AB"/>
    <w:rsid w:val="008762C2"/>
    <w:rsid w:val="0087766A"/>
    <w:rsid w:val="00877B11"/>
    <w:rsid w:val="008836D1"/>
    <w:rsid w:val="00883E20"/>
    <w:rsid w:val="00884635"/>
    <w:rsid w:val="008847AA"/>
    <w:rsid w:val="00884E5A"/>
    <w:rsid w:val="00885BAD"/>
    <w:rsid w:val="00886006"/>
    <w:rsid w:val="00886318"/>
    <w:rsid w:val="00887348"/>
    <w:rsid w:val="00887595"/>
    <w:rsid w:val="00892329"/>
    <w:rsid w:val="008963C3"/>
    <w:rsid w:val="00896DE7"/>
    <w:rsid w:val="008A0D14"/>
    <w:rsid w:val="008A3461"/>
    <w:rsid w:val="008A3D31"/>
    <w:rsid w:val="008A3EAA"/>
    <w:rsid w:val="008A42E3"/>
    <w:rsid w:val="008A45E8"/>
    <w:rsid w:val="008A75FD"/>
    <w:rsid w:val="008B06DB"/>
    <w:rsid w:val="008B0B37"/>
    <w:rsid w:val="008B1665"/>
    <w:rsid w:val="008B287D"/>
    <w:rsid w:val="008B37AD"/>
    <w:rsid w:val="008B4661"/>
    <w:rsid w:val="008B4CF6"/>
    <w:rsid w:val="008B5533"/>
    <w:rsid w:val="008B577B"/>
    <w:rsid w:val="008B611F"/>
    <w:rsid w:val="008B691C"/>
    <w:rsid w:val="008C313F"/>
    <w:rsid w:val="008C3BFC"/>
    <w:rsid w:val="008C6137"/>
    <w:rsid w:val="008D247A"/>
    <w:rsid w:val="008E2898"/>
    <w:rsid w:val="008E28B4"/>
    <w:rsid w:val="008E3D18"/>
    <w:rsid w:val="008E40D7"/>
    <w:rsid w:val="008E46A9"/>
    <w:rsid w:val="008E61A3"/>
    <w:rsid w:val="008E734C"/>
    <w:rsid w:val="008E73AF"/>
    <w:rsid w:val="008F0C53"/>
    <w:rsid w:val="008F2262"/>
    <w:rsid w:val="008F47E5"/>
    <w:rsid w:val="008F4B86"/>
    <w:rsid w:val="008F73B7"/>
    <w:rsid w:val="00901F8E"/>
    <w:rsid w:val="009020CE"/>
    <w:rsid w:val="00902F5B"/>
    <w:rsid w:val="00903F2C"/>
    <w:rsid w:val="00906BBB"/>
    <w:rsid w:val="0090797A"/>
    <w:rsid w:val="009104F5"/>
    <w:rsid w:val="00914654"/>
    <w:rsid w:val="0091469A"/>
    <w:rsid w:val="009151DD"/>
    <w:rsid w:val="00916313"/>
    <w:rsid w:val="00916A8E"/>
    <w:rsid w:val="00916C0C"/>
    <w:rsid w:val="0091783F"/>
    <w:rsid w:val="00920FAC"/>
    <w:rsid w:val="00921C18"/>
    <w:rsid w:val="009238B7"/>
    <w:rsid w:val="00926640"/>
    <w:rsid w:val="009267E9"/>
    <w:rsid w:val="00926F94"/>
    <w:rsid w:val="009326DC"/>
    <w:rsid w:val="00934636"/>
    <w:rsid w:val="00934D41"/>
    <w:rsid w:val="00934ECA"/>
    <w:rsid w:val="009364C8"/>
    <w:rsid w:val="00940A51"/>
    <w:rsid w:val="00943C98"/>
    <w:rsid w:val="00944E6F"/>
    <w:rsid w:val="00947ECC"/>
    <w:rsid w:val="00957AD9"/>
    <w:rsid w:val="00960694"/>
    <w:rsid w:val="009607E8"/>
    <w:rsid w:val="00961979"/>
    <w:rsid w:val="00962AC3"/>
    <w:rsid w:val="0096719D"/>
    <w:rsid w:val="00970CA5"/>
    <w:rsid w:val="009736C6"/>
    <w:rsid w:val="009738A1"/>
    <w:rsid w:val="009762C4"/>
    <w:rsid w:val="00976C36"/>
    <w:rsid w:val="00980AA6"/>
    <w:rsid w:val="009811FF"/>
    <w:rsid w:val="00982866"/>
    <w:rsid w:val="00983722"/>
    <w:rsid w:val="00984AE5"/>
    <w:rsid w:val="00985E23"/>
    <w:rsid w:val="00987E64"/>
    <w:rsid w:val="00990E6B"/>
    <w:rsid w:val="0099161E"/>
    <w:rsid w:val="009926B0"/>
    <w:rsid w:val="00995251"/>
    <w:rsid w:val="00997630"/>
    <w:rsid w:val="0099791D"/>
    <w:rsid w:val="009A1CCC"/>
    <w:rsid w:val="009A1D84"/>
    <w:rsid w:val="009A3425"/>
    <w:rsid w:val="009A4B60"/>
    <w:rsid w:val="009A5E0A"/>
    <w:rsid w:val="009A79C0"/>
    <w:rsid w:val="009B155E"/>
    <w:rsid w:val="009B1B86"/>
    <w:rsid w:val="009B2773"/>
    <w:rsid w:val="009B3CA9"/>
    <w:rsid w:val="009B51FB"/>
    <w:rsid w:val="009B52B8"/>
    <w:rsid w:val="009B70F5"/>
    <w:rsid w:val="009B73CB"/>
    <w:rsid w:val="009C3535"/>
    <w:rsid w:val="009C59C7"/>
    <w:rsid w:val="009C7BF6"/>
    <w:rsid w:val="009D05A1"/>
    <w:rsid w:val="009D070C"/>
    <w:rsid w:val="009D14D4"/>
    <w:rsid w:val="009D1A16"/>
    <w:rsid w:val="009D2C51"/>
    <w:rsid w:val="009D355D"/>
    <w:rsid w:val="009D366F"/>
    <w:rsid w:val="009D6C80"/>
    <w:rsid w:val="009E09C1"/>
    <w:rsid w:val="009E41F9"/>
    <w:rsid w:val="009E43DE"/>
    <w:rsid w:val="009E582D"/>
    <w:rsid w:val="009E76A6"/>
    <w:rsid w:val="009E7CF4"/>
    <w:rsid w:val="009F18C1"/>
    <w:rsid w:val="009F4130"/>
    <w:rsid w:val="009F636E"/>
    <w:rsid w:val="009F7E00"/>
    <w:rsid w:val="00A02A0B"/>
    <w:rsid w:val="00A02E65"/>
    <w:rsid w:val="00A03A90"/>
    <w:rsid w:val="00A03BC6"/>
    <w:rsid w:val="00A03CA5"/>
    <w:rsid w:val="00A03EF3"/>
    <w:rsid w:val="00A07566"/>
    <w:rsid w:val="00A1174D"/>
    <w:rsid w:val="00A126A4"/>
    <w:rsid w:val="00A13FF8"/>
    <w:rsid w:val="00A140B5"/>
    <w:rsid w:val="00A14729"/>
    <w:rsid w:val="00A1718F"/>
    <w:rsid w:val="00A17871"/>
    <w:rsid w:val="00A17A2D"/>
    <w:rsid w:val="00A17C10"/>
    <w:rsid w:val="00A21808"/>
    <w:rsid w:val="00A21D5E"/>
    <w:rsid w:val="00A2614E"/>
    <w:rsid w:val="00A267EB"/>
    <w:rsid w:val="00A26984"/>
    <w:rsid w:val="00A269D9"/>
    <w:rsid w:val="00A26F11"/>
    <w:rsid w:val="00A32F6E"/>
    <w:rsid w:val="00A34DC6"/>
    <w:rsid w:val="00A37724"/>
    <w:rsid w:val="00A37AA1"/>
    <w:rsid w:val="00A420EA"/>
    <w:rsid w:val="00A45145"/>
    <w:rsid w:val="00A45EB9"/>
    <w:rsid w:val="00A46956"/>
    <w:rsid w:val="00A47434"/>
    <w:rsid w:val="00A47FF3"/>
    <w:rsid w:val="00A50A88"/>
    <w:rsid w:val="00A51DB0"/>
    <w:rsid w:val="00A52031"/>
    <w:rsid w:val="00A54F86"/>
    <w:rsid w:val="00A5549C"/>
    <w:rsid w:val="00A563E5"/>
    <w:rsid w:val="00A6098E"/>
    <w:rsid w:val="00A6156E"/>
    <w:rsid w:val="00A61899"/>
    <w:rsid w:val="00A62CD5"/>
    <w:rsid w:val="00A646D6"/>
    <w:rsid w:val="00A64A6D"/>
    <w:rsid w:val="00A64E63"/>
    <w:rsid w:val="00A66833"/>
    <w:rsid w:val="00A67849"/>
    <w:rsid w:val="00A742D8"/>
    <w:rsid w:val="00A7436A"/>
    <w:rsid w:val="00A757E5"/>
    <w:rsid w:val="00A770AC"/>
    <w:rsid w:val="00A7715A"/>
    <w:rsid w:val="00A82E87"/>
    <w:rsid w:val="00A839BD"/>
    <w:rsid w:val="00A84698"/>
    <w:rsid w:val="00A85462"/>
    <w:rsid w:val="00A858F6"/>
    <w:rsid w:val="00A85B6D"/>
    <w:rsid w:val="00A91711"/>
    <w:rsid w:val="00A92B93"/>
    <w:rsid w:val="00A93959"/>
    <w:rsid w:val="00A93BDF"/>
    <w:rsid w:val="00A94DC5"/>
    <w:rsid w:val="00A961C6"/>
    <w:rsid w:val="00A96755"/>
    <w:rsid w:val="00A96D93"/>
    <w:rsid w:val="00A97DFB"/>
    <w:rsid w:val="00AA0AA8"/>
    <w:rsid w:val="00AA35A2"/>
    <w:rsid w:val="00AA50E3"/>
    <w:rsid w:val="00AB0994"/>
    <w:rsid w:val="00AB1DCC"/>
    <w:rsid w:val="00AB2BB4"/>
    <w:rsid w:val="00AB4206"/>
    <w:rsid w:val="00AB5E6E"/>
    <w:rsid w:val="00AB6766"/>
    <w:rsid w:val="00AB6A3F"/>
    <w:rsid w:val="00AB78F6"/>
    <w:rsid w:val="00AC10A1"/>
    <w:rsid w:val="00AC1CD0"/>
    <w:rsid w:val="00AC2FAB"/>
    <w:rsid w:val="00AC4E23"/>
    <w:rsid w:val="00AC4F76"/>
    <w:rsid w:val="00AD011C"/>
    <w:rsid w:val="00AD0C1C"/>
    <w:rsid w:val="00AE060E"/>
    <w:rsid w:val="00AE146B"/>
    <w:rsid w:val="00AE3079"/>
    <w:rsid w:val="00AE4993"/>
    <w:rsid w:val="00AE572F"/>
    <w:rsid w:val="00AE5FE1"/>
    <w:rsid w:val="00AF056E"/>
    <w:rsid w:val="00AF06EE"/>
    <w:rsid w:val="00AF1247"/>
    <w:rsid w:val="00AF4EBA"/>
    <w:rsid w:val="00AF75C2"/>
    <w:rsid w:val="00AF7C97"/>
    <w:rsid w:val="00B009F6"/>
    <w:rsid w:val="00B00D42"/>
    <w:rsid w:val="00B02351"/>
    <w:rsid w:val="00B027E9"/>
    <w:rsid w:val="00B03E8A"/>
    <w:rsid w:val="00B04188"/>
    <w:rsid w:val="00B041A8"/>
    <w:rsid w:val="00B11127"/>
    <w:rsid w:val="00B12F78"/>
    <w:rsid w:val="00B15D32"/>
    <w:rsid w:val="00B15D96"/>
    <w:rsid w:val="00B202CE"/>
    <w:rsid w:val="00B22209"/>
    <w:rsid w:val="00B22880"/>
    <w:rsid w:val="00B22D06"/>
    <w:rsid w:val="00B26334"/>
    <w:rsid w:val="00B266F6"/>
    <w:rsid w:val="00B27DB6"/>
    <w:rsid w:val="00B340D2"/>
    <w:rsid w:val="00B35730"/>
    <w:rsid w:val="00B35A88"/>
    <w:rsid w:val="00B4046F"/>
    <w:rsid w:val="00B41EBE"/>
    <w:rsid w:val="00B43F45"/>
    <w:rsid w:val="00B4449D"/>
    <w:rsid w:val="00B44A9B"/>
    <w:rsid w:val="00B512A6"/>
    <w:rsid w:val="00B51D69"/>
    <w:rsid w:val="00B5212A"/>
    <w:rsid w:val="00B521BB"/>
    <w:rsid w:val="00B53352"/>
    <w:rsid w:val="00B566D3"/>
    <w:rsid w:val="00B568DB"/>
    <w:rsid w:val="00B604F4"/>
    <w:rsid w:val="00B632EB"/>
    <w:rsid w:val="00B65111"/>
    <w:rsid w:val="00B65B81"/>
    <w:rsid w:val="00B66A20"/>
    <w:rsid w:val="00B675D0"/>
    <w:rsid w:val="00B7072A"/>
    <w:rsid w:val="00B71129"/>
    <w:rsid w:val="00B71FA6"/>
    <w:rsid w:val="00B729A5"/>
    <w:rsid w:val="00B73E4A"/>
    <w:rsid w:val="00B81B5B"/>
    <w:rsid w:val="00B81C48"/>
    <w:rsid w:val="00B826E6"/>
    <w:rsid w:val="00B82800"/>
    <w:rsid w:val="00B82C37"/>
    <w:rsid w:val="00B83C31"/>
    <w:rsid w:val="00B849B1"/>
    <w:rsid w:val="00B8674F"/>
    <w:rsid w:val="00B8728C"/>
    <w:rsid w:val="00B9025B"/>
    <w:rsid w:val="00B91C2D"/>
    <w:rsid w:val="00B9355A"/>
    <w:rsid w:val="00B937ED"/>
    <w:rsid w:val="00B93CDA"/>
    <w:rsid w:val="00B95AEC"/>
    <w:rsid w:val="00B964B1"/>
    <w:rsid w:val="00B9765C"/>
    <w:rsid w:val="00BA0CD9"/>
    <w:rsid w:val="00BA1004"/>
    <w:rsid w:val="00BA1135"/>
    <w:rsid w:val="00BA16C0"/>
    <w:rsid w:val="00BA253A"/>
    <w:rsid w:val="00BA2EA8"/>
    <w:rsid w:val="00BA329F"/>
    <w:rsid w:val="00BA3DF0"/>
    <w:rsid w:val="00BA3E49"/>
    <w:rsid w:val="00BA3FF2"/>
    <w:rsid w:val="00BA551C"/>
    <w:rsid w:val="00BA59AB"/>
    <w:rsid w:val="00BA69F7"/>
    <w:rsid w:val="00BA712C"/>
    <w:rsid w:val="00BA7342"/>
    <w:rsid w:val="00BA7CE7"/>
    <w:rsid w:val="00BB0073"/>
    <w:rsid w:val="00BB0C9B"/>
    <w:rsid w:val="00BB360D"/>
    <w:rsid w:val="00BC3B91"/>
    <w:rsid w:val="00BC4769"/>
    <w:rsid w:val="00BC4B72"/>
    <w:rsid w:val="00BC5F79"/>
    <w:rsid w:val="00BC6419"/>
    <w:rsid w:val="00BC66A3"/>
    <w:rsid w:val="00BD010A"/>
    <w:rsid w:val="00BD2AFE"/>
    <w:rsid w:val="00BD2C03"/>
    <w:rsid w:val="00BD415C"/>
    <w:rsid w:val="00BD4F1D"/>
    <w:rsid w:val="00BD5C52"/>
    <w:rsid w:val="00BD771B"/>
    <w:rsid w:val="00BE3BBF"/>
    <w:rsid w:val="00BE3C73"/>
    <w:rsid w:val="00BE3F04"/>
    <w:rsid w:val="00BE4933"/>
    <w:rsid w:val="00BE4B85"/>
    <w:rsid w:val="00BE4C41"/>
    <w:rsid w:val="00BE56F0"/>
    <w:rsid w:val="00BE64FE"/>
    <w:rsid w:val="00BE7AF5"/>
    <w:rsid w:val="00BF0705"/>
    <w:rsid w:val="00BF3AF8"/>
    <w:rsid w:val="00BF5E5F"/>
    <w:rsid w:val="00BF6C0F"/>
    <w:rsid w:val="00BF7D1A"/>
    <w:rsid w:val="00C00F4E"/>
    <w:rsid w:val="00C02EEC"/>
    <w:rsid w:val="00C045C6"/>
    <w:rsid w:val="00C06D16"/>
    <w:rsid w:val="00C071AD"/>
    <w:rsid w:val="00C0787C"/>
    <w:rsid w:val="00C1022E"/>
    <w:rsid w:val="00C11218"/>
    <w:rsid w:val="00C1127D"/>
    <w:rsid w:val="00C15939"/>
    <w:rsid w:val="00C16C89"/>
    <w:rsid w:val="00C2155B"/>
    <w:rsid w:val="00C220A8"/>
    <w:rsid w:val="00C22706"/>
    <w:rsid w:val="00C22A47"/>
    <w:rsid w:val="00C24927"/>
    <w:rsid w:val="00C25D94"/>
    <w:rsid w:val="00C260B4"/>
    <w:rsid w:val="00C27347"/>
    <w:rsid w:val="00C2795C"/>
    <w:rsid w:val="00C30A2A"/>
    <w:rsid w:val="00C313B0"/>
    <w:rsid w:val="00C35E71"/>
    <w:rsid w:val="00C37DE6"/>
    <w:rsid w:val="00C410C8"/>
    <w:rsid w:val="00C414AB"/>
    <w:rsid w:val="00C435DE"/>
    <w:rsid w:val="00C44BAD"/>
    <w:rsid w:val="00C470C8"/>
    <w:rsid w:val="00C473B1"/>
    <w:rsid w:val="00C51D74"/>
    <w:rsid w:val="00C52500"/>
    <w:rsid w:val="00C57357"/>
    <w:rsid w:val="00C575A9"/>
    <w:rsid w:val="00C60B70"/>
    <w:rsid w:val="00C621D5"/>
    <w:rsid w:val="00C63EC7"/>
    <w:rsid w:val="00C640B8"/>
    <w:rsid w:val="00C6548A"/>
    <w:rsid w:val="00C6764A"/>
    <w:rsid w:val="00C70DC6"/>
    <w:rsid w:val="00C72FE8"/>
    <w:rsid w:val="00C74559"/>
    <w:rsid w:val="00C74A5D"/>
    <w:rsid w:val="00C758CD"/>
    <w:rsid w:val="00C77295"/>
    <w:rsid w:val="00C821EB"/>
    <w:rsid w:val="00C8223F"/>
    <w:rsid w:val="00C8298B"/>
    <w:rsid w:val="00C87857"/>
    <w:rsid w:val="00C87C65"/>
    <w:rsid w:val="00C9041E"/>
    <w:rsid w:val="00C9060C"/>
    <w:rsid w:val="00C91DB4"/>
    <w:rsid w:val="00C931AE"/>
    <w:rsid w:val="00C94B24"/>
    <w:rsid w:val="00C96F67"/>
    <w:rsid w:val="00C9705F"/>
    <w:rsid w:val="00CA16EB"/>
    <w:rsid w:val="00CA1B97"/>
    <w:rsid w:val="00CA1D13"/>
    <w:rsid w:val="00CA29C0"/>
    <w:rsid w:val="00CA32F2"/>
    <w:rsid w:val="00CA4413"/>
    <w:rsid w:val="00CA6BC3"/>
    <w:rsid w:val="00CA7FBA"/>
    <w:rsid w:val="00CB21E9"/>
    <w:rsid w:val="00CB3B7C"/>
    <w:rsid w:val="00CB3DF3"/>
    <w:rsid w:val="00CB513E"/>
    <w:rsid w:val="00CB5240"/>
    <w:rsid w:val="00CB581A"/>
    <w:rsid w:val="00CB7F6F"/>
    <w:rsid w:val="00CC22ED"/>
    <w:rsid w:val="00CC330D"/>
    <w:rsid w:val="00CC40D2"/>
    <w:rsid w:val="00CC4421"/>
    <w:rsid w:val="00CC671B"/>
    <w:rsid w:val="00CC69C1"/>
    <w:rsid w:val="00CD08C9"/>
    <w:rsid w:val="00CD09E9"/>
    <w:rsid w:val="00CD19A7"/>
    <w:rsid w:val="00CD2A75"/>
    <w:rsid w:val="00CD387F"/>
    <w:rsid w:val="00CD3D9D"/>
    <w:rsid w:val="00CD4BA5"/>
    <w:rsid w:val="00CD67CD"/>
    <w:rsid w:val="00CE33AC"/>
    <w:rsid w:val="00CE65F2"/>
    <w:rsid w:val="00CF2AFC"/>
    <w:rsid w:val="00CF466E"/>
    <w:rsid w:val="00CF6817"/>
    <w:rsid w:val="00CF7D65"/>
    <w:rsid w:val="00D01BC7"/>
    <w:rsid w:val="00D10D3E"/>
    <w:rsid w:val="00D111D3"/>
    <w:rsid w:val="00D12209"/>
    <w:rsid w:val="00D13827"/>
    <w:rsid w:val="00D163B0"/>
    <w:rsid w:val="00D17AD7"/>
    <w:rsid w:val="00D2035D"/>
    <w:rsid w:val="00D21E1E"/>
    <w:rsid w:val="00D22FD7"/>
    <w:rsid w:val="00D24646"/>
    <w:rsid w:val="00D2537A"/>
    <w:rsid w:val="00D259D0"/>
    <w:rsid w:val="00D2685F"/>
    <w:rsid w:val="00D27289"/>
    <w:rsid w:val="00D31D2F"/>
    <w:rsid w:val="00D32286"/>
    <w:rsid w:val="00D34468"/>
    <w:rsid w:val="00D35DB1"/>
    <w:rsid w:val="00D368FF"/>
    <w:rsid w:val="00D37887"/>
    <w:rsid w:val="00D408BB"/>
    <w:rsid w:val="00D42788"/>
    <w:rsid w:val="00D43F57"/>
    <w:rsid w:val="00D440C2"/>
    <w:rsid w:val="00D46EE9"/>
    <w:rsid w:val="00D51B9A"/>
    <w:rsid w:val="00D51F65"/>
    <w:rsid w:val="00D52AE2"/>
    <w:rsid w:val="00D5379A"/>
    <w:rsid w:val="00D549B7"/>
    <w:rsid w:val="00D5645A"/>
    <w:rsid w:val="00D5686A"/>
    <w:rsid w:val="00D57A9B"/>
    <w:rsid w:val="00D60DCF"/>
    <w:rsid w:val="00D60FC8"/>
    <w:rsid w:val="00D62446"/>
    <w:rsid w:val="00D628B2"/>
    <w:rsid w:val="00D62AAA"/>
    <w:rsid w:val="00D64CA5"/>
    <w:rsid w:val="00D659FA"/>
    <w:rsid w:val="00D701DF"/>
    <w:rsid w:val="00D72A1C"/>
    <w:rsid w:val="00D74F8E"/>
    <w:rsid w:val="00D753A7"/>
    <w:rsid w:val="00D754D3"/>
    <w:rsid w:val="00D75D3E"/>
    <w:rsid w:val="00D767E9"/>
    <w:rsid w:val="00D81C77"/>
    <w:rsid w:val="00D8200F"/>
    <w:rsid w:val="00D8208E"/>
    <w:rsid w:val="00D841AA"/>
    <w:rsid w:val="00D846CF"/>
    <w:rsid w:val="00D84890"/>
    <w:rsid w:val="00D85E8E"/>
    <w:rsid w:val="00D87917"/>
    <w:rsid w:val="00D90C85"/>
    <w:rsid w:val="00D92D27"/>
    <w:rsid w:val="00D93050"/>
    <w:rsid w:val="00D9371B"/>
    <w:rsid w:val="00D93949"/>
    <w:rsid w:val="00D95551"/>
    <w:rsid w:val="00D95A72"/>
    <w:rsid w:val="00D962B0"/>
    <w:rsid w:val="00D97912"/>
    <w:rsid w:val="00D97DF8"/>
    <w:rsid w:val="00DA0020"/>
    <w:rsid w:val="00DA04A9"/>
    <w:rsid w:val="00DA1B07"/>
    <w:rsid w:val="00DA2FC0"/>
    <w:rsid w:val="00DA4EAF"/>
    <w:rsid w:val="00DA6CFE"/>
    <w:rsid w:val="00DB106C"/>
    <w:rsid w:val="00DB2700"/>
    <w:rsid w:val="00DB3147"/>
    <w:rsid w:val="00DB41FC"/>
    <w:rsid w:val="00DB5B5F"/>
    <w:rsid w:val="00DB5E5A"/>
    <w:rsid w:val="00DB69B6"/>
    <w:rsid w:val="00DB7163"/>
    <w:rsid w:val="00DC0B8A"/>
    <w:rsid w:val="00DC14E7"/>
    <w:rsid w:val="00DC3753"/>
    <w:rsid w:val="00DC5C44"/>
    <w:rsid w:val="00DC6052"/>
    <w:rsid w:val="00DD176F"/>
    <w:rsid w:val="00DD2869"/>
    <w:rsid w:val="00DD2A76"/>
    <w:rsid w:val="00DD2F1E"/>
    <w:rsid w:val="00DD34C6"/>
    <w:rsid w:val="00DD3972"/>
    <w:rsid w:val="00DD47F8"/>
    <w:rsid w:val="00DD50E1"/>
    <w:rsid w:val="00DD74E7"/>
    <w:rsid w:val="00DE0678"/>
    <w:rsid w:val="00DE4B18"/>
    <w:rsid w:val="00DE7BC7"/>
    <w:rsid w:val="00DF006D"/>
    <w:rsid w:val="00DF2707"/>
    <w:rsid w:val="00DF2E48"/>
    <w:rsid w:val="00DF3F83"/>
    <w:rsid w:val="00E02C79"/>
    <w:rsid w:val="00E031EB"/>
    <w:rsid w:val="00E10727"/>
    <w:rsid w:val="00E124C2"/>
    <w:rsid w:val="00E124CF"/>
    <w:rsid w:val="00E12CF9"/>
    <w:rsid w:val="00E1619B"/>
    <w:rsid w:val="00E16CD1"/>
    <w:rsid w:val="00E176C3"/>
    <w:rsid w:val="00E23C8B"/>
    <w:rsid w:val="00E25654"/>
    <w:rsid w:val="00E25C89"/>
    <w:rsid w:val="00E2792F"/>
    <w:rsid w:val="00E317F7"/>
    <w:rsid w:val="00E33EE6"/>
    <w:rsid w:val="00E35995"/>
    <w:rsid w:val="00E35B0A"/>
    <w:rsid w:val="00E35D8E"/>
    <w:rsid w:val="00E3720E"/>
    <w:rsid w:val="00E37B82"/>
    <w:rsid w:val="00E40CB4"/>
    <w:rsid w:val="00E449A5"/>
    <w:rsid w:val="00E45620"/>
    <w:rsid w:val="00E463F8"/>
    <w:rsid w:val="00E4688C"/>
    <w:rsid w:val="00E46ABF"/>
    <w:rsid w:val="00E47D28"/>
    <w:rsid w:val="00E47D79"/>
    <w:rsid w:val="00E501CA"/>
    <w:rsid w:val="00E5198D"/>
    <w:rsid w:val="00E54B79"/>
    <w:rsid w:val="00E550F5"/>
    <w:rsid w:val="00E57636"/>
    <w:rsid w:val="00E600FB"/>
    <w:rsid w:val="00E61CD5"/>
    <w:rsid w:val="00E636C5"/>
    <w:rsid w:val="00E6539C"/>
    <w:rsid w:val="00E66CA8"/>
    <w:rsid w:val="00E67150"/>
    <w:rsid w:val="00E7004B"/>
    <w:rsid w:val="00E70618"/>
    <w:rsid w:val="00E71AD2"/>
    <w:rsid w:val="00E73470"/>
    <w:rsid w:val="00E73FCF"/>
    <w:rsid w:val="00E81E7F"/>
    <w:rsid w:val="00E81F01"/>
    <w:rsid w:val="00E82538"/>
    <w:rsid w:val="00E831CA"/>
    <w:rsid w:val="00E85033"/>
    <w:rsid w:val="00E854C6"/>
    <w:rsid w:val="00E85926"/>
    <w:rsid w:val="00E864AE"/>
    <w:rsid w:val="00E87978"/>
    <w:rsid w:val="00E9006E"/>
    <w:rsid w:val="00E93933"/>
    <w:rsid w:val="00E94479"/>
    <w:rsid w:val="00E96D95"/>
    <w:rsid w:val="00E9792C"/>
    <w:rsid w:val="00EA08D2"/>
    <w:rsid w:val="00EA129B"/>
    <w:rsid w:val="00EA3055"/>
    <w:rsid w:val="00EA6187"/>
    <w:rsid w:val="00EA6E87"/>
    <w:rsid w:val="00EB0332"/>
    <w:rsid w:val="00EB0FB6"/>
    <w:rsid w:val="00EB182C"/>
    <w:rsid w:val="00EB2D13"/>
    <w:rsid w:val="00EB4344"/>
    <w:rsid w:val="00EB766D"/>
    <w:rsid w:val="00EC5A5E"/>
    <w:rsid w:val="00EC7647"/>
    <w:rsid w:val="00EC7A4F"/>
    <w:rsid w:val="00ED2201"/>
    <w:rsid w:val="00ED3E07"/>
    <w:rsid w:val="00ED46F8"/>
    <w:rsid w:val="00ED47B8"/>
    <w:rsid w:val="00ED4904"/>
    <w:rsid w:val="00ED6115"/>
    <w:rsid w:val="00EE237D"/>
    <w:rsid w:val="00EE38BF"/>
    <w:rsid w:val="00EE4CD4"/>
    <w:rsid w:val="00EE524F"/>
    <w:rsid w:val="00EE675A"/>
    <w:rsid w:val="00EF09B1"/>
    <w:rsid w:val="00EF0C52"/>
    <w:rsid w:val="00EF1445"/>
    <w:rsid w:val="00EF21C8"/>
    <w:rsid w:val="00EF28F1"/>
    <w:rsid w:val="00EF2C1A"/>
    <w:rsid w:val="00EF585C"/>
    <w:rsid w:val="00EF6487"/>
    <w:rsid w:val="00EF7D07"/>
    <w:rsid w:val="00F035E4"/>
    <w:rsid w:val="00F049DD"/>
    <w:rsid w:val="00F04C63"/>
    <w:rsid w:val="00F05535"/>
    <w:rsid w:val="00F13E1A"/>
    <w:rsid w:val="00F153F2"/>
    <w:rsid w:val="00F1792B"/>
    <w:rsid w:val="00F17C21"/>
    <w:rsid w:val="00F2077C"/>
    <w:rsid w:val="00F21FB8"/>
    <w:rsid w:val="00F2463E"/>
    <w:rsid w:val="00F251AB"/>
    <w:rsid w:val="00F306A4"/>
    <w:rsid w:val="00F32F7A"/>
    <w:rsid w:val="00F334C1"/>
    <w:rsid w:val="00F33960"/>
    <w:rsid w:val="00F35807"/>
    <w:rsid w:val="00F40C28"/>
    <w:rsid w:val="00F40E86"/>
    <w:rsid w:val="00F425BB"/>
    <w:rsid w:val="00F42939"/>
    <w:rsid w:val="00F440A7"/>
    <w:rsid w:val="00F47547"/>
    <w:rsid w:val="00F54283"/>
    <w:rsid w:val="00F56512"/>
    <w:rsid w:val="00F57E9B"/>
    <w:rsid w:val="00F6224F"/>
    <w:rsid w:val="00F62743"/>
    <w:rsid w:val="00F6585D"/>
    <w:rsid w:val="00F669F0"/>
    <w:rsid w:val="00F70069"/>
    <w:rsid w:val="00F72240"/>
    <w:rsid w:val="00F77C41"/>
    <w:rsid w:val="00F77F92"/>
    <w:rsid w:val="00F824E1"/>
    <w:rsid w:val="00F82626"/>
    <w:rsid w:val="00F82ED4"/>
    <w:rsid w:val="00F834E9"/>
    <w:rsid w:val="00F83B9D"/>
    <w:rsid w:val="00F86A9E"/>
    <w:rsid w:val="00F90F6F"/>
    <w:rsid w:val="00F92177"/>
    <w:rsid w:val="00F92D46"/>
    <w:rsid w:val="00F955F4"/>
    <w:rsid w:val="00F95FDF"/>
    <w:rsid w:val="00FA150E"/>
    <w:rsid w:val="00FA483C"/>
    <w:rsid w:val="00FA7515"/>
    <w:rsid w:val="00FA7CEB"/>
    <w:rsid w:val="00FB19F9"/>
    <w:rsid w:val="00FB2388"/>
    <w:rsid w:val="00FB418E"/>
    <w:rsid w:val="00FB4940"/>
    <w:rsid w:val="00FB5C61"/>
    <w:rsid w:val="00FB7F2A"/>
    <w:rsid w:val="00FC30CF"/>
    <w:rsid w:val="00FC5BFC"/>
    <w:rsid w:val="00FC660E"/>
    <w:rsid w:val="00FC6B89"/>
    <w:rsid w:val="00FC76CA"/>
    <w:rsid w:val="00FD23D8"/>
    <w:rsid w:val="00FD5E4C"/>
    <w:rsid w:val="00FD6D58"/>
    <w:rsid w:val="00FD736A"/>
    <w:rsid w:val="00FE0279"/>
    <w:rsid w:val="00FE0BAC"/>
    <w:rsid w:val="00FE18F3"/>
    <w:rsid w:val="00FE3BA8"/>
    <w:rsid w:val="00FE3F2E"/>
    <w:rsid w:val="00FE504C"/>
    <w:rsid w:val="00FE6F7A"/>
    <w:rsid w:val="00FE75D7"/>
    <w:rsid w:val="00FF0FB3"/>
    <w:rsid w:val="00FF67A2"/>
    <w:rsid w:val="00FF76C0"/>
    <w:rsid w:val="00FF783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9156A"/>
  <w15:docId w15:val="{459D25D9-28C0-4B7F-A4A3-B74DD0C4E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C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E5DD8"/>
    <w:pPr>
      <w:spacing w:after="0" w:line="240" w:lineRule="auto"/>
    </w:pPr>
  </w:style>
  <w:style w:type="paragraph" w:styleId="Textodeglobo">
    <w:name w:val="Balloon Text"/>
    <w:basedOn w:val="Normal"/>
    <w:link w:val="TextodegloboCar"/>
    <w:uiPriority w:val="99"/>
    <w:semiHidden/>
    <w:unhideWhenUsed/>
    <w:rsid w:val="00C94B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4B24"/>
    <w:rPr>
      <w:rFonts w:ascii="Tahoma" w:hAnsi="Tahoma" w:cs="Tahoma"/>
      <w:sz w:val="16"/>
      <w:szCs w:val="16"/>
    </w:rPr>
  </w:style>
  <w:style w:type="paragraph" w:styleId="Encabezado">
    <w:name w:val="header"/>
    <w:basedOn w:val="Normal"/>
    <w:link w:val="EncabezadoCar"/>
    <w:uiPriority w:val="99"/>
    <w:unhideWhenUsed/>
    <w:rsid w:val="00A609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098E"/>
  </w:style>
  <w:style w:type="paragraph" w:styleId="Piedepgina">
    <w:name w:val="footer"/>
    <w:basedOn w:val="Normal"/>
    <w:link w:val="PiedepginaCar"/>
    <w:uiPriority w:val="99"/>
    <w:unhideWhenUsed/>
    <w:rsid w:val="00A609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098E"/>
  </w:style>
  <w:style w:type="paragraph" w:styleId="NormalWeb">
    <w:name w:val="Normal (Web)"/>
    <w:basedOn w:val="Normal"/>
    <w:uiPriority w:val="99"/>
    <w:unhideWhenUsed/>
    <w:rsid w:val="004F33E6"/>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SinespaciadoCar">
    <w:name w:val="Sin espaciado Car"/>
    <w:basedOn w:val="Fuentedeprrafopredeter"/>
    <w:link w:val="Sinespaciado"/>
    <w:uiPriority w:val="1"/>
    <w:locked/>
    <w:rsid w:val="004F33E6"/>
  </w:style>
  <w:style w:type="character" w:styleId="Hipervnculo">
    <w:name w:val="Hyperlink"/>
    <w:basedOn w:val="Fuentedeprrafopredeter"/>
    <w:uiPriority w:val="99"/>
    <w:unhideWhenUsed/>
    <w:rsid w:val="006B54A8"/>
    <w:rPr>
      <w:color w:val="0000FF" w:themeColor="hyperlink"/>
      <w:u w:val="single"/>
    </w:rPr>
  </w:style>
  <w:style w:type="paragraph" w:styleId="Textonotapie">
    <w:name w:val="footnote text"/>
    <w:basedOn w:val="Normal"/>
    <w:link w:val="TextonotapieCar"/>
    <w:uiPriority w:val="99"/>
    <w:semiHidden/>
    <w:unhideWhenUsed/>
    <w:rsid w:val="006F1F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F1F3C"/>
    <w:rPr>
      <w:sz w:val="20"/>
      <w:szCs w:val="20"/>
    </w:rPr>
  </w:style>
  <w:style w:type="character" w:styleId="Refdenotaalpie">
    <w:name w:val="footnote reference"/>
    <w:basedOn w:val="Fuentedeprrafopredeter"/>
    <w:uiPriority w:val="99"/>
    <w:semiHidden/>
    <w:unhideWhenUsed/>
    <w:rsid w:val="006F1F3C"/>
    <w:rPr>
      <w:vertAlign w:val="superscript"/>
    </w:rPr>
  </w:style>
  <w:style w:type="character" w:styleId="Hipervnculovisitado">
    <w:name w:val="FollowedHyperlink"/>
    <w:basedOn w:val="Fuentedeprrafopredeter"/>
    <w:uiPriority w:val="99"/>
    <w:semiHidden/>
    <w:unhideWhenUsed/>
    <w:rsid w:val="00B937ED"/>
    <w:rPr>
      <w:color w:val="800080" w:themeColor="followedHyperlink"/>
      <w:u w:val="single"/>
    </w:rPr>
  </w:style>
  <w:style w:type="paragraph" w:styleId="Prrafodelista">
    <w:name w:val="List Paragraph"/>
    <w:basedOn w:val="Normal"/>
    <w:uiPriority w:val="34"/>
    <w:qFormat/>
    <w:rsid w:val="001D339A"/>
    <w:pPr>
      <w:ind w:left="720"/>
      <w:contextualSpacing/>
      <w:jc w:val="both"/>
    </w:pPr>
    <w:rPr>
      <w:rFonts w:ascii="Times New Roman" w:hAnsi="Times New Roman"/>
    </w:rPr>
  </w:style>
  <w:style w:type="table" w:styleId="Tablaconcuadrcula">
    <w:name w:val="Table Grid"/>
    <w:basedOn w:val="Tablanormal"/>
    <w:uiPriority w:val="59"/>
    <w:rsid w:val="004C1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104229"/>
  </w:style>
  <w:style w:type="paragraph" w:customStyle="1" w:styleId="Default">
    <w:name w:val="Default"/>
    <w:rsid w:val="0035282A"/>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alfinal">
    <w:name w:val="endnote text"/>
    <w:basedOn w:val="Normal"/>
    <w:link w:val="TextonotaalfinalCar"/>
    <w:uiPriority w:val="99"/>
    <w:semiHidden/>
    <w:unhideWhenUsed/>
    <w:rsid w:val="00D549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549B7"/>
    <w:rPr>
      <w:sz w:val="20"/>
      <w:szCs w:val="20"/>
    </w:rPr>
  </w:style>
  <w:style w:type="character" w:styleId="Refdenotaalfinal">
    <w:name w:val="endnote reference"/>
    <w:basedOn w:val="Fuentedeprrafopredeter"/>
    <w:uiPriority w:val="99"/>
    <w:semiHidden/>
    <w:unhideWhenUsed/>
    <w:rsid w:val="00D549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8957">
      <w:bodyDiv w:val="1"/>
      <w:marLeft w:val="0"/>
      <w:marRight w:val="0"/>
      <w:marTop w:val="0"/>
      <w:marBottom w:val="0"/>
      <w:divBdr>
        <w:top w:val="none" w:sz="0" w:space="0" w:color="auto"/>
        <w:left w:val="none" w:sz="0" w:space="0" w:color="auto"/>
        <w:bottom w:val="none" w:sz="0" w:space="0" w:color="auto"/>
        <w:right w:val="none" w:sz="0" w:space="0" w:color="auto"/>
      </w:divBdr>
    </w:div>
    <w:div w:id="87775366">
      <w:bodyDiv w:val="1"/>
      <w:marLeft w:val="0"/>
      <w:marRight w:val="0"/>
      <w:marTop w:val="0"/>
      <w:marBottom w:val="0"/>
      <w:divBdr>
        <w:top w:val="none" w:sz="0" w:space="0" w:color="auto"/>
        <w:left w:val="none" w:sz="0" w:space="0" w:color="auto"/>
        <w:bottom w:val="none" w:sz="0" w:space="0" w:color="auto"/>
        <w:right w:val="none" w:sz="0" w:space="0" w:color="auto"/>
      </w:divBdr>
    </w:div>
    <w:div w:id="133060234">
      <w:bodyDiv w:val="1"/>
      <w:marLeft w:val="0"/>
      <w:marRight w:val="0"/>
      <w:marTop w:val="0"/>
      <w:marBottom w:val="0"/>
      <w:divBdr>
        <w:top w:val="none" w:sz="0" w:space="0" w:color="auto"/>
        <w:left w:val="none" w:sz="0" w:space="0" w:color="auto"/>
        <w:bottom w:val="none" w:sz="0" w:space="0" w:color="auto"/>
        <w:right w:val="none" w:sz="0" w:space="0" w:color="auto"/>
      </w:divBdr>
    </w:div>
    <w:div w:id="304236382">
      <w:bodyDiv w:val="1"/>
      <w:marLeft w:val="0"/>
      <w:marRight w:val="0"/>
      <w:marTop w:val="0"/>
      <w:marBottom w:val="0"/>
      <w:divBdr>
        <w:top w:val="none" w:sz="0" w:space="0" w:color="auto"/>
        <w:left w:val="none" w:sz="0" w:space="0" w:color="auto"/>
        <w:bottom w:val="none" w:sz="0" w:space="0" w:color="auto"/>
        <w:right w:val="none" w:sz="0" w:space="0" w:color="auto"/>
      </w:divBdr>
    </w:div>
    <w:div w:id="317267169">
      <w:bodyDiv w:val="1"/>
      <w:marLeft w:val="0"/>
      <w:marRight w:val="0"/>
      <w:marTop w:val="0"/>
      <w:marBottom w:val="0"/>
      <w:divBdr>
        <w:top w:val="none" w:sz="0" w:space="0" w:color="auto"/>
        <w:left w:val="none" w:sz="0" w:space="0" w:color="auto"/>
        <w:bottom w:val="none" w:sz="0" w:space="0" w:color="auto"/>
        <w:right w:val="none" w:sz="0" w:space="0" w:color="auto"/>
      </w:divBdr>
    </w:div>
    <w:div w:id="499586544">
      <w:bodyDiv w:val="1"/>
      <w:marLeft w:val="0"/>
      <w:marRight w:val="0"/>
      <w:marTop w:val="0"/>
      <w:marBottom w:val="0"/>
      <w:divBdr>
        <w:top w:val="none" w:sz="0" w:space="0" w:color="auto"/>
        <w:left w:val="none" w:sz="0" w:space="0" w:color="auto"/>
        <w:bottom w:val="none" w:sz="0" w:space="0" w:color="auto"/>
        <w:right w:val="none" w:sz="0" w:space="0" w:color="auto"/>
      </w:divBdr>
    </w:div>
    <w:div w:id="649213026">
      <w:bodyDiv w:val="1"/>
      <w:marLeft w:val="0"/>
      <w:marRight w:val="0"/>
      <w:marTop w:val="0"/>
      <w:marBottom w:val="0"/>
      <w:divBdr>
        <w:top w:val="none" w:sz="0" w:space="0" w:color="auto"/>
        <w:left w:val="none" w:sz="0" w:space="0" w:color="auto"/>
        <w:bottom w:val="none" w:sz="0" w:space="0" w:color="auto"/>
        <w:right w:val="none" w:sz="0" w:space="0" w:color="auto"/>
      </w:divBdr>
    </w:div>
    <w:div w:id="880827965">
      <w:bodyDiv w:val="1"/>
      <w:marLeft w:val="0"/>
      <w:marRight w:val="0"/>
      <w:marTop w:val="0"/>
      <w:marBottom w:val="0"/>
      <w:divBdr>
        <w:top w:val="none" w:sz="0" w:space="0" w:color="auto"/>
        <w:left w:val="none" w:sz="0" w:space="0" w:color="auto"/>
        <w:bottom w:val="none" w:sz="0" w:space="0" w:color="auto"/>
        <w:right w:val="none" w:sz="0" w:space="0" w:color="auto"/>
      </w:divBdr>
    </w:div>
    <w:div w:id="1011295899">
      <w:bodyDiv w:val="1"/>
      <w:marLeft w:val="0"/>
      <w:marRight w:val="0"/>
      <w:marTop w:val="0"/>
      <w:marBottom w:val="0"/>
      <w:divBdr>
        <w:top w:val="none" w:sz="0" w:space="0" w:color="auto"/>
        <w:left w:val="none" w:sz="0" w:space="0" w:color="auto"/>
        <w:bottom w:val="none" w:sz="0" w:space="0" w:color="auto"/>
        <w:right w:val="none" w:sz="0" w:space="0" w:color="auto"/>
      </w:divBdr>
    </w:div>
    <w:div w:id="1038429322">
      <w:bodyDiv w:val="1"/>
      <w:marLeft w:val="0"/>
      <w:marRight w:val="0"/>
      <w:marTop w:val="0"/>
      <w:marBottom w:val="0"/>
      <w:divBdr>
        <w:top w:val="none" w:sz="0" w:space="0" w:color="auto"/>
        <w:left w:val="none" w:sz="0" w:space="0" w:color="auto"/>
        <w:bottom w:val="none" w:sz="0" w:space="0" w:color="auto"/>
        <w:right w:val="none" w:sz="0" w:space="0" w:color="auto"/>
      </w:divBdr>
    </w:div>
    <w:div w:id="1090855984">
      <w:bodyDiv w:val="1"/>
      <w:marLeft w:val="0"/>
      <w:marRight w:val="0"/>
      <w:marTop w:val="0"/>
      <w:marBottom w:val="0"/>
      <w:divBdr>
        <w:top w:val="none" w:sz="0" w:space="0" w:color="auto"/>
        <w:left w:val="none" w:sz="0" w:space="0" w:color="auto"/>
        <w:bottom w:val="none" w:sz="0" w:space="0" w:color="auto"/>
        <w:right w:val="none" w:sz="0" w:space="0" w:color="auto"/>
      </w:divBdr>
    </w:div>
    <w:div w:id="1110782986">
      <w:bodyDiv w:val="1"/>
      <w:marLeft w:val="0"/>
      <w:marRight w:val="0"/>
      <w:marTop w:val="0"/>
      <w:marBottom w:val="0"/>
      <w:divBdr>
        <w:top w:val="none" w:sz="0" w:space="0" w:color="auto"/>
        <w:left w:val="none" w:sz="0" w:space="0" w:color="auto"/>
        <w:bottom w:val="none" w:sz="0" w:space="0" w:color="auto"/>
        <w:right w:val="none" w:sz="0" w:space="0" w:color="auto"/>
      </w:divBdr>
    </w:div>
    <w:div w:id="1244098412">
      <w:bodyDiv w:val="1"/>
      <w:marLeft w:val="0"/>
      <w:marRight w:val="0"/>
      <w:marTop w:val="0"/>
      <w:marBottom w:val="0"/>
      <w:divBdr>
        <w:top w:val="none" w:sz="0" w:space="0" w:color="auto"/>
        <w:left w:val="none" w:sz="0" w:space="0" w:color="auto"/>
        <w:bottom w:val="none" w:sz="0" w:space="0" w:color="auto"/>
        <w:right w:val="none" w:sz="0" w:space="0" w:color="auto"/>
      </w:divBdr>
    </w:div>
    <w:div w:id="1308170906">
      <w:bodyDiv w:val="1"/>
      <w:marLeft w:val="0"/>
      <w:marRight w:val="0"/>
      <w:marTop w:val="0"/>
      <w:marBottom w:val="0"/>
      <w:divBdr>
        <w:top w:val="none" w:sz="0" w:space="0" w:color="auto"/>
        <w:left w:val="none" w:sz="0" w:space="0" w:color="auto"/>
        <w:bottom w:val="none" w:sz="0" w:space="0" w:color="auto"/>
        <w:right w:val="none" w:sz="0" w:space="0" w:color="auto"/>
      </w:divBdr>
    </w:div>
    <w:div w:id="1387483947">
      <w:bodyDiv w:val="1"/>
      <w:marLeft w:val="0"/>
      <w:marRight w:val="0"/>
      <w:marTop w:val="0"/>
      <w:marBottom w:val="0"/>
      <w:divBdr>
        <w:top w:val="none" w:sz="0" w:space="0" w:color="auto"/>
        <w:left w:val="none" w:sz="0" w:space="0" w:color="auto"/>
        <w:bottom w:val="none" w:sz="0" w:space="0" w:color="auto"/>
        <w:right w:val="none" w:sz="0" w:space="0" w:color="auto"/>
      </w:divBdr>
    </w:div>
    <w:div w:id="1474178423">
      <w:bodyDiv w:val="1"/>
      <w:marLeft w:val="0"/>
      <w:marRight w:val="0"/>
      <w:marTop w:val="0"/>
      <w:marBottom w:val="0"/>
      <w:divBdr>
        <w:top w:val="none" w:sz="0" w:space="0" w:color="auto"/>
        <w:left w:val="none" w:sz="0" w:space="0" w:color="auto"/>
        <w:bottom w:val="none" w:sz="0" w:space="0" w:color="auto"/>
        <w:right w:val="none" w:sz="0" w:space="0" w:color="auto"/>
      </w:divBdr>
    </w:div>
    <w:div w:id="1517188798">
      <w:bodyDiv w:val="1"/>
      <w:marLeft w:val="0"/>
      <w:marRight w:val="0"/>
      <w:marTop w:val="0"/>
      <w:marBottom w:val="0"/>
      <w:divBdr>
        <w:top w:val="none" w:sz="0" w:space="0" w:color="auto"/>
        <w:left w:val="none" w:sz="0" w:space="0" w:color="auto"/>
        <w:bottom w:val="none" w:sz="0" w:space="0" w:color="auto"/>
        <w:right w:val="none" w:sz="0" w:space="0" w:color="auto"/>
      </w:divBdr>
    </w:div>
    <w:div w:id="1719085067">
      <w:bodyDiv w:val="1"/>
      <w:marLeft w:val="0"/>
      <w:marRight w:val="0"/>
      <w:marTop w:val="0"/>
      <w:marBottom w:val="0"/>
      <w:divBdr>
        <w:top w:val="none" w:sz="0" w:space="0" w:color="auto"/>
        <w:left w:val="none" w:sz="0" w:space="0" w:color="auto"/>
        <w:bottom w:val="none" w:sz="0" w:space="0" w:color="auto"/>
        <w:right w:val="none" w:sz="0" w:space="0" w:color="auto"/>
      </w:divBdr>
      <w:divsChild>
        <w:div w:id="1278223015">
          <w:marLeft w:val="0"/>
          <w:marRight w:val="0"/>
          <w:marTop w:val="0"/>
          <w:marBottom w:val="0"/>
          <w:divBdr>
            <w:top w:val="none" w:sz="0" w:space="0" w:color="auto"/>
            <w:left w:val="none" w:sz="0" w:space="0" w:color="auto"/>
            <w:bottom w:val="none" w:sz="0" w:space="0" w:color="auto"/>
            <w:right w:val="none" w:sz="0" w:space="0" w:color="auto"/>
          </w:divBdr>
          <w:divsChild>
            <w:div w:id="1524630340">
              <w:marLeft w:val="0"/>
              <w:marRight w:val="0"/>
              <w:marTop w:val="0"/>
              <w:marBottom w:val="0"/>
              <w:divBdr>
                <w:top w:val="none" w:sz="0" w:space="0" w:color="auto"/>
                <w:left w:val="none" w:sz="0" w:space="0" w:color="auto"/>
                <w:bottom w:val="none" w:sz="0" w:space="0" w:color="auto"/>
                <w:right w:val="none" w:sz="0" w:space="0" w:color="auto"/>
              </w:divBdr>
              <w:divsChild>
                <w:div w:id="704016197">
                  <w:marLeft w:val="0"/>
                  <w:marRight w:val="0"/>
                  <w:marTop w:val="0"/>
                  <w:marBottom w:val="0"/>
                  <w:divBdr>
                    <w:top w:val="none" w:sz="0" w:space="0" w:color="auto"/>
                    <w:left w:val="none" w:sz="0" w:space="0" w:color="auto"/>
                    <w:bottom w:val="none" w:sz="0" w:space="0" w:color="auto"/>
                    <w:right w:val="none" w:sz="0" w:space="0" w:color="auto"/>
                  </w:divBdr>
                  <w:divsChild>
                    <w:div w:id="1894996699">
                      <w:marLeft w:val="0"/>
                      <w:marRight w:val="0"/>
                      <w:marTop w:val="0"/>
                      <w:marBottom w:val="0"/>
                      <w:divBdr>
                        <w:top w:val="none" w:sz="0" w:space="0" w:color="auto"/>
                        <w:left w:val="none" w:sz="0" w:space="0" w:color="auto"/>
                        <w:bottom w:val="none" w:sz="0" w:space="0" w:color="auto"/>
                        <w:right w:val="none" w:sz="0" w:space="0" w:color="auto"/>
                      </w:divBdr>
                      <w:divsChild>
                        <w:div w:id="1278492299">
                          <w:marLeft w:val="0"/>
                          <w:marRight w:val="0"/>
                          <w:marTop w:val="0"/>
                          <w:marBottom w:val="0"/>
                          <w:divBdr>
                            <w:top w:val="none" w:sz="0" w:space="0" w:color="auto"/>
                            <w:left w:val="none" w:sz="0" w:space="0" w:color="auto"/>
                            <w:bottom w:val="none" w:sz="0" w:space="0" w:color="auto"/>
                            <w:right w:val="none" w:sz="0" w:space="0" w:color="auto"/>
                          </w:divBdr>
                          <w:divsChild>
                            <w:div w:id="199710835">
                              <w:marLeft w:val="0"/>
                              <w:marRight w:val="0"/>
                              <w:marTop w:val="0"/>
                              <w:marBottom w:val="0"/>
                              <w:divBdr>
                                <w:top w:val="none" w:sz="0" w:space="0" w:color="auto"/>
                                <w:left w:val="none" w:sz="0" w:space="0" w:color="auto"/>
                                <w:bottom w:val="none" w:sz="0" w:space="0" w:color="auto"/>
                                <w:right w:val="none" w:sz="0" w:space="0" w:color="auto"/>
                              </w:divBdr>
                              <w:divsChild>
                                <w:div w:id="1023170690">
                                  <w:marLeft w:val="0"/>
                                  <w:marRight w:val="0"/>
                                  <w:marTop w:val="0"/>
                                  <w:marBottom w:val="0"/>
                                  <w:divBdr>
                                    <w:top w:val="none" w:sz="0" w:space="0" w:color="auto"/>
                                    <w:left w:val="none" w:sz="0" w:space="0" w:color="auto"/>
                                    <w:bottom w:val="none" w:sz="0" w:space="0" w:color="auto"/>
                                    <w:right w:val="none" w:sz="0" w:space="0" w:color="auto"/>
                                  </w:divBdr>
                                  <w:divsChild>
                                    <w:div w:id="383409800">
                                      <w:marLeft w:val="0"/>
                                      <w:marRight w:val="0"/>
                                      <w:marTop w:val="0"/>
                                      <w:marBottom w:val="0"/>
                                      <w:divBdr>
                                        <w:top w:val="none" w:sz="0" w:space="0" w:color="auto"/>
                                        <w:left w:val="none" w:sz="0" w:space="0" w:color="auto"/>
                                        <w:bottom w:val="none" w:sz="0" w:space="0" w:color="auto"/>
                                        <w:right w:val="none" w:sz="0" w:space="0" w:color="auto"/>
                                      </w:divBdr>
                                      <w:divsChild>
                                        <w:div w:id="18718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330643">
      <w:bodyDiv w:val="1"/>
      <w:marLeft w:val="0"/>
      <w:marRight w:val="0"/>
      <w:marTop w:val="0"/>
      <w:marBottom w:val="0"/>
      <w:divBdr>
        <w:top w:val="none" w:sz="0" w:space="0" w:color="auto"/>
        <w:left w:val="none" w:sz="0" w:space="0" w:color="auto"/>
        <w:bottom w:val="none" w:sz="0" w:space="0" w:color="auto"/>
        <w:right w:val="none" w:sz="0" w:space="0" w:color="auto"/>
      </w:divBdr>
    </w:div>
    <w:div w:id="1941599910">
      <w:bodyDiv w:val="1"/>
      <w:marLeft w:val="0"/>
      <w:marRight w:val="0"/>
      <w:marTop w:val="0"/>
      <w:marBottom w:val="0"/>
      <w:divBdr>
        <w:top w:val="none" w:sz="0" w:space="0" w:color="auto"/>
        <w:left w:val="none" w:sz="0" w:space="0" w:color="auto"/>
        <w:bottom w:val="none" w:sz="0" w:space="0" w:color="auto"/>
        <w:right w:val="none" w:sz="0" w:space="0" w:color="auto"/>
      </w:divBdr>
    </w:div>
    <w:div w:id="2010516617">
      <w:bodyDiv w:val="1"/>
      <w:marLeft w:val="0"/>
      <w:marRight w:val="0"/>
      <w:marTop w:val="0"/>
      <w:marBottom w:val="0"/>
      <w:divBdr>
        <w:top w:val="none" w:sz="0" w:space="0" w:color="auto"/>
        <w:left w:val="none" w:sz="0" w:space="0" w:color="auto"/>
        <w:bottom w:val="none" w:sz="0" w:space="0" w:color="auto"/>
        <w:right w:val="none" w:sz="0" w:space="0" w:color="auto"/>
      </w:divBdr>
    </w:div>
    <w:div w:id="211917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chart" Target="charts/chart3.xml"/><Relationship Id="rId10" Type="http://schemas.openxmlformats.org/officeDocument/2006/relationships/image" Target="media/image2.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file:///C:\Users\edeleon.DC-DI01\AppData\Roaming\Microsoft\Firmas\Firma%202015\Firma800x95.jpg"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edeleon.DC-DI01\Desktop\escritorio%2020%20marzo%202014\graficos%20de%20&#237;ndices%20burs&#225;tiles%20para%20informe%20sema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05385241086707"/>
          <c:y val="3.0034704221228736E-2"/>
          <c:w val="0.88593030073747536"/>
          <c:h val="0.77868892453509153"/>
        </c:manualLayout>
      </c:layout>
      <c:barChart>
        <c:barDir val="col"/>
        <c:grouping val="stacked"/>
        <c:varyColors val="0"/>
        <c:ser>
          <c:idx val="0"/>
          <c:order val="0"/>
          <c:tx>
            <c:strRef>
              <c:f>Hoja1!$B$1</c:f>
              <c:strCache>
                <c:ptCount val="1"/>
                <c:pt idx="0">
                  <c:v>ISR</c:v>
                </c:pt>
              </c:strCache>
            </c:strRef>
          </c:tx>
          <c:spPr>
            <a:scene3d>
              <a:camera prst="orthographicFront"/>
              <a:lightRig rig="threePt" dir="t"/>
            </a:scene3d>
            <a:sp3d>
              <a:bevelT/>
            </a:sp3d>
          </c:spPr>
          <c:invertIfNegative val="0"/>
          <c:dLbls>
            <c:spPr>
              <a:noFill/>
              <a:ln>
                <a:noFill/>
              </a:ln>
              <a:effectLst/>
            </c:spPr>
            <c:txPr>
              <a:bodyPr/>
              <a:lstStyle/>
              <a:p>
                <a:pPr>
                  <a:defRPr sz="6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Hoja1!$A$2:$A$3</c:f>
              <c:numCache>
                <c:formatCode>General</c:formatCode>
                <c:ptCount val="2"/>
                <c:pt idx="0">
                  <c:v>2015</c:v>
                </c:pt>
                <c:pt idx="1">
                  <c:v>2016</c:v>
                </c:pt>
              </c:numCache>
            </c:numRef>
          </c:cat>
          <c:val>
            <c:numRef>
              <c:f>Hoja1!$B$2:$B$3</c:f>
              <c:numCache>
                <c:formatCode>#,##0.0</c:formatCode>
                <c:ptCount val="2"/>
                <c:pt idx="0">
                  <c:v>1110.5704849000001</c:v>
                </c:pt>
                <c:pt idx="1">
                  <c:v>1139.41660215</c:v>
                </c:pt>
              </c:numCache>
            </c:numRef>
          </c:val>
          <c:extLst>
            <c:ext xmlns:c16="http://schemas.microsoft.com/office/drawing/2014/chart" uri="{C3380CC4-5D6E-409C-BE32-E72D297353CC}">
              <c16:uniqueId val="{00000000-6916-4418-BEFC-CF391474EFDF}"/>
            </c:ext>
          </c:extLst>
        </c:ser>
        <c:ser>
          <c:idx val="1"/>
          <c:order val="1"/>
          <c:tx>
            <c:strRef>
              <c:f>Hoja1!$C$1</c:f>
              <c:strCache>
                <c:ptCount val="1"/>
                <c:pt idx="0">
                  <c:v>IVA dom</c:v>
                </c:pt>
              </c:strCache>
            </c:strRef>
          </c:tx>
          <c:spPr>
            <a:scene3d>
              <a:camera prst="orthographicFront"/>
              <a:lightRig rig="threePt" dir="t"/>
            </a:scene3d>
            <a:sp3d>
              <a:bevelT/>
            </a:sp3d>
          </c:spPr>
          <c:invertIfNegative val="0"/>
          <c:dLbls>
            <c:spPr>
              <a:noFill/>
              <a:ln>
                <a:noFill/>
              </a:ln>
              <a:effectLst/>
            </c:spPr>
            <c:txPr>
              <a:bodyPr/>
              <a:lstStyle/>
              <a:p>
                <a:pPr>
                  <a:defRPr sz="6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Hoja1!$A$2:$A$3</c:f>
              <c:numCache>
                <c:formatCode>General</c:formatCode>
                <c:ptCount val="2"/>
                <c:pt idx="0">
                  <c:v>2015</c:v>
                </c:pt>
                <c:pt idx="1">
                  <c:v>2016</c:v>
                </c:pt>
              </c:numCache>
            </c:numRef>
          </c:cat>
          <c:val>
            <c:numRef>
              <c:f>Hoja1!$C$2:$C$3</c:f>
              <c:numCache>
                <c:formatCode>#,##0.0</c:formatCode>
                <c:ptCount val="2"/>
                <c:pt idx="0">
                  <c:v>1129.3150103599999</c:v>
                </c:pt>
                <c:pt idx="1">
                  <c:v>1131.9135701099999</c:v>
                </c:pt>
              </c:numCache>
            </c:numRef>
          </c:val>
          <c:extLst>
            <c:ext xmlns:c16="http://schemas.microsoft.com/office/drawing/2014/chart" uri="{C3380CC4-5D6E-409C-BE32-E72D297353CC}">
              <c16:uniqueId val="{00000001-6916-4418-BEFC-CF391474EFDF}"/>
            </c:ext>
          </c:extLst>
        </c:ser>
        <c:ser>
          <c:idx val="2"/>
          <c:order val="2"/>
          <c:tx>
            <c:strRef>
              <c:f>Hoja1!$D$1</c:f>
              <c:strCache>
                <c:ptCount val="1"/>
                <c:pt idx="0">
                  <c:v>ISO</c:v>
                </c:pt>
              </c:strCache>
            </c:strRef>
          </c:tx>
          <c:spPr>
            <a:scene3d>
              <a:camera prst="orthographicFront"/>
              <a:lightRig rig="threePt" dir="t"/>
            </a:scene3d>
            <a:sp3d>
              <a:bevelT/>
            </a:sp3d>
          </c:spPr>
          <c:invertIfNegative val="0"/>
          <c:dLbls>
            <c:spPr>
              <a:noFill/>
              <a:ln>
                <a:noFill/>
              </a:ln>
              <a:effectLst/>
            </c:spPr>
            <c:txPr>
              <a:bodyPr/>
              <a:lstStyle/>
              <a:p>
                <a:pPr>
                  <a:defRPr sz="6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Hoja1!$A$2:$A$3</c:f>
              <c:numCache>
                <c:formatCode>General</c:formatCode>
                <c:ptCount val="2"/>
                <c:pt idx="0">
                  <c:v>2015</c:v>
                </c:pt>
                <c:pt idx="1">
                  <c:v>2016</c:v>
                </c:pt>
              </c:numCache>
            </c:numRef>
          </c:cat>
          <c:val>
            <c:numRef>
              <c:f>Hoja1!$D$2:$D$3</c:f>
              <c:numCache>
                <c:formatCode>#,##0.0</c:formatCode>
                <c:ptCount val="2"/>
                <c:pt idx="0">
                  <c:v>875.62311657999999</c:v>
                </c:pt>
                <c:pt idx="1">
                  <c:v>967.49818888999994</c:v>
                </c:pt>
              </c:numCache>
            </c:numRef>
          </c:val>
          <c:extLst>
            <c:ext xmlns:c16="http://schemas.microsoft.com/office/drawing/2014/chart" uri="{C3380CC4-5D6E-409C-BE32-E72D297353CC}">
              <c16:uniqueId val="{00000002-6916-4418-BEFC-CF391474EFDF}"/>
            </c:ext>
          </c:extLst>
        </c:ser>
        <c:ser>
          <c:idx val="3"/>
          <c:order val="3"/>
          <c:tx>
            <c:strRef>
              <c:f>Hoja1!$E$1</c:f>
              <c:strCache>
                <c:ptCount val="1"/>
                <c:pt idx="0">
                  <c:v>IVA impor</c:v>
                </c:pt>
              </c:strCache>
            </c:strRef>
          </c:tx>
          <c:spPr>
            <a:scene3d>
              <a:camera prst="orthographicFront"/>
              <a:lightRig rig="threePt" dir="t"/>
            </a:scene3d>
            <a:sp3d>
              <a:bevelT/>
            </a:sp3d>
          </c:spPr>
          <c:invertIfNegative val="0"/>
          <c:dLbls>
            <c:spPr>
              <a:noFill/>
              <a:ln>
                <a:noFill/>
              </a:ln>
              <a:effectLst/>
            </c:spPr>
            <c:txPr>
              <a:bodyPr/>
              <a:lstStyle/>
              <a:p>
                <a:pPr>
                  <a:defRPr sz="6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Hoja1!$A$2:$A$3</c:f>
              <c:numCache>
                <c:formatCode>General</c:formatCode>
                <c:ptCount val="2"/>
                <c:pt idx="0">
                  <c:v>2015</c:v>
                </c:pt>
                <c:pt idx="1">
                  <c:v>2016</c:v>
                </c:pt>
              </c:numCache>
            </c:numRef>
          </c:cat>
          <c:val>
            <c:numRef>
              <c:f>Hoja1!$E$2:$E$3</c:f>
              <c:numCache>
                <c:formatCode>#,##0.0</c:formatCode>
                <c:ptCount val="2"/>
                <c:pt idx="0">
                  <c:v>962.87537726999994</c:v>
                </c:pt>
                <c:pt idx="1">
                  <c:v>911.37084019000008</c:v>
                </c:pt>
              </c:numCache>
            </c:numRef>
          </c:val>
          <c:extLst>
            <c:ext xmlns:c16="http://schemas.microsoft.com/office/drawing/2014/chart" uri="{C3380CC4-5D6E-409C-BE32-E72D297353CC}">
              <c16:uniqueId val="{00000003-6916-4418-BEFC-CF391474EFDF}"/>
            </c:ext>
          </c:extLst>
        </c:ser>
        <c:ser>
          <c:idx val="4"/>
          <c:order val="4"/>
          <c:tx>
            <c:strRef>
              <c:f>Hoja1!$F$1</c:f>
              <c:strCache>
                <c:ptCount val="1"/>
                <c:pt idx="0">
                  <c:v>Los demás</c:v>
                </c:pt>
              </c:strCache>
            </c:strRef>
          </c:tx>
          <c:spPr>
            <a:scene3d>
              <a:camera prst="orthographicFront"/>
              <a:lightRig rig="threePt" dir="t"/>
            </a:scene3d>
            <a:sp3d>
              <a:bevelT/>
            </a:sp3d>
          </c:spPr>
          <c:invertIfNegative val="0"/>
          <c:dLbls>
            <c:spPr>
              <a:noFill/>
              <a:ln>
                <a:noFill/>
              </a:ln>
              <a:effectLst/>
            </c:spPr>
            <c:txPr>
              <a:bodyPr/>
              <a:lstStyle/>
              <a:p>
                <a:pPr>
                  <a:defRPr sz="6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Hoja1!$A$2:$A$3</c:f>
              <c:numCache>
                <c:formatCode>General</c:formatCode>
                <c:ptCount val="2"/>
                <c:pt idx="0">
                  <c:v>2015</c:v>
                </c:pt>
                <c:pt idx="1">
                  <c:v>2016</c:v>
                </c:pt>
              </c:numCache>
            </c:numRef>
          </c:cat>
          <c:val>
            <c:numRef>
              <c:f>Hoja1!$F$2:$F$3</c:f>
              <c:numCache>
                <c:formatCode>#,##0.0</c:formatCode>
                <c:ptCount val="2"/>
                <c:pt idx="0">
                  <c:v>441.21817498999917</c:v>
                </c:pt>
                <c:pt idx="1">
                  <c:v>484.65116794000096</c:v>
                </c:pt>
              </c:numCache>
            </c:numRef>
          </c:val>
          <c:extLst>
            <c:ext xmlns:c16="http://schemas.microsoft.com/office/drawing/2014/chart" uri="{C3380CC4-5D6E-409C-BE32-E72D297353CC}">
              <c16:uniqueId val="{00000004-6916-4418-BEFC-CF391474EFDF}"/>
            </c:ext>
          </c:extLst>
        </c:ser>
        <c:ser>
          <c:idx val="5"/>
          <c:order val="5"/>
          <c:tx>
            <c:strRef>
              <c:f>Hoja1!$G$1</c:f>
              <c:strCache>
                <c:ptCount val="1"/>
                <c:pt idx="0">
                  <c:v>Petróleo</c:v>
                </c:pt>
              </c:strCache>
            </c:strRef>
          </c:tx>
          <c:spPr>
            <a:scene3d>
              <a:camera prst="orthographicFront"/>
              <a:lightRig rig="threePt" dir="t"/>
            </a:scene3d>
            <a:sp3d>
              <a:bevelT/>
            </a:sp3d>
          </c:spPr>
          <c:invertIfNegative val="0"/>
          <c:dLbls>
            <c:dLbl>
              <c:idx val="0"/>
              <c:layout>
                <c:manualLayout>
                  <c:x val="0"/>
                  <c:y val="-2.5352725617631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16-4418-BEFC-CF391474EFDF}"/>
                </c:ext>
              </c:extLst>
            </c:dLbl>
            <c:dLbl>
              <c:idx val="1"/>
              <c:layout>
                <c:manualLayout>
                  <c:x val="0"/>
                  <c:y val="-2.5352725617631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16-4418-BEFC-CF391474EFDF}"/>
                </c:ext>
              </c:extLst>
            </c:dLbl>
            <c:spPr>
              <a:noFill/>
              <a:ln>
                <a:noFill/>
              </a:ln>
              <a:effectLst/>
            </c:spPr>
            <c:txPr>
              <a:bodyPr/>
              <a:lstStyle/>
              <a:p>
                <a:pPr>
                  <a:defRPr sz="6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Hoja1!$A$2:$A$3</c:f>
              <c:numCache>
                <c:formatCode>General</c:formatCode>
                <c:ptCount val="2"/>
                <c:pt idx="0">
                  <c:v>2015</c:v>
                </c:pt>
                <c:pt idx="1">
                  <c:v>2016</c:v>
                </c:pt>
              </c:numCache>
            </c:numRef>
          </c:cat>
          <c:val>
            <c:numRef>
              <c:f>Hoja1!$G$2:$G$3</c:f>
              <c:numCache>
                <c:formatCode>#,##0.0</c:formatCode>
                <c:ptCount val="2"/>
                <c:pt idx="0">
                  <c:v>273.59078726999996</c:v>
                </c:pt>
                <c:pt idx="1">
                  <c:v>284.33387826000001</c:v>
                </c:pt>
              </c:numCache>
            </c:numRef>
          </c:val>
          <c:extLst>
            <c:ext xmlns:c16="http://schemas.microsoft.com/office/drawing/2014/chart" uri="{C3380CC4-5D6E-409C-BE32-E72D297353CC}">
              <c16:uniqueId val="{00000007-6916-4418-BEFC-CF391474EFDF}"/>
            </c:ext>
          </c:extLst>
        </c:ser>
        <c:dLbls>
          <c:showLegendKey val="0"/>
          <c:showVal val="0"/>
          <c:showCatName val="0"/>
          <c:showSerName val="0"/>
          <c:showPercent val="0"/>
          <c:showBubbleSize val="0"/>
        </c:dLbls>
        <c:gapWidth val="34"/>
        <c:overlap val="100"/>
        <c:axId val="190408960"/>
        <c:axId val="190521344"/>
      </c:barChart>
      <c:catAx>
        <c:axId val="190408960"/>
        <c:scaling>
          <c:orientation val="minMax"/>
        </c:scaling>
        <c:delete val="0"/>
        <c:axPos val="b"/>
        <c:numFmt formatCode="General" sourceLinked="1"/>
        <c:majorTickMark val="out"/>
        <c:minorTickMark val="none"/>
        <c:tickLblPos val="nextTo"/>
        <c:txPr>
          <a:bodyPr/>
          <a:lstStyle/>
          <a:p>
            <a:pPr>
              <a:defRPr b="1"/>
            </a:pPr>
            <a:endParaRPr lang="es-GT"/>
          </a:p>
        </c:txPr>
        <c:crossAx val="190521344"/>
        <c:crosses val="autoZero"/>
        <c:auto val="1"/>
        <c:lblAlgn val="ctr"/>
        <c:lblOffset val="100"/>
        <c:noMultiLvlLbl val="0"/>
      </c:catAx>
      <c:valAx>
        <c:axId val="190521344"/>
        <c:scaling>
          <c:orientation val="minMax"/>
        </c:scaling>
        <c:delete val="0"/>
        <c:axPos val="l"/>
        <c:numFmt formatCode="#,##0" sourceLinked="0"/>
        <c:majorTickMark val="out"/>
        <c:minorTickMark val="none"/>
        <c:tickLblPos val="nextTo"/>
        <c:crossAx val="190408960"/>
        <c:crosses val="autoZero"/>
        <c:crossBetween val="between"/>
      </c:valAx>
    </c:plotArea>
    <c:legend>
      <c:legendPos val="b"/>
      <c:layout>
        <c:manualLayout>
          <c:xMode val="edge"/>
          <c:yMode val="edge"/>
          <c:x val="4.9999864310949681E-2"/>
          <c:y val="0.88481752939887148"/>
          <c:w val="0.89999988369509976"/>
          <c:h val="0.11518244758059436"/>
        </c:manualLayout>
      </c:layout>
      <c:overlay val="0"/>
    </c:legend>
    <c:plotVisOnly val="1"/>
    <c:dispBlanksAs val="gap"/>
    <c:showDLblsOverMax val="0"/>
  </c:chart>
  <c:spPr>
    <a:noFill/>
    <a:ln>
      <a:noFill/>
    </a:ln>
  </c:spPr>
  <c:txPr>
    <a:bodyPr/>
    <a:lstStyle/>
    <a:p>
      <a:pPr>
        <a:defRPr sz="7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34197384143283"/>
          <c:y val="1.9787214098237721E-2"/>
          <c:w val="0.72671862609879556"/>
          <c:h val="0.91529965004374458"/>
        </c:manualLayout>
      </c:layout>
      <c:barChart>
        <c:barDir val="bar"/>
        <c:grouping val="clustered"/>
        <c:varyColors val="0"/>
        <c:ser>
          <c:idx val="0"/>
          <c:order val="0"/>
          <c:tx>
            <c:strRef>
              <c:f>Hoja1!$B$1</c:f>
              <c:strCache>
                <c:ptCount val="1"/>
                <c:pt idx="0">
                  <c:v>Var 2016-2015</c:v>
                </c:pt>
              </c:strCache>
            </c:strRef>
          </c:tx>
          <c:spPr>
            <a:solidFill>
              <a:srgbClr val="00B050"/>
            </a:solidFill>
          </c:spPr>
          <c:invertIfNegative val="0"/>
          <c:dPt>
            <c:idx val="0"/>
            <c:invertIfNegative val="0"/>
            <c:bubble3D val="0"/>
            <c:spPr>
              <a:solidFill>
                <a:srgbClr val="FF0000"/>
              </a:solidFill>
            </c:spPr>
            <c:extLst>
              <c:ext xmlns:c16="http://schemas.microsoft.com/office/drawing/2014/chart" uri="{C3380CC4-5D6E-409C-BE32-E72D297353CC}">
                <c16:uniqueId val="{00000001-1894-4603-8D2E-4C8352C75B33}"/>
              </c:ext>
            </c:extLst>
          </c:dPt>
          <c:dPt>
            <c:idx val="1"/>
            <c:invertIfNegative val="0"/>
            <c:bubble3D val="0"/>
            <c:spPr>
              <a:solidFill>
                <a:srgbClr val="FF0000"/>
              </a:solidFill>
            </c:spPr>
            <c:extLst>
              <c:ext xmlns:c16="http://schemas.microsoft.com/office/drawing/2014/chart" uri="{C3380CC4-5D6E-409C-BE32-E72D297353CC}">
                <c16:uniqueId val="{00000003-1894-4603-8D2E-4C8352C75B33}"/>
              </c:ext>
            </c:extLst>
          </c:dPt>
          <c:dPt>
            <c:idx val="2"/>
            <c:invertIfNegative val="0"/>
            <c:bubble3D val="0"/>
            <c:spPr>
              <a:solidFill>
                <a:srgbClr val="FF0000"/>
              </a:solidFill>
            </c:spPr>
            <c:extLst>
              <c:ext xmlns:c16="http://schemas.microsoft.com/office/drawing/2014/chart" uri="{C3380CC4-5D6E-409C-BE32-E72D297353CC}">
                <c16:uniqueId val="{00000005-1894-4603-8D2E-4C8352C75B33}"/>
              </c:ext>
            </c:extLst>
          </c:dPt>
          <c:dLbls>
            <c:dLbl>
              <c:idx val="0"/>
              <c:spPr/>
              <c:txPr>
                <a:bodyPr/>
                <a:lstStyle/>
                <a:p>
                  <a:pPr>
                    <a:defRPr sz="700" b="1">
                      <a:solidFill>
                        <a:srgbClr val="FF0000"/>
                      </a:solidFill>
                    </a:defRPr>
                  </a:pPr>
                  <a:endParaRPr lang="es-GT"/>
                </a:p>
              </c:txPr>
              <c:showLegendKey val="0"/>
              <c:showVal val="1"/>
              <c:showCatName val="0"/>
              <c:showSerName val="0"/>
              <c:showPercent val="0"/>
              <c:showBubbleSize val="0"/>
              <c:extLst>
                <c:ext xmlns:c16="http://schemas.microsoft.com/office/drawing/2014/chart" uri="{C3380CC4-5D6E-409C-BE32-E72D297353CC}">
                  <c16:uniqueId val="{00000001-1894-4603-8D2E-4C8352C75B33}"/>
                </c:ext>
              </c:extLst>
            </c:dLbl>
            <c:dLbl>
              <c:idx val="1"/>
              <c:spPr/>
              <c:txPr>
                <a:bodyPr/>
                <a:lstStyle/>
                <a:p>
                  <a:pPr>
                    <a:defRPr sz="700" b="1">
                      <a:solidFill>
                        <a:srgbClr val="FF0000"/>
                      </a:solidFill>
                    </a:defRPr>
                  </a:pPr>
                  <a:endParaRPr lang="es-GT"/>
                </a:p>
              </c:txPr>
              <c:showLegendKey val="0"/>
              <c:showVal val="1"/>
              <c:showCatName val="0"/>
              <c:showSerName val="0"/>
              <c:showPercent val="0"/>
              <c:showBubbleSize val="0"/>
              <c:extLst>
                <c:ext xmlns:c16="http://schemas.microsoft.com/office/drawing/2014/chart" uri="{C3380CC4-5D6E-409C-BE32-E72D297353CC}">
                  <c16:uniqueId val="{00000003-1894-4603-8D2E-4C8352C75B33}"/>
                </c:ext>
              </c:extLst>
            </c:dLbl>
            <c:dLbl>
              <c:idx val="2"/>
              <c:spPr/>
              <c:txPr>
                <a:bodyPr/>
                <a:lstStyle/>
                <a:p>
                  <a:pPr>
                    <a:defRPr sz="700" b="1">
                      <a:solidFill>
                        <a:srgbClr val="FF0000"/>
                      </a:solidFill>
                    </a:defRPr>
                  </a:pPr>
                  <a:endParaRPr lang="es-GT"/>
                </a:p>
              </c:txPr>
              <c:showLegendKey val="0"/>
              <c:showVal val="1"/>
              <c:showCatName val="0"/>
              <c:showSerName val="0"/>
              <c:showPercent val="0"/>
              <c:showBubbleSize val="0"/>
              <c:extLst>
                <c:ext xmlns:c16="http://schemas.microsoft.com/office/drawing/2014/chart" uri="{C3380CC4-5D6E-409C-BE32-E72D297353CC}">
                  <c16:uniqueId val="{00000005-1894-4603-8D2E-4C8352C75B33}"/>
                </c:ext>
              </c:extLst>
            </c:dLbl>
            <c:spPr>
              <a:noFill/>
              <a:ln>
                <a:noFill/>
              </a:ln>
              <a:effectLst/>
            </c:spPr>
            <c:txPr>
              <a:bodyPr/>
              <a:lstStyle/>
              <a:p>
                <a:pPr>
                  <a:defRPr sz="700" b="1">
                    <a:solidFill>
                      <a:srgbClr val="00B050"/>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Hoja1!$A$2:$A$17</c:f>
              <c:strCache>
                <c:ptCount val="16"/>
                <c:pt idx="0">
                  <c:v>IVA imp</c:v>
                </c:pt>
                <c:pt idx="1">
                  <c:v>Cemento</c:v>
                </c:pt>
                <c:pt idx="2">
                  <c:v>IPRIMA</c:v>
                </c:pt>
                <c:pt idx="3">
                  <c:v>Otros</c:v>
                </c:pt>
                <c:pt idx="4">
                  <c:v>Propiedad</c:v>
                </c:pt>
                <c:pt idx="5">
                  <c:v>IVA dom</c:v>
                </c:pt>
                <c:pt idx="6">
                  <c:v>Salidas</c:v>
                </c:pt>
                <c:pt idx="7">
                  <c:v>Timbres</c:v>
                </c:pt>
                <c:pt idx="8">
                  <c:v>Regalías</c:v>
                </c:pt>
                <c:pt idx="9">
                  <c:v>Bebidas</c:v>
                </c:pt>
                <c:pt idx="10">
                  <c:v>Vehículos</c:v>
                </c:pt>
                <c:pt idx="11">
                  <c:v>Tabacos</c:v>
                </c:pt>
                <c:pt idx="12">
                  <c:v>Petróleo</c:v>
                </c:pt>
                <c:pt idx="13">
                  <c:v>DAI</c:v>
                </c:pt>
                <c:pt idx="14">
                  <c:v>ISR</c:v>
                </c:pt>
                <c:pt idx="15">
                  <c:v>ISO</c:v>
                </c:pt>
              </c:strCache>
            </c:strRef>
          </c:cat>
          <c:val>
            <c:numRef>
              <c:f>Hoja1!$B$2:$B$17</c:f>
              <c:numCache>
                <c:formatCode>#,##0.0</c:formatCode>
                <c:ptCount val="16"/>
                <c:pt idx="0">
                  <c:v>-51.504537079999864</c:v>
                </c:pt>
                <c:pt idx="1">
                  <c:v>-7.1597056199999987</c:v>
                </c:pt>
                <c:pt idx="2">
                  <c:v>-0.90210502000000758</c:v>
                </c:pt>
                <c:pt idx="3">
                  <c:v>0.21497628000000005</c:v>
                </c:pt>
                <c:pt idx="4">
                  <c:v>1.2249968400000002</c:v>
                </c:pt>
                <c:pt idx="5">
                  <c:v>2.5985597500000495</c:v>
                </c:pt>
                <c:pt idx="6">
                  <c:v>3.3048559000000015</c:v>
                </c:pt>
                <c:pt idx="7">
                  <c:v>3.4449164299999993</c:v>
                </c:pt>
                <c:pt idx="8">
                  <c:v>4.3792314200000035</c:v>
                </c:pt>
                <c:pt idx="9">
                  <c:v>6.4593781500000063</c:v>
                </c:pt>
                <c:pt idx="10">
                  <c:v>7.0559271900000056</c:v>
                </c:pt>
                <c:pt idx="11">
                  <c:v>7.9905384099999992</c:v>
                </c:pt>
                <c:pt idx="12">
                  <c:v>10.743090990000042</c:v>
                </c:pt>
                <c:pt idx="13">
                  <c:v>17.254124969999992</c:v>
                </c:pt>
                <c:pt idx="14">
                  <c:v>28.846117249999907</c:v>
                </c:pt>
                <c:pt idx="15">
                  <c:v>91.87507230999995</c:v>
                </c:pt>
              </c:numCache>
            </c:numRef>
          </c:val>
          <c:extLst>
            <c:ext xmlns:c16="http://schemas.microsoft.com/office/drawing/2014/chart" uri="{C3380CC4-5D6E-409C-BE32-E72D297353CC}">
              <c16:uniqueId val="{00000006-1894-4603-8D2E-4C8352C75B33}"/>
            </c:ext>
          </c:extLst>
        </c:ser>
        <c:dLbls>
          <c:showLegendKey val="0"/>
          <c:showVal val="0"/>
          <c:showCatName val="0"/>
          <c:showSerName val="0"/>
          <c:showPercent val="0"/>
          <c:showBubbleSize val="0"/>
        </c:dLbls>
        <c:gapWidth val="60"/>
        <c:axId val="190601472"/>
        <c:axId val="190607360"/>
      </c:barChart>
      <c:catAx>
        <c:axId val="190601472"/>
        <c:scaling>
          <c:orientation val="minMax"/>
        </c:scaling>
        <c:delete val="0"/>
        <c:axPos val="l"/>
        <c:majorGridlines>
          <c:spPr>
            <a:ln>
              <a:solidFill>
                <a:schemeClr val="accent1">
                  <a:alpha val="29000"/>
                </a:schemeClr>
              </a:solidFill>
            </a:ln>
          </c:spPr>
        </c:majorGridlines>
        <c:numFmt formatCode="General" sourceLinked="0"/>
        <c:majorTickMark val="out"/>
        <c:minorTickMark val="none"/>
        <c:tickLblPos val="low"/>
        <c:txPr>
          <a:bodyPr/>
          <a:lstStyle/>
          <a:p>
            <a:pPr>
              <a:defRPr b="1"/>
            </a:pPr>
            <a:endParaRPr lang="es-GT"/>
          </a:p>
        </c:txPr>
        <c:crossAx val="190607360"/>
        <c:crosses val="autoZero"/>
        <c:auto val="1"/>
        <c:lblAlgn val="ctr"/>
        <c:lblOffset val="100"/>
        <c:noMultiLvlLbl val="0"/>
      </c:catAx>
      <c:valAx>
        <c:axId val="190607360"/>
        <c:scaling>
          <c:orientation val="minMax"/>
        </c:scaling>
        <c:delete val="0"/>
        <c:axPos val="b"/>
        <c:majorGridlines>
          <c:spPr>
            <a:ln>
              <a:solidFill>
                <a:schemeClr val="accent1">
                  <a:alpha val="29000"/>
                </a:schemeClr>
              </a:solidFill>
            </a:ln>
          </c:spPr>
        </c:majorGridlines>
        <c:numFmt formatCode="#,##0" sourceLinked="0"/>
        <c:majorTickMark val="out"/>
        <c:minorTickMark val="none"/>
        <c:tickLblPos val="nextTo"/>
        <c:txPr>
          <a:bodyPr/>
          <a:lstStyle/>
          <a:p>
            <a:pPr>
              <a:defRPr b="1"/>
            </a:pPr>
            <a:endParaRPr lang="es-GT"/>
          </a:p>
        </c:txPr>
        <c:crossAx val="19060147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4628171478565E-2"/>
          <c:y val="2.7214376744594017E-2"/>
          <c:w val="0.92981452318460189"/>
          <c:h val="0.54607005690357224"/>
        </c:manualLayout>
      </c:layout>
      <c:barChart>
        <c:barDir val="col"/>
        <c:grouping val="clustered"/>
        <c:varyColors val="0"/>
        <c:ser>
          <c:idx val="0"/>
          <c:order val="0"/>
          <c:tx>
            <c:strRef>
              <c:f>Hoja5!$D$6</c:f>
              <c:strCache>
                <c:ptCount val="1"/>
                <c:pt idx="0">
                  <c:v>IMAE serie original (variación interanual)</c:v>
                </c:pt>
              </c:strCache>
            </c:strRef>
          </c:tx>
          <c:spPr>
            <a:solidFill>
              <a:schemeClr val="tx2">
                <a:lumMod val="60000"/>
                <a:lumOff val="40000"/>
              </a:schemeClr>
            </a:solidFill>
            <a:scene3d>
              <a:camera prst="orthographicFront"/>
              <a:lightRig rig="threePt" dir="t"/>
            </a:scene3d>
            <a:sp3d>
              <a:bevel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FF2D-4E33-BD1D-83231D92F60F}"/>
                </c:ext>
              </c:extLst>
            </c:dLbl>
            <c:dLbl>
              <c:idx val="2"/>
              <c:delete val="1"/>
              <c:extLst>
                <c:ext xmlns:c15="http://schemas.microsoft.com/office/drawing/2012/chart" uri="{CE6537A1-D6FC-4f65-9D91-7224C49458BB}"/>
                <c:ext xmlns:c16="http://schemas.microsoft.com/office/drawing/2014/chart" uri="{C3380CC4-5D6E-409C-BE32-E72D297353CC}">
                  <c16:uniqueId val="{00000001-FF2D-4E33-BD1D-83231D92F60F}"/>
                </c:ext>
              </c:extLst>
            </c:dLbl>
            <c:dLbl>
              <c:idx val="3"/>
              <c:delete val="1"/>
              <c:extLst>
                <c:ext xmlns:c15="http://schemas.microsoft.com/office/drawing/2012/chart" uri="{CE6537A1-D6FC-4f65-9D91-7224C49458BB}"/>
                <c:ext xmlns:c16="http://schemas.microsoft.com/office/drawing/2014/chart" uri="{C3380CC4-5D6E-409C-BE32-E72D297353CC}">
                  <c16:uniqueId val="{00000002-FF2D-4E33-BD1D-83231D92F60F}"/>
                </c:ext>
              </c:extLst>
            </c:dLbl>
            <c:dLbl>
              <c:idx val="4"/>
              <c:delete val="1"/>
              <c:extLst>
                <c:ext xmlns:c15="http://schemas.microsoft.com/office/drawing/2012/chart" uri="{CE6537A1-D6FC-4f65-9D91-7224C49458BB}"/>
                <c:ext xmlns:c16="http://schemas.microsoft.com/office/drawing/2014/chart" uri="{C3380CC4-5D6E-409C-BE32-E72D297353CC}">
                  <c16:uniqueId val="{00000003-FF2D-4E33-BD1D-83231D92F60F}"/>
                </c:ext>
              </c:extLst>
            </c:dLbl>
            <c:dLbl>
              <c:idx val="5"/>
              <c:delete val="1"/>
              <c:extLst>
                <c:ext xmlns:c15="http://schemas.microsoft.com/office/drawing/2012/chart" uri="{CE6537A1-D6FC-4f65-9D91-7224C49458BB}"/>
                <c:ext xmlns:c16="http://schemas.microsoft.com/office/drawing/2014/chart" uri="{C3380CC4-5D6E-409C-BE32-E72D297353CC}">
                  <c16:uniqueId val="{00000004-FF2D-4E33-BD1D-83231D92F60F}"/>
                </c:ext>
              </c:extLst>
            </c:dLbl>
            <c:dLbl>
              <c:idx val="6"/>
              <c:delete val="1"/>
              <c:extLst>
                <c:ext xmlns:c15="http://schemas.microsoft.com/office/drawing/2012/chart" uri="{CE6537A1-D6FC-4f65-9D91-7224C49458BB}"/>
                <c:ext xmlns:c16="http://schemas.microsoft.com/office/drawing/2014/chart" uri="{C3380CC4-5D6E-409C-BE32-E72D297353CC}">
                  <c16:uniqueId val="{00000005-FF2D-4E33-BD1D-83231D92F60F}"/>
                </c:ext>
              </c:extLst>
            </c:dLbl>
            <c:dLbl>
              <c:idx val="7"/>
              <c:delete val="1"/>
              <c:extLst>
                <c:ext xmlns:c15="http://schemas.microsoft.com/office/drawing/2012/chart" uri="{CE6537A1-D6FC-4f65-9D91-7224C49458BB}"/>
                <c:ext xmlns:c16="http://schemas.microsoft.com/office/drawing/2014/chart" uri="{C3380CC4-5D6E-409C-BE32-E72D297353CC}">
                  <c16:uniqueId val="{00000006-FF2D-4E33-BD1D-83231D92F60F}"/>
                </c:ext>
              </c:extLst>
            </c:dLbl>
            <c:dLbl>
              <c:idx val="8"/>
              <c:delete val="1"/>
              <c:extLst>
                <c:ext xmlns:c15="http://schemas.microsoft.com/office/drawing/2012/chart" uri="{CE6537A1-D6FC-4f65-9D91-7224C49458BB}"/>
                <c:ext xmlns:c16="http://schemas.microsoft.com/office/drawing/2014/chart" uri="{C3380CC4-5D6E-409C-BE32-E72D297353CC}">
                  <c16:uniqueId val="{00000007-FF2D-4E33-BD1D-83231D92F60F}"/>
                </c:ext>
              </c:extLst>
            </c:dLbl>
            <c:dLbl>
              <c:idx val="9"/>
              <c:delete val="1"/>
              <c:extLst>
                <c:ext xmlns:c15="http://schemas.microsoft.com/office/drawing/2012/chart" uri="{CE6537A1-D6FC-4f65-9D91-7224C49458BB}"/>
                <c:ext xmlns:c16="http://schemas.microsoft.com/office/drawing/2014/chart" uri="{C3380CC4-5D6E-409C-BE32-E72D297353CC}">
                  <c16:uniqueId val="{00000008-FF2D-4E33-BD1D-83231D92F60F}"/>
                </c:ext>
              </c:extLst>
            </c:dLbl>
            <c:dLbl>
              <c:idx val="10"/>
              <c:delete val="1"/>
              <c:extLst>
                <c:ext xmlns:c15="http://schemas.microsoft.com/office/drawing/2012/chart" uri="{CE6537A1-D6FC-4f65-9D91-7224C49458BB}"/>
                <c:ext xmlns:c16="http://schemas.microsoft.com/office/drawing/2014/chart" uri="{C3380CC4-5D6E-409C-BE32-E72D297353CC}">
                  <c16:uniqueId val="{00000009-FF2D-4E33-BD1D-83231D92F60F}"/>
                </c:ext>
              </c:extLst>
            </c:dLbl>
            <c:dLbl>
              <c:idx val="11"/>
              <c:delete val="1"/>
              <c:extLst>
                <c:ext xmlns:c15="http://schemas.microsoft.com/office/drawing/2012/chart" uri="{CE6537A1-D6FC-4f65-9D91-7224C49458BB}"/>
                <c:ext xmlns:c16="http://schemas.microsoft.com/office/drawing/2014/chart" uri="{C3380CC4-5D6E-409C-BE32-E72D297353CC}">
                  <c16:uniqueId val="{0000000A-FF2D-4E33-BD1D-83231D92F60F}"/>
                </c:ext>
              </c:extLst>
            </c:dLbl>
            <c:dLbl>
              <c:idx val="12"/>
              <c:layout>
                <c:manualLayout>
                  <c:x val="0"/>
                  <c:y val="-1.8622513225466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2D-4E33-BD1D-83231D92F60F}"/>
                </c:ext>
              </c:extLst>
            </c:dLbl>
            <c:dLbl>
              <c:idx val="13"/>
              <c:delete val="1"/>
              <c:extLst>
                <c:ext xmlns:c15="http://schemas.microsoft.com/office/drawing/2012/chart" uri="{CE6537A1-D6FC-4f65-9D91-7224C49458BB}"/>
                <c:ext xmlns:c16="http://schemas.microsoft.com/office/drawing/2014/chart" uri="{C3380CC4-5D6E-409C-BE32-E72D297353CC}">
                  <c16:uniqueId val="{0000000C-FF2D-4E33-BD1D-83231D92F60F}"/>
                </c:ext>
              </c:extLst>
            </c:dLbl>
            <c:dLbl>
              <c:idx val="14"/>
              <c:delete val="1"/>
              <c:extLst>
                <c:ext xmlns:c15="http://schemas.microsoft.com/office/drawing/2012/chart" uri="{CE6537A1-D6FC-4f65-9D91-7224C49458BB}"/>
                <c:ext xmlns:c16="http://schemas.microsoft.com/office/drawing/2014/chart" uri="{C3380CC4-5D6E-409C-BE32-E72D297353CC}">
                  <c16:uniqueId val="{0000000D-FF2D-4E33-BD1D-83231D92F60F}"/>
                </c:ext>
              </c:extLst>
            </c:dLbl>
            <c:dLbl>
              <c:idx val="15"/>
              <c:delete val="1"/>
              <c:extLst>
                <c:ext xmlns:c15="http://schemas.microsoft.com/office/drawing/2012/chart" uri="{CE6537A1-D6FC-4f65-9D91-7224C49458BB}"/>
                <c:ext xmlns:c16="http://schemas.microsoft.com/office/drawing/2014/chart" uri="{C3380CC4-5D6E-409C-BE32-E72D297353CC}">
                  <c16:uniqueId val="{0000000E-FF2D-4E33-BD1D-83231D92F60F}"/>
                </c:ext>
              </c:extLst>
            </c:dLbl>
            <c:dLbl>
              <c:idx val="16"/>
              <c:delete val="1"/>
              <c:extLst>
                <c:ext xmlns:c15="http://schemas.microsoft.com/office/drawing/2012/chart" uri="{CE6537A1-D6FC-4f65-9D91-7224C49458BB}"/>
                <c:ext xmlns:c16="http://schemas.microsoft.com/office/drawing/2014/chart" uri="{C3380CC4-5D6E-409C-BE32-E72D297353CC}">
                  <c16:uniqueId val="{0000000F-FF2D-4E33-BD1D-83231D92F60F}"/>
                </c:ext>
              </c:extLst>
            </c:dLbl>
            <c:dLbl>
              <c:idx val="17"/>
              <c:delete val="1"/>
              <c:extLst>
                <c:ext xmlns:c15="http://schemas.microsoft.com/office/drawing/2012/chart" uri="{CE6537A1-D6FC-4f65-9D91-7224C49458BB}"/>
                <c:ext xmlns:c16="http://schemas.microsoft.com/office/drawing/2014/chart" uri="{C3380CC4-5D6E-409C-BE32-E72D297353CC}">
                  <c16:uniqueId val="{00000010-FF2D-4E33-BD1D-83231D92F60F}"/>
                </c:ext>
              </c:extLst>
            </c:dLbl>
            <c:dLbl>
              <c:idx val="18"/>
              <c:delete val="1"/>
              <c:extLst>
                <c:ext xmlns:c15="http://schemas.microsoft.com/office/drawing/2012/chart" uri="{CE6537A1-D6FC-4f65-9D91-7224C49458BB}"/>
                <c:ext xmlns:c16="http://schemas.microsoft.com/office/drawing/2014/chart" uri="{C3380CC4-5D6E-409C-BE32-E72D297353CC}">
                  <c16:uniqueId val="{00000011-FF2D-4E33-BD1D-83231D92F60F}"/>
                </c:ext>
              </c:extLst>
            </c:dLbl>
            <c:dLbl>
              <c:idx val="19"/>
              <c:delete val="1"/>
              <c:extLst>
                <c:ext xmlns:c15="http://schemas.microsoft.com/office/drawing/2012/chart" uri="{CE6537A1-D6FC-4f65-9D91-7224C49458BB}"/>
                <c:ext xmlns:c16="http://schemas.microsoft.com/office/drawing/2014/chart" uri="{C3380CC4-5D6E-409C-BE32-E72D297353CC}">
                  <c16:uniqueId val="{00000012-FF2D-4E33-BD1D-83231D92F60F}"/>
                </c:ext>
              </c:extLst>
            </c:dLbl>
            <c:dLbl>
              <c:idx val="20"/>
              <c:delete val="1"/>
              <c:extLst>
                <c:ext xmlns:c15="http://schemas.microsoft.com/office/drawing/2012/chart" uri="{CE6537A1-D6FC-4f65-9D91-7224C49458BB}"/>
                <c:ext xmlns:c16="http://schemas.microsoft.com/office/drawing/2014/chart" uri="{C3380CC4-5D6E-409C-BE32-E72D297353CC}">
                  <c16:uniqueId val="{00000013-FF2D-4E33-BD1D-83231D92F60F}"/>
                </c:ext>
              </c:extLst>
            </c:dLbl>
            <c:dLbl>
              <c:idx val="21"/>
              <c:delete val="1"/>
              <c:extLst>
                <c:ext xmlns:c15="http://schemas.microsoft.com/office/drawing/2012/chart" uri="{CE6537A1-D6FC-4f65-9D91-7224C49458BB}"/>
                <c:ext xmlns:c16="http://schemas.microsoft.com/office/drawing/2014/chart" uri="{C3380CC4-5D6E-409C-BE32-E72D297353CC}">
                  <c16:uniqueId val="{00000014-FF2D-4E33-BD1D-83231D92F60F}"/>
                </c:ext>
              </c:extLst>
            </c:dLbl>
            <c:dLbl>
              <c:idx val="22"/>
              <c:delete val="1"/>
              <c:extLst>
                <c:ext xmlns:c15="http://schemas.microsoft.com/office/drawing/2012/chart" uri="{CE6537A1-D6FC-4f65-9D91-7224C49458BB}"/>
                <c:ext xmlns:c16="http://schemas.microsoft.com/office/drawing/2014/chart" uri="{C3380CC4-5D6E-409C-BE32-E72D297353CC}">
                  <c16:uniqueId val="{00000015-FF2D-4E33-BD1D-83231D92F60F}"/>
                </c:ext>
              </c:extLst>
            </c:dLbl>
            <c:dLbl>
              <c:idx val="23"/>
              <c:delete val="1"/>
              <c:extLst>
                <c:ext xmlns:c15="http://schemas.microsoft.com/office/drawing/2012/chart" uri="{CE6537A1-D6FC-4f65-9D91-7224C49458BB}"/>
                <c:ext xmlns:c16="http://schemas.microsoft.com/office/drawing/2014/chart" uri="{C3380CC4-5D6E-409C-BE32-E72D297353CC}">
                  <c16:uniqueId val="{00000016-FF2D-4E33-BD1D-83231D92F60F}"/>
                </c:ext>
              </c:extLst>
            </c:dLbl>
            <c:dLbl>
              <c:idx val="25"/>
              <c:delete val="1"/>
              <c:extLst>
                <c:ext xmlns:c15="http://schemas.microsoft.com/office/drawing/2012/chart" uri="{CE6537A1-D6FC-4f65-9D91-7224C49458BB}"/>
                <c:ext xmlns:c16="http://schemas.microsoft.com/office/drawing/2014/chart" uri="{C3380CC4-5D6E-409C-BE32-E72D297353CC}">
                  <c16:uniqueId val="{00000017-FF2D-4E33-BD1D-83231D92F60F}"/>
                </c:ext>
              </c:extLst>
            </c:dLbl>
            <c:dLbl>
              <c:idx val="26"/>
              <c:delete val="1"/>
              <c:extLst>
                <c:ext xmlns:c15="http://schemas.microsoft.com/office/drawing/2012/chart" uri="{CE6537A1-D6FC-4f65-9D91-7224C49458BB}"/>
                <c:ext xmlns:c16="http://schemas.microsoft.com/office/drawing/2014/chart" uri="{C3380CC4-5D6E-409C-BE32-E72D297353CC}">
                  <c16:uniqueId val="{00000018-FF2D-4E33-BD1D-83231D92F60F}"/>
                </c:ext>
              </c:extLst>
            </c:dLbl>
            <c:dLbl>
              <c:idx val="27"/>
              <c:delete val="1"/>
              <c:extLst>
                <c:ext xmlns:c15="http://schemas.microsoft.com/office/drawing/2012/chart" uri="{CE6537A1-D6FC-4f65-9D91-7224C49458BB}"/>
                <c:ext xmlns:c16="http://schemas.microsoft.com/office/drawing/2014/chart" uri="{C3380CC4-5D6E-409C-BE32-E72D297353CC}">
                  <c16:uniqueId val="{00000019-FF2D-4E33-BD1D-83231D92F60F}"/>
                </c:ext>
              </c:extLst>
            </c:dLbl>
            <c:dLbl>
              <c:idx val="28"/>
              <c:delete val="1"/>
              <c:extLst>
                <c:ext xmlns:c15="http://schemas.microsoft.com/office/drawing/2012/chart" uri="{CE6537A1-D6FC-4f65-9D91-7224C49458BB}"/>
                <c:ext xmlns:c16="http://schemas.microsoft.com/office/drawing/2014/chart" uri="{C3380CC4-5D6E-409C-BE32-E72D297353CC}">
                  <c16:uniqueId val="{0000001A-FF2D-4E33-BD1D-83231D92F60F}"/>
                </c:ext>
              </c:extLst>
            </c:dLbl>
            <c:dLbl>
              <c:idx val="29"/>
              <c:delete val="1"/>
              <c:extLst>
                <c:ext xmlns:c15="http://schemas.microsoft.com/office/drawing/2012/chart" uri="{CE6537A1-D6FC-4f65-9D91-7224C49458BB}"/>
                <c:ext xmlns:c16="http://schemas.microsoft.com/office/drawing/2014/chart" uri="{C3380CC4-5D6E-409C-BE32-E72D297353CC}">
                  <c16:uniqueId val="{0000001B-FF2D-4E33-BD1D-83231D92F60F}"/>
                </c:ext>
              </c:extLst>
            </c:dLbl>
            <c:dLbl>
              <c:idx val="30"/>
              <c:delete val="1"/>
              <c:extLst>
                <c:ext xmlns:c15="http://schemas.microsoft.com/office/drawing/2012/chart" uri="{CE6537A1-D6FC-4f65-9D91-7224C49458BB}"/>
                <c:ext xmlns:c16="http://schemas.microsoft.com/office/drawing/2014/chart" uri="{C3380CC4-5D6E-409C-BE32-E72D297353CC}">
                  <c16:uniqueId val="{0000001C-FF2D-4E33-BD1D-83231D92F60F}"/>
                </c:ext>
              </c:extLst>
            </c:dLbl>
            <c:dLbl>
              <c:idx val="31"/>
              <c:delete val="1"/>
              <c:extLst>
                <c:ext xmlns:c15="http://schemas.microsoft.com/office/drawing/2012/chart" uri="{CE6537A1-D6FC-4f65-9D91-7224C49458BB}"/>
                <c:ext xmlns:c16="http://schemas.microsoft.com/office/drawing/2014/chart" uri="{C3380CC4-5D6E-409C-BE32-E72D297353CC}">
                  <c16:uniqueId val="{0000001D-FF2D-4E33-BD1D-83231D92F60F}"/>
                </c:ext>
              </c:extLst>
            </c:dLbl>
            <c:dLbl>
              <c:idx val="32"/>
              <c:delete val="1"/>
              <c:extLst>
                <c:ext xmlns:c15="http://schemas.microsoft.com/office/drawing/2012/chart" uri="{CE6537A1-D6FC-4f65-9D91-7224C49458BB}"/>
                <c:ext xmlns:c16="http://schemas.microsoft.com/office/drawing/2014/chart" uri="{C3380CC4-5D6E-409C-BE32-E72D297353CC}">
                  <c16:uniqueId val="{0000001E-FF2D-4E33-BD1D-83231D92F60F}"/>
                </c:ext>
              </c:extLst>
            </c:dLbl>
            <c:dLbl>
              <c:idx val="33"/>
              <c:delete val="1"/>
              <c:extLst>
                <c:ext xmlns:c15="http://schemas.microsoft.com/office/drawing/2012/chart" uri="{CE6537A1-D6FC-4f65-9D91-7224C49458BB}"/>
                <c:ext xmlns:c16="http://schemas.microsoft.com/office/drawing/2014/chart" uri="{C3380CC4-5D6E-409C-BE32-E72D297353CC}">
                  <c16:uniqueId val="{0000001F-FF2D-4E33-BD1D-83231D92F60F}"/>
                </c:ext>
              </c:extLst>
            </c:dLbl>
            <c:dLbl>
              <c:idx val="34"/>
              <c:delete val="1"/>
              <c:extLst>
                <c:ext xmlns:c15="http://schemas.microsoft.com/office/drawing/2012/chart" uri="{CE6537A1-D6FC-4f65-9D91-7224C49458BB}"/>
                <c:ext xmlns:c16="http://schemas.microsoft.com/office/drawing/2014/chart" uri="{C3380CC4-5D6E-409C-BE32-E72D297353CC}">
                  <c16:uniqueId val="{00000020-FF2D-4E33-BD1D-83231D92F60F}"/>
                </c:ext>
              </c:extLst>
            </c:dLbl>
            <c:dLbl>
              <c:idx val="35"/>
              <c:delete val="1"/>
              <c:extLst>
                <c:ext xmlns:c15="http://schemas.microsoft.com/office/drawing/2012/chart" uri="{CE6537A1-D6FC-4f65-9D91-7224C49458BB}"/>
                <c:ext xmlns:c16="http://schemas.microsoft.com/office/drawing/2014/chart" uri="{C3380CC4-5D6E-409C-BE32-E72D297353CC}">
                  <c16:uniqueId val="{00000021-FF2D-4E33-BD1D-83231D92F60F}"/>
                </c:ext>
              </c:extLst>
            </c:dLbl>
            <c:spPr>
              <a:noFill/>
              <a:ln>
                <a:noFill/>
              </a:ln>
              <a:effectLst/>
            </c:spPr>
            <c:txPr>
              <a:bodyPr/>
              <a:lstStyle/>
              <a:p>
                <a:pPr>
                  <a:defRPr sz="7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Hoja5!$N$152:$O$188</c:f>
              <c:multiLvlStrCache>
                <c:ptCount val="37"/>
                <c:lvl>
                  <c:pt idx="0">
                    <c:v>Diciembre</c:v>
                  </c:pt>
                  <c:pt idx="1">
                    <c:v>Enero</c:v>
                  </c:pt>
                  <c:pt idx="2">
                    <c:v>Febrero</c:v>
                  </c:pt>
                  <c:pt idx="3">
                    <c:v>Marzo</c:v>
                  </c:pt>
                  <c:pt idx="4">
                    <c:v>Abril</c:v>
                  </c:pt>
                  <c:pt idx="5">
                    <c:v>Mayo</c:v>
                  </c:pt>
                  <c:pt idx="6">
                    <c:v>Junio</c:v>
                  </c:pt>
                  <c:pt idx="7">
                    <c:v>Julio</c:v>
                  </c:pt>
                  <c:pt idx="8">
                    <c:v>Agosto</c:v>
                  </c:pt>
                  <c:pt idx="9">
                    <c:v>Septiembre</c:v>
                  </c:pt>
                  <c:pt idx="10">
                    <c:v>Octubre</c:v>
                  </c:pt>
                  <c:pt idx="11">
                    <c:v>Noviembre</c:v>
                  </c:pt>
                  <c:pt idx="12">
                    <c:v>Diciembre</c:v>
                  </c:pt>
                  <c:pt idx="13">
                    <c:v>Enero</c:v>
                  </c:pt>
                  <c:pt idx="14">
                    <c:v>Febrero</c:v>
                  </c:pt>
                  <c:pt idx="15">
                    <c:v>Marzo</c:v>
                  </c:pt>
                  <c:pt idx="16">
                    <c:v>Abril</c:v>
                  </c:pt>
                  <c:pt idx="17">
                    <c:v>Mayo</c:v>
                  </c:pt>
                  <c:pt idx="18">
                    <c:v>Junio</c:v>
                  </c:pt>
                  <c:pt idx="19">
                    <c:v>Julio</c:v>
                  </c:pt>
                  <c:pt idx="20">
                    <c:v>Agosto</c:v>
                  </c:pt>
                  <c:pt idx="21">
                    <c:v>Septiembre</c:v>
                  </c:pt>
                  <c:pt idx="22">
                    <c:v>Octubre</c:v>
                  </c:pt>
                  <c:pt idx="23">
                    <c:v>Noviembre</c:v>
                  </c:pt>
                  <c:pt idx="24">
                    <c:v>Diciembre</c:v>
                  </c:pt>
                  <c:pt idx="25">
                    <c:v>Enero</c:v>
                  </c:pt>
                  <c:pt idx="26">
                    <c:v>Febrero</c:v>
                  </c:pt>
                  <c:pt idx="27">
                    <c:v>Marzo</c:v>
                  </c:pt>
                  <c:pt idx="28">
                    <c:v>Abril</c:v>
                  </c:pt>
                  <c:pt idx="29">
                    <c:v>Mayo</c:v>
                  </c:pt>
                  <c:pt idx="30">
                    <c:v>Junio</c:v>
                  </c:pt>
                  <c:pt idx="31">
                    <c:v>Julio</c:v>
                  </c:pt>
                  <c:pt idx="32">
                    <c:v>Agosto</c:v>
                  </c:pt>
                  <c:pt idx="33">
                    <c:v>Septiembre</c:v>
                  </c:pt>
                  <c:pt idx="34">
                    <c:v>Octubre</c:v>
                  </c:pt>
                  <c:pt idx="35">
                    <c:v>Noviembre</c:v>
                  </c:pt>
                  <c:pt idx="36">
                    <c:v>Diciembre</c:v>
                  </c:pt>
                </c:lvl>
                <c:lvl>
                  <c:pt idx="1">
                    <c:v>2013</c:v>
                  </c:pt>
                  <c:pt idx="13">
                    <c:v>2014</c:v>
                  </c:pt>
                  <c:pt idx="25">
                    <c:v>2015</c:v>
                  </c:pt>
                </c:lvl>
              </c:multiLvlStrCache>
            </c:multiLvlStrRef>
          </c:cat>
          <c:val>
            <c:numRef>
              <c:f>Hoja5!$D$152:$D$188</c:f>
              <c:numCache>
                <c:formatCode>#,##0.0_-;[Red]\-#,##0.0_-;"-"?_-;_-@_-</c:formatCode>
                <c:ptCount val="37"/>
                <c:pt idx="0">
                  <c:v>2.6755844115977681</c:v>
                </c:pt>
                <c:pt idx="1">
                  <c:v>4.288714457953688</c:v>
                </c:pt>
                <c:pt idx="2">
                  <c:v>3.6614009018332467</c:v>
                </c:pt>
                <c:pt idx="3">
                  <c:v>0.97188340616931157</c:v>
                </c:pt>
                <c:pt idx="4">
                  <c:v>7.2955535119037194</c:v>
                </c:pt>
                <c:pt idx="5">
                  <c:v>3.9891422210860554</c:v>
                </c:pt>
                <c:pt idx="6">
                  <c:v>2.9820522876324844</c:v>
                </c:pt>
                <c:pt idx="7">
                  <c:v>4.1448236323150525</c:v>
                </c:pt>
                <c:pt idx="8">
                  <c:v>4.2133084903051952</c:v>
                </c:pt>
                <c:pt idx="9">
                  <c:v>3.8006305439768084</c:v>
                </c:pt>
                <c:pt idx="10">
                  <c:v>3.3742771327823391</c:v>
                </c:pt>
                <c:pt idx="11">
                  <c:v>3.3822709073544814</c:v>
                </c:pt>
                <c:pt idx="12">
                  <c:v>2.6141296067592208</c:v>
                </c:pt>
                <c:pt idx="13">
                  <c:v>3.1632039708706401</c:v>
                </c:pt>
                <c:pt idx="14">
                  <c:v>1.8007951476586044</c:v>
                </c:pt>
                <c:pt idx="15">
                  <c:v>5.0283454419019336</c:v>
                </c:pt>
                <c:pt idx="16">
                  <c:v>4.0252936528719658</c:v>
                </c:pt>
                <c:pt idx="17">
                  <c:v>4.4911003317828602</c:v>
                </c:pt>
                <c:pt idx="18">
                  <c:v>4.7913415371893819</c:v>
                </c:pt>
                <c:pt idx="19">
                  <c:v>5.8103927535411799</c:v>
                </c:pt>
                <c:pt idx="20">
                  <c:v>4.3847693018847593</c:v>
                </c:pt>
                <c:pt idx="21">
                  <c:v>4.0762737401363012</c:v>
                </c:pt>
                <c:pt idx="22">
                  <c:v>3.7553801568605678</c:v>
                </c:pt>
                <c:pt idx="23">
                  <c:v>4.5205215798815885</c:v>
                </c:pt>
                <c:pt idx="24">
                  <c:v>4.8912262303924479</c:v>
                </c:pt>
                <c:pt idx="25">
                  <c:v>5.1057505341426008</c:v>
                </c:pt>
                <c:pt idx="26">
                  <c:v>5.2407130870624599</c:v>
                </c:pt>
                <c:pt idx="27">
                  <c:v>4.5525276896605646</c:v>
                </c:pt>
                <c:pt idx="28">
                  <c:v>2.7312496450715713</c:v>
                </c:pt>
                <c:pt idx="29">
                  <c:v>3.3552324880700581</c:v>
                </c:pt>
                <c:pt idx="30">
                  <c:v>4.0218161728715813</c:v>
                </c:pt>
                <c:pt idx="31">
                  <c:v>3.9867254465680446</c:v>
                </c:pt>
                <c:pt idx="32">
                  <c:v>3.660106401181082</c:v>
                </c:pt>
                <c:pt idx="33">
                  <c:v>3.9035205485797349</c:v>
                </c:pt>
                <c:pt idx="34">
                  <c:v>4.983446955270125</c:v>
                </c:pt>
                <c:pt idx="35">
                  <c:v>3.7552064284666073</c:v>
                </c:pt>
                <c:pt idx="36">
                  <c:v>4.2253577066198744</c:v>
                </c:pt>
              </c:numCache>
            </c:numRef>
          </c:val>
          <c:extLst>
            <c:ext xmlns:c16="http://schemas.microsoft.com/office/drawing/2014/chart" uri="{C3380CC4-5D6E-409C-BE32-E72D297353CC}">
              <c16:uniqueId val="{00000022-FF2D-4E33-BD1D-83231D92F60F}"/>
            </c:ext>
          </c:extLst>
        </c:ser>
        <c:dLbls>
          <c:showLegendKey val="0"/>
          <c:showVal val="0"/>
          <c:showCatName val="0"/>
          <c:showSerName val="0"/>
          <c:showPercent val="0"/>
          <c:showBubbleSize val="0"/>
        </c:dLbls>
        <c:gapWidth val="26"/>
        <c:axId val="190661760"/>
        <c:axId val="190663296"/>
      </c:barChart>
      <c:lineChart>
        <c:grouping val="standard"/>
        <c:varyColors val="0"/>
        <c:ser>
          <c:idx val="1"/>
          <c:order val="1"/>
          <c:tx>
            <c:strRef>
              <c:f>Hoja5!$I$6</c:f>
              <c:strCache>
                <c:ptCount val="1"/>
                <c:pt idx="0">
                  <c:v>IMAE tendencia ciclo (variación interanual)</c:v>
                </c:pt>
              </c:strCache>
            </c:strRef>
          </c:tx>
          <c:spPr>
            <a:ln w="25400" cmpd="dbl">
              <a:solidFill>
                <a:srgbClr val="FF0000"/>
              </a:solidFill>
              <a:prstDash val="dash"/>
            </a:ln>
          </c:spPr>
          <c:marker>
            <c:symbol val="none"/>
          </c:marker>
          <c:cat>
            <c:multiLvlStrRef>
              <c:f>Hoja5!$N$152:$O$188</c:f>
              <c:multiLvlStrCache>
                <c:ptCount val="37"/>
                <c:lvl>
                  <c:pt idx="0">
                    <c:v>Diciembre</c:v>
                  </c:pt>
                  <c:pt idx="1">
                    <c:v>Enero</c:v>
                  </c:pt>
                  <c:pt idx="2">
                    <c:v>Febrero</c:v>
                  </c:pt>
                  <c:pt idx="3">
                    <c:v>Marzo</c:v>
                  </c:pt>
                  <c:pt idx="4">
                    <c:v>Abril</c:v>
                  </c:pt>
                  <c:pt idx="5">
                    <c:v>Mayo</c:v>
                  </c:pt>
                  <c:pt idx="6">
                    <c:v>Junio</c:v>
                  </c:pt>
                  <c:pt idx="7">
                    <c:v>Julio</c:v>
                  </c:pt>
                  <c:pt idx="8">
                    <c:v>Agosto</c:v>
                  </c:pt>
                  <c:pt idx="9">
                    <c:v>Septiembre</c:v>
                  </c:pt>
                  <c:pt idx="10">
                    <c:v>Octubre</c:v>
                  </c:pt>
                  <c:pt idx="11">
                    <c:v>Noviembre</c:v>
                  </c:pt>
                  <c:pt idx="12">
                    <c:v>Diciembre</c:v>
                  </c:pt>
                  <c:pt idx="13">
                    <c:v>Enero</c:v>
                  </c:pt>
                  <c:pt idx="14">
                    <c:v>Febrero</c:v>
                  </c:pt>
                  <c:pt idx="15">
                    <c:v>Marzo</c:v>
                  </c:pt>
                  <c:pt idx="16">
                    <c:v>Abril</c:v>
                  </c:pt>
                  <c:pt idx="17">
                    <c:v>Mayo</c:v>
                  </c:pt>
                  <c:pt idx="18">
                    <c:v>Junio</c:v>
                  </c:pt>
                  <c:pt idx="19">
                    <c:v>Julio</c:v>
                  </c:pt>
                  <c:pt idx="20">
                    <c:v>Agosto</c:v>
                  </c:pt>
                  <c:pt idx="21">
                    <c:v>Septiembre</c:v>
                  </c:pt>
                  <c:pt idx="22">
                    <c:v>Octubre</c:v>
                  </c:pt>
                  <c:pt idx="23">
                    <c:v>Noviembre</c:v>
                  </c:pt>
                  <c:pt idx="24">
                    <c:v>Diciembre</c:v>
                  </c:pt>
                  <c:pt idx="25">
                    <c:v>Enero</c:v>
                  </c:pt>
                  <c:pt idx="26">
                    <c:v>Febrero</c:v>
                  </c:pt>
                  <c:pt idx="27">
                    <c:v>Marzo</c:v>
                  </c:pt>
                  <c:pt idx="28">
                    <c:v>Abril</c:v>
                  </c:pt>
                  <c:pt idx="29">
                    <c:v>Mayo</c:v>
                  </c:pt>
                  <c:pt idx="30">
                    <c:v>Junio</c:v>
                  </c:pt>
                  <c:pt idx="31">
                    <c:v>Julio</c:v>
                  </c:pt>
                  <c:pt idx="32">
                    <c:v>Agosto</c:v>
                  </c:pt>
                  <c:pt idx="33">
                    <c:v>Septiembre</c:v>
                  </c:pt>
                  <c:pt idx="34">
                    <c:v>Octubre</c:v>
                  </c:pt>
                  <c:pt idx="35">
                    <c:v>Noviembre</c:v>
                  </c:pt>
                  <c:pt idx="36">
                    <c:v>Diciembre</c:v>
                  </c:pt>
                </c:lvl>
                <c:lvl>
                  <c:pt idx="1">
                    <c:v>2013</c:v>
                  </c:pt>
                  <c:pt idx="13">
                    <c:v>2014</c:v>
                  </c:pt>
                  <c:pt idx="25">
                    <c:v>2015</c:v>
                  </c:pt>
                </c:lvl>
              </c:multiLvlStrCache>
            </c:multiLvlStrRef>
          </c:cat>
          <c:val>
            <c:numRef>
              <c:f>Hoja5!$J$152:$J$188</c:f>
              <c:numCache>
                <c:formatCode>#,##0.0_-;[Red]\-#,##0.0_-;"-"?_-;_-@_-</c:formatCode>
                <c:ptCount val="37"/>
                <c:pt idx="0">
                  <c:v>3.6074345635401812</c:v>
                </c:pt>
                <c:pt idx="1">
                  <c:v>3.7685355190331364</c:v>
                </c:pt>
                <c:pt idx="2">
                  <c:v>3.8200421068721511</c:v>
                </c:pt>
                <c:pt idx="3">
                  <c:v>3.792590858945303</c:v>
                </c:pt>
                <c:pt idx="4">
                  <c:v>3.7810352934680083</c:v>
                </c:pt>
                <c:pt idx="5">
                  <c:v>3.7793834147873184</c:v>
                </c:pt>
                <c:pt idx="6">
                  <c:v>3.7833420425306201</c:v>
                </c:pt>
                <c:pt idx="7">
                  <c:v>3.7961642263360886</c:v>
                </c:pt>
                <c:pt idx="8">
                  <c:v>3.7587476555274435</c:v>
                </c:pt>
                <c:pt idx="9">
                  <c:v>3.6320611312513194</c:v>
                </c:pt>
                <c:pt idx="10">
                  <c:v>3.4508459540346479</c:v>
                </c:pt>
                <c:pt idx="11">
                  <c:v>3.2630906881363018</c:v>
                </c:pt>
                <c:pt idx="12">
                  <c:v>3.1047568218192367</c:v>
                </c:pt>
                <c:pt idx="13">
                  <c:v>3.0832507645790912</c:v>
                </c:pt>
                <c:pt idx="14">
                  <c:v>3.2570903041162893</c:v>
                </c:pt>
                <c:pt idx="15">
                  <c:v>3.6133256613186688</c:v>
                </c:pt>
                <c:pt idx="16">
                  <c:v>4.0370031383576617</c:v>
                </c:pt>
                <c:pt idx="17">
                  <c:v>4.4260818962721089</c:v>
                </c:pt>
                <c:pt idx="18">
                  <c:v>4.6956195044591311</c:v>
                </c:pt>
                <c:pt idx="19">
                  <c:v>4.7804499910000402</c:v>
                </c:pt>
                <c:pt idx="20">
                  <c:v>4.7433507245628874</c:v>
                </c:pt>
                <c:pt idx="21">
                  <c:v>4.6958700635940005</c:v>
                </c:pt>
                <c:pt idx="22">
                  <c:v>4.7161187523474695</c:v>
                </c:pt>
                <c:pt idx="23">
                  <c:v>4.8051070178640316</c:v>
                </c:pt>
                <c:pt idx="24">
                  <c:v>4.9286091389170821</c:v>
                </c:pt>
                <c:pt idx="25">
                  <c:v>4.982924290185025</c:v>
                </c:pt>
                <c:pt idx="26">
                  <c:v>4.8882635496232894</c:v>
                </c:pt>
                <c:pt idx="27">
                  <c:v>4.6555292622701927</c:v>
                </c:pt>
                <c:pt idx="28">
                  <c:v>4.3784804815561529</c:v>
                </c:pt>
                <c:pt idx="29">
                  <c:v>4.1691571264139498</c:v>
                </c:pt>
                <c:pt idx="30">
                  <c:v>4.0590728689656999</c:v>
                </c:pt>
                <c:pt idx="31">
                  <c:v>4.0558575879040148</c:v>
                </c:pt>
                <c:pt idx="32">
                  <c:v>4.1030471386943788</c:v>
                </c:pt>
                <c:pt idx="33">
                  <c:v>4.124014308719623</c:v>
                </c:pt>
                <c:pt idx="34">
                  <c:v>4.0917670944239859</c:v>
                </c:pt>
                <c:pt idx="35">
                  <c:v>4.0276834283050817</c:v>
                </c:pt>
                <c:pt idx="36">
                  <c:v>3.9476240134564051</c:v>
                </c:pt>
              </c:numCache>
            </c:numRef>
          </c:val>
          <c:smooth val="1"/>
          <c:extLst>
            <c:ext xmlns:c16="http://schemas.microsoft.com/office/drawing/2014/chart" uri="{C3380CC4-5D6E-409C-BE32-E72D297353CC}">
              <c16:uniqueId val="{00000023-FF2D-4E33-BD1D-83231D92F60F}"/>
            </c:ext>
          </c:extLst>
        </c:ser>
        <c:dLbls>
          <c:showLegendKey val="0"/>
          <c:showVal val="0"/>
          <c:showCatName val="0"/>
          <c:showSerName val="0"/>
          <c:showPercent val="0"/>
          <c:showBubbleSize val="0"/>
        </c:dLbls>
        <c:marker val="1"/>
        <c:smooth val="0"/>
        <c:axId val="190661760"/>
        <c:axId val="190663296"/>
      </c:lineChart>
      <c:catAx>
        <c:axId val="190661760"/>
        <c:scaling>
          <c:orientation val="minMax"/>
        </c:scaling>
        <c:delete val="0"/>
        <c:axPos val="b"/>
        <c:numFmt formatCode="General" sourceLinked="1"/>
        <c:majorTickMark val="out"/>
        <c:minorTickMark val="none"/>
        <c:tickLblPos val="nextTo"/>
        <c:txPr>
          <a:bodyPr/>
          <a:lstStyle/>
          <a:p>
            <a:pPr>
              <a:defRPr sz="600"/>
            </a:pPr>
            <a:endParaRPr lang="es-GT"/>
          </a:p>
        </c:txPr>
        <c:crossAx val="190663296"/>
        <c:crosses val="autoZero"/>
        <c:auto val="1"/>
        <c:lblAlgn val="ctr"/>
        <c:lblOffset val="100"/>
        <c:noMultiLvlLbl val="0"/>
      </c:catAx>
      <c:valAx>
        <c:axId val="190663296"/>
        <c:scaling>
          <c:orientation val="minMax"/>
        </c:scaling>
        <c:delete val="0"/>
        <c:axPos val="l"/>
        <c:numFmt formatCode="#,##0.0_-;[Red]\-#,##0.0_-;&quot;-&quot;?_-;_-@_-" sourceLinked="1"/>
        <c:majorTickMark val="out"/>
        <c:minorTickMark val="none"/>
        <c:tickLblPos val="nextTo"/>
        <c:txPr>
          <a:bodyPr/>
          <a:lstStyle/>
          <a:p>
            <a:pPr>
              <a:defRPr sz="600"/>
            </a:pPr>
            <a:endParaRPr lang="es-GT"/>
          </a:p>
        </c:txPr>
        <c:crossAx val="190661760"/>
        <c:crosses val="autoZero"/>
        <c:crossBetween val="between"/>
      </c:valAx>
    </c:plotArea>
    <c:legend>
      <c:legendPos val="r"/>
      <c:layout>
        <c:manualLayout>
          <c:xMode val="edge"/>
          <c:yMode val="edge"/>
          <c:x val="1.581889763779528E-2"/>
          <c:y val="0.87943751822688832"/>
          <c:w val="0.98418110236220469"/>
          <c:h val="0.1205624817731117"/>
        </c:manualLayout>
      </c:layout>
      <c:overlay val="0"/>
      <c:txPr>
        <a:bodyPr/>
        <a:lstStyle/>
        <a:p>
          <a:pPr>
            <a:defRPr sz="700"/>
          </a:pPr>
          <a:endParaRPr lang="es-GT"/>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s-G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D0D9E-8F3F-40D2-BD7B-62E97BB9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2128</Words>
  <Characters>11706</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Rodas Anleu</dc:creator>
  <cp:lastModifiedBy>Saul Enrique De León Meneses</cp:lastModifiedBy>
  <cp:revision>2</cp:revision>
  <cp:lastPrinted>2014-03-08T04:17:00Z</cp:lastPrinted>
  <dcterms:created xsi:type="dcterms:W3CDTF">2018-05-14T22:03:00Z</dcterms:created>
  <dcterms:modified xsi:type="dcterms:W3CDTF">2018-05-14T22:03:00Z</dcterms:modified>
</cp:coreProperties>
</file>