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357" w:rsidRDefault="007C4357">
      <w:pPr>
        <w:rPr>
          <w:rFonts w:ascii="Times New Roman" w:hAnsi="Times New Roman" w:cs="Times New Roman"/>
          <w:b/>
          <w:lang w:val="es-MX"/>
        </w:rPr>
      </w:pPr>
      <w:bookmarkStart w:id="0" w:name="_GoBack"/>
      <w:bookmarkEnd w:id="0"/>
    </w:p>
    <w:p w:rsidR="007C4357" w:rsidRPr="007C4357" w:rsidRDefault="007C4357" w:rsidP="007C4357">
      <w:pPr>
        <w:rPr>
          <w:rFonts w:ascii="Times New Roman" w:hAnsi="Times New Roman" w:cs="Times New Roman"/>
          <w:lang w:val="es-MX"/>
        </w:rPr>
      </w:pPr>
    </w:p>
    <w:p w:rsidR="007C4357" w:rsidRPr="007C4357" w:rsidRDefault="007C4357" w:rsidP="007C4357">
      <w:pPr>
        <w:rPr>
          <w:rFonts w:ascii="Times New Roman" w:hAnsi="Times New Roman" w:cs="Times New Roman"/>
          <w:lang w:val="es-MX"/>
        </w:rPr>
      </w:pPr>
    </w:p>
    <w:p w:rsidR="007C4357" w:rsidRPr="007C4357" w:rsidRDefault="007C4357" w:rsidP="007C4357">
      <w:pPr>
        <w:rPr>
          <w:rFonts w:ascii="Times New Roman" w:hAnsi="Times New Roman" w:cs="Times New Roman"/>
          <w:lang w:val="es-MX"/>
        </w:rPr>
      </w:pPr>
    </w:p>
    <w:p w:rsidR="007C4357" w:rsidRPr="007C4357" w:rsidRDefault="007C4357" w:rsidP="007C4357">
      <w:pPr>
        <w:rPr>
          <w:rFonts w:ascii="Times New Roman" w:hAnsi="Times New Roman" w:cs="Times New Roman"/>
          <w:lang w:val="es-MX"/>
        </w:rPr>
      </w:pPr>
    </w:p>
    <w:p w:rsidR="007C4357" w:rsidRPr="007C4357" w:rsidRDefault="007C4357" w:rsidP="007C4357">
      <w:pPr>
        <w:rPr>
          <w:rFonts w:ascii="Times New Roman" w:hAnsi="Times New Roman" w:cs="Times New Roman"/>
          <w:lang w:val="es-MX"/>
        </w:rPr>
      </w:pPr>
    </w:p>
    <w:p w:rsidR="007C4357" w:rsidRPr="007C4357" w:rsidRDefault="007C4357" w:rsidP="007C4357">
      <w:pPr>
        <w:rPr>
          <w:rFonts w:ascii="Times New Roman" w:hAnsi="Times New Roman" w:cs="Times New Roman"/>
          <w:lang w:val="es-MX"/>
        </w:rPr>
      </w:pPr>
    </w:p>
    <w:p w:rsidR="007C4357" w:rsidRPr="007C4357" w:rsidRDefault="007C4357" w:rsidP="007C4357">
      <w:pPr>
        <w:rPr>
          <w:rFonts w:ascii="Times New Roman" w:hAnsi="Times New Roman" w:cs="Times New Roman"/>
          <w:lang w:val="es-MX"/>
        </w:rPr>
      </w:pPr>
    </w:p>
    <w:p w:rsidR="007C4357" w:rsidRPr="007C4357" w:rsidRDefault="007C4357" w:rsidP="007C4357">
      <w:pPr>
        <w:rPr>
          <w:rFonts w:ascii="Times New Roman" w:hAnsi="Times New Roman" w:cs="Times New Roman"/>
          <w:lang w:val="es-MX"/>
        </w:rPr>
      </w:pPr>
    </w:p>
    <w:p w:rsidR="007C4357" w:rsidRDefault="007C4357" w:rsidP="007C4357">
      <w:pPr>
        <w:ind w:firstLine="708"/>
        <w:rPr>
          <w:rFonts w:ascii="Times New Roman" w:hAnsi="Times New Roman" w:cs="Times New Roman"/>
          <w:lang w:val="es-MX"/>
        </w:rPr>
      </w:pPr>
    </w:p>
    <w:p w:rsidR="007C4357" w:rsidRPr="007C4357" w:rsidRDefault="007C4357" w:rsidP="007C4357">
      <w:pPr>
        <w:jc w:val="center"/>
        <w:rPr>
          <w:rFonts w:ascii="Times New Roman" w:hAnsi="Times New Roman" w:cs="Times New Roman"/>
          <w:b/>
          <w:sz w:val="48"/>
          <w:lang w:val="es-MX"/>
        </w:rPr>
      </w:pPr>
      <w:r w:rsidRPr="007C4357">
        <w:rPr>
          <w:rFonts w:ascii="Times New Roman" w:hAnsi="Times New Roman" w:cs="Times New Roman"/>
          <w:b/>
          <w:sz w:val="48"/>
          <w:lang w:val="es-MX"/>
        </w:rPr>
        <w:t>Informe mensual de las Finanzas Públicas</w:t>
      </w:r>
    </w:p>
    <w:p w:rsidR="007C4357" w:rsidRPr="007C4357" w:rsidRDefault="007C4357" w:rsidP="007C4357">
      <w:pPr>
        <w:jc w:val="center"/>
        <w:rPr>
          <w:rFonts w:ascii="Times New Roman" w:hAnsi="Times New Roman" w:cs="Times New Roman"/>
          <w:b/>
          <w:sz w:val="48"/>
          <w:lang w:val="es-MX"/>
        </w:rPr>
      </w:pPr>
      <w:r w:rsidRPr="007C4357">
        <w:rPr>
          <w:rFonts w:ascii="Times New Roman" w:hAnsi="Times New Roman" w:cs="Times New Roman"/>
          <w:b/>
          <w:sz w:val="48"/>
          <w:lang w:val="es-MX"/>
        </w:rPr>
        <w:t>Abril 2015</w:t>
      </w:r>
    </w:p>
    <w:p w:rsidR="007C4357" w:rsidRDefault="007C4357" w:rsidP="007C4357">
      <w:pPr>
        <w:ind w:firstLine="708"/>
        <w:rPr>
          <w:rFonts w:ascii="Times New Roman" w:hAnsi="Times New Roman" w:cs="Times New Roman"/>
          <w:lang w:val="es-MX"/>
        </w:rPr>
      </w:pPr>
    </w:p>
    <w:p w:rsidR="007C4357" w:rsidRDefault="007C4357">
      <w:pPr>
        <w:rPr>
          <w:rFonts w:ascii="Times New Roman" w:hAnsi="Times New Roman" w:cs="Times New Roman"/>
          <w:b/>
          <w:lang w:val="es-MX"/>
        </w:rPr>
      </w:pPr>
      <w:r w:rsidRPr="007C4357">
        <w:rPr>
          <w:rFonts w:ascii="Times New Roman" w:hAnsi="Times New Roman" w:cs="Times New Roman"/>
          <w:lang w:val="es-MX"/>
        </w:rPr>
        <w:br w:type="page"/>
      </w:r>
    </w:p>
    <w:p w:rsidR="00052EE7" w:rsidRPr="00D367EB" w:rsidRDefault="000B56B6" w:rsidP="00052EE7">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color w:val="FF0000"/>
          <w:lang w:val="es-MX"/>
        </w:rPr>
      </w:pPr>
      <w:r>
        <w:rPr>
          <w:rFonts w:ascii="Times New Roman" w:hAnsi="Times New Roman" w:cs="Times New Roman"/>
          <w:b/>
          <w:lang w:val="es-MX"/>
        </w:rPr>
        <w:lastRenderedPageBreak/>
        <w:t xml:space="preserve">Crecimiento interanual en </w:t>
      </w:r>
      <w:r w:rsidR="006644F2" w:rsidRPr="006644F2">
        <w:rPr>
          <w:rFonts w:ascii="Times New Roman" w:hAnsi="Times New Roman" w:cs="Times New Roman"/>
          <w:b/>
          <w:lang w:val="es-MX"/>
        </w:rPr>
        <w:t>recaudación tributaria</w:t>
      </w:r>
      <w:r>
        <w:rPr>
          <w:rFonts w:ascii="Times New Roman" w:hAnsi="Times New Roman" w:cs="Times New Roman"/>
          <w:b/>
          <w:lang w:val="es-MX"/>
        </w:rPr>
        <w:t xml:space="preserve"> del primer cuatrimestre</w:t>
      </w:r>
      <w:r w:rsidR="00052EE7" w:rsidRPr="00D367EB">
        <w:rPr>
          <w:rFonts w:ascii="Times New Roman" w:hAnsi="Times New Roman" w:cs="Times New Roman"/>
          <w:b/>
          <w:color w:val="FF0000"/>
          <w:lang w:val="es-MX"/>
        </w:rPr>
        <w:t xml:space="preserve"> </w:t>
      </w:r>
    </w:p>
    <w:p w:rsidR="00052EE7" w:rsidRPr="00D367EB" w:rsidRDefault="00052EE7" w:rsidP="00052EE7">
      <w:pPr>
        <w:pStyle w:val="Sinespaciado"/>
        <w:jc w:val="center"/>
        <w:rPr>
          <w:rFonts w:ascii="Times New Roman" w:hAnsi="Times New Roman" w:cs="Times New Roman"/>
          <w:b/>
          <w:color w:val="FF0000"/>
          <w:lang w:val="es-MX"/>
        </w:rPr>
      </w:pPr>
    </w:p>
    <w:p w:rsidR="00052EE7" w:rsidRPr="00D367EB" w:rsidRDefault="00052EE7" w:rsidP="00052EE7">
      <w:pPr>
        <w:pStyle w:val="Sinespaciado"/>
        <w:jc w:val="both"/>
        <w:rPr>
          <w:rFonts w:ascii="Times New Roman" w:hAnsi="Times New Roman" w:cs="Times New Roman"/>
          <w:color w:val="FF0000"/>
          <w:lang w:val="es-MX"/>
        </w:rPr>
        <w:sectPr w:rsidR="00052EE7" w:rsidRPr="00D367EB" w:rsidSect="00F334C1">
          <w:headerReference w:type="default" r:id="rId8"/>
          <w:footerReference w:type="default" r:id="rId9"/>
          <w:type w:val="continuous"/>
          <w:pgSz w:w="12240" w:h="15840"/>
          <w:pgMar w:top="1417" w:right="1701" w:bottom="1417" w:left="1701" w:header="708" w:footer="708" w:gutter="0"/>
          <w:cols w:space="708"/>
          <w:docGrid w:linePitch="360"/>
        </w:sectPr>
      </w:pPr>
    </w:p>
    <w:p w:rsidR="000B56B6" w:rsidRDefault="000B56B6" w:rsidP="000B56B6">
      <w:pPr>
        <w:spacing w:after="0" w:line="240" w:lineRule="auto"/>
        <w:jc w:val="both"/>
        <w:rPr>
          <w:rFonts w:ascii="Times New Roman" w:hAnsi="Times New Roman" w:cs="Times New Roman"/>
          <w:lang w:val="es-MX"/>
        </w:rPr>
      </w:pPr>
      <w:r w:rsidRPr="00BC2F0C">
        <w:rPr>
          <w:rFonts w:ascii="Times New Roman" w:hAnsi="Times New Roman" w:cs="Times New Roman"/>
          <w:lang w:val="es-MX"/>
        </w:rPr>
        <w:t>Cifras acumuladas a abril dan cuenta de un crecimiento de 2.6% (Q 449.</w:t>
      </w:r>
      <w:r>
        <w:rPr>
          <w:rFonts w:ascii="Times New Roman" w:hAnsi="Times New Roman" w:cs="Times New Roman"/>
          <w:lang w:val="es-MX"/>
        </w:rPr>
        <w:t>9</w:t>
      </w:r>
      <w:r w:rsidRPr="00BC2F0C">
        <w:rPr>
          <w:rFonts w:ascii="Times New Roman" w:hAnsi="Times New Roman" w:cs="Times New Roman"/>
          <w:lang w:val="es-MX"/>
        </w:rPr>
        <w:t xml:space="preserve"> millones) respecto a lo observado el año anterior, dicho crecimiento está influenciado principalmente por la recaudación del impuesto de solidaridad</w:t>
      </w:r>
      <w:r>
        <w:rPr>
          <w:rFonts w:ascii="Times New Roman" w:hAnsi="Times New Roman" w:cs="Times New Roman"/>
          <w:lang w:val="es-MX"/>
        </w:rPr>
        <w:t>,</w:t>
      </w:r>
      <w:r w:rsidRPr="00BC2F0C">
        <w:rPr>
          <w:rFonts w:ascii="Times New Roman" w:hAnsi="Times New Roman" w:cs="Times New Roman"/>
          <w:lang w:val="es-MX"/>
        </w:rPr>
        <w:t xml:space="preserve"> el IVA asociado al consumo interno</w:t>
      </w:r>
      <w:r>
        <w:rPr>
          <w:rFonts w:ascii="Times New Roman" w:hAnsi="Times New Roman" w:cs="Times New Roman"/>
          <w:lang w:val="es-MX"/>
        </w:rPr>
        <w:t xml:space="preserve"> y a los derivados del petróleo</w:t>
      </w:r>
      <w:r w:rsidR="009F04C0">
        <w:rPr>
          <w:rFonts w:ascii="Times New Roman" w:hAnsi="Times New Roman" w:cs="Times New Roman"/>
          <w:lang w:val="es-MX"/>
        </w:rPr>
        <w:t xml:space="preserve">.  Mientras que </w:t>
      </w:r>
      <w:r w:rsidRPr="00BC2F0C">
        <w:rPr>
          <w:rFonts w:ascii="Times New Roman" w:hAnsi="Times New Roman" w:cs="Times New Roman"/>
          <w:lang w:val="es-MX"/>
        </w:rPr>
        <w:t xml:space="preserve">con relación a la meta establecida por SAT se </w:t>
      </w:r>
      <w:r w:rsidR="009F04C0">
        <w:rPr>
          <w:rFonts w:ascii="Times New Roman" w:hAnsi="Times New Roman" w:cs="Times New Roman"/>
          <w:lang w:val="es-MX"/>
        </w:rPr>
        <w:t xml:space="preserve">registra </w:t>
      </w:r>
      <w:r w:rsidRPr="00BC2F0C">
        <w:rPr>
          <w:rFonts w:ascii="Times New Roman" w:hAnsi="Times New Roman" w:cs="Times New Roman"/>
          <w:lang w:val="es-MX"/>
        </w:rPr>
        <w:t>una brecha negativa de Q 1,24</w:t>
      </w:r>
      <w:r>
        <w:rPr>
          <w:rFonts w:ascii="Times New Roman" w:hAnsi="Times New Roman" w:cs="Times New Roman"/>
          <w:lang w:val="es-MX"/>
        </w:rPr>
        <w:t>7.7</w:t>
      </w:r>
      <w:r w:rsidRPr="00BC2F0C">
        <w:rPr>
          <w:rFonts w:ascii="Times New Roman" w:hAnsi="Times New Roman" w:cs="Times New Roman"/>
          <w:lang w:val="es-MX"/>
        </w:rPr>
        <w:t xml:space="preserve"> millones la cual se genera principalmente por el ISR, el IVA total </w:t>
      </w:r>
      <w:r>
        <w:rPr>
          <w:rFonts w:ascii="Times New Roman" w:hAnsi="Times New Roman" w:cs="Times New Roman"/>
          <w:lang w:val="es-MX"/>
        </w:rPr>
        <w:t xml:space="preserve">(IVA asociado al consumo interno e IVA asociado al comercio externo), </w:t>
      </w:r>
      <w:r w:rsidRPr="00BC2F0C">
        <w:rPr>
          <w:rFonts w:ascii="Times New Roman" w:hAnsi="Times New Roman" w:cs="Times New Roman"/>
          <w:lang w:val="es-MX"/>
        </w:rPr>
        <w:t>el impuesto a la telefonía</w:t>
      </w:r>
      <w:r>
        <w:rPr>
          <w:rFonts w:ascii="Times New Roman" w:hAnsi="Times New Roman" w:cs="Times New Roman"/>
          <w:lang w:val="es-MX"/>
        </w:rPr>
        <w:t xml:space="preserve"> (Aún continua suspendido por la Corte de Constitucionalidad) </w:t>
      </w:r>
      <w:r w:rsidRPr="00BC2F0C">
        <w:rPr>
          <w:rFonts w:ascii="Times New Roman" w:hAnsi="Times New Roman" w:cs="Times New Roman"/>
          <w:lang w:val="es-MX"/>
        </w:rPr>
        <w:t xml:space="preserve"> y el impuesto a las regalías e hidrocarburos compartibles.</w:t>
      </w:r>
    </w:p>
    <w:p w:rsidR="000B56B6" w:rsidRDefault="000B56B6" w:rsidP="000B56B6">
      <w:pPr>
        <w:spacing w:after="0" w:line="240" w:lineRule="auto"/>
        <w:jc w:val="both"/>
        <w:rPr>
          <w:rFonts w:ascii="Times New Roman" w:hAnsi="Times New Roman" w:cs="Times New Roman"/>
          <w:lang w:val="es-MX"/>
        </w:rPr>
      </w:pPr>
    </w:p>
    <w:p w:rsidR="000B56B6" w:rsidRPr="000B56B6" w:rsidRDefault="000B56B6" w:rsidP="000B56B6">
      <w:pPr>
        <w:spacing w:after="0" w:line="240" w:lineRule="auto"/>
        <w:jc w:val="center"/>
        <w:rPr>
          <w:rFonts w:ascii="Times New Roman" w:hAnsi="Times New Roman" w:cs="Times New Roman"/>
          <w:b/>
          <w:lang w:val="es-MX"/>
        </w:rPr>
      </w:pPr>
      <w:r w:rsidRPr="000B56B6">
        <w:rPr>
          <w:rFonts w:ascii="Times New Roman" w:hAnsi="Times New Roman" w:cs="Times New Roman"/>
          <w:b/>
          <w:lang w:val="es-MX"/>
        </w:rPr>
        <w:t>Brecha fiscal al mes de abril</w:t>
      </w:r>
    </w:p>
    <w:p w:rsidR="000B56B6" w:rsidRPr="000B56B6" w:rsidRDefault="000B56B6" w:rsidP="000B56B6">
      <w:pPr>
        <w:spacing w:after="0" w:line="240" w:lineRule="auto"/>
        <w:jc w:val="center"/>
        <w:rPr>
          <w:rFonts w:ascii="Times New Roman" w:hAnsi="Times New Roman" w:cs="Times New Roman"/>
          <w:sz w:val="18"/>
          <w:lang w:val="es-MX"/>
        </w:rPr>
      </w:pPr>
      <w:r w:rsidRPr="000B56B6">
        <w:rPr>
          <w:rFonts w:ascii="Times New Roman" w:hAnsi="Times New Roman" w:cs="Times New Roman"/>
          <w:sz w:val="18"/>
          <w:lang w:val="es-MX"/>
        </w:rPr>
        <w:t>Millones de quetzales</w:t>
      </w:r>
    </w:p>
    <w:p w:rsidR="000B56B6" w:rsidRDefault="000B56B6" w:rsidP="000B56B6">
      <w:pPr>
        <w:spacing w:after="0" w:line="240" w:lineRule="auto"/>
        <w:jc w:val="both"/>
        <w:rPr>
          <w:rFonts w:ascii="Times New Roman" w:hAnsi="Times New Roman" w:cs="Times New Roman"/>
          <w:lang w:val="es-MX"/>
        </w:rPr>
      </w:pPr>
      <w:r w:rsidRPr="000B56B6">
        <w:rPr>
          <w:rFonts w:ascii="Times New Roman" w:hAnsi="Times New Roman" w:cs="Times New Roman"/>
          <w:noProof/>
          <w:lang w:eastAsia="es-GT"/>
        </w:rPr>
        <w:drawing>
          <wp:inline distT="0" distB="0" distL="0" distR="0" wp14:anchorId="0A6DCA5A" wp14:editId="30F88236">
            <wp:extent cx="2796056" cy="2050793"/>
            <wp:effectExtent l="0" t="0" r="4445" b="698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56B6" w:rsidRPr="000B56B6" w:rsidRDefault="000B56B6" w:rsidP="000B56B6">
      <w:pPr>
        <w:spacing w:after="0" w:line="240" w:lineRule="auto"/>
        <w:rPr>
          <w:rFonts w:ascii="Times New Roman" w:hAnsi="Times New Roman" w:cs="Times New Roman"/>
          <w:sz w:val="14"/>
          <w:lang w:val="es-MX"/>
        </w:rPr>
      </w:pPr>
      <w:r w:rsidRPr="000B56B6">
        <w:rPr>
          <w:rFonts w:ascii="Times New Roman" w:hAnsi="Times New Roman" w:cs="Times New Roman"/>
          <w:sz w:val="14"/>
          <w:lang w:val="es-MX"/>
        </w:rPr>
        <w:t>Fuente: Dirección de Análisis y Política Fiscal</w:t>
      </w:r>
    </w:p>
    <w:p w:rsidR="000B56B6" w:rsidRDefault="000B56B6" w:rsidP="000B56B6">
      <w:pPr>
        <w:spacing w:after="0" w:line="240" w:lineRule="auto"/>
        <w:jc w:val="both"/>
        <w:rPr>
          <w:rFonts w:ascii="Times New Roman" w:hAnsi="Times New Roman" w:cs="Times New Roman"/>
          <w:lang w:val="es-MX"/>
        </w:rPr>
      </w:pPr>
    </w:p>
    <w:p w:rsidR="009F04C0" w:rsidRDefault="000B56B6" w:rsidP="000B56B6">
      <w:pPr>
        <w:spacing w:after="0" w:line="240" w:lineRule="auto"/>
        <w:jc w:val="both"/>
        <w:rPr>
          <w:rFonts w:ascii="Times New Roman" w:hAnsi="Times New Roman" w:cs="Times New Roman"/>
          <w:lang w:val="es-MX"/>
        </w:rPr>
      </w:pPr>
      <w:r>
        <w:rPr>
          <w:rFonts w:ascii="Times New Roman" w:hAnsi="Times New Roman" w:cs="Times New Roman"/>
          <w:lang w:val="es-MX"/>
        </w:rPr>
        <w:t>Factores importantes a destacar del porque se generó una brecha negativa en la recaudación a abril son el aplazamiento de la Corte de Constitucionalidad en la resolución de las acciones interpuestas al impuesto a la telefonía del cual se ha dejado de percibir     Q 356.9 millones, la caída en la recaudación de aduanas que está determinada principalmente por el IVA asociado al comercio</w:t>
      </w:r>
      <w:r w:rsidR="009F04C0">
        <w:rPr>
          <w:rFonts w:ascii="Times New Roman" w:hAnsi="Times New Roman" w:cs="Times New Roman"/>
          <w:lang w:val="es-MX"/>
        </w:rPr>
        <w:t xml:space="preserve"> exterior</w:t>
      </w:r>
      <w:r>
        <w:rPr>
          <w:rFonts w:ascii="Times New Roman" w:hAnsi="Times New Roman" w:cs="Times New Roman"/>
          <w:lang w:val="es-MX"/>
        </w:rPr>
        <w:t xml:space="preserve"> que a abril cayó 4.1% </w:t>
      </w:r>
      <w:r w:rsidR="001D2B7F">
        <w:rPr>
          <w:rFonts w:ascii="Times New Roman" w:hAnsi="Times New Roman" w:cs="Times New Roman"/>
          <w:lang w:val="es-MX"/>
        </w:rPr>
        <w:t xml:space="preserve">     </w:t>
      </w:r>
      <w:r>
        <w:rPr>
          <w:rFonts w:ascii="Times New Roman" w:hAnsi="Times New Roman" w:cs="Times New Roman"/>
          <w:lang w:val="es-MX"/>
        </w:rPr>
        <w:t>(Q 172.8 millones) de manera interanual, el impacto negativo de la caída (46.5%) en el  precio internacional del petróleo el cual tiene un efecto combinado en la recaudación por un lado es positivo en la recaudación del impuesto a los derivados del petróleo creciendo 24.9% (Q 200.3 millones) respecto al año anterior y negativo en el impuesto a las regalías e hidrocarburos compartibles las cuales han caído en 69.7% (Q 134 millones)</w:t>
      </w:r>
      <w:r w:rsidR="009F04C0">
        <w:rPr>
          <w:rFonts w:ascii="Times New Roman" w:hAnsi="Times New Roman" w:cs="Times New Roman"/>
          <w:lang w:val="es-MX"/>
        </w:rPr>
        <w:t xml:space="preserve"> respecto al año anterior.</w:t>
      </w:r>
    </w:p>
    <w:p w:rsidR="009F04C0" w:rsidRDefault="009F04C0" w:rsidP="000B56B6">
      <w:pPr>
        <w:spacing w:after="0" w:line="240" w:lineRule="auto"/>
        <w:jc w:val="both"/>
        <w:rPr>
          <w:rFonts w:ascii="Times New Roman" w:hAnsi="Times New Roman" w:cs="Times New Roman"/>
          <w:lang w:val="es-MX"/>
        </w:rPr>
      </w:pPr>
    </w:p>
    <w:p w:rsidR="000B56B6" w:rsidRDefault="009F04C0" w:rsidP="000B56B6">
      <w:pPr>
        <w:spacing w:after="0" w:line="240" w:lineRule="auto"/>
        <w:jc w:val="both"/>
        <w:rPr>
          <w:rFonts w:ascii="Times New Roman" w:hAnsi="Times New Roman" w:cs="Times New Roman"/>
          <w:lang w:val="es-MX"/>
        </w:rPr>
      </w:pPr>
      <w:r>
        <w:rPr>
          <w:rFonts w:ascii="Times New Roman" w:hAnsi="Times New Roman" w:cs="Times New Roman"/>
          <w:lang w:val="es-MX"/>
        </w:rPr>
        <w:t>O</w:t>
      </w:r>
      <w:r w:rsidR="000B56B6">
        <w:rPr>
          <w:rFonts w:ascii="Times New Roman" w:hAnsi="Times New Roman" w:cs="Times New Roman"/>
          <w:lang w:val="es-MX"/>
        </w:rPr>
        <w:t>tro tema a destacar son las medidas de política que se incluyen en las metas de recaudación las cuales tendrá que cumplir la SAT a través de medidas administrativas</w:t>
      </w:r>
      <w:r>
        <w:rPr>
          <w:rFonts w:ascii="Times New Roman" w:hAnsi="Times New Roman" w:cs="Times New Roman"/>
          <w:lang w:val="es-MX"/>
        </w:rPr>
        <w:t>.  A</w:t>
      </w:r>
      <w:r w:rsidR="000B56B6">
        <w:rPr>
          <w:rFonts w:ascii="Times New Roman" w:hAnsi="Times New Roman" w:cs="Times New Roman"/>
          <w:lang w:val="es-MX"/>
        </w:rPr>
        <w:t xml:space="preserve">l mes de abril ascienden a Q </w:t>
      </w:r>
      <w:r w:rsidR="001D2B7F">
        <w:rPr>
          <w:rFonts w:ascii="Times New Roman" w:hAnsi="Times New Roman" w:cs="Times New Roman"/>
          <w:lang w:val="es-MX"/>
        </w:rPr>
        <w:t xml:space="preserve">493.2 </w:t>
      </w:r>
      <w:r w:rsidR="000B56B6">
        <w:rPr>
          <w:rFonts w:ascii="Times New Roman" w:hAnsi="Times New Roman" w:cs="Times New Roman"/>
          <w:lang w:val="es-MX"/>
        </w:rPr>
        <w:t xml:space="preserve">millones, restando estas adversidades se tiene una brecha negativa de menor cuantía (Q </w:t>
      </w:r>
      <w:r w:rsidR="001D2B7F">
        <w:rPr>
          <w:rFonts w:ascii="Times New Roman" w:hAnsi="Times New Roman" w:cs="Times New Roman"/>
          <w:lang w:val="es-MX"/>
        </w:rPr>
        <w:t>397.6</w:t>
      </w:r>
      <w:r w:rsidR="000B56B6">
        <w:rPr>
          <w:rFonts w:ascii="Times New Roman" w:hAnsi="Times New Roman" w:cs="Times New Roman"/>
          <w:lang w:val="es-MX"/>
        </w:rPr>
        <w:t>.9 millones).</w:t>
      </w:r>
    </w:p>
    <w:p w:rsidR="000B56B6" w:rsidRDefault="000B56B6" w:rsidP="000B56B6">
      <w:pPr>
        <w:spacing w:after="0" w:line="240" w:lineRule="auto"/>
        <w:jc w:val="both"/>
        <w:rPr>
          <w:rFonts w:ascii="Times New Roman" w:hAnsi="Times New Roman" w:cs="Times New Roman"/>
          <w:lang w:val="es-MX"/>
        </w:rPr>
      </w:pPr>
    </w:p>
    <w:p w:rsidR="000B56B6" w:rsidRPr="000B56B6" w:rsidRDefault="000B56B6" w:rsidP="000B56B6">
      <w:pPr>
        <w:spacing w:after="0" w:line="240" w:lineRule="auto"/>
        <w:jc w:val="center"/>
        <w:rPr>
          <w:rFonts w:ascii="Times New Roman" w:hAnsi="Times New Roman" w:cs="Times New Roman"/>
          <w:b/>
          <w:lang w:val="es-MX"/>
        </w:rPr>
      </w:pPr>
      <w:r w:rsidRPr="000B56B6">
        <w:rPr>
          <w:rFonts w:ascii="Times New Roman" w:hAnsi="Times New Roman" w:cs="Times New Roman"/>
          <w:b/>
          <w:lang w:val="es-MX"/>
        </w:rPr>
        <w:t>Recaudación tributaria</w:t>
      </w:r>
    </w:p>
    <w:p w:rsidR="000B56B6" w:rsidRPr="000B56B6" w:rsidRDefault="000B56B6" w:rsidP="000B56B6">
      <w:pPr>
        <w:spacing w:after="0" w:line="240" w:lineRule="auto"/>
        <w:jc w:val="center"/>
        <w:rPr>
          <w:rFonts w:ascii="Times New Roman" w:hAnsi="Times New Roman" w:cs="Times New Roman"/>
          <w:sz w:val="18"/>
          <w:lang w:val="es-MX"/>
        </w:rPr>
      </w:pPr>
      <w:r w:rsidRPr="000B56B6">
        <w:rPr>
          <w:rFonts w:ascii="Times New Roman" w:hAnsi="Times New Roman" w:cs="Times New Roman"/>
          <w:sz w:val="18"/>
          <w:lang w:val="es-MX"/>
        </w:rPr>
        <w:t>Millones de quetzales</w:t>
      </w:r>
    </w:p>
    <w:p w:rsidR="000B56B6" w:rsidRDefault="000B56B6" w:rsidP="000B56B6">
      <w:pPr>
        <w:spacing w:after="0" w:line="240" w:lineRule="auto"/>
        <w:jc w:val="both"/>
        <w:rPr>
          <w:rFonts w:ascii="Times New Roman" w:hAnsi="Times New Roman" w:cs="Times New Roman"/>
          <w:lang w:val="es-MX"/>
        </w:rPr>
      </w:pPr>
      <w:r w:rsidRPr="000B56B6">
        <w:rPr>
          <w:rFonts w:ascii="Times New Roman" w:hAnsi="Times New Roman" w:cs="Times New Roman"/>
          <w:noProof/>
          <w:lang w:eastAsia="es-GT"/>
        </w:rPr>
        <w:drawing>
          <wp:inline distT="0" distB="0" distL="0" distR="0" wp14:anchorId="512B323D" wp14:editId="013326E1">
            <wp:extent cx="2552700" cy="226695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56B6" w:rsidRPr="000B56B6" w:rsidRDefault="000B56B6" w:rsidP="000B56B6">
      <w:pPr>
        <w:spacing w:after="0" w:line="240" w:lineRule="auto"/>
        <w:rPr>
          <w:rFonts w:ascii="Times New Roman" w:hAnsi="Times New Roman" w:cs="Times New Roman"/>
          <w:sz w:val="14"/>
          <w:lang w:val="es-MX"/>
        </w:rPr>
      </w:pPr>
      <w:r w:rsidRPr="000B56B6">
        <w:rPr>
          <w:rFonts w:ascii="Times New Roman" w:hAnsi="Times New Roman" w:cs="Times New Roman"/>
          <w:sz w:val="14"/>
          <w:lang w:val="es-MX"/>
        </w:rPr>
        <w:t>Fuente: Dirección de Análisis y Política Fiscal</w:t>
      </w:r>
    </w:p>
    <w:p w:rsidR="000B56B6" w:rsidRDefault="000B56B6" w:rsidP="000B56B6">
      <w:pPr>
        <w:spacing w:after="0" w:line="240" w:lineRule="auto"/>
        <w:jc w:val="both"/>
        <w:rPr>
          <w:rFonts w:ascii="Times New Roman" w:hAnsi="Times New Roman" w:cs="Times New Roman"/>
          <w:lang w:val="es-MX"/>
        </w:rPr>
      </w:pPr>
    </w:p>
    <w:p w:rsidR="000B56B6" w:rsidRDefault="000B56B6" w:rsidP="000B56B6">
      <w:pPr>
        <w:spacing w:after="0" w:line="240" w:lineRule="auto"/>
        <w:jc w:val="both"/>
        <w:rPr>
          <w:rFonts w:ascii="Times New Roman" w:hAnsi="Times New Roman" w:cs="Times New Roman"/>
          <w:lang w:val="es-MX"/>
        </w:rPr>
      </w:pPr>
      <w:r>
        <w:rPr>
          <w:rFonts w:ascii="Times New Roman" w:hAnsi="Times New Roman" w:cs="Times New Roman"/>
          <w:lang w:val="es-MX"/>
        </w:rPr>
        <w:t>Factores positivos a destacar en el primer cuatrimestre de 2015 respecto a lo observado el año anterior son</w:t>
      </w:r>
      <w:r w:rsidR="009F04C0">
        <w:rPr>
          <w:rFonts w:ascii="Times New Roman" w:hAnsi="Times New Roman" w:cs="Times New Roman"/>
          <w:lang w:val="es-MX"/>
        </w:rPr>
        <w:t>:</w:t>
      </w:r>
      <w:r>
        <w:rPr>
          <w:rFonts w:ascii="Times New Roman" w:hAnsi="Times New Roman" w:cs="Times New Roman"/>
          <w:lang w:val="es-MX"/>
        </w:rPr>
        <w:t xml:space="preserve"> mayor recaudación en el IVA asociado al consumo interno prueba del d</w:t>
      </w:r>
      <w:r w:rsidR="009F04C0">
        <w:rPr>
          <w:rFonts w:ascii="Times New Roman" w:hAnsi="Times New Roman" w:cs="Times New Roman"/>
          <w:lang w:val="es-MX"/>
        </w:rPr>
        <w:t>inamismo en la economía interna;</w:t>
      </w:r>
      <w:r>
        <w:rPr>
          <w:rFonts w:ascii="Times New Roman" w:hAnsi="Times New Roman" w:cs="Times New Roman"/>
          <w:lang w:val="es-MX"/>
        </w:rPr>
        <w:t xml:space="preserve"> mayor recaudación en el impuesto a la distribución de petróleo y sus derivados</w:t>
      </w:r>
      <w:r w:rsidR="009F04C0">
        <w:rPr>
          <w:rFonts w:ascii="Times New Roman" w:hAnsi="Times New Roman" w:cs="Times New Roman"/>
          <w:lang w:val="es-MX"/>
        </w:rPr>
        <w:t>;</w:t>
      </w:r>
      <w:r>
        <w:rPr>
          <w:rFonts w:ascii="Times New Roman" w:hAnsi="Times New Roman" w:cs="Times New Roman"/>
          <w:lang w:val="es-MX"/>
        </w:rPr>
        <w:t xml:space="preserve"> </w:t>
      </w:r>
      <w:r w:rsidR="009F04C0">
        <w:rPr>
          <w:rFonts w:ascii="Times New Roman" w:hAnsi="Times New Roman" w:cs="Times New Roman"/>
          <w:lang w:val="es-MX"/>
        </w:rPr>
        <w:t xml:space="preserve">aumento de la </w:t>
      </w:r>
      <w:r>
        <w:rPr>
          <w:rFonts w:ascii="Times New Roman" w:hAnsi="Times New Roman" w:cs="Times New Roman"/>
          <w:lang w:val="es-MX"/>
        </w:rPr>
        <w:t>recaudación en el impuesto al saco de cemento de 42 kg producto de la modificación en la tasa del impuesto la cual cambio de Q 1.50 a Q 5.00</w:t>
      </w:r>
      <w:r w:rsidR="009F04C0">
        <w:rPr>
          <w:rFonts w:ascii="Times New Roman" w:hAnsi="Times New Roman" w:cs="Times New Roman"/>
          <w:lang w:val="es-MX"/>
        </w:rPr>
        <w:t xml:space="preserve"> e incrementos en la </w:t>
      </w:r>
      <w:r>
        <w:rPr>
          <w:rFonts w:ascii="Times New Roman" w:hAnsi="Times New Roman" w:cs="Times New Roman"/>
          <w:lang w:val="es-MX"/>
        </w:rPr>
        <w:t xml:space="preserve">recaudación </w:t>
      </w:r>
      <w:r w:rsidR="009F04C0">
        <w:rPr>
          <w:rFonts w:ascii="Times New Roman" w:hAnsi="Times New Roman" w:cs="Times New Roman"/>
          <w:lang w:val="es-MX"/>
        </w:rPr>
        <w:t xml:space="preserve">de los impuestos </w:t>
      </w:r>
      <w:r>
        <w:rPr>
          <w:rFonts w:ascii="Times New Roman" w:hAnsi="Times New Roman" w:cs="Times New Roman"/>
          <w:lang w:val="es-MX"/>
        </w:rPr>
        <w:t>a las bebidas y a la circulación de vehículos y el IPRIMA.</w:t>
      </w:r>
    </w:p>
    <w:p w:rsidR="000B56B6" w:rsidRDefault="000B56B6" w:rsidP="000B56B6">
      <w:pPr>
        <w:spacing w:after="0" w:line="240" w:lineRule="auto"/>
        <w:jc w:val="both"/>
        <w:rPr>
          <w:rFonts w:ascii="Times New Roman" w:hAnsi="Times New Roman" w:cs="Times New Roman"/>
          <w:lang w:val="es-MX"/>
        </w:rPr>
      </w:pPr>
    </w:p>
    <w:p w:rsidR="006644F2" w:rsidRPr="000B56B6" w:rsidRDefault="000B56B6" w:rsidP="000B56B6">
      <w:pPr>
        <w:spacing w:after="0" w:line="240" w:lineRule="auto"/>
        <w:jc w:val="both"/>
        <w:rPr>
          <w:rFonts w:ascii="Times New Roman" w:hAnsi="Times New Roman" w:cs="Times New Roman"/>
          <w:lang w:val="es-MX"/>
        </w:rPr>
      </w:pPr>
      <w:r>
        <w:rPr>
          <w:rFonts w:ascii="Times New Roman" w:hAnsi="Times New Roman" w:cs="Times New Roman"/>
          <w:lang w:val="es-MX"/>
        </w:rPr>
        <w:lastRenderedPageBreak/>
        <w:t xml:space="preserve">En el caso de las devoluciones del crédito fiscal a los exportadores es preciso indicar que ha mantenido un crecimiento moderado respecto al año anterior 2.3% (Q 15.1 millones), con relación a la meta de SAT dicho monto es menor en Q 46.3 millones, de </w:t>
      </w:r>
      <w:r>
        <w:rPr>
          <w:rFonts w:ascii="Times New Roman" w:hAnsi="Times New Roman" w:cs="Times New Roman"/>
          <w:lang w:val="es-MX"/>
        </w:rPr>
        <w:lastRenderedPageBreak/>
        <w:t>igual manera para la autocompensación del crédito fiscal a los exportadores esta ha crecido de manera moderada Q 15.8 millones respecto al año anterior y Q 1.1 millones respecto a la meta de SAT.</w:t>
      </w:r>
    </w:p>
    <w:p w:rsidR="00052EE7" w:rsidRPr="00D367EB" w:rsidRDefault="00052EE7" w:rsidP="00D367EB">
      <w:pPr>
        <w:pStyle w:val="Sinespaciado"/>
        <w:jc w:val="both"/>
        <w:rPr>
          <w:rFonts w:ascii="Times New Roman" w:hAnsi="Times New Roman" w:cs="Times New Roman"/>
          <w:color w:val="FF0000"/>
          <w:lang w:val="es-MX"/>
        </w:rPr>
      </w:pPr>
    </w:p>
    <w:p w:rsidR="006644F2" w:rsidRDefault="006644F2" w:rsidP="00D367EB">
      <w:pPr>
        <w:pStyle w:val="Sinespaciado"/>
        <w:jc w:val="both"/>
        <w:rPr>
          <w:rFonts w:ascii="Times New Roman" w:hAnsi="Times New Roman" w:cs="Times New Roman"/>
          <w:color w:val="FF0000"/>
          <w:lang w:val="es-MX"/>
        </w:rPr>
        <w:sectPr w:rsidR="006644F2" w:rsidSect="006644F2">
          <w:type w:val="continuous"/>
          <w:pgSz w:w="12240" w:h="15840"/>
          <w:pgMar w:top="1417" w:right="1701" w:bottom="1417" w:left="1701" w:header="708" w:footer="708" w:gutter="0"/>
          <w:cols w:num="2" w:space="708"/>
          <w:docGrid w:linePitch="360"/>
        </w:sectPr>
      </w:pPr>
    </w:p>
    <w:p w:rsidR="000B56B6" w:rsidRDefault="000B56B6" w:rsidP="000B56B6">
      <w:pPr>
        <w:spacing w:after="0" w:line="240" w:lineRule="auto"/>
        <w:jc w:val="center"/>
        <w:rPr>
          <w:rFonts w:ascii="Times New Roman" w:hAnsi="Times New Roman" w:cs="Times New Roman"/>
          <w:b/>
          <w:lang w:val="es-MX"/>
        </w:rPr>
      </w:pPr>
    </w:p>
    <w:p w:rsidR="000B56B6" w:rsidRPr="00841E23" w:rsidRDefault="000B56B6" w:rsidP="000B56B6">
      <w:pPr>
        <w:spacing w:after="0" w:line="240" w:lineRule="auto"/>
        <w:jc w:val="center"/>
        <w:rPr>
          <w:rFonts w:ascii="Times New Roman" w:hAnsi="Times New Roman" w:cs="Times New Roman"/>
          <w:b/>
          <w:lang w:val="es-MX"/>
        </w:rPr>
      </w:pPr>
      <w:r w:rsidRPr="00841E23">
        <w:rPr>
          <w:rFonts w:ascii="Times New Roman" w:hAnsi="Times New Roman" w:cs="Times New Roman"/>
          <w:b/>
          <w:lang w:val="es-MX"/>
        </w:rPr>
        <w:t>Recaudación tributaria acumulada al mes de abril de cada año</w:t>
      </w:r>
    </w:p>
    <w:p w:rsidR="000B56B6" w:rsidRPr="000B56B6" w:rsidRDefault="000B56B6" w:rsidP="000B56B6">
      <w:pPr>
        <w:spacing w:after="0" w:line="240" w:lineRule="auto"/>
        <w:jc w:val="center"/>
        <w:rPr>
          <w:rFonts w:ascii="Times New Roman" w:hAnsi="Times New Roman" w:cs="Times New Roman"/>
          <w:sz w:val="18"/>
          <w:lang w:val="es-MX"/>
        </w:rPr>
      </w:pPr>
      <w:r w:rsidRPr="000B56B6">
        <w:rPr>
          <w:rFonts w:ascii="Times New Roman" w:hAnsi="Times New Roman" w:cs="Times New Roman"/>
          <w:sz w:val="18"/>
          <w:lang w:val="es-MX"/>
        </w:rPr>
        <w:t>Millones de quetzales y porcentajes</w:t>
      </w:r>
    </w:p>
    <w:p w:rsidR="000B56B6" w:rsidRPr="00841E23" w:rsidRDefault="000B56B6" w:rsidP="000B56B6">
      <w:pPr>
        <w:spacing w:after="0" w:line="240" w:lineRule="auto"/>
        <w:jc w:val="center"/>
        <w:rPr>
          <w:rFonts w:ascii="Times New Roman" w:hAnsi="Times New Roman" w:cs="Times New Roman"/>
          <w:b/>
          <w:lang w:val="es-MX"/>
        </w:rPr>
      </w:pPr>
    </w:p>
    <w:p w:rsidR="000B56B6" w:rsidRDefault="000B56B6" w:rsidP="000B56B6">
      <w:pPr>
        <w:spacing w:after="0" w:line="240" w:lineRule="auto"/>
        <w:jc w:val="both"/>
        <w:rPr>
          <w:rFonts w:ascii="Times New Roman" w:hAnsi="Times New Roman" w:cs="Times New Roman"/>
          <w:lang w:val="es-MX"/>
        </w:rPr>
      </w:pPr>
      <w:r w:rsidRPr="00F748E5">
        <w:rPr>
          <w:noProof/>
          <w:lang w:eastAsia="es-GT"/>
        </w:rPr>
        <w:drawing>
          <wp:inline distT="0" distB="0" distL="0" distR="0" wp14:anchorId="63707360" wp14:editId="6C071612">
            <wp:extent cx="5591175" cy="37719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3877" cy="3780469"/>
                    </a:xfrm>
                    <a:prstGeom prst="rect">
                      <a:avLst/>
                    </a:prstGeom>
                    <a:noFill/>
                    <a:ln>
                      <a:noFill/>
                    </a:ln>
                  </pic:spPr>
                </pic:pic>
              </a:graphicData>
            </a:graphic>
          </wp:inline>
        </w:drawing>
      </w:r>
    </w:p>
    <w:p w:rsidR="00D367EB" w:rsidRPr="000B56B6" w:rsidRDefault="000B56B6" w:rsidP="000B56B6">
      <w:pPr>
        <w:spacing w:after="0" w:line="240" w:lineRule="auto"/>
        <w:rPr>
          <w:rFonts w:ascii="Times New Roman" w:hAnsi="Times New Roman" w:cs="Times New Roman"/>
          <w:sz w:val="14"/>
          <w:lang w:val="es-MX"/>
        </w:rPr>
      </w:pPr>
      <w:r w:rsidRPr="000B56B6">
        <w:rPr>
          <w:rFonts w:ascii="Times New Roman" w:hAnsi="Times New Roman" w:cs="Times New Roman"/>
          <w:sz w:val="14"/>
          <w:lang w:val="es-MX"/>
        </w:rPr>
        <w:t>Fuente: Dirección de Análisis y Política Fiscal</w:t>
      </w:r>
    </w:p>
    <w:p w:rsidR="00D367EB" w:rsidRPr="00D367EB" w:rsidRDefault="00D367EB" w:rsidP="00D367EB">
      <w:pPr>
        <w:pStyle w:val="Sinespaciado"/>
        <w:jc w:val="both"/>
        <w:rPr>
          <w:rFonts w:ascii="Times New Roman" w:hAnsi="Times New Roman" w:cs="Times New Roman"/>
          <w:color w:val="FF0000"/>
          <w:sz w:val="12"/>
        </w:rPr>
      </w:pPr>
    </w:p>
    <w:p w:rsidR="00052EE7" w:rsidRPr="00D367EB" w:rsidRDefault="00052EE7" w:rsidP="00052EE7">
      <w:pPr>
        <w:pStyle w:val="Sinespaciado"/>
        <w:jc w:val="both"/>
        <w:rPr>
          <w:rFonts w:ascii="Times New Roman" w:hAnsi="Times New Roman" w:cs="Times New Roman"/>
          <w:color w:val="FF0000"/>
          <w:sz w:val="8"/>
        </w:rPr>
        <w:sectPr w:rsidR="00052EE7" w:rsidRPr="00D367EB" w:rsidSect="007F29D0">
          <w:type w:val="continuous"/>
          <w:pgSz w:w="12240" w:h="15840"/>
          <w:pgMar w:top="1417" w:right="1701" w:bottom="1417" w:left="1701" w:header="708" w:footer="708" w:gutter="0"/>
          <w:cols w:space="708"/>
          <w:docGrid w:linePitch="360"/>
        </w:sectPr>
      </w:pPr>
    </w:p>
    <w:p w:rsidR="00052EE7" w:rsidRPr="00D367EB" w:rsidRDefault="00052EE7" w:rsidP="00052EE7">
      <w:pPr>
        <w:pStyle w:val="Sinespaciado"/>
        <w:rPr>
          <w:rFonts w:ascii="Times New Roman" w:hAnsi="Times New Roman" w:cs="Times New Roman"/>
          <w:b/>
          <w:color w:val="FF0000"/>
          <w:sz w:val="16"/>
        </w:rPr>
      </w:pPr>
    </w:p>
    <w:p w:rsidR="00052EE7" w:rsidRPr="00D367EB" w:rsidRDefault="00D367EB" w:rsidP="00052EE7">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sectPr w:rsidR="00052EE7" w:rsidRPr="00D367EB" w:rsidSect="00BD010A">
          <w:type w:val="continuous"/>
          <w:pgSz w:w="12240" w:h="15840"/>
          <w:pgMar w:top="1417" w:right="1701" w:bottom="1417" w:left="1701" w:header="708" w:footer="708" w:gutter="0"/>
          <w:cols w:space="708"/>
          <w:docGrid w:linePitch="360"/>
        </w:sectPr>
      </w:pPr>
      <w:r w:rsidRPr="00D367EB">
        <w:rPr>
          <w:rFonts w:ascii="Times New Roman" w:hAnsi="Times New Roman" w:cs="Times New Roman"/>
          <w:b/>
          <w:lang w:val="es-MX"/>
        </w:rPr>
        <w:t>Ejecución de gasto público se desacelera</w:t>
      </w:r>
    </w:p>
    <w:p w:rsidR="00052EE7" w:rsidRPr="00D367EB" w:rsidRDefault="00052EE7" w:rsidP="00052EE7">
      <w:pPr>
        <w:spacing w:after="0" w:line="240" w:lineRule="auto"/>
        <w:jc w:val="both"/>
        <w:rPr>
          <w:rFonts w:ascii="Times New Roman" w:hAnsi="Times New Roman" w:cs="Times New Roman"/>
          <w:color w:val="FF0000"/>
          <w:lang w:val="es-MX"/>
        </w:rPr>
      </w:pPr>
    </w:p>
    <w:p w:rsidR="00052EE7" w:rsidRPr="00D367EB" w:rsidRDefault="00052EE7" w:rsidP="00052EE7">
      <w:pPr>
        <w:spacing w:after="0" w:line="240" w:lineRule="auto"/>
        <w:jc w:val="both"/>
        <w:rPr>
          <w:rFonts w:ascii="Times New Roman" w:hAnsi="Times New Roman" w:cs="Times New Roman"/>
          <w:color w:val="FF0000"/>
          <w:lang w:val="es-MX"/>
        </w:rPr>
        <w:sectPr w:rsidR="00052EE7" w:rsidRPr="00D367EB" w:rsidSect="00D90C85">
          <w:type w:val="continuous"/>
          <w:pgSz w:w="12240" w:h="15840"/>
          <w:pgMar w:top="1417" w:right="1701" w:bottom="1417" w:left="1701" w:header="708" w:footer="708" w:gutter="0"/>
          <w:cols w:space="708"/>
          <w:docGrid w:linePitch="360"/>
        </w:sectPr>
      </w:pPr>
    </w:p>
    <w:p w:rsidR="000B56B6" w:rsidRDefault="00D367EB" w:rsidP="00D367EB">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La ejecución de gasto público al 30 de </w:t>
      </w:r>
      <w:r w:rsidR="00E6117C">
        <w:rPr>
          <w:rFonts w:ascii="Times New Roman" w:hAnsi="Times New Roman" w:cs="Times New Roman"/>
          <w:lang w:val="es-MX"/>
        </w:rPr>
        <w:t>abril</w:t>
      </w:r>
      <w:r>
        <w:rPr>
          <w:rFonts w:ascii="Times New Roman" w:hAnsi="Times New Roman" w:cs="Times New Roman"/>
          <w:lang w:val="es-MX"/>
        </w:rPr>
        <w:t xml:space="preserve">, se situó en Q 20,016.7 millones, el cual muestra una tasa de variación interanual positiva de 14.6%, la cual  contrasta con el bajo crecimiento observado en igual fecha del año anterior (3.0%).  No obstante, en este mes ya se observa una desaceleración ya que en marzo el crecimiento interanual se ubicaba en 21.7%.  </w:t>
      </w:r>
    </w:p>
    <w:p w:rsidR="000B56B6" w:rsidRDefault="000B56B6" w:rsidP="00D367EB">
      <w:pPr>
        <w:pStyle w:val="Sinespaciado"/>
        <w:jc w:val="both"/>
        <w:rPr>
          <w:rFonts w:ascii="Times New Roman" w:hAnsi="Times New Roman" w:cs="Times New Roman"/>
          <w:lang w:val="es-MX"/>
        </w:rPr>
      </w:pPr>
    </w:p>
    <w:p w:rsidR="00D367EB" w:rsidRDefault="00D367EB" w:rsidP="00D367EB">
      <w:pPr>
        <w:pStyle w:val="Sinespaciado"/>
        <w:jc w:val="both"/>
        <w:rPr>
          <w:rFonts w:ascii="Times New Roman" w:hAnsi="Times New Roman" w:cs="Times New Roman"/>
          <w:lang w:val="es-MX"/>
        </w:rPr>
      </w:pPr>
      <w:r>
        <w:rPr>
          <w:rFonts w:ascii="Times New Roman" w:hAnsi="Times New Roman" w:cs="Times New Roman"/>
          <w:lang w:val="es-MX"/>
        </w:rPr>
        <w:t xml:space="preserve">Esta reducción en el crecimiento se debe en parte a que el nivel de gasto de abril de 2014 tuvo un mayor dinamismo como resultado de </w:t>
      </w:r>
      <w:r>
        <w:rPr>
          <w:rFonts w:ascii="Times New Roman" w:hAnsi="Times New Roman" w:cs="Times New Roman"/>
          <w:lang w:val="es-MX"/>
        </w:rPr>
        <w:lastRenderedPageBreak/>
        <w:t>la regularización de algunos pagos en aportes y en la nómina de educación, la cual hasta marzo de dicho año no se había completado el aumento salarial   otorgado.  Asimismo, el límite máximo para gastar autorizado para abril de este año fue más bajo que el del mes anterior en Q</w:t>
      </w:r>
      <w:r w:rsidR="000B56B6">
        <w:rPr>
          <w:rFonts w:ascii="Times New Roman" w:hAnsi="Times New Roman" w:cs="Times New Roman"/>
          <w:lang w:val="es-MX"/>
        </w:rPr>
        <w:t xml:space="preserve"> </w:t>
      </w:r>
      <w:r>
        <w:rPr>
          <w:rFonts w:ascii="Times New Roman" w:hAnsi="Times New Roman" w:cs="Times New Roman"/>
          <w:lang w:val="es-MX"/>
        </w:rPr>
        <w:t>367.6 millones.</w:t>
      </w:r>
    </w:p>
    <w:p w:rsidR="00D367EB" w:rsidRDefault="00D367EB" w:rsidP="00D367EB">
      <w:pPr>
        <w:pStyle w:val="Sinespaciado"/>
        <w:jc w:val="both"/>
        <w:rPr>
          <w:rFonts w:ascii="Times New Roman" w:hAnsi="Times New Roman" w:cs="Times New Roman"/>
          <w:lang w:val="es-MX"/>
        </w:rPr>
      </w:pPr>
      <w:r>
        <w:rPr>
          <w:rFonts w:ascii="Times New Roman" w:hAnsi="Times New Roman" w:cs="Times New Roman"/>
          <w:lang w:val="es-MX"/>
        </w:rPr>
        <w:t xml:space="preserve"> </w:t>
      </w:r>
    </w:p>
    <w:p w:rsidR="00D367EB" w:rsidRDefault="00D367EB" w:rsidP="00D367EB">
      <w:pPr>
        <w:pStyle w:val="Sinespaciado"/>
        <w:jc w:val="both"/>
        <w:rPr>
          <w:rFonts w:ascii="Times New Roman" w:hAnsi="Times New Roman" w:cs="Times New Roman"/>
          <w:lang w:val="es-MX"/>
        </w:rPr>
      </w:pPr>
      <w:r>
        <w:rPr>
          <w:rFonts w:ascii="Times New Roman" w:hAnsi="Times New Roman" w:cs="Times New Roman"/>
          <w:lang w:val="es-MX"/>
        </w:rPr>
        <w:t xml:space="preserve">Es importante indicar que de alguna manera ya está afectando en el nivel de ejecución la reducción en la disponibilidad del gobierno, la cual, en los primeros tres meses, estuvo asociada a los flujos de recursos provenientes </w:t>
      </w:r>
      <w:r>
        <w:rPr>
          <w:rFonts w:ascii="Times New Roman" w:hAnsi="Times New Roman" w:cs="Times New Roman"/>
          <w:lang w:val="es-MX"/>
        </w:rPr>
        <w:lastRenderedPageBreak/>
        <w:t>de los préstamos de apoyo y presupuestario y de la colocación de Bonos del Tesoro.</w:t>
      </w:r>
    </w:p>
    <w:p w:rsidR="000B56B6" w:rsidRDefault="000B56B6" w:rsidP="00D367EB">
      <w:pPr>
        <w:pStyle w:val="Sinespaciado"/>
        <w:jc w:val="both"/>
        <w:rPr>
          <w:rFonts w:ascii="Times New Roman" w:hAnsi="Times New Roman" w:cs="Times New Roman"/>
          <w:lang w:val="es-MX"/>
        </w:rPr>
      </w:pPr>
    </w:p>
    <w:p w:rsidR="00D367EB" w:rsidRPr="007348EE" w:rsidRDefault="00D367EB" w:rsidP="00D367EB">
      <w:pPr>
        <w:pStyle w:val="Sinespaciado"/>
        <w:jc w:val="center"/>
        <w:rPr>
          <w:rFonts w:ascii="Times New Roman" w:hAnsi="Times New Roman" w:cs="Times New Roman"/>
          <w:b/>
          <w:lang w:val="es-MX"/>
        </w:rPr>
      </w:pPr>
      <w:r w:rsidRPr="007348EE">
        <w:rPr>
          <w:rFonts w:ascii="Times New Roman" w:hAnsi="Times New Roman" w:cs="Times New Roman"/>
          <w:b/>
          <w:lang w:val="es-MX"/>
        </w:rPr>
        <w:t>Ritmo de Ejecución de Gasto Público</w:t>
      </w:r>
    </w:p>
    <w:p w:rsidR="00D367EB" w:rsidRPr="007348EE" w:rsidRDefault="00D367EB" w:rsidP="00D367EB">
      <w:pPr>
        <w:pStyle w:val="Sinespaciado"/>
        <w:jc w:val="center"/>
        <w:rPr>
          <w:rFonts w:ascii="Times New Roman" w:hAnsi="Times New Roman" w:cs="Times New Roman"/>
          <w:sz w:val="18"/>
          <w:lang w:val="es-MX"/>
        </w:rPr>
      </w:pPr>
      <w:r>
        <w:rPr>
          <w:rFonts w:ascii="Times New Roman" w:hAnsi="Times New Roman" w:cs="Times New Roman"/>
          <w:sz w:val="18"/>
          <w:lang w:val="es-MX"/>
        </w:rPr>
        <w:t>Mensual 2012 - 2015</w:t>
      </w:r>
    </w:p>
    <w:p w:rsidR="00D367EB" w:rsidRDefault="00D367EB" w:rsidP="00D367EB">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366403AB" wp14:editId="35ED8DD0">
            <wp:extent cx="2533650" cy="19335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6190" cy="1935513"/>
                    </a:xfrm>
                    <a:prstGeom prst="rect">
                      <a:avLst/>
                    </a:prstGeom>
                    <a:noFill/>
                  </pic:spPr>
                </pic:pic>
              </a:graphicData>
            </a:graphic>
          </wp:inline>
        </w:drawing>
      </w:r>
    </w:p>
    <w:p w:rsidR="00D367EB" w:rsidRPr="006644F2" w:rsidRDefault="00D367EB" w:rsidP="00D367EB">
      <w:pPr>
        <w:pStyle w:val="Sinespaciado"/>
        <w:jc w:val="both"/>
        <w:rPr>
          <w:rFonts w:ascii="Times New Roman" w:hAnsi="Times New Roman" w:cs="Times New Roman"/>
          <w:sz w:val="20"/>
          <w:lang w:val="es-MX"/>
        </w:rPr>
      </w:pPr>
      <w:r w:rsidRPr="006644F2">
        <w:rPr>
          <w:rFonts w:ascii="Times New Roman" w:hAnsi="Times New Roman" w:cs="Times New Roman"/>
          <w:sz w:val="14"/>
        </w:rPr>
        <w:t>Fuente: Dirección de Análisis y Política Fiscal</w:t>
      </w:r>
    </w:p>
    <w:p w:rsidR="00D367EB" w:rsidRDefault="00D367EB" w:rsidP="00D367EB">
      <w:pPr>
        <w:pStyle w:val="Sinespaciado"/>
        <w:jc w:val="both"/>
        <w:rPr>
          <w:rFonts w:ascii="Times New Roman" w:hAnsi="Times New Roman" w:cs="Times New Roman"/>
          <w:lang w:val="es-MX"/>
        </w:rPr>
      </w:pPr>
    </w:p>
    <w:p w:rsidR="00D367EB" w:rsidRDefault="00D367EB" w:rsidP="00D367EB">
      <w:pPr>
        <w:pStyle w:val="Sinespaciado"/>
        <w:jc w:val="both"/>
        <w:rPr>
          <w:rFonts w:ascii="Times New Roman" w:hAnsi="Times New Roman" w:cs="Times New Roman"/>
          <w:lang w:val="es-MX"/>
        </w:rPr>
      </w:pPr>
      <w:r>
        <w:rPr>
          <w:rFonts w:ascii="Times New Roman" w:hAnsi="Times New Roman" w:cs="Times New Roman"/>
          <w:lang w:val="es-MX"/>
        </w:rPr>
        <w:t>Dentro de los rubros que muestran mayor ejecución, siguen estando las transferencias corrientes, debido que en este año se realizó el aporte extraordinario al TSE por Q</w:t>
      </w:r>
      <w:r w:rsidR="000B56B6">
        <w:rPr>
          <w:rFonts w:ascii="Times New Roman" w:hAnsi="Times New Roman" w:cs="Times New Roman"/>
          <w:lang w:val="es-MX"/>
        </w:rPr>
        <w:t xml:space="preserve"> </w:t>
      </w:r>
      <w:r>
        <w:rPr>
          <w:rFonts w:ascii="Times New Roman" w:hAnsi="Times New Roman" w:cs="Times New Roman"/>
          <w:lang w:val="es-MX"/>
        </w:rPr>
        <w:t>500 millones, además se ha mejorado la oportunidad en el pago del aporte a las entidades descentralizadas y autónomas y algunas ONG,  debido al aumento relativo en las disponibilidades del gobierno.</w:t>
      </w:r>
    </w:p>
    <w:p w:rsidR="00D367EB" w:rsidRDefault="00D367EB" w:rsidP="00D367EB">
      <w:pPr>
        <w:pStyle w:val="Sinespaciado"/>
        <w:jc w:val="both"/>
        <w:rPr>
          <w:rFonts w:ascii="Times New Roman" w:hAnsi="Times New Roman" w:cs="Times New Roman"/>
          <w:lang w:val="es-MX"/>
        </w:rPr>
      </w:pPr>
      <w:r>
        <w:rPr>
          <w:rFonts w:ascii="Times New Roman" w:hAnsi="Times New Roman" w:cs="Times New Roman"/>
          <w:lang w:val="es-MX"/>
        </w:rPr>
        <w:t xml:space="preserve"> </w:t>
      </w:r>
    </w:p>
    <w:p w:rsidR="00D367EB" w:rsidRDefault="00D367EB" w:rsidP="00D367EB">
      <w:pPr>
        <w:pStyle w:val="Sinespaciado"/>
        <w:jc w:val="both"/>
        <w:rPr>
          <w:rFonts w:ascii="Times New Roman" w:hAnsi="Times New Roman" w:cs="Times New Roman"/>
          <w:lang w:val="es-MX"/>
        </w:rPr>
      </w:pPr>
      <w:r>
        <w:rPr>
          <w:rFonts w:ascii="Times New Roman" w:hAnsi="Times New Roman" w:cs="Times New Roman"/>
          <w:lang w:val="es-MX"/>
        </w:rPr>
        <w:t>Las remuneraciones también muestran un aumento importante, asociado al incremento salarial, efectuado en este año, al magisterio nacional (12%), el cual representa cerca del 65% del aumento de la nómina de todo el gobierno.</w:t>
      </w:r>
    </w:p>
    <w:p w:rsidR="00D367EB" w:rsidRDefault="00D367EB" w:rsidP="00D367EB">
      <w:pPr>
        <w:pStyle w:val="Sinespaciado"/>
        <w:jc w:val="both"/>
        <w:rPr>
          <w:rFonts w:ascii="Times New Roman" w:hAnsi="Times New Roman" w:cs="Times New Roman"/>
          <w:lang w:val="es-MX"/>
        </w:rPr>
      </w:pPr>
      <w:r>
        <w:rPr>
          <w:rFonts w:ascii="Times New Roman" w:hAnsi="Times New Roman" w:cs="Times New Roman"/>
          <w:lang w:val="es-MX"/>
        </w:rPr>
        <w:t xml:space="preserve"> </w:t>
      </w:r>
    </w:p>
    <w:p w:rsidR="00D367EB" w:rsidRDefault="00E4660D" w:rsidP="00D367EB">
      <w:pPr>
        <w:pStyle w:val="Sinespaciado"/>
        <w:jc w:val="both"/>
        <w:rPr>
          <w:rFonts w:ascii="Times New Roman" w:hAnsi="Times New Roman" w:cs="Times New Roman"/>
          <w:lang w:val="es-MX"/>
        </w:rPr>
      </w:pPr>
      <w:r w:rsidRPr="00DD3449">
        <w:rPr>
          <w:rFonts w:ascii="Times New Roman" w:hAnsi="Times New Roman" w:cs="Times New Roman"/>
          <w:noProof/>
          <w:sz w:val="20"/>
          <w:lang w:eastAsia="es-GT"/>
        </w:rPr>
        <w:drawing>
          <wp:anchor distT="0" distB="0" distL="114300" distR="114300" simplePos="0" relativeHeight="251661312" behindDoc="1" locked="0" layoutInCell="1" allowOverlap="1" wp14:anchorId="79C3BDD1" wp14:editId="6555E612">
            <wp:simplePos x="0" y="0"/>
            <wp:positionH relativeFrom="column">
              <wp:posOffset>3034665</wp:posOffset>
            </wp:positionH>
            <wp:positionV relativeFrom="paragraph">
              <wp:posOffset>371475</wp:posOffset>
            </wp:positionV>
            <wp:extent cx="2581275" cy="1943100"/>
            <wp:effectExtent l="0" t="0" r="9525" b="0"/>
            <wp:wrapTight wrapText="bothSides">
              <wp:wrapPolygon edited="0">
                <wp:start x="0" y="0"/>
                <wp:lineTo x="0" y="21388"/>
                <wp:lineTo x="21520" y="21388"/>
                <wp:lineTo x="21520" y="0"/>
                <wp:lineTo x="0" y="0"/>
              </wp:wrapPolygon>
            </wp:wrapTight>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1275" cy="1943100"/>
                    </a:xfrm>
                    <a:prstGeom prst="rect">
                      <a:avLst/>
                    </a:prstGeom>
                    <a:noFill/>
                  </pic:spPr>
                </pic:pic>
              </a:graphicData>
            </a:graphic>
            <wp14:sizeRelH relativeFrom="page">
              <wp14:pctWidth>0</wp14:pctWidth>
            </wp14:sizeRelH>
            <wp14:sizeRelV relativeFrom="page">
              <wp14:pctHeight>0</wp14:pctHeight>
            </wp14:sizeRelV>
          </wp:anchor>
        </w:drawing>
      </w:r>
      <w:r w:rsidR="00D367EB" w:rsidRPr="00DD3449">
        <w:rPr>
          <w:rFonts w:ascii="Times New Roman" w:hAnsi="Times New Roman" w:cs="Times New Roman"/>
          <w:lang w:val="es-MX"/>
        </w:rPr>
        <w:t>Asimismo,</w:t>
      </w:r>
      <w:r w:rsidR="00E6117C" w:rsidRPr="00DD3449">
        <w:rPr>
          <w:rFonts w:ascii="Times New Roman" w:hAnsi="Times New Roman" w:cs="Times New Roman"/>
          <w:lang w:val="es-MX"/>
        </w:rPr>
        <w:t xml:space="preserve"> el aumento en l</w:t>
      </w:r>
      <w:r w:rsidR="00D367EB" w:rsidRPr="00DD3449">
        <w:rPr>
          <w:rFonts w:ascii="Times New Roman" w:hAnsi="Times New Roman" w:cs="Times New Roman"/>
          <w:lang w:val="es-MX"/>
        </w:rPr>
        <w:t xml:space="preserve">os intereses de la deuda pública </w:t>
      </w:r>
      <w:r w:rsidR="00E6117C" w:rsidRPr="00DD3449">
        <w:rPr>
          <w:rFonts w:ascii="Times New Roman" w:hAnsi="Times New Roman" w:cs="Times New Roman"/>
          <w:lang w:val="es-MX"/>
        </w:rPr>
        <w:t xml:space="preserve">fue </w:t>
      </w:r>
      <w:r w:rsidR="00D367EB" w:rsidRPr="00DD3449">
        <w:rPr>
          <w:rFonts w:ascii="Times New Roman" w:hAnsi="Times New Roman" w:cs="Times New Roman"/>
          <w:lang w:val="es-MX"/>
        </w:rPr>
        <w:t>debido a la regularización de algunos pagos efectuados en 2014, que por falta de presupuesto</w:t>
      </w:r>
      <w:r w:rsidR="00E6117C" w:rsidRPr="00DD3449">
        <w:rPr>
          <w:rFonts w:ascii="Times New Roman" w:hAnsi="Times New Roman" w:cs="Times New Roman"/>
          <w:lang w:val="es-MX"/>
        </w:rPr>
        <w:t>,</w:t>
      </w:r>
      <w:r w:rsidR="00D367EB" w:rsidRPr="00DD3449">
        <w:rPr>
          <w:rFonts w:ascii="Times New Roman" w:hAnsi="Times New Roman" w:cs="Times New Roman"/>
          <w:lang w:val="es-MX"/>
        </w:rPr>
        <w:t xml:space="preserve"> no se pudieron registrar en su momento por lo que el registro se hizo en el presente año. El impacto aproximado de esta operación de regularización es de Q 278 millones.</w:t>
      </w:r>
    </w:p>
    <w:p w:rsidR="00D367EB" w:rsidRDefault="00D367EB" w:rsidP="00D367EB">
      <w:pPr>
        <w:pStyle w:val="Sinespaciado"/>
        <w:jc w:val="both"/>
        <w:rPr>
          <w:rFonts w:ascii="Times New Roman" w:hAnsi="Times New Roman" w:cs="Times New Roman"/>
          <w:lang w:val="es-MX"/>
        </w:rPr>
      </w:pPr>
    </w:p>
    <w:p w:rsidR="00D367EB" w:rsidRDefault="00D367EB" w:rsidP="00D367EB">
      <w:pPr>
        <w:pStyle w:val="Sinespaciado"/>
        <w:jc w:val="both"/>
        <w:rPr>
          <w:rFonts w:ascii="Times New Roman" w:hAnsi="Times New Roman" w:cs="Times New Roman"/>
          <w:lang w:val="es-MX"/>
        </w:rPr>
      </w:pPr>
      <w:r>
        <w:rPr>
          <w:rFonts w:ascii="Times New Roman" w:hAnsi="Times New Roman" w:cs="Times New Roman"/>
          <w:lang w:val="es-MX"/>
        </w:rPr>
        <w:t xml:space="preserve">Por su parte, los bienes y servicios, si bien tienen una ejecución por arriba del año anterior, esta se ha desacelerado, afectada por la reducción de disponibilidades y por la atención de otras prioridades como el aporte extraordinario al TSE. </w:t>
      </w:r>
    </w:p>
    <w:p w:rsidR="00D367EB" w:rsidRDefault="00D367EB" w:rsidP="00D367EB">
      <w:pPr>
        <w:pStyle w:val="Sinespaciado"/>
        <w:jc w:val="both"/>
        <w:rPr>
          <w:rFonts w:ascii="Times New Roman" w:hAnsi="Times New Roman" w:cs="Times New Roman"/>
          <w:lang w:val="es-MX"/>
        </w:rPr>
      </w:pPr>
    </w:p>
    <w:p w:rsidR="00D367EB" w:rsidRDefault="00D367EB" w:rsidP="00D367EB">
      <w:pPr>
        <w:pStyle w:val="Sinespaciado"/>
        <w:jc w:val="both"/>
        <w:rPr>
          <w:rFonts w:ascii="Times New Roman" w:hAnsi="Times New Roman" w:cs="Times New Roman"/>
          <w:lang w:val="es-MX"/>
        </w:rPr>
      </w:pPr>
      <w:r>
        <w:rPr>
          <w:rFonts w:ascii="Times New Roman" w:hAnsi="Times New Roman" w:cs="Times New Roman"/>
          <w:lang w:val="es-MX"/>
        </w:rPr>
        <w:t>En el caso del gasto de inversión, destaca la mayor ejecución en proyectos de infraestructura realizados por el Ministerio de Comunicaciones, aunque es importante resaltar que están pendientes algunas regularizaciones de anticipos que se efectuaron principalmente en el primer trimestre del año.  Asimismo, el aporte a las municipalidades y al FOPAVI ha elevado la ejecución de las transferencias de capital.</w:t>
      </w:r>
    </w:p>
    <w:p w:rsidR="00D367EB" w:rsidRDefault="00D367EB" w:rsidP="00D367EB">
      <w:pPr>
        <w:pStyle w:val="Sinespaciado"/>
        <w:jc w:val="both"/>
        <w:rPr>
          <w:rFonts w:ascii="Times New Roman" w:hAnsi="Times New Roman" w:cs="Times New Roman"/>
          <w:lang w:val="es-MX"/>
        </w:rPr>
      </w:pPr>
    </w:p>
    <w:p w:rsidR="00D367EB" w:rsidRPr="007348EE" w:rsidRDefault="00D367EB" w:rsidP="00D367EB">
      <w:pPr>
        <w:pStyle w:val="Sinespaciado"/>
        <w:jc w:val="center"/>
        <w:rPr>
          <w:rFonts w:ascii="Times New Roman" w:hAnsi="Times New Roman" w:cs="Times New Roman"/>
          <w:b/>
          <w:lang w:val="es-MX"/>
        </w:rPr>
      </w:pPr>
      <w:r>
        <w:rPr>
          <w:rFonts w:ascii="Times New Roman" w:hAnsi="Times New Roman" w:cs="Times New Roman"/>
          <w:b/>
          <w:lang w:val="es-MX"/>
        </w:rPr>
        <w:t>Variación Nominal del</w:t>
      </w:r>
      <w:r w:rsidRPr="007348EE">
        <w:rPr>
          <w:rFonts w:ascii="Times New Roman" w:hAnsi="Times New Roman" w:cs="Times New Roman"/>
          <w:b/>
          <w:lang w:val="es-MX"/>
        </w:rPr>
        <w:t xml:space="preserve"> Gasto Público</w:t>
      </w:r>
    </w:p>
    <w:p w:rsidR="00D367EB" w:rsidRDefault="00D367EB" w:rsidP="00D367EB">
      <w:pPr>
        <w:pStyle w:val="Sinespaciado"/>
        <w:jc w:val="center"/>
        <w:rPr>
          <w:rFonts w:ascii="Times New Roman" w:hAnsi="Times New Roman" w:cs="Times New Roman"/>
          <w:sz w:val="18"/>
          <w:lang w:val="es-MX"/>
        </w:rPr>
      </w:pPr>
      <w:r>
        <w:rPr>
          <w:rFonts w:ascii="Times New Roman" w:hAnsi="Times New Roman" w:cs="Times New Roman"/>
          <w:sz w:val="18"/>
          <w:lang w:val="es-MX"/>
        </w:rPr>
        <w:t>Abril 2014 – 2015</w:t>
      </w:r>
    </w:p>
    <w:p w:rsidR="00D367EB" w:rsidRDefault="00D367EB" w:rsidP="00D367EB">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6F97A940" wp14:editId="2844FDA7">
            <wp:extent cx="2686050" cy="197167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050" cy="1971675"/>
                    </a:xfrm>
                    <a:prstGeom prst="rect">
                      <a:avLst/>
                    </a:prstGeom>
                    <a:noFill/>
                  </pic:spPr>
                </pic:pic>
              </a:graphicData>
            </a:graphic>
          </wp:inline>
        </w:drawing>
      </w:r>
    </w:p>
    <w:p w:rsidR="00D367EB" w:rsidRPr="006644F2" w:rsidRDefault="00D367EB" w:rsidP="00D367EB">
      <w:pPr>
        <w:pStyle w:val="Sinespaciado"/>
        <w:jc w:val="both"/>
        <w:rPr>
          <w:rFonts w:ascii="Times New Roman" w:hAnsi="Times New Roman" w:cs="Times New Roman"/>
          <w:sz w:val="20"/>
          <w:lang w:val="es-MX"/>
        </w:rPr>
      </w:pPr>
      <w:r w:rsidRPr="006644F2">
        <w:rPr>
          <w:rFonts w:ascii="Times New Roman" w:hAnsi="Times New Roman" w:cs="Times New Roman"/>
          <w:sz w:val="14"/>
        </w:rPr>
        <w:t>Fuente: Dirección de Análisis y Política Fiscal</w:t>
      </w:r>
    </w:p>
    <w:p w:rsidR="00D367EB" w:rsidRDefault="00D367EB" w:rsidP="00D367EB">
      <w:pPr>
        <w:pStyle w:val="Sinespaciado"/>
        <w:jc w:val="both"/>
        <w:rPr>
          <w:rFonts w:ascii="Times New Roman" w:hAnsi="Times New Roman" w:cs="Times New Roman"/>
          <w:lang w:val="es-MX"/>
        </w:rPr>
      </w:pPr>
    </w:p>
    <w:p w:rsidR="00D367EB" w:rsidRDefault="00D367EB" w:rsidP="00D367EB">
      <w:pPr>
        <w:pStyle w:val="Sinespaciado"/>
        <w:jc w:val="both"/>
        <w:rPr>
          <w:rFonts w:ascii="Times New Roman" w:hAnsi="Times New Roman" w:cs="Times New Roman"/>
          <w:lang w:val="es-MX"/>
        </w:rPr>
      </w:pPr>
      <w:r>
        <w:rPr>
          <w:rFonts w:ascii="Times New Roman" w:hAnsi="Times New Roman" w:cs="Times New Roman"/>
          <w:lang w:val="es-MX"/>
        </w:rPr>
        <w:t>El comportamiento del gasto realizado,  permitió que el grado de ejecución presupuestaria, se ubicara al 30 de abril de 2015 en 29.8%, por arriba de lo obtenido en igual período de 2014 (26.6%) por arriba del promedio de los años (2008-2014) que fue de 26.8%.</w:t>
      </w:r>
    </w:p>
    <w:p w:rsidR="00D367EB" w:rsidRDefault="00D367EB" w:rsidP="00D367EB">
      <w:pPr>
        <w:pStyle w:val="Sinespaciado"/>
        <w:jc w:val="both"/>
        <w:rPr>
          <w:rFonts w:ascii="Times New Roman" w:hAnsi="Times New Roman" w:cs="Times New Roman"/>
          <w:lang w:val="es-MX"/>
        </w:rPr>
      </w:pPr>
    </w:p>
    <w:p w:rsidR="00D367EB" w:rsidRDefault="00D367EB" w:rsidP="00D367EB">
      <w:pPr>
        <w:pStyle w:val="Sinespaciado"/>
        <w:jc w:val="center"/>
        <w:rPr>
          <w:rFonts w:ascii="Times New Roman" w:hAnsi="Times New Roman" w:cs="Times New Roman"/>
          <w:b/>
          <w:lang w:val="es-MX"/>
        </w:rPr>
      </w:pPr>
      <w:r>
        <w:rPr>
          <w:rFonts w:ascii="Times New Roman" w:hAnsi="Times New Roman" w:cs="Times New Roman"/>
          <w:b/>
          <w:lang w:val="es-MX"/>
        </w:rPr>
        <w:t>Grado de Ejecución Presupuestaria</w:t>
      </w:r>
    </w:p>
    <w:p w:rsidR="00D367EB" w:rsidRDefault="00D367EB" w:rsidP="00D367EB">
      <w:pPr>
        <w:pStyle w:val="Sinespaciado"/>
        <w:jc w:val="center"/>
        <w:rPr>
          <w:rFonts w:ascii="Times New Roman" w:hAnsi="Times New Roman" w:cs="Times New Roman"/>
          <w:sz w:val="18"/>
          <w:lang w:val="es-MX"/>
        </w:rPr>
      </w:pPr>
      <w:r w:rsidRPr="005428FF">
        <w:rPr>
          <w:rFonts w:ascii="Times New Roman" w:hAnsi="Times New Roman" w:cs="Times New Roman"/>
          <w:sz w:val="18"/>
          <w:lang w:val="es-MX"/>
        </w:rPr>
        <w:t xml:space="preserve">Del 01 de </w:t>
      </w:r>
      <w:r>
        <w:rPr>
          <w:rFonts w:ascii="Times New Roman" w:hAnsi="Times New Roman" w:cs="Times New Roman"/>
          <w:sz w:val="18"/>
          <w:lang w:val="es-MX"/>
        </w:rPr>
        <w:t>Enero al 30</w:t>
      </w:r>
      <w:r w:rsidRPr="005428FF">
        <w:rPr>
          <w:rFonts w:ascii="Times New Roman" w:hAnsi="Times New Roman" w:cs="Times New Roman"/>
          <w:sz w:val="18"/>
          <w:lang w:val="es-MX"/>
        </w:rPr>
        <w:t xml:space="preserve"> de </w:t>
      </w:r>
      <w:r>
        <w:rPr>
          <w:rFonts w:ascii="Times New Roman" w:hAnsi="Times New Roman" w:cs="Times New Roman"/>
          <w:sz w:val="18"/>
          <w:lang w:val="es-MX"/>
        </w:rPr>
        <w:t>Abril</w:t>
      </w:r>
      <w:r w:rsidRPr="005428FF">
        <w:rPr>
          <w:rFonts w:ascii="Times New Roman" w:hAnsi="Times New Roman" w:cs="Times New Roman"/>
          <w:sz w:val="18"/>
          <w:lang w:val="es-MX"/>
        </w:rPr>
        <w:t xml:space="preserve"> de 2015</w:t>
      </w:r>
    </w:p>
    <w:p w:rsidR="00D367EB" w:rsidRDefault="00D367EB" w:rsidP="00D367EB">
      <w:pPr>
        <w:pStyle w:val="Sinespaciado"/>
        <w:jc w:val="both"/>
        <w:rPr>
          <w:rFonts w:ascii="Times New Roman" w:hAnsi="Times New Roman" w:cs="Times New Roman"/>
          <w:sz w:val="16"/>
        </w:rPr>
      </w:pPr>
      <w:r w:rsidRPr="006644F2">
        <w:rPr>
          <w:rFonts w:ascii="Times New Roman" w:hAnsi="Times New Roman" w:cs="Times New Roman"/>
          <w:sz w:val="14"/>
        </w:rPr>
        <w:t xml:space="preserve">Fuente: Dirección de Análisis y Política fiscal </w:t>
      </w:r>
    </w:p>
    <w:p w:rsidR="00D367EB" w:rsidRDefault="00D367EB" w:rsidP="00D367EB">
      <w:pPr>
        <w:pStyle w:val="Sinespaciado"/>
        <w:jc w:val="both"/>
        <w:rPr>
          <w:rFonts w:ascii="Times New Roman" w:hAnsi="Times New Roman" w:cs="Times New Roman"/>
          <w:sz w:val="16"/>
        </w:rPr>
      </w:pPr>
    </w:p>
    <w:p w:rsidR="004E3157" w:rsidRDefault="00E6117C" w:rsidP="00D367EB">
      <w:pPr>
        <w:pStyle w:val="Sinespaciado"/>
        <w:jc w:val="both"/>
        <w:rPr>
          <w:rFonts w:ascii="Times New Roman" w:hAnsi="Times New Roman" w:cs="Times New Roman"/>
        </w:rPr>
      </w:pPr>
      <w:r>
        <w:rPr>
          <w:rFonts w:ascii="Times New Roman" w:hAnsi="Times New Roman" w:cs="Times New Roman"/>
        </w:rPr>
        <w:t>Es importante indicar que</w:t>
      </w:r>
      <w:r w:rsidR="00D367EB">
        <w:rPr>
          <w:rFonts w:ascii="Times New Roman" w:hAnsi="Times New Roman" w:cs="Times New Roman"/>
        </w:rPr>
        <w:t xml:space="preserve"> el gasto superfluo se mantiene controlado, cuyo nivel se encuentra levemente por arriba de lo realizado a este fecha en el año anterior y no es significativamente mayor a lo realizado en  2011, </w:t>
      </w:r>
      <w:r>
        <w:rPr>
          <w:rFonts w:ascii="Times New Roman" w:hAnsi="Times New Roman" w:cs="Times New Roman"/>
        </w:rPr>
        <w:t xml:space="preserve">lo que se explica por la adopción de </w:t>
      </w:r>
      <w:r w:rsidR="00D367EB">
        <w:rPr>
          <w:rFonts w:ascii="Times New Roman" w:hAnsi="Times New Roman" w:cs="Times New Roman"/>
        </w:rPr>
        <w:t xml:space="preserve"> una política de austeridad, principalmente en rubros sensibles de gasto como viáticos, alimentos para personas, equipo de transporte, combustible, divulgación e información, entre otros.  </w:t>
      </w:r>
    </w:p>
    <w:p w:rsidR="004E3157" w:rsidRDefault="004E3157" w:rsidP="00D367EB">
      <w:pPr>
        <w:pStyle w:val="Sinespaciado"/>
        <w:jc w:val="both"/>
        <w:rPr>
          <w:rFonts w:ascii="Times New Roman" w:hAnsi="Times New Roman" w:cs="Times New Roman"/>
        </w:rPr>
      </w:pPr>
    </w:p>
    <w:p w:rsidR="004E3157" w:rsidRDefault="00D367EB" w:rsidP="00E6117C">
      <w:pPr>
        <w:pStyle w:val="Sinespaciado"/>
        <w:jc w:val="both"/>
        <w:rPr>
          <w:rFonts w:ascii="Times New Roman" w:hAnsi="Times New Roman" w:cs="Times New Roman"/>
        </w:rPr>
      </w:pPr>
      <w:r>
        <w:rPr>
          <w:rFonts w:ascii="Times New Roman" w:hAnsi="Times New Roman" w:cs="Times New Roman"/>
          <w:lang w:val="es-MX"/>
        </w:rPr>
        <w:t>La desaceleración en el gasto público entre marzo y abril, provocó igualmente que se desacelerara la ejecución en el gasto social, cuyo crecimiento interanual pasó de 28.8% a marzo  a 11.3% en el mes de abril</w:t>
      </w:r>
      <w:r w:rsidR="00E6117C">
        <w:rPr>
          <w:rFonts w:ascii="Times New Roman" w:hAnsi="Times New Roman" w:cs="Times New Roman"/>
          <w:lang w:val="es-MX"/>
        </w:rPr>
        <w:t>.</w:t>
      </w:r>
      <w:r>
        <w:rPr>
          <w:rFonts w:ascii="Times New Roman" w:hAnsi="Times New Roman" w:cs="Times New Roman"/>
          <w:lang w:val="es-MX"/>
        </w:rPr>
        <w:t xml:space="preserve">  Sin embargo dado el crecimiento del gasto se puede afirmar que sigue siendo una prioridad para el gobierno el gasto orientado a los sectores sociales </w:t>
      </w:r>
      <w:r w:rsidRPr="00085621">
        <w:rPr>
          <w:rFonts w:ascii="Times New Roman" w:hAnsi="Times New Roman" w:cs="Times New Roman"/>
        </w:rPr>
        <w:t>(educación, salud y vivienda)</w:t>
      </w:r>
      <w:r>
        <w:rPr>
          <w:rFonts w:ascii="Times New Roman" w:hAnsi="Times New Roman" w:cs="Times New Roman"/>
        </w:rPr>
        <w:t>.</w:t>
      </w:r>
      <w:r w:rsidRPr="00085621">
        <w:rPr>
          <w:rFonts w:ascii="Times New Roman" w:hAnsi="Times New Roman" w:cs="Times New Roman"/>
        </w:rPr>
        <w:t xml:space="preserve">   </w:t>
      </w:r>
    </w:p>
    <w:p w:rsidR="004E3157" w:rsidRDefault="004E3157" w:rsidP="00D367EB">
      <w:pPr>
        <w:pStyle w:val="Sinespaciado"/>
        <w:jc w:val="both"/>
        <w:rPr>
          <w:rFonts w:ascii="Times New Roman" w:hAnsi="Times New Roman" w:cs="Times New Roman"/>
        </w:rPr>
      </w:pPr>
    </w:p>
    <w:p w:rsidR="00D367EB" w:rsidRDefault="00D367EB" w:rsidP="00D367EB">
      <w:pPr>
        <w:pStyle w:val="Sinespaciado"/>
        <w:jc w:val="both"/>
        <w:rPr>
          <w:rFonts w:ascii="Times New Roman" w:hAnsi="Times New Roman" w:cs="Times New Roman"/>
        </w:rPr>
      </w:pPr>
      <w:r w:rsidRPr="00085621">
        <w:rPr>
          <w:rFonts w:ascii="Times New Roman" w:hAnsi="Times New Roman" w:cs="Times New Roman"/>
        </w:rPr>
        <w:t>Asimismo, el gasto en seguridad interna y los aportes a las princi</w:t>
      </w:r>
      <w:r>
        <w:rPr>
          <w:rFonts w:ascii="Times New Roman" w:hAnsi="Times New Roman" w:cs="Times New Roman"/>
        </w:rPr>
        <w:t>pales instituciones de justicia</w:t>
      </w:r>
      <w:r w:rsidRPr="00085621">
        <w:rPr>
          <w:rFonts w:ascii="Times New Roman" w:hAnsi="Times New Roman" w:cs="Times New Roman"/>
        </w:rPr>
        <w:t xml:space="preserve"> (MP, CC y OJ) muestran incrementos importantes, por</w:t>
      </w:r>
      <w:r>
        <w:rPr>
          <w:rFonts w:ascii="Times New Roman" w:hAnsi="Times New Roman" w:cs="Times New Roman"/>
        </w:rPr>
        <w:t xml:space="preserve"> </w:t>
      </w:r>
      <w:r w:rsidRPr="00085621">
        <w:rPr>
          <w:rFonts w:ascii="Times New Roman" w:hAnsi="Times New Roman" w:cs="Times New Roman"/>
        </w:rPr>
        <w:t xml:space="preserve">lo que el gasto de los Acuerdos de Paz </w:t>
      </w:r>
      <w:r>
        <w:rPr>
          <w:rFonts w:ascii="Times New Roman" w:hAnsi="Times New Roman" w:cs="Times New Roman"/>
        </w:rPr>
        <w:t xml:space="preserve"> (gasto social más seguridad interna y aportes a entidades de justicia) crece en 10.3</w:t>
      </w:r>
      <w:r w:rsidRPr="00085621">
        <w:rPr>
          <w:rFonts w:ascii="Times New Roman" w:hAnsi="Times New Roman" w:cs="Times New Roman"/>
        </w:rPr>
        <w:t>% con respecto a lo realizado en igual fecha del año anterior.</w:t>
      </w:r>
    </w:p>
    <w:p w:rsidR="00D367EB" w:rsidRDefault="00D367EB" w:rsidP="00D367EB">
      <w:pPr>
        <w:pStyle w:val="Sinespaciado"/>
        <w:jc w:val="both"/>
        <w:rPr>
          <w:rFonts w:ascii="Times New Roman" w:hAnsi="Times New Roman" w:cs="Times New Roman"/>
        </w:rPr>
      </w:pPr>
    </w:p>
    <w:p w:rsidR="00E6117C" w:rsidRDefault="00E6117C" w:rsidP="00D367EB">
      <w:pPr>
        <w:pStyle w:val="Sinespaciado"/>
        <w:jc w:val="center"/>
        <w:rPr>
          <w:rFonts w:ascii="Times New Roman" w:hAnsi="Times New Roman" w:cs="Times New Roman"/>
          <w:b/>
        </w:rPr>
      </w:pPr>
    </w:p>
    <w:p w:rsidR="00E6117C" w:rsidRDefault="00E6117C" w:rsidP="00D367EB">
      <w:pPr>
        <w:pStyle w:val="Sinespaciado"/>
        <w:jc w:val="center"/>
        <w:rPr>
          <w:rFonts w:ascii="Times New Roman" w:hAnsi="Times New Roman" w:cs="Times New Roman"/>
          <w:b/>
        </w:rPr>
      </w:pPr>
    </w:p>
    <w:p w:rsidR="00E4660D" w:rsidRDefault="00E4660D" w:rsidP="00D367EB">
      <w:pPr>
        <w:pStyle w:val="Sinespaciado"/>
        <w:jc w:val="center"/>
        <w:rPr>
          <w:rFonts w:ascii="Times New Roman" w:hAnsi="Times New Roman" w:cs="Times New Roman"/>
          <w:b/>
        </w:rPr>
      </w:pPr>
    </w:p>
    <w:p w:rsidR="00D367EB" w:rsidRDefault="00D367EB" w:rsidP="00D367EB">
      <w:pPr>
        <w:pStyle w:val="Sinespaciado"/>
        <w:jc w:val="center"/>
        <w:rPr>
          <w:rFonts w:ascii="Times New Roman" w:hAnsi="Times New Roman" w:cs="Times New Roman"/>
          <w:b/>
        </w:rPr>
      </w:pPr>
      <w:r>
        <w:rPr>
          <w:rFonts w:ascii="Times New Roman" w:hAnsi="Times New Roman" w:cs="Times New Roman"/>
          <w:b/>
        </w:rPr>
        <w:t>G</w:t>
      </w:r>
      <w:r w:rsidRPr="00085621">
        <w:rPr>
          <w:rFonts w:ascii="Times New Roman" w:hAnsi="Times New Roman" w:cs="Times New Roman"/>
          <w:b/>
        </w:rPr>
        <w:t>asto Social y de los Acuerdos de Paz</w:t>
      </w:r>
    </w:p>
    <w:p w:rsidR="00D367EB" w:rsidRDefault="00D367EB" w:rsidP="00D367EB">
      <w:pPr>
        <w:pStyle w:val="Sinespaciado"/>
        <w:jc w:val="center"/>
        <w:rPr>
          <w:rFonts w:ascii="Times New Roman" w:hAnsi="Times New Roman" w:cs="Times New Roman"/>
          <w:sz w:val="18"/>
        </w:rPr>
      </w:pPr>
      <w:r>
        <w:rPr>
          <w:rFonts w:ascii="Times New Roman" w:hAnsi="Times New Roman" w:cs="Times New Roman"/>
          <w:sz w:val="18"/>
        </w:rPr>
        <w:t>Acumulado a Abril</w:t>
      </w:r>
      <w:r w:rsidRPr="00085621">
        <w:rPr>
          <w:rFonts w:ascii="Times New Roman" w:hAnsi="Times New Roman" w:cs="Times New Roman"/>
          <w:sz w:val="18"/>
        </w:rPr>
        <w:t xml:space="preserve"> 2014 – 2015</w:t>
      </w:r>
    </w:p>
    <w:p w:rsidR="00D367EB" w:rsidRDefault="00D367EB" w:rsidP="00D367EB">
      <w:pPr>
        <w:pStyle w:val="Sinespaciado"/>
        <w:jc w:val="center"/>
        <w:rPr>
          <w:rFonts w:ascii="Times New Roman" w:hAnsi="Times New Roman" w:cs="Times New Roman"/>
          <w:b/>
        </w:rPr>
      </w:pPr>
      <w:r w:rsidRPr="00085621">
        <w:rPr>
          <w:rFonts w:ascii="Times New Roman" w:hAnsi="Times New Roman" w:cs="Times New Roman"/>
          <w:sz w:val="18"/>
        </w:rPr>
        <w:t>Millones de Quetzales y Porcentajes</w:t>
      </w:r>
    </w:p>
    <w:p w:rsidR="00D367EB" w:rsidRDefault="00D367EB" w:rsidP="00D367EB">
      <w:pPr>
        <w:pStyle w:val="Sinespaciado"/>
        <w:jc w:val="center"/>
        <w:rPr>
          <w:rFonts w:ascii="Times New Roman" w:hAnsi="Times New Roman" w:cs="Times New Roman"/>
          <w:lang w:val="es-MX"/>
        </w:rPr>
      </w:pPr>
      <w:r w:rsidRPr="005E572E">
        <w:rPr>
          <w:noProof/>
          <w:lang w:eastAsia="es-GT"/>
        </w:rPr>
        <w:drawing>
          <wp:inline distT="0" distB="0" distL="0" distR="0" wp14:anchorId="1ECA2E48" wp14:editId="4D5E361B">
            <wp:extent cx="2578681" cy="200977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1275" cy="2011796"/>
                    </a:xfrm>
                    <a:prstGeom prst="rect">
                      <a:avLst/>
                    </a:prstGeom>
                    <a:noFill/>
                    <a:ln>
                      <a:noFill/>
                    </a:ln>
                  </pic:spPr>
                </pic:pic>
              </a:graphicData>
            </a:graphic>
          </wp:inline>
        </w:drawing>
      </w:r>
    </w:p>
    <w:p w:rsidR="00D367EB" w:rsidRPr="006644F2" w:rsidRDefault="00D367EB" w:rsidP="00D367EB">
      <w:pPr>
        <w:pStyle w:val="Sinespaciado"/>
        <w:jc w:val="both"/>
        <w:rPr>
          <w:rFonts w:ascii="Times New Roman" w:hAnsi="Times New Roman" w:cs="Times New Roman"/>
          <w:sz w:val="14"/>
        </w:rPr>
      </w:pPr>
      <w:r w:rsidRPr="006644F2">
        <w:rPr>
          <w:rFonts w:ascii="Times New Roman" w:hAnsi="Times New Roman" w:cs="Times New Roman"/>
          <w:sz w:val="14"/>
        </w:rPr>
        <w:t>Fuente: Dirección de Análisis y Política fiscal</w:t>
      </w:r>
    </w:p>
    <w:p w:rsidR="006644F2" w:rsidRDefault="006644F2" w:rsidP="00D367EB">
      <w:pPr>
        <w:pStyle w:val="Sinespaciado"/>
        <w:jc w:val="both"/>
        <w:rPr>
          <w:rFonts w:ascii="Times New Roman" w:hAnsi="Times New Roman" w:cs="Times New Roman"/>
        </w:rPr>
      </w:pPr>
    </w:p>
    <w:p w:rsidR="00D367EB" w:rsidRPr="004E3157" w:rsidRDefault="00D367EB" w:rsidP="00D367EB">
      <w:pPr>
        <w:pStyle w:val="Sinespaciado"/>
        <w:jc w:val="both"/>
        <w:rPr>
          <w:rFonts w:ascii="Times New Roman" w:hAnsi="Times New Roman" w:cs="Times New Roman"/>
          <w:lang w:val="es-MX"/>
        </w:rPr>
      </w:pPr>
      <w:r w:rsidRPr="004E3157">
        <w:rPr>
          <w:rFonts w:ascii="Times New Roman" w:hAnsi="Times New Roman" w:cs="Times New Roman"/>
          <w:lang w:val="es-MX"/>
        </w:rPr>
        <w:t>Por último, se prevé que el comportamiento del gasto público se mantenga, es decir, la desaceleración en la ejecución se estima se mantendrá en los próximos meses, debido a la dosificación en el límite máximo que se autoriza a las instituciones para gastar, debido a que las disponibilidades del gobierno se han reducido y las expectativas por una mejora en la recaudación tributaria no son alentadoras.</w:t>
      </w:r>
    </w:p>
    <w:p w:rsidR="00D367EB" w:rsidRDefault="00D367EB" w:rsidP="00D367EB">
      <w:pPr>
        <w:pStyle w:val="Sinespaciado"/>
        <w:ind w:left="708"/>
        <w:jc w:val="both"/>
        <w:rPr>
          <w:rFonts w:ascii="Times New Roman" w:hAnsi="Times New Roman" w:cs="Times New Roman"/>
          <w:sz w:val="16"/>
        </w:rPr>
      </w:pPr>
    </w:p>
    <w:p w:rsidR="00E4660D" w:rsidRDefault="00E4660D" w:rsidP="00E4660D">
      <w:pPr>
        <w:pStyle w:val="Sinespaciado"/>
        <w:jc w:val="both"/>
        <w:rPr>
          <w:rFonts w:ascii="Times New Roman" w:hAnsi="Times New Roman" w:cs="Times New Roman"/>
          <w:sz w:val="16"/>
        </w:rPr>
      </w:pPr>
    </w:p>
    <w:p w:rsidR="004E3157" w:rsidRDefault="004E3157" w:rsidP="00D367EB">
      <w:pPr>
        <w:pStyle w:val="Sinespaciado"/>
        <w:ind w:left="708"/>
        <w:jc w:val="both"/>
        <w:rPr>
          <w:rFonts w:ascii="Times New Roman" w:hAnsi="Times New Roman" w:cs="Times New Roman"/>
          <w:sz w:val="16"/>
        </w:rPr>
      </w:pPr>
    </w:p>
    <w:p w:rsidR="004E3157" w:rsidRDefault="004E3157" w:rsidP="00D367EB">
      <w:pPr>
        <w:pStyle w:val="Sinespaciado"/>
        <w:ind w:left="708"/>
        <w:jc w:val="both"/>
        <w:rPr>
          <w:rFonts w:ascii="Times New Roman" w:hAnsi="Times New Roman" w:cs="Times New Roman"/>
          <w:sz w:val="16"/>
        </w:rPr>
        <w:sectPr w:rsidR="004E3157" w:rsidSect="00460260">
          <w:type w:val="continuous"/>
          <w:pgSz w:w="12240" w:h="15840"/>
          <w:pgMar w:top="1417" w:right="1701" w:bottom="1417" w:left="1701" w:header="708" w:footer="708" w:gutter="0"/>
          <w:cols w:num="2" w:space="708"/>
          <w:docGrid w:linePitch="360"/>
        </w:sectPr>
      </w:pPr>
    </w:p>
    <w:p w:rsidR="00D367EB" w:rsidRPr="00460260" w:rsidRDefault="00D367EB" w:rsidP="004E3157">
      <w:pPr>
        <w:pStyle w:val="Sinespaciado"/>
        <w:jc w:val="both"/>
        <w:rPr>
          <w:rFonts w:ascii="Times New Roman" w:hAnsi="Times New Roman" w:cs="Times New Roman"/>
          <w:sz w:val="16"/>
        </w:rPr>
      </w:pPr>
    </w:p>
    <w:p w:rsidR="00D367EB" w:rsidRPr="00D367EB" w:rsidRDefault="00D367EB" w:rsidP="00D367EB">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D367EB">
        <w:rPr>
          <w:rFonts w:ascii="Times New Roman" w:hAnsi="Times New Roman" w:cs="Times New Roman"/>
          <w:b/>
          <w:lang w:val="es-MX"/>
        </w:rPr>
        <w:t>Prácticamente se agotó la colocación de Bonos del Tesoro</w:t>
      </w:r>
    </w:p>
    <w:p w:rsidR="00D367EB" w:rsidRDefault="00D367EB" w:rsidP="00D367EB">
      <w:pPr>
        <w:pStyle w:val="Sinespaciado"/>
        <w:jc w:val="both"/>
        <w:rPr>
          <w:rFonts w:ascii="Times New Roman" w:hAnsi="Times New Roman" w:cs="Times New Roman"/>
        </w:rPr>
      </w:pPr>
    </w:p>
    <w:p w:rsidR="00D367EB" w:rsidRDefault="00D367EB" w:rsidP="00D367EB">
      <w:pPr>
        <w:pStyle w:val="Sinespaciado"/>
        <w:jc w:val="both"/>
        <w:rPr>
          <w:rFonts w:ascii="Times New Roman" w:hAnsi="Times New Roman" w:cs="Times New Roman"/>
        </w:rPr>
        <w:sectPr w:rsidR="00D367EB" w:rsidSect="00BF39E0">
          <w:type w:val="continuous"/>
          <w:pgSz w:w="12240" w:h="15840"/>
          <w:pgMar w:top="1417" w:right="1701" w:bottom="1417" w:left="1701" w:header="708" w:footer="708" w:gutter="0"/>
          <w:cols w:space="708"/>
          <w:docGrid w:linePitch="360"/>
        </w:sectPr>
      </w:pPr>
    </w:p>
    <w:p w:rsidR="00D367EB" w:rsidRDefault="00D367EB" w:rsidP="00D367EB">
      <w:pPr>
        <w:pStyle w:val="Sinespaciado"/>
        <w:jc w:val="both"/>
        <w:rPr>
          <w:rFonts w:ascii="Times New Roman" w:hAnsi="Times New Roman" w:cs="Times New Roman"/>
        </w:rPr>
      </w:pPr>
      <w:r>
        <w:rPr>
          <w:rFonts w:ascii="Times New Roman" w:hAnsi="Times New Roman" w:cs="Times New Roman"/>
        </w:rPr>
        <w:lastRenderedPageBreak/>
        <w:t>El resultado fiscal que se obtuvo al cierre de abril de 2015, muestra un déficit de Q 1,565.0 millones, por debajo del nivel contemplado en el presupuesto vigente para el año (Q 10,008.0 millones).</w:t>
      </w:r>
    </w:p>
    <w:p w:rsidR="00E6117C" w:rsidRDefault="00E6117C" w:rsidP="00D367EB">
      <w:pPr>
        <w:pStyle w:val="Sinespaciado"/>
        <w:jc w:val="both"/>
        <w:rPr>
          <w:rFonts w:ascii="Times New Roman" w:hAnsi="Times New Roman" w:cs="Times New Roman"/>
        </w:rPr>
      </w:pPr>
    </w:p>
    <w:p w:rsidR="00D367EB" w:rsidRDefault="00E6117C" w:rsidP="00D367EB">
      <w:pPr>
        <w:pStyle w:val="Sinespaciado"/>
        <w:jc w:val="both"/>
        <w:rPr>
          <w:rFonts w:ascii="Times New Roman" w:hAnsi="Times New Roman" w:cs="Times New Roman"/>
        </w:rPr>
      </w:pPr>
      <w:r>
        <w:rPr>
          <w:rFonts w:ascii="Times New Roman" w:hAnsi="Times New Roman" w:cs="Times New Roman"/>
        </w:rPr>
        <w:t>E</w:t>
      </w:r>
      <w:r w:rsidR="00D367EB">
        <w:rPr>
          <w:rFonts w:ascii="Times New Roman" w:hAnsi="Times New Roman" w:cs="Times New Roman"/>
        </w:rPr>
        <w:t xml:space="preserve">n cuanto al financiamiento del déficit, los desembolsos de préstamos externos muestran un comportamiento muy por arriba de lo observado en los últimos años, esto como resultado de una gestión mejor planificada y de una aprobación plena de los préstamos por parte del Congreso. </w:t>
      </w:r>
    </w:p>
    <w:p w:rsidR="00D367EB" w:rsidRDefault="00D367EB" w:rsidP="00D367EB">
      <w:pPr>
        <w:pStyle w:val="Sinespaciado"/>
        <w:jc w:val="both"/>
        <w:rPr>
          <w:rFonts w:ascii="Times New Roman" w:hAnsi="Times New Roman" w:cs="Times New Roman"/>
        </w:rPr>
      </w:pPr>
    </w:p>
    <w:p w:rsidR="00D367EB" w:rsidRPr="00D635EF" w:rsidRDefault="00D367EB" w:rsidP="00D367EB">
      <w:pPr>
        <w:pStyle w:val="Sinespaciado"/>
        <w:jc w:val="both"/>
        <w:rPr>
          <w:rFonts w:ascii="Times New Roman" w:hAnsi="Times New Roman" w:cs="Times New Roman"/>
        </w:rPr>
      </w:pPr>
      <w:r>
        <w:rPr>
          <w:rFonts w:ascii="Times New Roman" w:hAnsi="Times New Roman" w:cs="Times New Roman"/>
        </w:rPr>
        <w:lastRenderedPageBreak/>
        <w:t>De esa cuenta, el nivel de préstamos externos, al 30 de abril de 2015, es de en Q 4,035.7 millones, mientras que en los años anteriores, este ha sido mucho más bajo, menor de Q 700 millones.  En lo que va del año resaltan los préstamos de apoyo presupuestario del Banco Mundial “</w:t>
      </w:r>
      <w:r w:rsidRPr="00B1100B">
        <w:rPr>
          <w:rFonts w:ascii="Times New Roman" w:hAnsi="Times New Roman" w:cs="Times New Roman"/>
        </w:rPr>
        <w:t>para políticas de desarrollo de manejo fiscal y financiero mejorado para</w:t>
      </w:r>
      <w:r>
        <w:rPr>
          <w:rFonts w:ascii="Times New Roman" w:hAnsi="Times New Roman" w:cs="Times New Roman"/>
        </w:rPr>
        <w:t xml:space="preserve"> </w:t>
      </w:r>
      <w:r w:rsidRPr="00B1100B">
        <w:rPr>
          <w:rFonts w:ascii="Times New Roman" w:hAnsi="Times New Roman" w:cs="Times New Roman"/>
        </w:rPr>
        <w:t>lograr mayores</w:t>
      </w:r>
      <w:r>
        <w:rPr>
          <w:rFonts w:ascii="Times New Roman" w:hAnsi="Times New Roman" w:cs="Times New Roman"/>
        </w:rPr>
        <w:t xml:space="preserve"> </w:t>
      </w:r>
      <w:r w:rsidRPr="00B1100B">
        <w:rPr>
          <w:rFonts w:ascii="Times New Roman" w:hAnsi="Times New Roman" w:cs="Times New Roman"/>
        </w:rPr>
        <w:t>Oportunidades</w:t>
      </w:r>
      <w:r>
        <w:rPr>
          <w:rFonts w:ascii="Times New Roman" w:hAnsi="Times New Roman" w:cs="Times New Roman"/>
        </w:rPr>
        <w:t xml:space="preserve">” por US$ 340 millones y el préstamo del </w:t>
      </w:r>
      <w:r w:rsidRPr="00D635EF">
        <w:rPr>
          <w:rFonts w:ascii="Times New Roman" w:hAnsi="Times New Roman" w:cs="Times New Roman"/>
          <w:sz w:val="24"/>
        </w:rPr>
        <w:t>BCIE “</w:t>
      </w:r>
      <w:r w:rsidRPr="00D635EF">
        <w:rPr>
          <w:rFonts w:ascii="Times New Roman" w:hAnsi="Times New Roman" w:cs="Times New Roman"/>
        </w:rPr>
        <w:t>apoyo a proyectos de inversión en infraestructura social y productiva” por US$ 100 millones.</w:t>
      </w:r>
    </w:p>
    <w:p w:rsidR="004E3157" w:rsidRDefault="004E3157" w:rsidP="00D367EB">
      <w:pPr>
        <w:pStyle w:val="Sinespaciado"/>
        <w:jc w:val="both"/>
        <w:rPr>
          <w:rFonts w:ascii="Times New Roman" w:hAnsi="Times New Roman" w:cs="Times New Roman"/>
        </w:rPr>
      </w:pPr>
    </w:p>
    <w:p w:rsidR="00E4660D" w:rsidRDefault="00E4660D" w:rsidP="00D367EB">
      <w:pPr>
        <w:pStyle w:val="Sinespaciado"/>
        <w:jc w:val="both"/>
        <w:rPr>
          <w:rFonts w:ascii="Times New Roman" w:hAnsi="Times New Roman" w:cs="Times New Roman"/>
        </w:rPr>
      </w:pPr>
    </w:p>
    <w:p w:rsidR="00E4660D" w:rsidRPr="00D635EF" w:rsidRDefault="00E4660D" w:rsidP="00D367EB">
      <w:pPr>
        <w:pStyle w:val="Sinespaciado"/>
        <w:jc w:val="both"/>
        <w:rPr>
          <w:rFonts w:ascii="Times New Roman" w:hAnsi="Times New Roman" w:cs="Times New Roman"/>
        </w:rPr>
      </w:pPr>
    </w:p>
    <w:p w:rsidR="00D367EB" w:rsidRPr="00A02E0D" w:rsidRDefault="00D367EB" w:rsidP="00D367EB">
      <w:pPr>
        <w:pStyle w:val="Sinespaciado"/>
        <w:jc w:val="center"/>
        <w:rPr>
          <w:rFonts w:ascii="Times New Roman" w:hAnsi="Times New Roman" w:cs="Times New Roman"/>
          <w:b/>
        </w:rPr>
      </w:pPr>
      <w:r>
        <w:rPr>
          <w:rFonts w:ascii="Times New Roman" w:hAnsi="Times New Roman" w:cs="Times New Roman"/>
          <w:b/>
        </w:rPr>
        <w:lastRenderedPageBreak/>
        <w:t xml:space="preserve">Desembolsos de </w:t>
      </w:r>
      <w:r w:rsidRPr="00A02E0D">
        <w:rPr>
          <w:rFonts w:ascii="Times New Roman" w:hAnsi="Times New Roman" w:cs="Times New Roman"/>
          <w:b/>
        </w:rPr>
        <w:t xml:space="preserve">Préstamos Externos </w:t>
      </w:r>
    </w:p>
    <w:p w:rsidR="00D367EB" w:rsidRPr="00A02E0D" w:rsidRDefault="00D367EB" w:rsidP="00D367EB">
      <w:pPr>
        <w:pStyle w:val="Sinespaciado"/>
        <w:jc w:val="center"/>
        <w:rPr>
          <w:rFonts w:ascii="Times New Roman" w:hAnsi="Times New Roman" w:cs="Times New Roman"/>
          <w:sz w:val="18"/>
        </w:rPr>
      </w:pPr>
      <w:r>
        <w:rPr>
          <w:rFonts w:ascii="Times New Roman" w:hAnsi="Times New Roman" w:cs="Times New Roman"/>
          <w:sz w:val="18"/>
        </w:rPr>
        <w:t>Al 30 de abril de 2015</w:t>
      </w:r>
      <w:r w:rsidRPr="00A02E0D">
        <w:rPr>
          <w:rFonts w:ascii="Times New Roman" w:hAnsi="Times New Roman" w:cs="Times New Roman"/>
          <w:sz w:val="18"/>
        </w:rPr>
        <w:t xml:space="preserve"> </w:t>
      </w:r>
    </w:p>
    <w:p w:rsidR="00D367EB" w:rsidRDefault="00D367EB" w:rsidP="00D367EB">
      <w:pPr>
        <w:pStyle w:val="Sinespaciado"/>
        <w:jc w:val="center"/>
        <w:rPr>
          <w:rFonts w:ascii="Times New Roman" w:hAnsi="Times New Roman" w:cs="Times New Roman"/>
        </w:rPr>
      </w:pPr>
      <w:r w:rsidRPr="00A02E0D">
        <w:rPr>
          <w:rFonts w:ascii="Times New Roman" w:hAnsi="Times New Roman" w:cs="Times New Roman"/>
          <w:sz w:val="18"/>
        </w:rPr>
        <w:t>Millones de Quetzales</w:t>
      </w:r>
    </w:p>
    <w:p w:rsidR="00D367EB" w:rsidRDefault="00D367EB" w:rsidP="00D367EB">
      <w:pPr>
        <w:pStyle w:val="Sinespaciado"/>
        <w:jc w:val="both"/>
        <w:rPr>
          <w:rFonts w:ascii="Times New Roman" w:hAnsi="Times New Roman" w:cs="Times New Roman"/>
        </w:rPr>
      </w:pPr>
      <w:r w:rsidRPr="00114B51">
        <w:rPr>
          <w:noProof/>
          <w:lang w:eastAsia="es-GT"/>
        </w:rPr>
        <w:drawing>
          <wp:inline distT="0" distB="0" distL="0" distR="0" wp14:anchorId="04B72476" wp14:editId="00FE6723">
            <wp:extent cx="2704011" cy="3505200"/>
            <wp:effectExtent l="0" t="0" r="127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7619" cy="3522840"/>
                    </a:xfrm>
                    <a:prstGeom prst="rect">
                      <a:avLst/>
                    </a:prstGeom>
                    <a:noFill/>
                    <a:ln>
                      <a:noFill/>
                    </a:ln>
                  </pic:spPr>
                </pic:pic>
              </a:graphicData>
            </a:graphic>
          </wp:inline>
        </w:drawing>
      </w:r>
    </w:p>
    <w:p w:rsidR="00D367EB" w:rsidRPr="006644F2" w:rsidRDefault="00D367EB" w:rsidP="00D367EB">
      <w:pPr>
        <w:pStyle w:val="Sinespaciado"/>
        <w:jc w:val="both"/>
        <w:rPr>
          <w:rFonts w:ascii="Times New Roman" w:hAnsi="Times New Roman" w:cs="Times New Roman"/>
          <w:sz w:val="14"/>
        </w:rPr>
      </w:pPr>
      <w:r w:rsidRPr="006644F2">
        <w:rPr>
          <w:rFonts w:ascii="Times New Roman" w:hAnsi="Times New Roman" w:cs="Times New Roman"/>
          <w:sz w:val="14"/>
        </w:rPr>
        <w:t>Fuente: Dirección de Análisis y Política fiscal</w:t>
      </w:r>
    </w:p>
    <w:p w:rsidR="00D367EB" w:rsidRDefault="00D367EB" w:rsidP="00D367EB">
      <w:pPr>
        <w:pStyle w:val="Sinespaciado"/>
        <w:jc w:val="both"/>
        <w:rPr>
          <w:rFonts w:ascii="Times New Roman" w:hAnsi="Times New Roman" w:cs="Times New Roman"/>
        </w:rPr>
      </w:pPr>
    </w:p>
    <w:p w:rsidR="00D367EB" w:rsidRDefault="00D367EB" w:rsidP="00D367EB">
      <w:pPr>
        <w:pStyle w:val="Sinespaciado"/>
        <w:jc w:val="both"/>
        <w:rPr>
          <w:rFonts w:ascii="Times New Roman" w:hAnsi="Times New Roman" w:cs="Times New Roman"/>
        </w:rPr>
      </w:pPr>
      <w:r>
        <w:rPr>
          <w:rFonts w:ascii="Times New Roman" w:hAnsi="Times New Roman" w:cs="Times New Roman"/>
        </w:rPr>
        <w:t xml:space="preserve">Asimismo, en cuanto a </w:t>
      </w:r>
      <w:r w:rsidRPr="001A16F1">
        <w:rPr>
          <w:rFonts w:ascii="Times New Roman" w:hAnsi="Times New Roman" w:cs="Times New Roman"/>
        </w:rPr>
        <w:t>la colocación de Bonos del Tesoro</w:t>
      </w:r>
      <w:r>
        <w:rPr>
          <w:rFonts w:ascii="Times New Roman" w:hAnsi="Times New Roman" w:cs="Times New Roman"/>
        </w:rPr>
        <w:t xml:space="preserve">, al 30 de abril prácticamente se agotó el cupo de la colocación autorizada por el Congreso,  lo que aún está pendiente de colocar son Q 361.4 millones, que corresponden al pago de las deficiencias netas del Banco Guatemala autorizadas en el presupuesto de este año.   De esa cuenta, el monto total adjudicado a dicha fecha asciende a Q 7,798.1 millones.  Las condiciones a las que fueron colocados los títulos siguen siendo bastante favorables ya que en términos generales se mantuvo el costo promedio en 7.4% y el plazo medio es de 13.9 años.  Además el monto colocado a la fecha ha sido en su mayoría con prima o a la par.  </w:t>
      </w:r>
    </w:p>
    <w:p w:rsidR="00D367EB" w:rsidRDefault="00D367EB" w:rsidP="00D367EB">
      <w:pPr>
        <w:pStyle w:val="Sinespaciado"/>
        <w:jc w:val="both"/>
        <w:rPr>
          <w:rFonts w:ascii="Times New Roman" w:hAnsi="Times New Roman" w:cs="Times New Roman"/>
        </w:rPr>
      </w:pPr>
    </w:p>
    <w:p w:rsidR="004E3157" w:rsidRDefault="004E3157" w:rsidP="00D367EB">
      <w:pPr>
        <w:pStyle w:val="Sinespaciado"/>
        <w:jc w:val="both"/>
        <w:rPr>
          <w:rFonts w:ascii="Times New Roman" w:hAnsi="Times New Roman" w:cs="Times New Roman"/>
        </w:rPr>
      </w:pPr>
    </w:p>
    <w:p w:rsidR="004E3157" w:rsidRDefault="004E3157" w:rsidP="00D367EB">
      <w:pPr>
        <w:pStyle w:val="Sinespaciado"/>
        <w:jc w:val="both"/>
        <w:rPr>
          <w:rFonts w:ascii="Times New Roman" w:hAnsi="Times New Roman" w:cs="Times New Roman"/>
        </w:rPr>
      </w:pPr>
    </w:p>
    <w:p w:rsidR="00E4660D" w:rsidRDefault="00E4660D" w:rsidP="00D367EB">
      <w:pPr>
        <w:pStyle w:val="Sinespaciado"/>
        <w:jc w:val="both"/>
        <w:rPr>
          <w:rFonts w:ascii="Times New Roman" w:hAnsi="Times New Roman" w:cs="Times New Roman"/>
        </w:rPr>
      </w:pPr>
    </w:p>
    <w:p w:rsidR="00E4660D" w:rsidRDefault="00E4660D" w:rsidP="00D367EB">
      <w:pPr>
        <w:pStyle w:val="Sinespaciado"/>
        <w:jc w:val="both"/>
        <w:rPr>
          <w:rFonts w:ascii="Times New Roman" w:hAnsi="Times New Roman" w:cs="Times New Roman"/>
        </w:rPr>
      </w:pPr>
    </w:p>
    <w:p w:rsidR="00E4660D" w:rsidRDefault="00E4660D" w:rsidP="00D367EB">
      <w:pPr>
        <w:pStyle w:val="Sinespaciado"/>
        <w:jc w:val="both"/>
        <w:rPr>
          <w:rFonts w:ascii="Times New Roman" w:hAnsi="Times New Roman" w:cs="Times New Roman"/>
        </w:rPr>
      </w:pPr>
    </w:p>
    <w:p w:rsidR="00D367EB" w:rsidRDefault="00D367EB" w:rsidP="00D367EB">
      <w:pPr>
        <w:pStyle w:val="Sinespaciado"/>
        <w:jc w:val="center"/>
        <w:rPr>
          <w:rFonts w:ascii="Times New Roman" w:hAnsi="Times New Roman" w:cs="Times New Roman"/>
          <w:b/>
        </w:rPr>
      </w:pPr>
      <w:r w:rsidRPr="0071717E">
        <w:rPr>
          <w:rFonts w:ascii="Times New Roman" w:hAnsi="Times New Roman" w:cs="Times New Roman"/>
          <w:b/>
        </w:rPr>
        <w:lastRenderedPageBreak/>
        <w:t xml:space="preserve">Condiciones </w:t>
      </w:r>
      <w:r>
        <w:rPr>
          <w:rFonts w:ascii="Times New Roman" w:hAnsi="Times New Roman" w:cs="Times New Roman"/>
          <w:b/>
        </w:rPr>
        <w:t>f</w:t>
      </w:r>
      <w:r w:rsidRPr="0071717E">
        <w:rPr>
          <w:rFonts w:ascii="Times New Roman" w:hAnsi="Times New Roman" w:cs="Times New Roman"/>
          <w:b/>
        </w:rPr>
        <w:t>inanciera</w:t>
      </w:r>
      <w:r>
        <w:rPr>
          <w:rFonts w:ascii="Times New Roman" w:hAnsi="Times New Roman" w:cs="Times New Roman"/>
          <w:b/>
        </w:rPr>
        <w:t>s</w:t>
      </w:r>
      <w:r w:rsidRPr="0071717E">
        <w:rPr>
          <w:rFonts w:ascii="Times New Roman" w:hAnsi="Times New Roman" w:cs="Times New Roman"/>
          <w:b/>
        </w:rPr>
        <w:t xml:space="preserve"> de la colocación de</w:t>
      </w:r>
      <w:r w:rsidRPr="003527FC">
        <w:rPr>
          <w:rFonts w:ascii="Times New Roman" w:hAnsi="Times New Roman" w:cs="Times New Roman"/>
          <w:b/>
        </w:rPr>
        <w:t xml:space="preserve"> Bonos del Tesoro</w:t>
      </w:r>
    </w:p>
    <w:p w:rsidR="00D367EB" w:rsidRPr="00293FD6" w:rsidRDefault="00D367EB" w:rsidP="00D367EB">
      <w:pPr>
        <w:pStyle w:val="Sinespaciado"/>
        <w:jc w:val="center"/>
        <w:rPr>
          <w:rFonts w:ascii="Times New Roman" w:hAnsi="Times New Roman" w:cs="Times New Roman"/>
          <w:sz w:val="18"/>
        </w:rPr>
      </w:pPr>
      <w:r w:rsidRPr="00293FD6">
        <w:rPr>
          <w:rFonts w:ascii="Times New Roman" w:hAnsi="Times New Roman" w:cs="Times New Roman"/>
          <w:sz w:val="18"/>
        </w:rPr>
        <w:t>Al 3</w:t>
      </w:r>
      <w:r>
        <w:rPr>
          <w:rFonts w:ascii="Times New Roman" w:hAnsi="Times New Roman" w:cs="Times New Roman"/>
          <w:sz w:val="18"/>
        </w:rPr>
        <w:t>0</w:t>
      </w:r>
      <w:r w:rsidRPr="00293FD6">
        <w:rPr>
          <w:rFonts w:ascii="Times New Roman" w:hAnsi="Times New Roman" w:cs="Times New Roman"/>
          <w:sz w:val="18"/>
        </w:rPr>
        <w:t xml:space="preserve"> de </w:t>
      </w:r>
      <w:r>
        <w:rPr>
          <w:rFonts w:ascii="Times New Roman" w:hAnsi="Times New Roman" w:cs="Times New Roman"/>
          <w:sz w:val="18"/>
        </w:rPr>
        <w:t>Abril</w:t>
      </w:r>
      <w:r w:rsidRPr="00293FD6">
        <w:rPr>
          <w:rFonts w:ascii="Times New Roman" w:hAnsi="Times New Roman" w:cs="Times New Roman"/>
          <w:sz w:val="18"/>
        </w:rPr>
        <w:t xml:space="preserve"> de 2015</w:t>
      </w:r>
    </w:p>
    <w:p w:rsidR="00D367EB" w:rsidRDefault="00D367EB" w:rsidP="00D367EB">
      <w:pPr>
        <w:pStyle w:val="Sinespaciado"/>
        <w:jc w:val="both"/>
        <w:rPr>
          <w:rFonts w:ascii="Times New Roman" w:hAnsi="Times New Roman" w:cs="Times New Roman"/>
        </w:rPr>
      </w:pPr>
      <w:r>
        <w:rPr>
          <w:rFonts w:ascii="Times New Roman" w:hAnsi="Times New Roman" w:cs="Times New Roman"/>
          <w:noProof/>
          <w:lang w:eastAsia="es-GT"/>
        </w:rPr>
        <w:drawing>
          <wp:inline distT="0" distB="0" distL="0" distR="0" wp14:anchorId="3AC759E5" wp14:editId="0CD0782B">
            <wp:extent cx="2667000" cy="3338859"/>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2717" cy="3346016"/>
                    </a:xfrm>
                    <a:prstGeom prst="rect">
                      <a:avLst/>
                    </a:prstGeom>
                    <a:noFill/>
                  </pic:spPr>
                </pic:pic>
              </a:graphicData>
            </a:graphic>
          </wp:inline>
        </w:drawing>
      </w:r>
    </w:p>
    <w:p w:rsidR="00D367EB" w:rsidRPr="006644F2" w:rsidRDefault="00D367EB" w:rsidP="00D367EB">
      <w:pPr>
        <w:pStyle w:val="Sinespaciado"/>
        <w:jc w:val="both"/>
        <w:rPr>
          <w:rFonts w:ascii="Times New Roman" w:hAnsi="Times New Roman" w:cs="Times New Roman"/>
          <w:sz w:val="14"/>
        </w:rPr>
      </w:pPr>
      <w:r w:rsidRPr="006644F2">
        <w:rPr>
          <w:rFonts w:ascii="Times New Roman" w:hAnsi="Times New Roman" w:cs="Times New Roman"/>
          <w:sz w:val="14"/>
        </w:rPr>
        <w:t>Fuente: Dirección de Análisis y Política fiscal</w:t>
      </w:r>
    </w:p>
    <w:p w:rsidR="00D367EB" w:rsidRDefault="00D367EB" w:rsidP="00D367EB">
      <w:pPr>
        <w:pStyle w:val="Sinespaciado"/>
        <w:jc w:val="both"/>
        <w:rPr>
          <w:rFonts w:ascii="Times New Roman" w:hAnsi="Times New Roman" w:cs="Times New Roman"/>
        </w:rPr>
      </w:pPr>
    </w:p>
    <w:p w:rsidR="00D367EB" w:rsidRDefault="00D367EB" w:rsidP="00D367EB">
      <w:pPr>
        <w:pStyle w:val="Sinespaciado"/>
        <w:jc w:val="both"/>
        <w:rPr>
          <w:rFonts w:ascii="Times New Roman" w:hAnsi="Times New Roman" w:cs="Times New Roman"/>
        </w:rPr>
      </w:pPr>
      <w:r>
        <w:rPr>
          <w:rFonts w:ascii="Times New Roman" w:hAnsi="Times New Roman" w:cs="Times New Roman"/>
        </w:rPr>
        <w:t xml:space="preserve">Asimismo, del total colocado (Q 7,798.1 millones), Q 3,638.6 millones se destinarán al financiamiento del presupuesto de este año y Q 4,159.5 millones a roll over, este último debe utilizarse para liquidar los vencimientos de bonos de este año.  </w:t>
      </w:r>
    </w:p>
    <w:p w:rsidR="006644F2" w:rsidRDefault="006644F2" w:rsidP="00D367EB">
      <w:pPr>
        <w:spacing w:after="0" w:line="240" w:lineRule="auto"/>
        <w:jc w:val="both"/>
        <w:rPr>
          <w:rFonts w:ascii="Times New Roman" w:hAnsi="Times New Roman" w:cs="Times New Roman"/>
        </w:rPr>
      </w:pPr>
    </w:p>
    <w:p w:rsidR="00D367EB" w:rsidRPr="00D367EB" w:rsidRDefault="00D367EB" w:rsidP="00D367EB">
      <w:pPr>
        <w:spacing w:after="0" w:line="240" w:lineRule="auto"/>
        <w:jc w:val="both"/>
        <w:rPr>
          <w:rFonts w:ascii="Times New Roman" w:hAnsi="Times New Roman" w:cs="Times New Roman"/>
          <w:color w:val="FF0000"/>
          <w:lang w:val="es-MX"/>
        </w:rPr>
      </w:pPr>
      <w:r>
        <w:rPr>
          <w:rFonts w:ascii="Times New Roman" w:hAnsi="Times New Roman" w:cs="Times New Roman"/>
        </w:rPr>
        <w:t xml:space="preserve">Dado que el nivel de financiamiento neto obtenido supera el nivel de déficit fiscal, una parte de dicho financiamiento, propició un aumentó en los depósitos del gobierno en el Banco de Guatemala, por lo que este aumento en las disponibilidades del gobierno permitirán, de acuerdo a lo contemplado en el presupuesto, financiar parte de los compromisos del Estado que deberán atenderse en lo que resta del presente ejercicio fiscal. </w:t>
      </w:r>
    </w:p>
    <w:p w:rsidR="000360E0" w:rsidRDefault="000360E0" w:rsidP="00D367EB">
      <w:pPr>
        <w:pStyle w:val="Sinespaciado"/>
        <w:ind w:left="360"/>
        <w:jc w:val="both"/>
        <w:rPr>
          <w:rFonts w:ascii="Times New Roman" w:hAnsi="Times New Roman" w:cs="Times New Roman"/>
          <w:color w:val="FF0000"/>
          <w:lang w:val="es-MX"/>
        </w:rPr>
      </w:pPr>
    </w:p>
    <w:p w:rsidR="00E6117C" w:rsidRDefault="00E6117C" w:rsidP="00D367EB">
      <w:pPr>
        <w:pStyle w:val="Sinespaciado"/>
        <w:ind w:left="360"/>
        <w:jc w:val="both"/>
        <w:rPr>
          <w:rFonts w:ascii="Times New Roman" w:hAnsi="Times New Roman" w:cs="Times New Roman"/>
          <w:color w:val="FF0000"/>
          <w:lang w:val="es-MX"/>
        </w:rPr>
      </w:pPr>
    </w:p>
    <w:p w:rsidR="00E6117C" w:rsidRDefault="00E6117C" w:rsidP="00D367EB">
      <w:pPr>
        <w:pStyle w:val="Sinespaciado"/>
        <w:ind w:left="360"/>
        <w:jc w:val="both"/>
        <w:rPr>
          <w:rFonts w:ascii="Times New Roman" w:hAnsi="Times New Roman" w:cs="Times New Roman"/>
          <w:color w:val="FF0000"/>
          <w:lang w:val="es-MX"/>
        </w:rPr>
      </w:pPr>
    </w:p>
    <w:p w:rsidR="00E6117C" w:rsidRDefault="00E6117C" w:rsidP="00D367EB">
      <w:pPr>
        <w:pStyle w:val="Sinespaciado"/>
        <w:ind w:left="360"/>
        <w:jc w:val="both"/>
        <w:rPr>
          <w:rFonts w:ascii="Times New Roman" w:hAnsi="Times New Roman" w:cs="Times New Roman"/>
          <w:color w:val="FF0000"/>
          <w:lang w:val="es-MX"/>
        </w:rPr>
      </w:pPr>
    </w:p>
    <w:p w:rsidR="00E6117C" w:rsidRDefault="00E6117C" w:rsidP="00D367EB">
      <w:pPr>
        <w:pStyle w:val="Sinespaciado"/>
        <w:ind w:left="360"/>
        <w:jc w:val="both"/>
        <w:rPr>
          <w:rFonts w:ascii="Times New Roman" w:hAnsi="Times New Roman" w:cs="Times New Roman"/>
          <w:color w:val="FF0000"/>
          <w:lang w:val="es-MX"/>
        </w:rPr>
      </w:pPr>
    </w:p>
    <w:p w:rsidR="00D367EB" w:rsidRPr="00D367EB" w:rsidRDefault="00D367EB" w:rsidP="00D367EB">
      <w:pPr>
        <w:pStyle w:val="Sinespaciado"/>
        <w:ind w:left="360"/>
        <w:jc w:val="both"/>
        <w:rPr>
          <w:rFonts w:ascii="Times New Roman" w:hAnsi="Times New Roman" w:cs="Times New Roman"/>
          <w:color w:val="FF0000"/>
          <w:lang w:val="es-MX"/>
        </w:rPr>
      </w:pPr>
    </w:p>
    <w:p w:rsidR="000360E0" w:rsidRPr="00D367EB" w:rsidRDefault="000360E0" w:rsidP="007D057D">
      <w:pPr>
        <w:pStyle w:val="Sinespaciado"/>
        <w:rPr>
          <w:color w:val="FF0000"/>
          <w:lang w:val="es-MX"/>
        </w:rPr>
        <w:sectPr w:rsidR="000360E0" w:rsidRPr="00D367EB" w:rsidSect="000360E0">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627" w:right="1701" w:bottom="1417" w:left="1701" w:header="708" w:footer="708" w:gutter="0"/>
          <w:cols w:num="2" w:space="708"/>
          <w:docGrid w:linePitch="360"/>
        </w:sectPr>
      </w:pPr>
    </w:p>
    <w:p w:rsidR="00336B3D" w:rsidRPr="00D367EB" w:rsidRDefault="00336B3D" w:rsidP="007D057D">
      <w:pPr>
        <w:pStyle w:val="Sinespaciado"/>
        <w:rPr>
          <w:color w:val="FF0000"/>
          <w:sz w:val="2"/>
          <w:lang w:val="es-MX"/>
        </w:rPr>
      </w:pPr>
    </w:p>
    <w:p w:rsidR="0013777B" w:rsidRPr="006644F2" w:rsidRDefault="006434D8" w:rsidP="00FD23D8">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6644F2">
        <w:rPr>
          <w:rFonts w:ascii="Times New Roman" w:hAnsi="Times New Roman" w:cs="Times New Roman"/>
          <w:b/>
          <w:lang w:val="es-MX"/>
        </w:rPr>
        <w:lastRenderedPageBreak/>
        <w:t xml:space="preserve">Ambientes </w:t>
      </w:r>
      <w:r w:rsidR="00C621D5" w:rsidRPr="006644F2">
        <w:rPr>
          <w:rFonts w:ascii="Times New Roman" w:hAnsi="Times New Roman" w:cs="Times New Roman"/>
          <w:b/>
          <w:lang w:val="es-MX"/>
        </w:rPr>
        <w:t xml:space="preserve">macroeconómicos </w:t>
      </w:r>
      <w:r w:rsidRPr="006644F2">
        <w:rPr>
          <w:rFonts w:ascii="Times New Roman" w:hAnsi="Times New Roman" w:cs="Times New Roman"/>
          <w:b/>
          <w:lang w:val="es-MX"/>
        </w:rPr>
        <w:t xml:space="preserve">externo e interno </w:t>
      </w:r>
    </w:p>
    <w:p w:rsidR="00E4660D" w:rsidRDefault="00E4660D" w:rsidP="0013777B">
      <w:pPr>
        <w:pStyle w:val="Sinespaciado"/>
        <w:sectPr w:rsidR="00E4660D" w:rsidSect="0013777B">
          <w:type w:val="continuous"/>
          <w:pgSz w:w="12240" w:h="15840"/>
          <w:pgMar w:top="1627" w:right="1701" w:bottom="1417" w:left="1701" w:header="708" w:footer="708" w:gutter="0"/>
          <w:cols w:space="708"/>
          <w:docGrid w:linePitch="360"/>
        </w:sectPr>
      </w:pPr>
    </w:p>
    <w:p w:rsidR="009D2C51" w:rsidRDefault="009D2C51" w:rsidP="0013777B">
      <w:pPr>
        <w:pStyle w:val="Sinespaciado"/>
      </w:pPr>
    </w:p>
    <w:p w:rsidR="009055C7" w:rsidRDefault="009055C7" w:rsidP="009055C7">
      <w:pPr>
        <w:spacing w:after="0" w:line="240" w:lineRule="auto"/>
        <w:jc w:val="both"/>
        <w:rPr>
          <w:rFonts w:ascii="Times New Roman" w:hAnsi="Times New Roman" w:cs="Times New Roman"/>
        </w:rPr>
        <w:sectPr w:rsidR="009055C7" w:rsidSect="00E4660D">
          <w:type w:val="continuous"/>
          <w:pgSz w:w="12240" w:h="15840"/>
          <w:pgMar w:top="1627" w:right="1701" w:bottom="1417" w:left="1701" w:header="708" w:footer="708" w:gutter="0"/>
          <w:cols w:num="2" w:space="708"/>
          <w:docGrid w:linePitch="360"/>
        </w:sectPr>
      </w:pPr>
    </w:p>
    <w:p w:rsidR="009055C7" w:rsidRPr="006644F2" w:rsidRDefault="009055C7" w:rsidP="009055C7">
      <w:pPr>
        <w:spacing w:after="0" w:line="240" w:lineRule="auto"/>
        <w:jc w:val="both"/>
        <w:rPr>
          <w:rFonts w:ascii="Times New Roman" w:hAnsi="Times New Roman" w:cs="Times New Roman"/>
        </w:rPr>
      </w:pPr>
      <w:r w:rsidRPr="006644F2">
        <w:rPr>
          <w:rFonts w:ascii="Times New Roman" w:hAnsi="Times New Roman" w:cs="Times New Roman"/>
        </w:rPr>
        <w:lastRenderedPageBreak/>
        <w:t xml:space="preserve">En el entorno internacional, el Comité Federal de Mercado Abierto de la Reserva Federal de </w:t>
      </w:r>
      <w:r w:rsidR="00E6117C">
        <w:rPr>
          <w:rFonts w:ascii="Times New Roman" w:hAnsi="Times New Roman" w:cs="Times New Roman"/>
        </w:rPr>
        <w:t>EEUU</w:t>
      </w:r>
      <w:r w:rsidRPr="006644F2">
        <w:rPr>
          <w:rFonts w:ascii="Times New Roman" w:hAnsi="Times New Roman" w:cs="Times New Roman"/>
        </w:rPr>
        <w:t xml:space="preserve"> alertó este mes que el crecimiento económico y el empleo se ralentizaron en los meses de invierno, debido a factores temporales principalmente, manteniendo su postura sobre la evolución futura de la política monetaria, el que considera un aumento de los tipos de interés en junio. </w:t>
      </w:r>
      <w:r w:rsidR="00E6117C">
        <w:rPr>
          <w:rFonts w:ascii="Times New Roman" w:hAnsi="Times New Roman" w:cs="Times New Roman"/>
        </w:rPr>
        <w:t xml:space="preserve"> </w:t>
      </w:r>
    </w:p>
    <w:p w:rsidR="009055C7" w:rsidRPr="006644F2" w:rsidRDefault="009055C7" w:rsidP="009055C7">
      <w:pPr>
        <w:spacing w:after="0" w:line="240" w:lineRule="auto"/>
        <w:jc w:val="both"/>
        <w:rPr>
          <w:rFonts w:ascii="Times New Roman" w:hAnsi="Times New Roman" w:cs="Times New Roman"/>
        </w:rPr>
      </w:pPr>
    </w:p>
    <w:p w:rsidR="009055C7" w:rsidRPr="006644F2" w:rsidRDefault="009055C7" w:rsidP="009055C7">
      <w:pPr>
        <w:spacing w:after="0" w:line="240" w:lineRule="auto"/>
        <w:jc w:val="both"/>
        <w:rPr>
          <w:rFonts w:ascii="Times New Roman" w:hAnsi="Times New Roman" w:cs="Times New Roman"/>
        </w:rPr>
      </w:pPr>
      <w:r w:rsidRPr="006644F2">
        <w:rPr>
          <w:rFonts w:ascii="Times New Roman" w:hAnsi="Times New Roman" w:cs="Times New Roman"/>
        </w:rPr>
        <w:t xml:space="preserve">Durante abril, la economía de </w:t>
      </w:r>
      <w:r w:rsidR="00E6117C">
        <w:rPr>
          <w:rFonts w:ascii="Times New Roman" w:hAnsi="Times New Roman" w:cs="Times New Roman"/>
        </w:rPr>
        <w:t>EEUU</w:t>
      </w:r>
      <w:r w:rsidRPr="006644F2">
        <w:rPr>
          <w:rFonts w:ascii="Times New Roman" w:hAnsi="Times New Roman" w:cs="Times New Roman"/>
        </w:rPr>
        <w:t xml:space="preserve"> generó un total de 223,000 empleos frente a los 85,000 del dato de marzo; esto, según el Departamento de Trabajo permitió reducir una décima la tasa de paro y ubicarla en 5.4%.  </w:t>
      </w:r>
    </w:p>
    <w:p w:rsidR="009055C7" w:rsidRPr="006644F2" w:rsidRDefault="009055C7" w:rsidP="009055C7">
      <w:pPr>
        <w:spacing w:after="0" w:line="240" w:lineRule="auto"/>
        <w:jc w:val="both"/>
        <w:rPr>
          <w:rFonts w:ascii="Times New Roman" w:hAnsi="Times New Roman" w:cs="Times New Roman"/>
        </w:rPr>
      </w:pPr>
    </w:p>
    <w:p w:rsidR="009055C7" w:rsidRDefault="009055C7" w:rsidP="009055C7">
      <w:pPr>
        <w:spacing w:after="0" w:line="240" w:lineRule="auto"/>
        <w:jc w:val="both"/>
        <w:rPr>
          <w:rFonts w:ascii="Times New Roman" w:hAnsi="Times New Roman" w:cs="Times New Roman"/>
        </w:rPr>
      </w:pPr>
      <w:r w:rsidRPr="006644F2">
        <w:rPr>
          <w:rFonts w:ascii="Times New Roman" w:hAnsi="Times New Roman" w:cs="Times New Roman"/>
        </w:rPr>
        <w:t>La actividad del sector servicios medido a través del indicador ISM no manufacturero también mostró en abril un aumento a 57.8 puntos desde los 56.5 del mes anterior.  De los catorce sectores que considera el indicador todos mostraron crecimiento, lo que podría indicar un mejor clima económico y estabilidad de las condiciones empresariales.  La producción del sector no manufacturero registro el mayor aumento de 4.1</w:t>
      </w:r>
      <w:r w:rsidR="00E6117C">
        <w:rPr>
          <w:rFonts w:ascii="Times New Roman" w:hAnsi="Times New Roman" w:cs="Times New Roman"/>
        </w:rPr>
        <w:t>%.</w:t>
      </w:r>
    </w:p>
    <w:p w:rsidR="00BF7C97" w:rsidRPr="006644F2" w:rsidRDefault="00BF7C97" w:rsidP="009055C7">
      <w:pPr>
        <w:spacing w:after="0" w:line="240" w:lineRule="auto"/>
        <w:jc w:val="both"/>
        <w:rPr>
          <w:rFonts w:ascii="Times New Roman" w:hAnsi="Times New Roman" w:cs="Times New Roman"/>
        </w:rPr>
      </w:pPr>
    </w:p>
    <w:p w:rsidR="009055C7" w:rsidRPr="006644F2" w:rsidRDefault="009055C7" w:rsidP="009055C7">
      <w:pPr>
        <w:spacing w:after="0" w:line="240" w:lineRule="auto"/>
        <w:jc w:val="both"/>
        <w:rPr>
          <w:rFonts w:ascii="Times New Roman" w:hAnsi="Times New Roman" w:cs="Times New Roman"/>
        </w:rPr>
      </w:pPr>
      <w:r w:rsidRPr="006644F2">
        <w:rPr>
          <w:rFonts w:ascii="Times New Roman" w:hAnsi="Times New Roman" w:cs="Times New Roman"/>
        </w:rPr>
        <w:t xml:space="preserve">La Comisión Europea elevó la perspectiva de crecimiento de la Eurozona en sus previsiones económicas de primavera, para este año al 1.5% y para 2016 mantuvo el 1.9%; según la Comisión, las economías europeas van a beneficiar de una conjunción de factores favorables, citando los relativamente bajos precios del petróleo y las políticas oportunas en el bloque.  Se esperaría que dicha recuperación económica favorezca la creación de empleo, que para 2015 la Comisión estima una tasa de desempleo de 11% y 10.5% en 2016.  El indicador de sentimiento económico de la Comisión Europea bajó 0.2 puntos en abril, ubicándose en 103.7 puntos, levemente inferior que los 103.9 puntos del mes anterior; la recuperación de la zona euro continúa frágil y hay incertidumbres en torno a Grecia.  En España mejoró el indicador y en Alemania e Italia permaneció sin cambios.  </w:t>
      </w:r>
    </w:p>
    <w:p w:rsidR="009055C7" w:rsidRPr="006644F2" w:rsidRDefault="009055C7" w:rsidP="009055C7">
      <w:pPr>
        <w:spacing w:after="0" w:line="240" w:lineRule="auto"/>
        <w:jc w:val="both"/>
        <w:rPr>
          <w:rFonts w:ascii="Times New Roman" w:hAnsi="Times New Roman" w:cs="Times New Roman"/>
        </w:rPr>
      </w:pPr>
    </w:p>
    <w:p w:rsidR="009055C7" w:rsidRPr="006644F2" w:rsidRDefault="009055C7" w:rsidP="009055C7">
      <w:pPr>
        <w:spacing w:after="0" w:line="240" w:lineRule="auto"/>
        <w:jc w:val="both"/>
        <w:rPr>
          <w:rFonts w:ascii="Times New Roman" w:hAnsi="Times New Roman" w:cs="Times New Roman"/>
        </w:rPr>
      </w:pPr>
      <w:r w:rsidRPr="006644F2">
        <w:rPr>
          <w:rFonts w:ascii="Times New Roman" w:hAnsi="Times New Roman" w:cs="Times New Roman"/>
        </w:rPr>
        <w:lastRenderedPageBreak/>
        <w:t xml:space="preserve">En China, las presiones a la baja en la economía continúan, la competitividad en materia de exportación hace frente principalmente a los productos de alta gama de economías avanzadas como la de </w:t>
      </w:r>
      <w:r w:rsidR="00E6117C">
        <w:rPr>
          <w:rFonts w:ascii="Times New Roman" w:hAnsi="Times New Roman" w:cs="Times New Roman"/>
        </w:rPr>
        <w:t>EEUU</w:t>
      </w:r>
      <w:r w:rsidRPr="006644F2">
        <w:rPr>
          <w:rFonts w:ascii="Times New Roman" w:hAnsi="Times New Roman" w:cs="Times New Roman"/>
        </w:rPr>
        <w:t xml:space="preserve"> que continúan abriendo nuevos mercados y a las exportaciones de productos baratos de países en desarrollo como India que han crecido a ritmo demasiado acelerado en los últimos cinco años.</w:t>
      </w:r>
    </w:p>
    <w:p w:rsidR="009055C7" w:rsidRPr="006644F2" w:rsidRDefault="009055C7" w:rsidP="009055C7">
      <w:pPr>
        <w:pStyle w:val="Prrafodelista"/>
        <w:spacing w:line="223" w:lineRule="auto"/>
        <w:ind w:left="0"/>
        <w:rPr>
          <w:rFonts w:eastAsiaTheme="minorEastAsia" w:cs="Times New Roman"/>
          <w:lang w:eastAsia="ja-JP"/>
        </w:rPr>
      </w:pPr>
    </w:p>
    <w:p w:rsidR="009055C7" w:rsidRPr="006644F2" w:rsidRDefault="009055C7" w:rsidP="009055C7">
      <w:pPr>
        <w:pStyle w:val="Prrafodelista"/>
        <w:spacing w:after="0" w:line="240" w:lineRule="auto"/>
        <w:ind w:left="0"/>
        <w:rPr>
          <w:rFonts w:cs="Times New Roman"/>
        </w:rPr>
      </w:pPr>
      <w:r w:rsidRPr="006644F2">
        <w:rPr>
          <w:rFonts w:eastAsiaTheme="minorEastAsia"/>
          <w:lang w:val="es-ES_tradnl" w:eastAsia="ja-JP"/>
        </w:rPr>
        <w:t xml:space="preserve">En el ámbito nacional, </w:t>
      </w:r>
      <w:r w:rsidRPr="006644F2">
        <w:rPr>
          <w:rFonts w:cs="Times New Roman"/>
        </w:rPr>
        <w:t>los niveles de inflación más importantes registraron en abril una variación intermensual de 0.34%, interanual de 2.58% y acumulada de 0.51%; el costo de adquisición de la Canasta Básica Alimentaria aumentó Q 32.70 con relación al registrado el mes anterior  y respecto a abril 2014 se incrementó Q 348.60.  El costo de adquisición de la Canasta Básica Vital a abril aumentó Q 59.67 con respecto al mes anterior y respecto a abril 2014 se incrementó Q 636.13, según el informe del INE.   La actividad económica continúa mostrando crecimiento, l</w:t>
      </w:r>
      <w:r w:rsidRPr="006644F2">
        <w:rPr>
          <w:rFonts w:cs="Times New Roman"/>
          <w:lang w:val="es-MX"/>
        </w:rPr>
        <w:t xml:space="preserve">a más reciente publicación de los resultados del IMAE indica que existió un crecimiento de 3.6% en marzo 2015, impulsado por el desempeño de las actividades económicas como Intermediación financiera, seguros y actividades auxiliares, Transporte, almacenamiento y comunicaciones, Comercio al por mayor y menor y Servicios privados.   </w:t>
      </w:r>
    </w:p>
    <w:p w:rsidR="009055C7" w:rsidRPr="006644F2" w:rsidRDefault="009055C7" w:rsidP="009055C7">
      <w:pPr>
        <w:pStyle w:val="Prrafodelista"/>
        <w:spacing w:after="0" w:line="240" w:lineRule="auto"/>
        <w:ind w:left="0"/>
        <w:rPr>
          <w:rFonts w:cs="Times New Roman"/>
          <w:lang w:val="es-MX"/>
        </w:rPr>
      </w:pPr>
    </w:p>
    <w:p w:rsidR="00A96D93" w:rsidRDefault="009055C7" w:rsidP="00E4660D">
      <w:pPr>
        <w:spacing w:line="240" w:lineRule="auto"/>
        <w:jc w:val="both"/>
        <w:rPr>
          <w:color w:val="FF0000"/>
          <w:lang w:val="es-MX"/>
        </w:rPr>
      </w:pPr>
      <w:r w:rsidRPr="006644F2">
        <w:rPr>
          <w:rFonts w:ascii="Times New Roman" w:hAnsi="Times New Roman" w:cs="Times New Roman"/>
          <w:lang w:val="es-MX"/>
        </w:rPr>
        <w:t>El índice de Confianza de la Actividad Económica se situó en 51.14 puntos, inferior en 11.55% con respecto al registrado en marzo.  Entre los principales factores que podrían incidir en el ritmo de la actividad económica, se considera la evolución del precio internacional del petróleo, la trayectoria en los precios de los combustibles, el desempeño de la política fiscal  y la estabilidad en el tipo de cambio nominal.</w:t>
      </w:r>
      <w:r w:rsidR="00E4660D">
        <w:rPr>
          <w:color w:val="FF0000"/>
          <w:lang w:val="es-MX"/>
        </w:rPr>
        <w:t xml:space="preserve"> </w:t>
      </w:r>
    </w:p>
    <w:sectPr w:rsidR="00A96D93" w:rsidSect="00E4660D">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17" w:right="1467" w:bottom="1417" w:left="1276" w:header="68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8AD" w:rsidRDefault="000D38AD" w:rsidP="00A6098E">
      <w:pPr>
        <w:spacing w:after="0" w:line="240" w:lineRule="auto"/>
      </w:pPr>
      <w:r>
        <w:separator/>
      </w:r>
    </w:p>
  </w:endnote>
  <w:endnote w:type="continuationSeparator" w:id="0">
    <w:p w:rsidR="000D38AD" w:rsidRDefault="000D38AD" w:rsidP="00A6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011538"/>
      <w:docPartObj>
        <w:docPartGallery w:val="Page Numbers (Bottom of Page)"/>
        <w:docPartUnique/>
      </w:docPartObj>
    </w:sdtPr>
    <w:sdtEndPr>
      <w:rPr>
        <w:rFonts w:ascii="Times New Roman" w:hAnsi="Times New Roman"/>
        <w:color w:val="4F81BD" w:themeColor="accent1"/>
        <w:sz w:val="20"/>
        <w:szCs w:val="20"/>
      </w:rPr>
    </w:sdtEndPr>
    <w:sdtContent>
      <w:p w:rsidR="00052EE7" w:rsidRDefault="00052EE7" w:rsidP="00A46956">
        <w:pPr>
          <w:pStyle w:val="Encabezado"/>
          <w:jc w:val="right"/>
        </w:pPr>
      </w:p>
      <w:p w:rsidR="00052EE7" w:rsidRDefault="00052EE7" w:rsidP="00A46956">
        <w:pPr>
          <w:pStyle w:val="Encabezado"/>
          <w:jc w:val="right"/>
          <w:rPr>
            <w:rFonts w:ascii="Times New Roman" w:hAnsi="Times New Roman"/>
            <w:color w:val="4F81BD" w:themeColor="accent1"/>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86912" behindDoc="0" locked="0" layoutInCell="1" allowOverlap="1" wp14:anchorId="4F038B33" wp14:editId="55FFFFFD">
                  <wp:simplePos x="0" y="0"/>
                  <wp:positionH relativeFrom="column">
                    <wp:posOffset>1663700</wp:posOffset>
                  </wp:positionH>
                  <wp:positionV relativeFrom="paragraph">
                    <wp:posOffset>-7620</wp:posOffset>
                  </wp:positionV>
                  <wp:extent cx="4010025" cy="0"/>
                  <wp:effectExtent l="0" t="0" r="9525" b="19050"/>
                  <wp:wrapNone/>
                  <wp:docPr id="5"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FABDFBD" id="6 Conector recto"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snDA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sdtContent>
  </w:sdt>
  <w:p w:rsidR="00052EE7" w:rsidRPr="007A041E" w:rsidRDefault="00052EE7" w:rsidP="007A041E">
    <w:pPr>
      <w:pStyle w:val="Piedepgina"/>
      <w:jc w:val="right"/>
      <w:rPr>
        <w:rFonts w:ascii="Times New Roman" w:hAnsi="Times New Roman"/>
        <w:color w:val="4F81BD" w:themeColor="accent1"/>
        <w:sz w:val="20"/>
        <w:szCs w:val="20"/>
      </w:rPr>
    </w:pPr>
    <w:r w:rsidRPr="002068BB">
      <w:rPr>
        <w:rFonts w:ascii="Times New Roman" w:hAnsi="Times New Roman"/>
        <w:b/>
        <w:color w:val="4F81BD" w:themeColor="accent1"/>
        <w:sz w:val="20"/>
        <w:szCs w:val="20"/>
      </w:rPr>
      <w:t>Página</w:t>
    </w:r>
    <w:r>
      <w:rPr>
        <w:rFonts w:ascii="Times New Roman" w:hAnsi="Times New Roman"/>
        <w:b/>
        <w:color w:val="4F81BD" w:themeColor="accent1"/>
        <w:sz w:val="20"/>
        <w:szCs w:val="20"/>
      </w:rPr>
      <w:t xml:space="preserve"> </w:t>
    </w:r>
    <w:r w:rsidRPr="002068BB">
      <w:rPr>
        <w:rFonts w:ascii="Times New Roman" w:hAnsi="Times New Roman"/>
        <w:b/>
        <w:color w:val="4F81BD" w:themeColor="accent1"/>
        <w:sz w:val="20"/>
        <w:szCs w:val="20"/>
      </w:rPr>
      <w:fldChar w:fldCharType="begin"/>
    </w:r>
    <w:r w:rsidRPr="002068BB">
      <w:rPr>
        <w:rFonts w:ascii="Times New Roman" w:hAnsi="Times New Roman"/>
        <w:b/>
        <w:color w:val="4F81BD" w:themeColor="accent1"/>
        <w:sz w:val="20"/>
        <w:szCs w:val="20"/>
      </w:rPr>
      <w:instrText>PAGE   \* MERGEFORMAT</w:instrText>
    </w:r>
    <w:r w:rsidRPr="002068BB">
      <w:rPr>
        <w:rFonts w:ascii="Times New Roman" w:hAnsi="Times New Roman"/>
        <w:b/>
        <w:color w:val="4F81BD" w:themeColor="accent1"/>
        <w:sz w:val="20"/>
        <w:szCs w:val="20"/>
      </w:rPr>
      <w:fldChar w:fldCharType="separate"/>
    </w:r>
    <w:r w:rsidR="00535C38">
      <w:rPr>
        <w:rFonts w:ascii="Times New Roman" w:hAnsi="Times New Roman"/>
        <w:b/>
        <w:noProof/>
        <w:color w:val="4F81BD" w:themeColor="accent1"/>
        <w:sz w:val="20"/>
        <w:szCs w:val="20"/>
      </w:rPr>
      <w:t>1</w:t>
    </w:r>
    <w:r w:rsidRPr="002068BB">
      <w:rPr>
        <w:rFonts w:ascii="Times New Roman" w:hAnsi="Times New Roman"/>
        <w:b/>
        <w:color w:val="4F81BD" w:themeColor="accent1"/>
        <w:sz w:val="20"/>
        <w:szCs w:val="20"/>
      </w:rPr>
      <w:fldChar w:fldCharType="end"/>
    </w:r>
    <w:r>
      <w:rPr>
        <w:rFonts w:ascii="Times New Roman" w:hAnsi="Times New Roman"/>
        <w:color w:val="4F81BD" w:themeColor="accent1"/>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98657793"/>
      <w:docPartObj>
        <w:docPartGallery w:val="Page Numbers (Bottom of Page)"/>
        <w:docPartUnique/>
      </w:docPartObj>
    </w:sdtPr>
    <w:sdtEndPr>
      <w:rPr>
        <w:rFonts w:asciiTheme="minorHAnsi" w:hAnsiTheme="minorHAnsi" w:cstheme="minorBidi"/>
        <w:color w:val="4F81BD" w:themeColor="accent1"/>
        <w:sz w:val="20"/>
        <w:szCs w:val="20"/>
      </w:rPr>
    </w:sdtEndPr>
    <w:sdtContent>
      <w:p w:rsidR="004B2DD6" w:rsidRDefault="004B2DD6" w:rsidP="00A46956">
        <w:pPr>
          <w:pStyle w:val="Encabezado"/>
          <w:jc w:val="right"/>
          <w:rPr>
            <w:color w:val="4F81BD" w:themeColor="accent1"/>
            <w:sz w:val="20"/>
            <w:szCs w:val="20"/>
          </w:rPr>
        </w:pPr>
        <w:r w:rsidRPr="009B3CA9">
          <w:rPr>
            <w:rFonts w:ascii="Times New Roman" w:hAnsi="Times New Roman" w:cs="Times New Roman"/>
            <w:noProof/>
            <w:color w:val="0F243E" w:themeColor="text2" w:themeShade="80"/>
            <w:lang w:eastAsia="es-GT"/>
          </w:rPr>
          <mc:AlternateContent>
            <mc:Choice Requires="wps">
              <w:drawing>
                <wp:anchor distT="4294967295" distB="4294967295" distL="114300" distR="114300" simplePos="0" relativeHeight="251667456" behindDoc="0" locked="0" layoutInCell="1" allowOverlap="1" wp14:anchorId="3E60949B" wp14:editId="1A31D407">
                  <wp:simplePos x="0" y="0"/>
                  <wp:positionH relativeFrom="column">
                    <wp:posOffset>1663700</wp:posOffset>
                  </wp:positionH>
                  <wp:positionV relativeFrom="paragraph">
                    <wp:posOffset>-7620</wp:posOffset>
                  </wp:positionV>
                  <wp:extent cx="4010025" cy="0"/>
                  <wp:effectExtent l="0" t="0" r="9525" b="19050"/>
                  <wp:wrapNone/>
                  <wp:docPr id="22"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432293C" id="6 Conector recto"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" strokecolor="#4579b8">
                  <o:lock v:ext="edit" shapetype="f"/>
                </v:line>
              </w:pict>
            </mc:Fallback>
          </mc:AlternateContent>
        </w:r>
        <w:r w:rsidRPr="009B3CA9">
          <w:rPr>
            <w:rFonts w:ascii="Times New Roman" w:hAnsi="Times New Roman" w:cs="Times New Roman"/>
            <w:color w:val="0F243E" w:themeColor="text2" w:themeShade="80"/>
            <w:sz w:val="20"/>
            <w:szCs w:val="20"/>
          </w:rPr>
          <w:t>Dirección de Análisis y Política Fiscal</w:t>
        </w:r>
        <w:r w:rsidRPr="009B3CA9">
          <w:rPr>
            <w:rFonts w:ascii="Times New Roman" w:hAnsi="Times New Roman" w:cs="Times New Roman"/>
            <w:color w:val="4F81BD" w:themeColor="accent1"/>
            <w:sz w:val="20"/>
            <w:szCs w:val="20"/>
          </w:rPr>
          <w:t xml:space="preserve"> </w:t>
        </w:r>
      </w:p>
    </w:sdtContent>
  </w:sdt>
  <w:p w:rsidR="004B2DD6" w:rsidRPr="007A041E" w:rsidRDefault="004B2DD6" w:rsidP="007A041E">
    <w:pPr>
      <w:pStyle w:val="Piedepgina"/>
      <w:jc w:val="right"/>
      <w:rPr>
        <w:rFonts w:ascii="Times New Roman" w:hAnsi="Times New Roman" w:cs="Times New Roman"/>
        <w:color w:val="4F81BD" w:themeColor="accent1"/>
        <w:sz w:val="20"/>
        <w:szCs w:val="20"/>
      </w:rPr>
    </w:pPr>
    <w:r w:rsidRPr="009B3CA9">
      <w:rPr>
        <w:rFonts w:ascii="Times New Roman" w:hAnsi="Times New Roman" w:cs="Times New Roman"/>
        <w:b/>
        <w:color w:val="4F81BD" w:themeColor="accent1"/>
        <w:sz w:val="20"/>
        <w:szCs w:val="20"/>
      </w:rPr>
      <w:t xml:space="preserve">Página </w:t>
    </w:r>
    <w:r w:rsidRPr="009B3CA9">
      <w:rPr>
        <w:rFonts w:ascii="Times New Roman" w:hAnsi="Times New Roman" w:cs="Times New Roman"/>
        <w:b/>
        <w:color w:val="4F81BD" w:themeColor="accent1"/>
        <w:sz w:val="20"/>
        <w:szCs w:val="20"/>
      </w:rPr>
      <w:fldChar w:fldCharType="begin"/>
    </w:r>
    <w:r w:rsidRPr="009B3CA9">
      <w:rPr>
        <w:rFonts w:ascii="Times New Roman" w:hAnsi="Times New Roman" w:cs="Times New Roman"/>
        <w:b/>
        <w:color w:val="4F81BD" w:themeColor="accent1"/>
        <w:sz w:val="20"/>
        <w:szCs w:val="20"/>
      </w:rPr>
      <w:instrText>PAGE   \* MERGEFORMAT</w:instrText>
    </w:r>
    <w:r w:rsidRPr="009B3CA9">
      <w:rPr>
        <w:rFonts w:ascii="Times New Roman" w:hAnsi="Times New Roman" w:cs="Times New Roman"/>
        <w:b/>
        <w:color w:val="4F81BD" w:themeColor="accent1"/>
        <w:sz w:val="20"/>
        <w:szCs w:val="20"/>
      </w:rPr>
      <w:fldChar w:fldCharType="separate"/>
    </w:r>
    <w:r w:rsidR="00535C38">
      <w:rPr>
        <w:rFonts w:ascii="Times New Roman" w:hAnsi="Times New Roman" w:cs="Times New Roman"/>
        <w:b/>
        <w:noProof/>
        <w:color w:val="4F81BD" w:themeColor="accent1"/>
        <w:sz w:val="20"/>
        <w:szCs w:val="20"/>
      </w:rPr>
      <w:t>7</w:t>
    </w:r>
    <w:r w:rsidRPr="009B3CA9">
      <w:rPr>
        <w:rFonts w:ascii="Times New Roman" w:hAnsi="Times New Roman" w:cs="Times New Roman"/>
        <w:b/>
        <w:color w:val="4F81BD" w:themeColor="accent1"/>
        <w:sz w:val="20"/>
        <w:szCs w:val="20"/>
      </w:rPr>
      <w:fldChar w:fldCharType="end"/>
    </w:r>
    <w:r w:rsidR="007A041E">
      <w:rPr>
        <w:rFonts w:ascii="Times New Roman" w:hAnsi="Times New Roman" w:cs="Times New Roman"/>
        <w:color w:val="4F81BD" w:themeColor="accent1"/>
        <w:sz w:val="20"/>
        <w:szCs w:val="20"/>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Piedepgin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Piedepgina"/>
    </w:pPr>
  </w:p>
  <w:p w:rsidR="004B2DD6" w:rsidRDefault="004B2DD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393937"/>
      <w:docPartObj>
        <w:docPartGallery w:val="Page Numbers (Bottom of Page)"/>
        <w:docPartUnique/>
      </w:docPartObj>
    </w:sdtPr>
    <w:sdtEndPr>
      <w:rPr>
        <w:rFonts w:ascii="Times New Roman" w:hAnsi="Times New Roman" w:cs="Times New Roman"/>
        <w:color w:val="4F81BD" w:themeColor="accent1"/>
        <w:sz w:val="20"/>
        <w:szCs w:val="20"/>
      </w:rPr>
    </w:sdtEndPr>
    <w:sdtContent>
      <w:p w:rsidR="007A041E" w:rsidRPr="007A041E" w:rsidRDefault="007A041E" w:rsidP="007A041E">
        <w:pPr>
          <w:pStyle w:val="Encabezado"/>
          <w:rPr>
            <w:sz w:val="2"/>
            <w:szCs w:val="2"/>
          </w:rPr>
        </w:pPr>
      </w:p>
      <w:p w:rsidR="004B2DD6" w:rsidRPr="005D13A6" w:rsidRDefault="004B2DD6" w:rsidP="00017573">
        <w:pPr>
          <w:pStyle w:val="Encabezado"/>
          <w:ind w:right="-93"/>
          <w:jc w:val="right"/>
          <w:rPr>
            <w:rFonts w:ascii="Times New Roman" w:hAnsi="Times New Roman" w:cs="Times New Roman"/>
            <w:color w:val="4F81BD" w:themeColor="accent1"/>
            <w:sz w:val="20"/>
            <w:szCs w:val="20"/>
          </w:rPr>
        </w:pPr>
        <w:r w:rsidRPr="005D13A6">
          <w:rPr>
            <w:rFonts w:ascii="Times New Roman" w:hAnsi="Times New Roman" w:cs="Times New Roman"/>
            <w:noProof/>
            <w:color w:val="0F243E" w:themeColor="text2" w:themeShade="80"/>
            <w:lang w:eastAsia="es-GT"/>
          </w:rPr>
          <mc:AlternateContent>
            <mc:Choice Requires="wps">
              <w:drawing>
                <wp:anchor distT="4294967295" distB="4294967295" distL="114300" distR="114300" simplePos="0" relativeHeight="251671552" behindDoc="0" locked="0" layoutInCell="1" allowOverlap="1" wp14:anchorId="1B2BB3B5" wp14:editId="7699E936">
                  <wp:simplePos x="0" y="0"/>
                  <wp:positionH relativeFrom="column">
                    <wp:posOffset>1851025</wp:posOffset>
                  </wp:positionH>
                  <wp:positionV relativeFrom="paragraph">
                    <wp:posOffset>-7620</wp:posOffset>
                  </wp:positionV>
                  <wp:extent cx="4010025" cy="0"/>
                  <wp:effectExtent l="0" t="0" r="9525" b="19050"/>
                  <wp:wrapNone/>
                  <wp:docPr id="28"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F95CAE0" id="6 Conector recto"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5.75pt,-.6pt" to="4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Ty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" strokecolor="#4579b8">
                  <o:lock v:ext="edit" shapetype="f"/>
                </v:line>
              </w:pict>
            </mc:Fallback>
          </mc:AlternateContent>
        </w:r>
        <w:r w:rsidRPr="005D13A6">
          <w:rPr>
            <w:rFonts w:ascii="Times New Roman" w:hAnsi="Times New Roman" w:cs="Times New Roman"/>
            <w:color w:val="0F243E" w:themeColor="text2" w:themeShade="80"/>
            <w:sz w:val="20"/>
            <w:szCs w:val="20"/>
          </w:rPr>
          <w:t>Dirección de Análisis y Política Fiscal</w:t>
        </w:r>
        <w:r w:rsidRPr="005D13A6">
          <w:rPr>
            <w:rFonts w:ascii="Times New Roman" w:hAnsi="Times New Roman" w:cs="Times New Roman"/>
            <w:color w:val="4F81BD" w:themeColor="accent1"/>
            <w:sz w:val="20"/>
            <w:szCs w:val="20"/>
          </w:rPr>
          <w:t xml:space="preserve"> </w:t>
        </w:r>
      </w:p>
    </w:sdtContent>
  </w:sdt>
  <w:p w:rsidR="004B2DD6" w:rsidRPr="007A041E" w:rsidRDefault="004B2DD6" w:rsidP="00017573">
    <w:pPr>
      <w:pStyle w:val="Piedepgina"/>
      <w:ind w:right="-93"/>
      <w:jc w:val="right"/>
      <w:rPr>
        <w:rFonts w:ascii="Times New Roman" w:hAnsi="Times New Roman" w:cs="Times New Roman"/>
        <w:color w:val="4F81BD" w:themeColor="accent1"/>
        <w:sz w:val="20"/>
        <w:szCs w:val="20"/>
      </w:rPr>
    </w:pPr>
    <w:r w:rsidRPr="005D13A6">
      <w:rPr>
        <w:rFonts w:ascii="Times New Roman" w:hAnsi="Times New Roman" w:cs="Times New Roman"/>
        <w:b/>
        <w:color w:val="4F81BD" w:themeColor="accent1"/>
        <w:sz w:val="20"/>
        <w:szCs w:val="20"/>
      </w:rPr>
      <w:t xml:space="preserve">Página </w:t>
    </w:r>
    <w:r w:rsidRPr="005D13A6">
      <w:rPr>
        <w:rFonts w:ascii="Times New Roman" w:hAnsi="Times New Roman" w:cs="Times New Roman"/>
        <w:b/>
        <w:color w:val="4F81BD" w:themeColor="accent1"/>
        <w:sz w:val="20"/>
        <w:szCs w:val="20"/>
      </w:rPr>
      <w:fldChar w:fldCharType="begin"/>
    </w:r>
    <w:r w:rsidRPr="005D13A6">
      <w:rPr>
        <w:rFonts w:ascii="Times New Roman" w:hAnsi="Times New Roman" w:cs="Times New Roman"/>
        <w:b/>
        <w:color w:val="4F81BD" w:themeColor="accent1"/>
        <w:sz w:val="20"/>
        <w:szCs w:val="20"/>
      </w:rPr>
      <w:instrText>PAGE   \* MERGEFORMAT</w:instrText>
    </w:r>
    <w:r w:rsidRPr="005D13A6">
      <w:rPr>
        <w:rFonts w:ascii="Times New Roman" w:hAnsi="Times New Roman" w:cs="Times New Roman"/>
        <w:b/>
        <w:color w:val="4F81BD" w:themeColor="accent1"/>
        <w:sz w:val="20"/>
        <w:szCs w:val="20"/>
      </w:rPr>
      <w:fldChar w:fldCharType="separate"/>
    </w:r>
    <w:r w:rsidR="007C4357">
      <w:rPr>
        <w:rFonts w:ascii="Times New Roman" w:hAnsi="Times New Roman" w:cs="Times New Roman"/>
        <w:b/>
        <w:noProof/>
        <w:color w:val="4F81BD" w:themeColor="accent1"/>
        <w:sz w:val="20"/>
        <w:szCs w:val="20"/>
      </w:rPr>
      <w:t>8</w:t>
    </w:r>
    <w:r w:rsidRPr="005D13A6">
      <w:rPr>
        <w:rFonts w:ascii="Times New Roman" w:hAnsi="Times New Roman" w:cs="Times New Roman"/>
        <w:b/>
        <w:color w:val="4F81BD" w:themeColor="accent1"/>
        <w:sz w:val="20"/>
        <w:szCs w:val="20"/>
      </w:rPr>
      <w:fldChar w:fldCharType="end"/>
    </w:r>
    <w:r w:rsidR="007A041E">
      <w:rPr>
        <w:rFonts w:ascii="Times New Roman" w:hAnsi="Times New Roman" w:cs="Times New Roman"/>
        <w:color w:val="4F81BD" w:themeColor="accent1"/>
        <w:sz w:val="20"/>
        <w:szCs w:val="20"/>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8AD" w:rsidRDefault="000D38AD" w:rsidP="00A6098E">
      <w:pPr>
        <w:spacing w:after="0" w:line="240" w:lineRule="auto"/>
      </w:pPr>
      <w:r>
        <w:separator/>
      </w:r>
    </w:p>
  </w:footnote>
  <w:footnote w:type="continuationSeparator" w:id="0">
    <w:p w:rsidR="000D38AD" w:rsidRDefault="000D38AD" w:rsidP="00A60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E7" w:rsidRPr="004920BA" w:rsidRDefault="00052EE7" w:rsidP="004F33E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85888" behindDoc="1" locked="0" layoutInCell="1" allowOverlap="1" wp14:anchorId="559E8163" wp14:editId="3CD686BC">
          <wp:simplePos x="0" y="0"/>
          <wp:positionH relativeFrom="margin">
            <wp:posOffset>158750</wp:posOffset>
          </wp:positionH>
          <wp:positionV relativeFrom="margin">
            <wp:posOffset>-565150</wp:posOffset>
          </wp:positionV>
          <wp:extent cx="1733550" cy="474345"/>
          <wp:effectExtent l="0" t="0" r="0" b="1905"/>
          <wp:wrapNone/>
          <wp:docPr id="1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rFonts w:ascii="Times New Roman" w:hAnsi="Times New Roman"/>
        <w:b/>
        <w:color w:val="0F243E" w:themeColor="text2" w:themeShade="80"/>
      </w:rPr>
      <w:t xml:space="preserve">                                               Informe de las Finanzas Públicas </w:t>
    </w:r>
  </w:p>
  <w:p w:rsidR="00052EE7" w:rsidRDefault="00052EE7" w:rsidP="004F33E6">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84864" behindDoc="0" locked="0" layoutInCell="1" allowOverlap="1" wp14:anchorId="0CFBB6FD" wp14:editId="2FA7AF79">
              <wp:simplePos x="0" y="0"/>
              <wp:positionH relativeFrom="column">
                <wp:posOffset>1986915</wp:posOffset>
              </wp:positionH>
              <wp:positionV relativeFrom="paragraph">
                <wp:posOffset>146050</wp:posOffset>
              </wp:positionV>
              <wp:extent cx="4010025" cy="0"/>
              <wp:effectExtent l="0" t="0" r="9525" b="19050"/>
              <wp:wrapNone/>
              <wp:docPr id="4"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A193DA" id="6 Conector recto"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LzDA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043185">
      <w:rPr>
        <w:rFonts w:ascii="Times New Roman" w:hAnsi="Times New Roman"/>
        <w:color w:val="0F243E" w:themeColor="text2" w:themeShade="80"/>
        <w:sz w:val="20"/>
        <w:szCs w:val="20"/>
      </w:rPr>
      <w:t>Abril</w:t>
    </w:r>
    <w:r>
      <w:rPr>
        <w:rFonts w:ascii="Times New Roman" w:hAnsi="Times New Roman"/>
        <w:color w:val="0F243E" w:themeColor="text2" w:themeShade="80"/>
        <w:sz w:val="20"/>
        <w:szCs w:val="20"/>
      </w:rPr>
      <w:t xml:space="preserve"> </w:t>
    </w:r>
    <w:r w:rsidRPr="004920BA">
      <w:rPr>
        <w:rFonts w:ascii="Times New Roman" w:hAnsi="Times New Roman"/>
        <w:color w:val="0F243E" w:themeColor="text2" w:themeShade="80"/>
        <w:sz w:val="20"/>
        <w:szCs w:val="20"/>
      </w:rPr>
      <w:t>201</w:t>
    </w:r>
    <w:r>
      <w:rPr>
        <w:rFonts w:ascii="Times New Roman" w:hAnsi="Times New Roman"/>
        <w:color w:val="0F243E" w:themeColor="text2" w:themeShade="80"/>
        <w:sz w:val="20"/>
        <w:szCs w:val="20"/>
      </w:rPr>
      <w:t>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Pr="004920BA" w:rsidRDefault="004B2DD6" w:rsidP="005D13A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66432" behindDoc="1" locked="0" layoutInCell="1" allowOverlap="1" wp14:anchorId="7571A104" wp14:editId="233B1F6D">
          <wp:simplePos x="0" y="0"/>
          <wp:positionH relativeFrom="margin">
            <wp:posOffset>158750</wp:posOffset>
          </wp:positionH>
          <wp:positionV relativeFrom="margin">
            <wp:posOffset>-641350</wp:posOffset>
          </wp:positionV>
          <wp:extent cx="1733550" cy="474345"/>
          <wp:effectExtent l="0" t="0" r="0" b="1905"/>
          <wp:wrapNone/>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b/>
        <w:color w:val="0F243E" w:themeColor="text2" w:themeShade="80"/>
      </w:rPr>
      <w:t xml:space="preserve">                 </w:t>
    </w:r>
    <w:r>
      <w:rPr>
        <w:b/>
        <w:color w:val="0F243E" w:themeColor="text2" w:themeShade="80"/>
      </w:rPr>
      <w:t xml:space="preserve">                              </w:t>
    </w:r>
    <w:r w:rsidRPr="004920BA">
      <w:rPr>
        <w:rFonts w:ascii="Times New Roman" w:hAnsi="Times New Roman"/>
        <w:b/>
        <w:color w:val="0F243E" w:themeColor="text2" w:themeShade="80"/>
      </w:rPr>
      <w:t xml:space="preserve">Informe de las Finanzas Públicas </w:t>
    </w:r>
  </w:p>
  <w:p w:rsidR="00F6224F" w:rsidRDefault="004B2DD6" w:rsidP="00F6224F">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73600" behindDoc="0" locked="0" layoutInCell="1" allowOverlap="1" wp14:anchorId="2E314D93" wp14:editId="3479C3FD">
              <wp:simplePos x="0" y="0"/>
              <wp:positionH relativeFrom="column">
                <wp:posOffset>1986915</wp:posOffset>
              </wp:positionH>
              <wp:positionV relativeFrom="paragraph">
                <wp:posOffset>146050</wp:posOffset>
              </wp:positionV>
              <wp:extent cx="4010025" cy="0"/>
              <wp:effectExtent l="0" t="0" r="9525" b="19050"/>
              <wp:wrapNone/>
              <wp:docPr id="34"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D054BC8" id="6 Conector recto"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043185">
      <w:rPr>
        <w:rFonts w:ascii="Times New Roman" w:hAnsi="Times New Roman"/>
        <w:color w:val="0F243E" w:themeColor="text2" w:themeShade="80"/>
        <w:sz w:val="20"/>
        <w:szCs w:val="20"/>
      </w:rPr>
      <w:t>Abril</w:t>
    </w:r>
    <w:r w:rsidR="00F6224F">
      <w:rPr>
        <w:rFonts w:ascii="Times New Roman" w:hAnsi="Times New Roman"/>
        <w:color w:val="0F243E" w:themeColor="text2" w:themeShade="80"/>
        <w:sz w:val="20"/>
        <w:szCs w:val="20"/>
      </w:rPr>
      <w:t xml:space="preserve"> </w:t>
    </w:r>
    <w:r w:rsidR="00F6224F" w:rsidRPr="004920BA">
      <w:rPr>
        <w:rFonts w:ascii="Times New Roman" w:hAnsi="Times New Roman"/>
        <w:color w:val="0F243E" w:themeColor="text2" w:themeShade="80"/>
        <w:sz w:val="20"/>
        <w:szCs w:val="20"/>
      </w:rPr>
      <w:t>201</w:t>
    </w:r>
    <w:r w:rsidR="00F6224F">
      <w:rPr>
        <w:rFonts w:ascii="Times New Roman" w:hAnsi="Times New Roman"/>
        <w:color w:val="0F243E" w:themeColor="text2" w:themeShade="80"/>
        <w:sz w:val="20"/>
        <w:szCs w:val="20"/>
      </w:rPr>
      <w:t>5</w:t>
    </w:r>
  </w:p>
  <w:p w:rsidR="009A1D84" w:rsidRDefault="009A1D84" w:rsidP="009A1D84">
    <w:pPr>
      <w:pStyle w:val="Encabezado"/>
      <w:jc w:val="right"/>
      <w:rPr>
        <w:rFonts w:ascii="Times New Roman" w:hAnsi="Times New Roman"/>
        <w:color w:val="0F243E" w:themeColor="text2" w:themeShade="80"/>
        <w:sz w:val="20"/>
        <w:szCs w:val="20"/>
      </w:rPr>
    </w:pPr>
  </w:p>
  <w:p w:rsidR="004B2DD6" w:rsidRPr="0076629E" w:rsidRDefault="004B2DD6" w:rsidP="0076629E">
    <w:pPr>
      <w:pStyle w:val="Encabezado"/>
      <w:jc w:val="right"/>
      <w:rPr>
        <w:rFonts w:ascii="Times New Roman" w:hAnsi="Times New Roman"/>
        <w:color w:val="0F243E" w:themeColor="text2" w:themeShade="80"/>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Encabezado"/>
    </w:pPr>
  </w:p>
  <w:p w:rsidR="004B2DD6" w:rsidRDefault="004B2DD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8" w:rsidRPr="004920BA" w:rsidRDefault="009B52B8" w:rsidP="009B52B8">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81792" behindDoc="1" locked="0" layoutInCell="1" allowOverlap="1" wp14:anchorId="0775A4BF" wp14:editId="473DEBF5">
          <wp:simplePos x="0" y="0"/>
          <wp:positionH relativeFrom="margin">
            <wp:posOffset>158750</wp:posOffset>
          </wp:positionH>
          <wp:positionV relativeFrom="margin">
            <wp:posOffset>-641350</wp:posOffset>
          </wp:positionV>
          <wp:extent cx="1733550" cy="474345"/>
          <wp:effectExtent l="0" t="0" r="0" b="190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b/>
        <w:color w:val="0F243E" w:themeColor="text2" w:themeShade="80"/>
      </w:rPr>
      <w:t xml:space="preserve">                 </w:t>
    </w:r>
    <w:r>
      <w:rPr>
        <w:b/>
        <w:color w:val="0F243E" w:themeColor="text2" w:themeShade="80"/>
      </w:rPr>
      <w:t xml:space="preserve">                              </w:t>
    </w:r>
    <w:r w:rsidRPr="004920BA">
      <w:rPr>
        <w:rFonts w:ascii="Times New Roman" w:hAnsi="Times New Roman"/>
        <w:b/>
        <w:color w:val="0F243E" w:themeColor="text2" w:themeShade="80"/>
      </w:rPr>
      <w:t xml:space="preserve">Informe de las Finanzas Públicas </w:t>
    </w:r>
  </w:p>
  <w:p w:rsidR="00F6224F" w:rsidRDefault="009B52B8" w:rsidP="00F6224F">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82816" behindDoc="0" locked="0" layoutInCell="1" allowOverlap="1" wp14:anchorId="2D91F52A" wp14:editId="537719F5">
              <wp:simplePos x="0" y="0"/>
              <wp:positionH relativeFrom="column">
                <wp:posOffset>2057282</wp:posOffset>
              </wp:positionH>
              <wp:positionV relativeFrom="paragraph">
                <wp:posOffset>146050</wp:posOffset>
              </wp:positionV>
              <wp:extent cx="4010025" cy="0"/>
              <wp:effectExtent l="0" t="0" r="9525" b="19050"/>
              <wp:wrapNone/>
              <wp:docPr id="21"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4F0807A" id="6 Conector recto"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2pt,11.5pt" to="477.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A2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043185">
      <w:rPr>
        <w:rFonts w:ascii="Times New Roman" w:hAnsi="Times New Roman"/>
        <w:color w:val="0F243E" w:themeColor="text2" w:themeShade="80"/>
        <w:sz w:val="20"/>
        <w:szCs w:val="20"/>
      </w:rPr>
      <w:t>Abril</w:t>
    </w:r>
    <w:r w:rsidR="00F6224F">
      <w:rPr>
        <w:rFonts w:ascii="Times New Roman" w:hAnsi="Times New Roman"/>
        <w:color w:val="0F243E" w:themeColor="text2" w:themeShade="80"/>
        <w:sz w:val="20"/>
        <w:szCs w:val="20"/>
      </w:rPr>
      <w:t xml:space="preserve"> </w:t>
    </w:r>
    <w:r w:rsidR="00F6224F" w:rsidRPr="004920BA">
      <w:rPr>
        <w:rFonts w:ascii="Times New Roman" w:hAnsi="Times New Roman"/>
        <w:color w:val="0F243E" w:themeColor="text2" w:themeShade="80"/>
        <w:sz w:val="20"/>
        <w:szCs w:val="20"/>
      </w:rPr>
      <w:t>201</w:t>
    </w:r>
    <w:r w:rsidR="00F6224F">
      <w:rPr>
        <w:rFonts w:ascii="Times New Roman" w:hAnsi="Times New Roman"/>
        <w:color w:val="0F243E" w:themeColor="text2" w:themeShade="80"/>
        <w:sz w:val="20"/>
        <w:szCs w:val="20"/>
      </w:rPr>
      <w:t>5</w:t>
    </w:r>
  </w:p>
  <w:p w:rsidR="004B2DD6" w:rsidRPr="004A1025" w:rsidRDefault="004B2DD6" w:rsidP="00444213">
    <w:pPr>
      <w:pStyle w:val="Encabezado"/>
      <w:jc w:val="right"/>
      <w:rPr>
        <w:rFonts w:ascii="Times New Roman" w:hAnsi="Times New Roman"/>
        <w:color w:val="0F243E" w:themeColor="text2" w:themeShade="80"/>
        <w:sz w:val="20"/>
        <w:szCs w:val="2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DB4"/>
    <w:multiLevelType w:val="hybridMultilevel"/>
    <w:tmpl w:val="7054AAAC"/>
    <w:lvl w:ilvl="0" w:tplc="100A0001">
      <w:start w:val="1"/>
      <w:numFmt w:val="bullet"/>
      <w:lvlText w:val=""/>
      <w:lvlJc w:val="left"/>
      <w:pPr>
        <w:ind w:left="360" w:hanging="360"/>
      </w:pPr>
      <w:rPr>
        <w:rFonts w:ascii="Symbol" w:hAnsi="Symbol"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0AFB7790"/>
    <w:multiLevelType w:val="hybridMultilevel"/>
    <w:tmpl w:val="49F4781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B7B0D4A"/>
    <w:multiLevelType w:val="hybridMultilevel"/>
    <w:tmpl w:val="FE2ED948"/>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C0D7CD2"/>
    <w:multiLevelType w:val="hybridMultilevel"/>
    <w:tmpl w:val="0BFE6956"/>
    <w:lvl w:ilvl="0" w:tplc="4D12FE22">
      <w:start w:val="2013"/>
      <w:numFmt w:val="bullet"/>
      <w:lvlText w:val=""/>
      <w:lvlJc w:val="left"/>
      <w:pPr>
        <w:ind w:left="720" w:hanging="360"/>
      </w:pPr>
      <w:rPr>
        <w:rFonts w:ascii="Symbol" w:eastAsiaTheme="minorHAnsi"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17A33FB"/>
    <w:multiLevelType w:val="hybridMultilevel"/>
    <w:tmpl w:val="E036167E"/>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7F126D8"/>
    <w:multiLevelType w:val="hybridMultilevel"/>
    <w:tmpl w:val="BC5A826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15:restartNumberingAfterBreak="0">
    <w:nsid w:val="1ADE6A16"/>
    <w:multiLevelType w:val="hybridMultilevel"/>
    <w:tmpl w:val="3ECA2A0C"/>
    <w:lvl w:ilvl="0" w:tplc="100A000F">
      <w:start w:val="1"/>
      <w:numFmt w:val="decimal"/>
      <w:lvlText w:val="%1."/>
      <w:lvlJc w:val="left"/>
      <w:pPr>
        <w:ind w:left="360" w:hanging="360"/>
      </w:pPr>
    </w:lvl>
    <w:lvl w:ilvl="1" w:tplc="100A0001">
      <w:start w:val="1"/>
      <w:numFmt w:val="bullet"/>
      <w:lvlText w:val=""/>
      <w:lvlJc w:val="left"/>
      <w:pPr>
        <w:ind w:left="1080" w:hanging="360"/>
      </w:pPr>
      <w:rPr>
        <w:rFonts w:ascii="Symbol" w:hAnsi="Symbol" w:hint="default"/>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1CD54EBA"/>
    <w:multiLevelType w:val="hybridMultilevel"/>
    <w:tmpl w:val="02CE1684"/>
    <w:lvl w:ilvl="0" w:tplc="100A0001">
      <w:start w:val="1"/>
      <w:numFmt w:val="bullet"/>
      <w:lvlText w:val=""/>
      <w:lvlJc w:val="left"/>
      <w:pPr>
        <w:ind w:left="1080" w:hanging="360"/>
      </w:pPr>
      <w:rPr>
        <w:rFonts w:ascii="Symbol" w:hAnsi="Symbol" w:hint="default"/>
        <w:sz w:val="22"/>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8" w15:restartNumberingAfterBreak="0">
    <w:nsid w:val="1D627E0D"/>
    <w:multiLevelType w:val="hybridMultilevel"/>
    <w:tmpl w:val="2AEE323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2B227E5A"/>
    <w:multiLevelType w:val="hybridMultilevel"/>
    <w:tmpl w:val="1CA41C5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0" w15:restartNumberingAfterBreak="0">
    <w:nsid w:val="34EB554F"/>
    <w:multiLevelType w:val="hybridMultilevel"/>
    <w:tmpl w:val="0F3E003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 w15:restartNumberingAfterBreak="0">
    <w:nsid w:val="383C26A3"/>
    <w:multiLevelType w:val="hybridMultilevel"/>
    <w:tmpl w:val="714A85D2"/>
    <w:lvl w:ilvl="0" w:tplc="6AD27464">
      <w:start w:val="1"/>
      <w:numFmt w:val="decimal"/>
      <w:lvlText w:val="%1."/>
      <w:lvlJc w:val="left"/>
      <w:pPr>
        <w:ind w:left="720" w:hanging="360"/>
      </w:pPr>
      <w:rPr>
        <w:color w:val="auto"/>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2" w15:restartNumberingAfterBreak="0">
    <w:nsid w:val="4AFE3836"/>
    <w:multiLevelType w:val="hybridMultilevel"/>
    <w:tmpl w:val="7F0671BE"/>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3" w15:restartNumberingAfterBreak="0">
    <w:nsid w:val="52F01983"/>
    <w:multiLevelType w:val="hybridMultilevel"/>
    <w:tmpl w:val="C5BEC19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4" w15:restartNumberingAfterBreak="0">
    <w:nsid w:val="570B08F8"/>
    <w:multiLevelType w:val="hybridMultilevel"/>
    <w:tmpl w:val="714A85D2"/>
    <w:lvl w:ilvl="0" w:tplc="6AD27464">
      <w:start w:val="1"/>
      <w:numFmt w:val="decimal"/>
      <w:lvlText w:val="%1."/>
      <w:lvlJc w:val="left"/>
      <w:pPr>
        <w:ind w:left="720" w:hanging="360"/>
      </w:pPr>
      <w:rPr>
        <w:color w:val="auto"/>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5" w15:restartNumberingAfterBreak="0">
    <w:nsid w:val="5B3378EA"/>
    <w:multiLevelType w:val="hybridMultilevel"/>
    <w:tmpl w:val="EA1029B4"/>
    <w:lvl w:ilvl="0" w:tplc="1174EC28">
      <w:start w:val="1"/>
      <w:numFmt w:val="decimal"/>
      <w:lvlText w:val="%1."/>
      <w:lvlJc w:val="left"/>
      <w:pPr>
        <w:ind w:left="1080" w:hanging="360"/>
      </w:pPr>
      <w:rPr>
        <w:rFonts w:hint="default"/>
        <w:sz w:val="22"/>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6" w15:restartNumberingAfterBreak="0">
    <w:nsid w:val="5B940A8B"/>
    <w:multiLevelType w:val="hybridMultilevel"/>
    <w:tmpl w:val="6C045DC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71B27820"/>
    <w:multiLevelType w:val="hybridMultilevel"/>
    <w:tmpl w:val="7108C1C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74C45B97"/>
    <w:multiLevelType w:val="hybridMultilevel"/>
    <w:tmpl w:val="07F6A57E"/>
    <w:lvl w:ilvl="0" w:tplc="BB92613E">
      <w:start w:val="1"/>
      <w:numFmt w:val="bullet"/>
      <w:lvlText w:val="-"/>
      <w:lvlJc w:val="left"/>
      <w:pPr>
        <w:ind w:left="360" w:hanging="360"/>
      </w:pPr>
      <w:rPr>
        <w:rFonts w:ascii="Courier New" w:hAnsi="Courier New"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9" w15:restartNumberingAfterBreak="0">
    <w:nsid w:val="766D1754"/>
    <w:multiLevelType w:val="hybridMultilevel"/>
    <w:tmpl w:val="728AA336"/>
    <w:lvl w:ilvl="0" w:tplc="BB92613E">
      <w:start w:val="1"/>
      <w:numFmt w:val="bullet"/>
      <w:lvlText w:val="-"/>
      <w:lvlJc w:val="left"/>
      <w:pPr>
        <w:ind w:left="360" w:hanging="360"/>
      </w:pPr>
      <w:rPr>
        <w:rFonts w:ascii="Courier New" w:hAnsi="Courier New"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7B042D2F"/>
    <w:multiLevelType w:val="hybridMultilevel"/>
    <w:tmpl w:val="4482B69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1" w15:restartNumberingAfterBreak="0">
    <w:nsid w:val="7D306B01"/>
    <w:multiLevelType w:val="hybridMultilevel"/>
    <w:tmpl w:val="9BE4F1AE"/>
    <w:lvl w:ilvl="0" w:tplc="071C361E">
      <w:start w:val="201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0"/>
  </w:num>
  <w:num w:numId="2">
    <w:abstractNumId w:val="10"/>
  </w:num>
  <w:num w:numId="3">
    <w:abstractNumId w:val="13"/>
  </w:num>
  <w:num w:numId="4">
    <w:abstractNumId w:val="3"/>
  </w:num>
  <w:num w:numId="5">
    <w:abstractNumId w:val="21"/>
  </w:num>
  <w:num w:numId="6">
    <w:abstractNumId w:val="9"/>
  </w:num>
  <w:num w:numId="7">
    <w:abstractNumId w:val="6"/>
  </w:num>
  <w:num w:numId="8">
    <w:abstractNumId w:val="5"/>
  </w:num>
  <w:num w:numId="9">
    <w:abstractNumId w:val="12"/>
  </w:num>
  <w:num w:numId="10">
    <w:abstractNumId w:val="8"/>
  </w:num>
  <w:num w:numId="11">
    <w:abstractNumId w:val="18"/>
  </w:num>
  <w:num w:numId="12">
    <w:abstractNumId w:val="17"/>
  </w:num>
  <w:num w:numId="13">
    <w:abstractNumId w:val="1"/>
  </w:num>
  <w:num w:numId="14">
    <w:abstractNumId w:val="19"/>
  </w:num>
  <w:num w:numId="15">
    <w:abstractNumId w:val="15"/>
  </w:num>
  <w:num w:numId="16">
    <w:abstractNumId w:val="4"/>
  </w:num>
  <w:num w:numId="17">
    <w:abstractNumId w:val="2"/>
  </w:num>
  <w:num w:numId="18">
    <w:abstractNumId w:val="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9D"/>
    <w:rsid w:val="0000279B"/>
    <w:rsid w:val="000037EF"/>
    <w:rsid w:val="00004A29"/>
    <w:rsid w:val="000102D0"/>
    <w:rsid w:val="00011009"/>
    <w:rsid w:val="0001479D"/>
    <w:rsid w:val="00014EF9"/>
    <w:rsid w:val="00017573"/>
    <w:rsid w:val="000202C4"/>
    <w:rsid w:val="00020A54"/>
    <w:rsid w:val="000218E4"/>
    <w:rsid w:val="00022090"/>
    <w:rsid w:val="00023B9B"/>
    <w:rsid w:val="00025E27"/>
    <w:rsid w:val="00030F3B"/>
    <w:rsid w:val="00033317"/>
    <w:rsid w:val="000360E0"/>
    <w:rsid w:val="000428F3"/>
    <w:rsid w:val="00043185"/>
    <w:rsid w:val="000446C3"/>
    <w:rsid w:val="00047056"/>
    <w:rsid w:val="00051051"/>
    <w:rsid w:val="00052DB1"/>
    <w:rsid w:val="00052DBD"/>
    <w:rsid w:val="00052EE7"/>
    <w:rsid w:val="00055163"/>
    <w:rsid w:val="000615FB"/>
    <w:rsid w:val="0006199A"/>
    <w:rsid w:val="00061BAE"/>
    <w:rsid w:val="00062716"/>
    <w:rsid w:val="00062BB8"/>
    <w:rsid w:val="00064896"/>
    <w:rsid w:val="00064B05"/>
    <w:rsid w:val="000652DE"/>
    <w:rsid w:val="0006628E"/>
    <w:rsid w:val="00066D0C"/>
    <w:rsid w:val="00067D3D"/>
    <w:rsid w:val="0007086E"/>
    <w:rsid w:val="000735AF"/>
    <w:rsid w:val="00081520"/>
    <w:rsid w:val="00083061"/>
    <w:rsid w:val="000830CB"/>
    <w:rsid w:val="00083BF1"/>
    <w:rsid w:val="00085DF8"/>
    <w:rsid w:val="00086944"/>
    <w:rsid w:val="00086B4B"/>
    <w:rsid w:val="00090C9C"/>
    <w:rsid w:val="000915C8"/>
    <w:rsid w:val="00094984"/>
    <w:rsid w:val="00096FBD"/>
    <w:rsid w:val="0009796C"/>
    <w:rsid w:val="000A388B"/>
    <w:rsid w:val="000A45A1"/>
    <w:rsid w:val="000A488B"/>
    <w:rsid w:val="000B3282"/>
    <w:rsid w:val="000B494E"/>
    <w:rsid w:val="000B56B6"/>
    <w:rsid w:val="000C0211"/>
    <w:rsid w:val="000C205B"/>
    <w:rsid w:val="000C45CB"/>
    <w:rsid w:val="000C5FBE"/>
    <w:rsid w:val="000D07E2"/>
    <w:rsid w:val="000D3651"/>
    <w:rsid w:val="000D38AD"/>
    <w:rsid w:val="000D40DE"/>
    <w:rsid w:val="000D6132"/>
    <w:rsid w:val="000E35C8"/>
    <w:rsid w:val="000E6714"/>
    <w:rsid w:val="000F05F1"/>
    <w:rsid w:val="000F0645"/>
    <w:rsid w:val="000F0CEC"/>
    <w:rsid w:val="000F1AFB"/>
    <w:rsid w:val="000F2CC8"/>
    <w:rsid w:val="000F460A"/>
    <w:rsid w:val="000F49D2"/>
    <w:rsid w:val="000F4EE1"/>
    <w:rsid w:val="000F6631"/>
    <w:rsid w:val="000F6714"/>
    <w:rsid w:val="000F75D7"/>
    <w:rsid w:val="00101652"/>
    <w:rsid w:val="001032D1"/>
    <w:rsid w:val="00104229"/>
    <w:rsid w:val="00104BCC"/>
    <w:rsid w:val="00106B9F"/>
    <w:rsid w:val="00107767"/>
    <w:rsid w:val="00107C39"/>
    <w:rsid w:val="001106EC"/>
    <w:rsid w:val="0011279A"/>
    <w:rsid w:val="001130E0"/>
    <w:rsid w:val="00114616"/>
    <w:rsid w:val="00114776"/>
    <w:rsid w:val="00115D0D"/>
    <w:rsid w:val="001218CD"/>
    <w:rsid w:val="00121DB5"/>
    <w:rsid w:val="001224F9"/>
    <w:rsid w:val="0012331E"/>
    <w:rsid w:val="001261A9"/>
    <w:rsid w:val="001304C1"/>
    <w:rsid w:val="00132927"/>
    <w:rsid w:val="00132D19"/>
    <w:rsid w:val="0013412B"/>
    <w:rsid w:val="001351DD"/>
    <w:rsid w:val="00135A13"/>
    <w:rsid w:val="0013777B"/>
    <w:rsid w:val="00143FCD"/>
    <w:rsid w:val="00145B27"/>
    <w:rsid w:val="00147046"/>
    <w:rsid w:val="0015238F"/>
    <w:rsid w:val="00153937"/>
    <w:rsid w:val="00157581"/>
    <w:rsid w:val="00157E21"/>
    <w:rsid w:val="001635FC"/>
    <w:rsid w:val="00163822"/>
    <w:rsid w:val="00164007"/>
    <w:rsid w:val="00164613"/>
    <w:rsid w:val="00166761"/>
    <w:rsid w:val="001672D5"/>
    <w:rsid w:val="00170835"/>
    <w:rsid w:val="00174B50"/>
    <w:rsid w:val="00175142"/>
    <w:rsid w:val="00175925"/>
    <w:rsid w:val="0017625F"/>
    <w:rsid w:val="001767DB"/>
    <w:rsid w:val="00177CC8"/>
    <w:rsid w:val="001800B5"/>
    <w:rsid w:val="00180A63"/>
    <w:rsid w:val="00182206"/>
    <w:rsid w:val="001864CE"/>
    <w:rsid w:val="0018768E"/>
    <w:rsid w:val="00190529"/>
    <w:rsid w:val="00190784"/>
    <w:rsid w:val="001924F3"/>
    <w:rsid w:val="00193707"/>
    <w:rsid w:val="001953B7"/>
    <w:rsid w:val="001967A7"/>
    <w:rsid w:val="00197BF1"/>
    <w:rsid w:val="001A2FBE"/>
    <w:rsid w:val="001B01B9"/>
    <w:rsid w:val="001B657B"/>
    <w:rsid w:val="001C18D9"/>
    <w:rsid w:val="001C220C"/>
    <w:rsid w:val="001C2708"/>
    <w:rsid w:val="001C37C1"/>
    <w:rsid w:val="001C3BD6"/>
    <w:rsid w:val="001C68B5"/>
    <w:rsid w:val="001C7C21"/>
    <w:rsid w:val="001D03A3"/>
    <w:rsid w:val="001D2B7F"/>
    <w:rsid w:val="001D339A"/>
    <w:rsid w:val="001D63C1"/>
    <w:rsid w:val="001E0B82"/>
    <w:rsid w:val="001E236D"/>
    <w:rsid w:val="001E2662"/>
    <w:rsid w:val="001E28F7"/>
    <w:rsid w:val="001E4C8B"/>
    <w:rsid w:val="001E5EB7"/>
    <w:rsid w:val="001E7116"/>
    <w:rsid w:val="001F6B3A"/>
    <w:rsid w:val="001F734B"/>
    <w:rsid w:val="0020581F"/>
    <w:rsid w:val="00205BED"/>
    <w:rsid w:val="00207C28"/>
    <w:rsid w:val="00213F7F"/>
    <w:rsid w:val="002205DA"/>
    <w:rsid w:val="00221737"/>
    <w:rsid w:val="00222A73"/>
    <w:rsid w:val="002231A2"/>
    <w:rsid w:val="002237F4"/>
    <w:rsid w:val="00223941"/>
    <w:rsid w:val="00233052"/>
    <w:rsid w:val="00234D4F"/>
    <w:rsid w:val="0023606E"/>
    <w:rsid w:val="00242B4A"/>
    <w:rsid w:val="00244507"/>
    <w:rsid w:val="00246CBB"/>
    <w:rsid w:val="0025020C"/>
    <w:rsid w:val="00250FFF"/>
    <w:rsid w:val="00252BB9"/>
    <w:rsid w:val="00254173"/>
    <w:rsid w:val="00256CB7"/>
    <w:rsid w:val="0026057C"/>
    <w:rsid w:val="00261690"/>
    <w:rsid w:val="002648CE"/>
    <w:rsid w:val="00265B78"/>
    <w:rsid w:val="00266309"/>
    <w:rsid w:val="00270F41"/>
    <w:rsid w:val="00274449"/>
    <w:rsid w:val="002765D6"/>
    <w:rsid w:val="00276765"/>
    <w:rsid w:val="00280FEF"/>
    <w:rsid w:val="002826CE"/>
    <w:rsid w:val="00285083"/>
    <w:rsid w:val="00290D97"/>
    <w:rsid w:val="0029370F"/>
    <w:rsid w:val="00295A33"/>
    <w:rsid w:val="00297DDA"/>
    <w:rsid w:val="00297E65"/>
    <w:rsid w:val="002A04DD"/>
    <w:rsid w:val="002A1B95"/>
    <w:rsid w:val="002A518F"/>
    <w:rsid w:val="002A7890"/>
    <w:rsid w:val="002C0CF5"/>
    <w:rsid w:val="002C56BD"/>
    <w:rsid w:val="002D0F88"/>
    <w:rsid w:val="002D2D6B"/>
    <w:rsid w:val="002D396D"/>
    <w:rsid w:val="002D512C"/>
    <w:rsid w:val="002D56D4"/>
    <w:rsid w:val="002E0141"/>
    <w:rsid w:val="002E0E0F"/>
    <w:rsid w:val="002E256D"/>
    <w:rsid w:val="002E2627"/>
    <w:rsid w:val="002E2846"/>
    <w:rsid w:val="002E35E1"/>
    <w:rsid w:val="002E39F1"/>
    <w:rsid w:val="002E3B8C"/>
    <w:rsid w:val="002E4033"/>
    <w:rsid w:val="002E5DD8"/>
    <w:rsid w:val="002E65BD"/>
    <w:rsid w:val="002E7046"/>
    <w:rsid w:val="002E7DBC"/>
    <w:rsid w:val="002F34CD"/>
    <w:rsid w:val="002F556A"/>
    <w:rsid w:val="002F5A60"/>
    <w:rsid w:val="00300207"/>
    <w:rsid w:val="0030095F"/>
    <w:rsid w:val="003019EB"/>
    <w:rsid w:val="00301FDF"/>
    <w:rsid w:val="00304798"/>
    <w:rsid w:val="00304E9C"/>
    <w:rsid w:val="00307197"/>
    <w:rsid w:val="003079EC"/>
    <w:rsid w:val="00307BF2"/>
    <w:rsid w:val="003105D9"/>
    <w:rsid w:val="00310CAD"/>
    <w:rsid w:val="003131DA"/>
    <w:rsid w:val="00313C71"/>
    <w:rsid w:val="003140BC"/>
    <w:rsid w:val="00314DD4"/>
    <w:rsid w:val="00315983"/>
    <w:rsid w:val="00321222"/>
    <w:rsid w:val="00321919"/>
    <w:rsid w:val="00322042"/>
    <w:rsid w:val="0032228F"/>
    <w:rsid w:val="0032279A"/>
    <w:rsid w:val="00324D8A"/>
    <w:rsid w:val="0032582D"/>
    <w:rsid w:val="00325E48"/>
    <w:rsid w:val="00332AE5"/>
    <w:rsid w:val="00335649"/>
    <w:rsid w:val="00336B3D"/>
    <w:rsid w:val="00336C66"/>
    <w:rsid w:val="003370C6"/>
    <w:rsid w:val="0033711E"/>
    <w:rsid w:val="00337156"/>
    <w:rsid w:val="00340B24"/>
    <w:rsid w:val="00340DF7"/>
    <w:rsid w:val="00343A25"/>
    <w:rsid w:val="003442D7"/>
    <w:rsid w:val="003444DF"/>
    <w:rsid w:val="003459D6"/>
    <w:rsid w:val="003461BF"/>
    <w:rsid w:val="00346DC4"/>
    <w:rsid w:val="00347D04"/>
    <w:rsid w:val="00351C4D"/>
    <w:rsid w:val="0035404C"/>
    <w:rsid w:val="003540F5"/>
    <w:rsid w:val="003552A1"/>
    <w:rsid w:val="00356D2C"/>
    <w:rsid w:val="003576D2"/>
    <w:rsid w:val="00363CC7"/>
    <w:rsid w:val="00364D0C"/>
    <w:rsid w:val="00364F00"/>
    <w:rsid w:val="003671AA"/>
    <w:rsid w:val="00367319"/>
    <w:rsid w:val="0037079B"/>
    <w:rsid w:val="00374679"/>
    <w:rsid w:val="0038703A"/>
    <w:rsid w:val="00390A86"/>
    <w:rsid w:val="00392616"/>
    <w:rsid w:val="003945DF"/>
    <w:rsid w:val="003A2318"/>
    <w:rsid w:val="003A5D6A"/>
    <w:rsid w:val="003A618F"/>
    <w:rsid w:val="003B2BB1"/>
    <w:rsid w:val="003B3A93"/>
    <w:rsid w:val="003B450E"/>
    <w:rsid w:val="003B4583"/>
    <w:rsid w:val="003B4E8D"/>
    <w:rsid w:val="003B7BE9"/>
    <w:rsid w:val="003C6336"/>
    <w:rsid w:val="003C635E"/>
    <w:rsid w:val="003D02EE"/>
    <w:rsid w:val="003D0674"/>
    <w:rsid w:val="003D0A2F"/>
    <w:rsid w:val="003D16F0"/>
    <w:rsid w:val="003D2958"/>
    <w:rsid w:val="003D796A"/>
    <w:rsid w:val="003E100D"/>
    <w:rsid w:val="003E4AE1"/>
    <w:rsid w:val="003E688B"/>
    <w:rsid w:val="003E6D42"/>
    <w:rsid w:val="003F0BD0"/>
    <w:rsid w:val="003F1A34"/>
    <w:rsid w:val="003F3A77"/>
    <w:rsid w:val="003F5CC7"/>
    <w:rsid w:val="003F6806"/>
    <w:rsid w:val="00402D20"/>
    <w:rsid w:val="00403C43"/>
    <w:rsid w:val="00404A7D"/>
    <w:rsid w:val="00406291"/>
    <w:rsid w:val="00407AA3"/>
    <w:rsid w:val="00407F52"/>
    <w:rsid w:val="00415A5D"/>
    <w:rsid w:val="00415FEB"/>
    <w:rsid w:val="00416D15"/>
    <w:rsid w:val="00420914"/>
    <w:rsid w:val="004211F9"/>
    <w:rsid w:val="004224A4"/>
    <w:rsid w:val="00422591"/>
    <w:rsid w:val="0042376B"/>
    <w:rsid w:val="00427CE0"/>
    <w:rsid w:val="00430E61"/>
    <w:rsid w:val="004316FA"/>
    <w:rsid w:val="00432456"/>
    <w:rsid w:val="00433974"/>
    <w:rsid w:val="00434261"/>
    <w:rsid w:val="004359E1"/>
    <w:rsid w:val="00436029"/>
    <w:rsid w:val="00436C67"/>
    <w:rsid w:val="00436F94"/>
    <w:rsid w:val="00440106"/>
    <w:rsid w:val="00440FE3"/>
    <w:rsid w:val="004427C8"/>
    <w:rsid w:val="00442AD8"/>
    <w:rsid w:val="00444213"/>
    <w:rsid w:val="00445FA0"/>
    <w:rsid w:val="0044606C"/>
    <w:rsid w:val="00447E34"/>
    <w:rsid w:val="00450227"/>
    <w:rsid w:val="004519CA"/>
    <w:rsid w:val="00454F98"/>
    <w:rsid w:val="004555CF"/>
    <w:rsid w:val="00456F13"/>
    <w:rsid w:val="00461CB3"/>
    <w:rsid w:val="00463788"/>
    <w:rsid w:val="0046593C"/>
    <w:rsid w:val="004673CB"/>
    <w:rsid w:val="00470AD4"/>
    <w:rsid w:val="00471344"/>
    <w:rsid w:val="004714A3"/>
    <w:rsid w:val="00473D12"/>
    <w:rsid w:val="00480B7D"/>
    <w:rsid w:val="004836DB"/>
    <w:rsid w:val="00490CAA"/>
    <w:rsid w:val="004916BF"/>
    <w:rsid w:val="004932FC"/>
    <w:rsid w:val="00497A4C"/>
    <w:rsid w:val="004A1025"/>
    <w:rsid w:val="004A437D"/>
    <w:rsid w:val="004A7194"/>
    <w:rsid w:val="004B2DD6"/>
    <w:rsid w:val="004B3B4B"/>
    <w:rsid w:val="004B5C7B"/>
    <w:rsid w:val="004B67DD"/>
    <w:rsid w:val="004C164F"/>
    <w:rsid w:val="004C2927"/>
    <w:rsid w:val="004C3723"/>
    <w:rsid w:val="004C42C7"/>
    <w:rsid w:val="004C7C69"/>
    <w:rsid w:val="004D1837"/>
    <w:rsid w:val="004D1925"/>
    <w:rsid w:val="004D1D66"/>
    <w:rsid w:val="004D1E5F"/>
    <w:rsid w:val="004D510B"/>
    <w:rsid w:val="004D5601"/>
    <w:rsid w:val="004D56B4"/>
    <w:rsid w:val="004D679A"/>
    <w:rsid w:val="004D6D48"/>
    <w:rsid w:val="004E178E"/>
    <w:rsid w:val="004E298E"/>
    <w:rsid w:val="004E3157"/>
    <w:rsid w:val="004E4357"/>
    <w:rsid w:val="004E4AB2"/>
    <w:rsid w:val="004E5632"/>
    <w:rsid w:val="004E7747"/>
    <w:rsid w:val="004F1BAA"/>
    <w:rsid w:val="004F33E6"/>
    <w:rsid w:val="004F408F"/>
    <w:rsid w:val="004F77A2"/>
    <w:rsid w:val="00502FD1"/>
    <w:rsid w:val="00503509"/>
    <w:rsid w:val="005047E7"/>
    <w:rsid w:val="00506166"/>
    <w:rsid w:val="00506A83"/>
    <w:rsid w:val="00506D20"/>
    <w:rsid w:val="00511646"/>
    <w:rsid w:val="00517DFB"/>
    <w:rsid w:val="00524461"/>
    <w:rsid w:val="00524E28"/>
    <w:rsid w:val="00530288"/>
    <w:rsid w:val="0053086F"/>
    <w:rsid w:val="00531564"/>
    <w:rsid w:val="00532B8D"/>
    <w:rsid w:val="005348D5"/>
    <w:rsid w:val="00535C38"/>
    <w:rsid w:val="00536E71"/>
    <w:rsid w:val="00541BA8"/>
    <w:rsid w:val="005448EC"/>
    <w:rsid w:val="00545F34"/>
    <w:rsid w:val="00547D82"/>
    <w:rsid w:val="00550F63"/>
    <w:rsid w:val="00552AE0"/>
    <w:rsid w:val="005535BC"/>
    <w:rsid w:val="00553601"/>
    <w:rsid w:val="00555101"/>
    <w:rsid w:val="00555326"/>
    <w:rsid w:val="00556C09"/>
    <w:rsid w:val="00561ED2"/>
    <w:rsid w:val="00562345"/>
    <w:rsid w:val="00563AE6"/>
    <w:rsid w:val="00566FC1"/>
    <w:rsid w:val="005673A7"/>
    <w:rsid w:val="005674F3"/>
    <w:rsid w:val="005709C4"/>
    <w:rsid w:val="005709F1"/>
    <w:rsid w:val="00570A24"/>
    <w:rsid w:val="005715C1"/>
    <w:rsid w:val="00582390"/>
    <w:rsid w:val="00582E23"/>
    <w:rsid w:val="00585E3A"/>
    <w:rsid w:val="005866ED"/>
    <w:rsid w:val="00590954"/>
    <w:rsid w:val="00591262"/>
    <w:rsid w:val="00593B7D"/>
    <w:rsid w:val="005A1C38"/>
    <w:rsid w:val="005A1F0A"/>
    <w:rsid w:val="005A21EB"/>
    <w:rsid w:val="005A6D23"/>
    <w:rsid w:val="005A6D47"/>
    <w:rsid w:val="005B0980"/>
    <w:rsid w:val="005B0ABD"/>
    <w:rsid w:val="005B49D0"/>
    <w:rsid w:val="005B70C8"/>
    <w:rsid w:val="005B78FE"/>
    <w:rsid w:val="005B7E2A"/>
    <w:rsid w:val="005C7988"/>
    <w:rsid w:val="005D13A6"/>
    <w:rsid w:val="005D220A"/>
    <w:rsid w:val="005D6A2E"/>
    <w:rsid w:val="005E0EBE"/>
    <w:rsid w:val="005E1A9A"/>
    <w:rsid w:val="005E24B7"/>
    <w:rsid w:val="005E3B49"/>
    <w:rsid w:val="005F1D4B"/>
    <w:rsid w:val="005F3652"/>
    <w:rsid w:val="005F486C"/>
    <w:rsid w:val="005F615F"/>
    <w:rsid w:val="00600038"/>
    <w:rsid w:val="006013DD"/>
    <w:rsid w:val="006035F3"/>
    <w:rsid w:val="0060390C"/>
    <w:rsid w:val="00604709"/>
    <w:rsid w:val="0060580D"/>
    <w:rsid w:val="0061060D"/>
    <w:rsid w:val="00611193"/>
    <w:rsid w:val="0061149F"/>
    <w:rsid w:val="0061268A"/>
    <w:rsid w:val="006127C4"/>
    <w:rsid w:val="00614237"/>
    <w:rsid w:val="00616AB0"/>
    <w:rsid w:val="00617FEF"/>
    <w:rsid w:val="00621B84"/>
    <w:rsid w:val="00621C8A"/>
    <w:rsid w:val="0062206B"/>
    <w:rsid w:val="00622C9A"/>
    <w:rsid w:val="00624926"/>
    <w:rsid w:val="00624DB1"/>
    <w:rsid w:val="00625915"/>
    <w:rsid w:val="006270F5"/>
    <w:rsid w:val="00631BA2"/>
    <w:rsid w:val="006338A2"/>
    <w:rsid w:val="00635EF9"/>
    <w:rsid w:val="00636CA1"/>
    <w:rsid w:val="006431F0"/>
    <w:rsid w:val="006434D8"/>
    <w:rsid w:val="006447EF"/>
    <w:rsid w:val="00647116"/>
    <w:rsid w:val="00647B24"/>
    <w:rsid w:val="00650200"/>
    <w:rsid w:val="00651BD9"/>
    <w:rsid w:val="00652185"/>
    <w:rsid w:val="00657C5C"/>
    <w:rsid w:val="00657F3A"/>
    <w:rsid w:val="00662125"/>
    <w:rsid w:val="00662C0E"/>
    <w:rsid w:val="006640DF"/>
    <w:rsid w:val="006644F2"/>
    <w:rsid w:val="00665599"/>
    <w:rsid w:val="00665AB1"/>
    <w:rsid w:val="00667C0E"/>
    <w:rsid w:val="006700AA"/>
    <w:rsid w:val="00670857"/>
    <w:rsid w:val="006728E4"/>
    <w:rsid w:val="00675739"/>
    <w:rsid w:val="006760F8"/>
    <w:rsid w:val="006778BF"/>
    <w:rsid w:val="00677EC7"/>
    <w:rsid w:val="0068048F"/>
    <w:rsid w:val="0069219D"/>
    <w:rsid w:val="0069472F"/>
    <w:rsid w:val="006A51AF"/>
    <w:rsid w:val="006A6DAC"/>
    <w:rsid w:val="006B195A"/>
    <w:rsid w:val="006B2D1F"/>
    <w:rsid w:val="006B2EC5"/>
    <w:rsid w:val="006B3BC8"/>
    <w:rsid w:val="006B4755"/>
    <w:rsid w:val="006B54A8"/>
    <w:rsid w:val="006B7034"/>
    <w:rsid w:val="006C0D85"/>
    <w:rsid w:val="006C29D9"/>
    <w:rsid w:val="006C32F8"/>
    <w:rsid w:val="006C4E5C"/>
    <w:rsid w:val="006C7F9E"/>
    <w:rsid w:val="006D0D12"/>
    <w:rsid w:val="006D0FF4"/>
    <w:rsid w:val="006D1164"/>
    <w:rsid w:val="006D7AED"/>
    <w:rsid w:val="006D7DB2"/>
    <w:rsid w:val="006E1FA6"/>
    <w:rsid w:val="006E223E"/>
    <w:rsid w:val="006E3038"/>
    <w:rsid w:val="006E6120"/>
    <w:rsid w:val="006E7E46"/>
    <w:rsid w:val="006F1F3C"/>
    <w:rsid w:val="006F2296"/>
    <w:rsid w:val="006F2299"/>
    <w:rsid w:val="006F26E2"/>
    <w:rsid w:val="006F7629"/>
    <w:rsid w:val="00701821"/>
    <w:rsid w:val="00702185"/>
    <w:rsid w:val="007057D1"/>
    <w:rsid w:val="0070602D"/>
    <w:rsid w:val="0071021D"/>
    <w:rsid w:val="007118D5"/>
    <w:rsid w:val="007150D3"/>
    <w:rsid w:val="00716641"/>
    <w:rsid w:val="00716B30"/>
    <w:rsid w:val="00716E0D"/>
    <w:rsid w:val="00717C8A"/>
    <w:rsid w:val="007214A2"/>
    <w:rsid w:val="00721678"/>
    <w:rsid w:val="0072264D"/>
    <w:rsid w:val="00722FB7"/>
    <w:rsid w:val="00726446"/>
    <w:rsid w:val="00727A97"/>
    <w:rsid w:val="00734634"/>
    <w:rsid w:val="00735EB9"/>
    <w:rsid w:val="00735F1A"/>
    <w:rsid w:val="00736435"/>
    <w:rsid w:val="00736B2A"/>
    <w:rsid w:val="007378F6"/>
    <w:rsid w:val="00740E61"/>
    <w:rsid w:val="007418E1"/>
    <w:rsid w:val="00741A68"/>
    <w:rsid w:val="00742DE1"/>
    <w:rsid w:val="007443B5"/>
    <w:rsid w:val="00744BE8"/>
    <w:rsid w:val="00746D0F"/>
    <w:rsid w:val="00747124"/>
    <w:rsid w:val="007521DF"/>
    <w:rsid w:val="007552DE"/>
    <w:rsid w:val="00757037"/>
    <w:rsid w:val="00760DA7"/>
    <w:rsid w:val="00763BB6"/>
    <w:rsid w:val="00764713"/>
    <w:rsid w:val="00764CEC"/>
    <w:rsid w:val="007657FE"/>
    <w:rsid w:val="0076615E"/>
    <w:rsid w:val="0076629E"/>
    <w:rsid w:val="00767783"/>
    <w:rsid w:val="0077090E"/>
    <w:rsid w:val="0077556D"/>
    <w:rsid w:val="00775A30"/>
    <w:rsid w:val="00777D8B"/>
    <w:rsid w:val="00784370"/>
    <w:rsid w:val="00784DEA"/>
    <w:rsid w:val="007852B9"/>
    <w:rsid w:val="00787FA7"/>
    <w:rsid w:val="00790104"/>
    <w:rsid w:val="007936FF"/>
    <w:rsid w:val="00793ED4"/>
    <w:rsid w:val="007977E2"/>
    <w:rsid w:val="00797A01"/>
    <w:rsid w:val="007A041E"/>
    <w:rsid w:val="007A1273"/>
    <w:rsid w:val="007A29B0"/>
    <w:rsid w:val="007A2B5C"/>
    <w:rsid w:val="007B2B63"/>
    <w:rsid w:val="007B3D9C"/>
    <w:rsid w:val="007B54AB"/>
    <w:rsid w:val="007B743B"/>
    <w:rsid w:val="007C192C"/>
    <w:rsid w:val="007C2981"/>
    <w:rsid w:val="007C4357"/>
    <w:rsid w:val="007C5BFA"/>
    <w:rsid w:val="007C5F73"/>
    <w:rsid w:val="007C7EA1"/>
    <w:rsid w:val="007D057D"/>
    <w:rsid w:val="007E0642"/>
    <w:rsid w:val="007F29D0"/>
    <w:rsid w:val="007F30FF"/>
    <w:rsid w:val="007F7B47"/>
    <w:rsid w:val="00800730"/>
    <w:rsid w:val="0080098E"/>
    <w:rsid w:val="00800CFA"/>
    <w:rsid w:val="008025D8"/>
    <w:rsid w:val="008029E4"/>
    <w:rsid w:val="00803C6E"/>
    <w:rsid w:val="0080505B"/>
    <w:rsid w:val="0080534A"/>
    <w:rsid w:val="008057E8"/>
    <w:rsid w:val="008107FE"/>
    <w:rsid w:val="0081346B"/>
    <w:rsid w:val="00815509"/>
    <w:rsid w:val="0081628F"/>
    <w:rsid w:val="008162FC"/>
    <w:rsid w:val="00822104"/>
    <w:rsid w:val="00822539"/>
    <w:rsid w:val="00823BCA"/>
    <w:rsid w:val="008243E2"/>
    <w:rsid w:val="00826AA6"/>
    <w:rsid w:val="00830E8B"/>
    <w:rsid w:val="0083359A"/>
    <w:rsid w:val="0083521C"/>
    <w:rsid w:val="0083602E"/>
    <w:rsid w:val="0083785F"/>
    <w:rsid w:val="008378D1"/>
    <w:rsid w:val="00842941"/>
    <w:rsid w:val="008463BF"/>
    <w:rsid w:val="00846488"/>
    <w:rsid w:val="00847F5F"/>
    <w:rsid w:val="00851CC8"/>
    <w:rsid w:val="00855EF4"/>
    <w:rsid w:val="008562B4"/>
    <w:rsid w:val="00861F4B"/>
    <w:rsid w:val="008629B0"/>
    <w:rsid w:val="00863C4D"/>
    <w:rsid w:val="008662A9"/>
    <w:rsid w:val="008673E0"/>
    <w:rsid w:val="008753AB"/>
    <w:rsid w:val="0087766A"/>
    <w:rsid w:val="008836D1"/>
    <w:rsid w:val="008847AA"/>
    <w:rsid w:val="00884E5A"/>
    <w:rsid w:val="00885BAD"/>
    <w:rsid w:val="00886006"/>
    <w:rsid w:val="00886515"/>
    <w:rsid w:val="00887348"/>
    <w:rsid w:val="00892329"/>
    <w:rsid w:val="008963C3"/>
    <w:rsid w:val="00896DE7"/>
    <w:rsid w:val="008A3EAA"/>
    <w:rsid w:val="008A42E3"/>
    <w:rsid w:val="008A75FD"/>
    <w:rsid w:val="008B06DB"/>
    <w:rsid w:val="008B0B37"/>
    <w:rsid w:val="008B37AD"/>
    <w:rsid w:val="008B4661"/>
    <w:rsid w:val="008B4CF6"/>
    <w:rsid w:val="008B577B"/>
    <w:rsid w:val="008B611F"/>
    <w:rsid w:val="008B691C"/>
    <w:rsid w:val="008C313F"/>
    <w:rsid w:val="008C3BFC"/>
    <w:rsid w:val="008D247A"/>
    <w:rsid w:val="008E46A9"/>
    <w:rsid w:val="008E61A3"/>
    <w:rsid w:val="008E734C"/>
    <w:rsid w:val="008E73AF"/>
    <w:rsid w:val="008F0C53"/>
    <w:rsid w:val="008F47E5"/>
    <w:rsid w:val="008F4B86"/>
    <w:rsid w:val="00901F8E"/>
    <w:rsid w:val="009020CE"/>
    <w:rsid w:val="00902F5B"/>
    <w:rsid w:val="00903F2C"/>
    <w:rsid w:val="009055C7"/>
    <w:rsid w:val="00906BBB"/>
    <w:rsid w:val="0090797A"/>
    <w:rsid w:val="009104F5"/>
    <w:rsid w:val="00914654"/>
    <w:rsid w:val="0091469A"/>
    <w:rsid w:val="009151DD"/>
    <w:rsid w:val="00916A8E"/>
    <w:rsid w:val="00916C0C"/>
    <w:rsid w:val="0091783F"/>
    <w:rsid w:val="00920FAC"/>
    <w:rsid w:val="00921C18"/>
    <w:rsid w:val="009238B7"/>
    <w:rsid w:val="00926F94"/>
    <w:rsid w:val="009326DC"/>
    <w:rsid w:val="00934636"/>
    <w:rsid w:val="00934D41"/>
    <w:rsid w:val="00934ECA"/>
    <w:rsid w:val="009364C8"/>
    <w:rsid w:val="00942AC5"/>
    <w:rsid w:val="00943C98"/>
    <w:rsid w:val="00944E6F"/>
    <w:rsid w:val="00947ECC"/>
    <w:rsid w:val="00957AD9"/>
    <w:rsid w:val="00961979"/>
    <w:rsid w:val="0096719D"/>
    <w:rsid w:val="009736C6"/>
    <w:rsid w:val="009738A1"/>
    <w:rsid w:val="009762C4"/>
    <w:rsid w:val="00976C36"/>
    <w:rsid w:val="00980AA6"/>
    <w:rsid w:val="009811FF"/>
    <w:rsid w:val="00982866"/>
    <w:rsid w:val="00983722"/>
    <w:rsid w:val="00984AE5"/>
    <w:rsid w:val="00987E64"/>
    <w:rsid w:val="00990E6B"/>
    <w:rsid w:val="0099161E"/>
    <w:rsid w:val="009926B0"/>
    <w:rsid w:val="00996161"/>
    <w:rsid w:val="00997630"/>
    <w:rsid w:val="0099791D"/>
    <w:rsid w:val="009A1D84"/>
    <w:rsid w:val="009A3425"/>
    <w:rsid w:val="009B155E"/>
    <w:rsid w:val="009B2773"/>
    <w:rsid w:val="009B3CA9"/>
    <w:rsid w:val="009B51FB"/>
    <w:rsid w:val="009B52B8"/>
    <w:rsid w:val="009B70F5"/>
    <w:rsid w:val="009B73CB"/>
    <w:rsid w:val="009C3535"/>
    <w:rsid w:val="009C59C7"/>
    <w:rsid w:val="009C7BF6"/>
    <w:rsid w:val="009D05A1"/>
    <w:rsid w:val="009D14D4"/>
    <w:rsid w:val="009D1A16"/>
    <w:rsid w:val="009D2C51"/>
    <w:rsid w:val="009D355D"/>
    <w:rsid w:val="009D366F"/>
    <w:rsid w:val="009D6C80"/>
    <w:rsid w:val="009E09C1"/>
    <w:rsid w:val="009E41F9"/>
    <w:rsid w:val="009E43DE"/>
    <w:rsid w:val="009E582D"/>
    <w:rsid w:val="009E76A6"/>
    <w:rsid w:val="009E7CF4"/>
    <w:rsid w:val="009F04C0"/>
    <w:rsid w:val="009F18C1"/>
    <w:rsid w:val="009F4130"/>
    <w:rsid w:val="00A02A0B"/>
    <w:rsid w:val="00A02E65"/>
    <w:rsid w:val="00A03A90"/>
    <w:rsid w:val="00A03BC6"/>
    <w:rsid w:val="00A03CA5"/>
    <w:rsid w:val="00A03EF3"/>
    <w:rsid w:val="00A07566"/>
    <w:rsid w:val="00A1174D"/>
    <w:rsid w:val="00A126A4"/>
    <w:rsid w:val="00A13FF8"/>
    <w:rsid w:val="00A140B5"/>
    <w:rsid w:val="00A14729"/>
    <w:rsid w:val="00A1718F"/>
    <w:rsid w:val="00A17871"/>
    <w:rsid w:val="00A17A2D"/>
    <w:rsid w:val="00A17C10"/>
    <w:rsid w:val="00A21808"/>
    <w:rsid w:val="00A2614E"/>
    <w:rsid w:val="00A267EB"/>
    <w:rsid w:val="00A26984"/>
    <w:rsid w:val="00A269D9"/>
    <w:rsid w:val="00A32F6E"/>
    <w:rsid w:val="00A34DC6"/>
    <w:rsid w:val="00A37724"/>
    <w:rsid w:val="00A37AA1"/>
    <w:rsid w:val="00A45145"/>
    <w:rsid w:val="00A45EB9"/>
    <w:rsid w:val="00A46956"/>
    <w:rsid w:val="00A47434"/>
    <w:rsid w:val="00A50A88"/>
    <w:rsid w:val="00A51DB0"/>
    <w:rsid w:val="00A52031"/>
    <w:rsid w:val="00A5549C"/>
    <w:rsid w:val="00A563E5"/>
    <w:rsid w:val="00A57A23"/>
    <w:rsid w:val="00A6098E"/>
    <w:rsid w:val="00A6156E"/>
    <w:rsid w:val="00A61899"/>
    <w:rsid w:val="00A646D6"/>
    <w:rsid w:val="00A64A6D"/>
    <w:rsid w:val="00A64E63"/>
    <w:rsid w:val="00A66833"/>
    <w:rsid w:val="00A67849"/>
    <w:rsid w:val="00A742D8"/>
    <w:rsid w:val="00A7436A"/>
    <w:rsid w:val="00A757E5"/>
    <w:rsid w:val="00A770AC"/>
    <w:rsid w:val="00A7715A"/>
    <w:rsid w:val="00A82E87"/>
    <w:rsid w:val="00A839BD"/>
    <w:rsid w:val="00A85462"/>
    <w:rsid w:val="00A858F6"/>
    <w:rsid w:val="00A85B6D"/>
    <w:rsid w:val="00A91711"/>
    <w:rsid w:val="00A92B93"/>
    <w:rsid w:val="00A93959"/>
    <w:rsid w:val="00A93BDF"/>
    <w:rsid w:val="00A961C6"/>
    <w:rsid w:val="00A96755"/>
    <w:rsid w:val="00A96D93"/>
    <w:rsid w:val="00A97DFB"/>
    <w:rsid w:val="00AA0AA8"/>
    <w:rsid w:val="00AA35A2"/>
    <w:rsid w:val="00AA50E3"/>
    <w:rsid w:val="00AB0994"/>
    <w:rsid w:val="00AB1DCC"/>
    <w:rsid w:val="00AB2BB4"/>
    <w:rsid w:val="00AB4206"/>
    <w:rsid w:val="00AB5E6E"/>
    <w:rsid w:val="00AB6A3F"/>
    <w:rsid w:val="00AB78F6"/>
    <w:rsid w:val="00AC10A1"/>
    <w:rsid w:val="00AC2FAB"/>
    <w:rsid w:val="00AC4E23"/>
    <w:rsid w:val="00AC4F76"/>
    <w:rsid w:val="00AD011C"/>
    <w:rsid w:val="00AD0C1C"/>
    <w:rsid w:val="00AE060E"/>
    <w:rsid w:val="00AE146B"/>
    <w:rsid w:val="00AE3079"/>
    <w:rsid w:val="00AE4993"/>
    <w:rsid w:val="00AE572F"/>
    <w:rsid w:val="00AE5FE1"/>
    <w:rsid w:val="00AF056E"/>
    <w:rsid w:val="00AF06EE"/>
    <w:rsid w:val="00AF4EBA"/>
    <w:rsid w:val="00B00D42"/>
    <w:rsid w:val="00B02351"/>
    <w:rsid w:val="00B027E9"/>
    <w:rsid w:val="00B04188"/>
    <w:rsid w:val="00B041A8"/>
    <w:rsid w:val="00B12F78"/>
    <w:rsid w:val="00B15D32"/>
    <w:rsid w:val="00B15D96"/>
    <w:rsid w:val="00B17C26"/>
    <w:rsid w:val="00B202CE"/>
    <w:rsid w:val="00B22209"/>
    <w:rsid w:val="00B22880"/>
    <w:rsid w:val="00B22D06"/>
    <w:rsid w:val="00B26334"/>
    <w:rsid w:val="00B266F6"/>
    <w:rsid w:val="00B35730"/>
    <w:rsid w:val="00B35A88"/>
    <w:rsid w:val="00B4046F"/>
    <w:rsid w:val="00B41EBE"/>
    <w:rsid w:val="00B4449D"/>
    <w:rsid w:val="00B44A9B"/>
    <w:rsid w:val="00B512A6"/>
    <w:rsid w:val="00B51D69"/>
    <w:rsid w:val="00B5212A"/>
    <w:rsid w:val="00B521BB"/>
    <w:rsid w:val="00B53352"/>
    <w:rsid w:val="00B566D3"/>
    <w:rsid w:val="00B568DB"/>
    <w:rsid w:val="00B604F4"/>
    <w:rsid w:val="00B632EB"/>
    <w:rsid w:val="00B65111"/>
    <w:rsid w:val="00B7072A"/>
    <w:rsid w:val="00B71129"/>
    <w:rsid w:val="00B71FA6"/>
    <w:rsid w:val="00B729A5"/>
    <w:rsid w:val="00B73E4A"/>
    <w:rsid w:val="00B81B5B"/>
    <w:rsid w:val="00B81C48"/>
    <w:rsid w:val="00B826E6"/>
    <w:rsid w:val="00B82800"/>
    <w:rsid w:val="00B83C31"/>
    <w:rsid w:val="00B849B1"/>
    <w:rsid w:val="00B8674F"/>
    <w:rsid w:val="00B8728C"/>
    <w:rsid w:val="00B9025B"/>
    <w:rsid w:val="00B91C2D"/>
    <w:rsid w:val="00B9355A"/>
    <w:rsid w:val="00B937ED"/>
    <w:rsid w:val="00B93CDA"/>
    <w:rsid w:val="00B95AEC"/>
    <w:rsid w:val="00B9765C"/>
    <w:rsid w:val="00BA1004"/>
    <w:rsid w:val="00BA1135"/>
    <w:rsid w:val="00BA16C0"/>
    <w:rsid w:val="00BA329F"/>
    <w:rsid w:val="00BA3DF0"/>
    <w:rsid w:val="00BA3E49"/>
    <w:rsid w:val="00BA3FF2"/>
    <w:rsid w:val="00BA551C"/>
    <w:rsid w:val="00BA69F7"/>
    <w:rsid w:val="00BA7342"/>
    <w:rsid w:val="00BA7CE7"/>
    <w:rsid w:val="00BB0073"/>
    <w:rsid w:val="00BB0C9B"/>
    <w:rsid w:val="00BB360D"/>
    <w:rsid w:val="00BC1321"/>
    <w:rsid w:val="00BC3B91"/>
    <w:rsid w:val="00BC4769"/>
    <w:rsid w:val="00BC4B72"/>
    <w:rsid w:val="00BC5F79"/>
    <w:rsid w:val="00BC6419"/>
    <w:rsid w:val="00BC66A3"/>
    <w:rsid w:val="00BD010A"/>
    <w:rsid w:val="00BD2AFE"/>
    <w:rsid w:val="00BD415C"/>
    <w:rsid w:val="00BD4F1D"/>
    <w:rsid w:val="00BD5C52"/>
    <w:rsid w:val="00BD771B"/>
    <w:rsid w:val="00BE3BBF"/>
    <w:rsid w:val="00BE3C73"/>
    <w:rsid w:val="00BE4933"/>
    <w:rsid w:val="00BE4B85"/>
    <w:rsid w:val="00BE56F0"/>
    <w:rsid w:val="00BE64FE"/>
    <w:rsid w:val="00BE7AF5"/>
    <w:rsid w:val="00BF0705"/>
    <w:rsid w:val="00BF5E5F"/>
    <w:rsid w:val="00BF6C0F"/>
    <w:rsid w:val="00BF7C97"/>
    <w:rsid w:val="00BF7D1A"/>
    <w:rsid w:val="00C00F4E"/>
    <w:rsid w:val="00C02EEC"/>
    <w:rsid w:val="00C045C6"/>
    <w:rsid w:val="00C06D16"/>
    <w:rsid w:val="00C071AD"/>
    <w:rsid w:val="00C0787C"/>
    <w:rsid w:val="00C1022E"/>
    <w:rsid w:val="00C11218"/>
    <w:rsid w:val="00C1127D"/>
    <w:rsid w:val="00C15939"/>
    <w:rsid w:val="00C16C89"/>
    <w:rsid w:val="00C2155B"/>
    <w:rsid w:val="00C220A8"/>
    <w:rsid w:val="00C22706"/>
    <w:rsid w:val="00C24927"/>
    <w:rsid w:val="00C25D94"/>
    <w:rsid w:val="00C260B4"/>
    <w:rsid w:val="00C27347"/>
    <w:rsid w:val="00C2795C"/>
    <w:rsid w:val="00C313B0"/>
    <w:rsid w:val="00C35E71"/>
    <w:rsid w:val="00C410C8"/>
    <w:rsid w:val="00C414AB"/>
    <w:rsid w:val="00C44BAD"/>
    <w:rsid w:val="00C470C8"/>
    <w:rsid w:val="00C473B1"/>
    <w:rsid w:val="00C51D74"/>
    <w:rsid w:val="00C52500"/>
    <w:rsid w:val="00C57357"/>
    <w:rsid w:val="00C575A9"/>
    <w:rsid w:val="00C60B70"/>
    <w:rsid w:val="00C621D5"/>
    <w:rsid w:val="00C63EC7"/>
    <w:rsid w:val="00C640B8"/>
    <w:rsid w:val="00C6764A"/>
    <w:rsid w:val="00C70DC6"/>
    <w:rsid w:val="00C72FE8"/>
    <w:rsid w:val="00C74559"/>
    <w:rsid w:val="00C758CD"/>
    <w:rsid w:val="00C77295"/>
    <w:rsid w:val="00C821EB"/>
    <w:rsid w:val="00C8223F"/>
    <w:rsid w:val="00C87857"/>
    <w:rsid w:val="00C87C65"/>
    <w:rsid w:val="00C9060C"/>
    <w:rsid w:val="00C931AE"/>
    <w:rsid w:val="00C94B24"/>
    <w:rsid w:val="00C96F67"/>
    <w:rsid w:val="00C9705F"/>
    <w:rsid w:val="00CA1B97"/>
    <w:rsid w:val="00CA1D13"/>
    <w:rsid w:val="00CA29C0"/>
    <w:rsid w:val="00CA4413"/>
    <w:rsid w:val="00CA6BC3"/>
    <w:rsid w:val="00CA7FBA"/>
    <w:rsid w:val="00CB21E9"/>
    <w:rsid w:val="00CB3B7C"/>
    <w:rsid w:val="00CB3DF3"/>
    <w:rsid w:val="00CB513E"/>
    <w:rsid w:val="00CB5240"/>
    <w:rsid w:val="00CB581A"/>
    <w:rsid w:val="00CB7F6F"/>
    <w:rsid w:val="00CC330D"/>
    <w:rsid w:val="00CC40D2"/>
    <w:rsid w:val="00CC4421"/>
    <w:rsid w:val="00CC671B"/>
    <w:rsid w:val="00CC69C1"/>
    <w:rsid w:val="00CD08C9"/>
    <w:rsid w:val="00CD09E9"/>
    <w:rsid w:val="00CD19A7"/>
    <w:rsid w:val="00CD2A75"/>
    <w:rsid w:val="00CD387F"/>
    <w:rsid w:val="00CD3D9D"/>
    <w:rsid w:val="00CD4BA5"/>
    <w:rsid w:val="00CE298F"/>
    <w:rsid w:val="00CE65F2"/>
    <w:rsid w:val="00CF2AFC"/>
    <w:rsid w:val="00CF466E"/>
    <w:rsid w:val="00CF6817"/>
    <w:rsid w:val="00D01BC7"/>
    <w:rsid w:val="00D111D3"/>
    <w:rsid w:val="00D12209"/>
    <w:rsid w:val="00D163B0"/>
    <w:rsid w:val="00D17AD7"/>
    <w:rsid w:val="00D21E1E"/>
    <w:rsid w:val="00D22FD7"/>
    <w:rsid w:val="00D24646"/>
    <w:rsid w:val="00D259D0"/>
    <w:rsid w:val="00D2685F"/>
    <w:rsid w:val="00D27289"/>
    <w:rsid w:val="00D31D2F"/>
    <w:rsid w:val="00D32286"/>
    <w:rsid w:val="00D34468"/>
    <w:rsid w:val="00D367EB"/>
    <w:rsid w:val="00D368FF"/>
    <w:rsid w:val="00D37887"/>
    <w:rsid w:val="00D408BB"/>
    <w:rsid w:val="00D43F57"/>
    <w:rsid w:val="00D440C2"/>
    <w:rsid w:val="00D46EE9"/>
    <w:rsid w:val="00D51F65"/>
    <w:rsid w:val="00D522B3"/>
    <w:rsid w:val="00D52AE2"/>
    <w:rsid w:val="00D5379A"/>
    <w:rsid w:val="00D5645A"/>
    <w:rsid w:val="00D60DCF"/>
    <w:rsid w:val="00D60FC8"/>
    <w:rsid w:val="00D62446"/>
    <w:rsid w:val="00D628B2"/>
    <w:rsid w:val="00D635EF"/>
    <w:rsid w:val="00D64CA5"/>
    <w:rsid w:val="00D72A1C"/>
    <w:rsid w:val="00D74F8E"/>
    <w:rsid w:val="00D754D3"/>
    <w:rsid w:val="00D75D3E"/>
    <w:rsid w:val="00D767E9"/>
    <w:rsid w:val="00D81C77"/>
    <w:rsid w:val="00D8200F"/>
    <w:rsid w:val="00D8208E"/>
    <w:rsid w:val="00D841AA"/>
    <w:rsid w:val="00D846CF"/>
    <w:rsid w:val="00D84890"/>
    <w:rsid w:val="00D85E8E"/>
    <w:rsid w:val="00D87917"/>
    <w:rsid w:val="00D90C85"/>
    <w:rsid w:val="00D92D27"/>
    <w:rsid w:val="00D93050"/>
    <w:rsid w:val="00D9371B"/>
    <w:rsid w:val="00D93949"/>
    <w:rsid w:val="00D95551"/>
    <w:rsid w:val="00D962B0"/>
    <w:rsid w:val="00D97912"/>
    <w:rsid w:val="00DA0020"/>
    <w:rsid w:val="00DA1B07"/>
    <w:rsid w:val="00DA2FC0"/>
    <w:rsid w:val="00DA4EAF"/>
    <w:rsid w:val="00DA6CFE"/>
    <w:rsid w:val="00DB2700"/>
    <w:rsid w:val="00DB3147"/>
    <w:rsid w:val="00DB41FC"/>
    <w:rsid w:val="00DB5B5F"/>
    <w:rsid w:val="00DB5E5A"/>
    <w:rsid w:val="00DB69B6"/>
    <w:rsid w:val="00DC0B8A"/>
    <w:rsid w:val="00DC14E7"/>
    <w:rsid w:val="00DC6052"/>
    <w:rsid w:val="00DD176F"/>
    <w:rsid w:val="00DD2F1E"/>
    <w:rsid w:val="00DD3449"/>
    <w:rsid w:val="00DD3972"/>
    <w:rsid w:val="00DD50E1"/>
    <w:rsid w:val="00DD74E7"/>
    <w:rsid w:val="00DE0678"/>
    <w:rsid w:val="00DE4B18"/>
    <w:rsid w:val="00DF006D"/>
    <w:rsid w:val="00DF2E48"/>
    <w:rsid w:val="00DF3F83"/>
    <w:rsid w:val="00E02C79"/>
    <w:rsid w:val="00E031EB"/>
    <w:rsid w:val="00E124C2"/>
    <w:rsid w:val="00E124CF"/>
    <w:rsid w:val="00E12CF9"/>
    <w:rsid w:val="00E16CD1"/>
    <w:rsid w:val="00E23C8B"/>
    <w:rsid w:val="00E25654"/>
    <w:rsid w:val="00E25C89"/>
    <w:rsid w:val="00E2792F"/>
    <w:rsid w:val="00E317F7"/>
    <w:rsid w:val="00E33EE6"/>
    <w:rsid w:val="00E35995"/>
    <w:rsid w:val="00E3720E"/>
    <w:rsid w:val="00E37B82"/>
    <w:rsid w:val="00E40CB4"/>
    <w:rsid w:val="00E449A5"/>
    <w:rsid w:val="00E45620"/>
    <w:rsid w:val="00E4660D"/>
    <w:rsid w:val="00E4688C"/>
    <w:rsid w:val="00E47D28"/>
    <w:rsid w:val="00E47D79"/>
    <w:rsid w:val="00E501CA"/>
    <w:rsid w:val="00E54B79"/>
    <w:rsid w:val="00E550F5"/>
    <w:rsid w:val="00E57636"/>
    <w:rsid w:val="00E600FB"/>
    <w:rsid w:val="00E6117C"/>
    <w:rsid w:val="00E61CD5"/>
    <w:rsid w:val="00E636C5"/>
    <w:rsid w:val="00E6539C"/>
    <w:rsid w:val="00E66CA8"/>
    <w:rsid w:val="00E7004B"/>
    <w:rsid w:val="00E70618"/>
    <w:rsid w:val="00E71AD2"/>
    <w:rsid w:val="00E73470"/>
    <w:rsid w:val="00E81E7F"/>
    <w:rsid w:val="00E81F01"/>
    <w:rsid w:val="00E82538"/>
    <w:rsid w:val="00E831CA"/>
    <w:rsid w:val="00E85033"/>
    <w:rsid w:val="00E854C6"/>
    <w:rsid w:val="00E85926"/>
    <w:rsid w:val="00E864AE"/>
    <w:rsid w:val="00E87978"/>
    <w:rsid w:val="00E9006E"/>
    <w:rsid w:val="00E9323E"/>
    <w:rsid w:val="00E93933"/>
    <w:rsid w:val="00E96D95"/>
    <w:rsid w:val="00EA08D2"/>
    <w:rsid w:val="00EA129B"/>
    <w:rsid w:val="00EA6187"/>
    <w:rsid w:val="00EA6E87"/>
    <w:rsid w:val="00EB0332"/>
    <w:rsid w:val="00EB182C"/>
    <w:rsid w:val="00EB4344"/>
    <w:rsid w:val="00EC5A5E"/>
    <w:rsid w:val="00EC7647"/>
    <w:rsid w:val="00EC7A4F"/>
    <w:rsid w:val="00ED46F8"/>
    <w:rsid w:val="00ED47B8"/>
    <w:rsid w:val="00ED4904"/>
    <w:rsid w:val="00ED6115"/>
    <w:rsid w:val="00EE237D"/>
    <w:rsid w:val="00EE38BF"/>
    <w:rsid w:val="00EE4CD4"/>
    <w:rsid w:val="00EE524F"/>
    <w:rsid w:val="00EE675A"/>
    <w:rsid w:val="00EF09B1"/>
    <w:rsid w:val="00EF0C52"/>
    <w:rsid w:val="00EF1445"/>
    <w:rsid w:val="00EF21C8"/>
    <w:rsid w:val="00EF28F1"/>
    <w:rsid w:val="00EF2C1A"/>
    <w:rsid w:val="00EF6487"/>
    <w:rsid w:val="00EF7D07"/>
    <w:rsid w:val="00F035E4"/>
    <w:rsid w:val="00F049DD"/>
    <w:rsid w:val="00F04C63"/>
    <w:rsid w:val="00F05535"/>
    <w:rsid w:val="00F13E1A"/>
    <w:rsid w:val="00F153F2"/>
    <w:rsid w:val="00F1792B"/>
    <w:rsid w:val="00F17C21"/>
    <w:rsid w:val="00F2077C"/>
    <w:rsid w:val="00F2463E"/>
    <w:rsid w:val="00F251AB"/>
    <w:rsid w:val="00F306A4"/>
    <w:rsid w:val="00F32F7A"/>
    <w:rsid w:val="00F334C1"/>
    <w:rsid w:val="00F35807"/>
    <w:rsid w:val="00F40E86"/>
    <w:rsid w:val="00F42939"/>
    <w:rsid w:val="00F440A7"/>
    <w:rsid w:val="00F47547"/>
    <w:rsid w:val="00F54283"/>
    <w:rsid w:val="00F56512"/>
    <w:rsid w:val="00F57E9B"/>
    <w:rsid w:val="00F6224F"/>
    <w:rsid w:val="00F62743"/>
    <w:rsid w:val="00F6585D"/>
    <w:rsid w:val="00F669F0"/>
    <w:rsid w:val="00F72240"/>
    <w:rsid w:val="00F77C41"/>
    <w:rsid w:val="00F77F92"/>
    <w:rsid w:val="00F82626"/>
    <w:rsid w:val="00F834E9"/>
    <w:rsid w:val="00F83B9D"/>
    <w:rsid w:val="00F86A9E"/>
    <w:rsid w:val="00F90F6F"/>
    <w:rsid w:val="00F92177"/>
    <w:rsid w:val="00F92D46"/>
    <w:rsid w:val="00F955F4"/>
    <w:rsid w:val="00F95FDF"/>
    <w:rsid w:val="00FA150E"/>
    <w:rsid w:val="00FA483C"/>
    <w:rsid w:val="00FA7515"/>
    <w:rsid w:val="00FB2388"/>
    <w:rsid w:val="00FB5C61"/>
    <w:rsid w:val="00FB7F2A"/>
    <w:rsid w:val="00FC5BFC"/>
    <w:rsid w:val="00FC6B89"/>
    <w:rsid w:val="00FC76CA"/>
    <w:rsid w:val="00FD23D8"/>
    <w:rsid w:val="00FD5E4C"/>
    <w:rsid w:val="00FD6D58"/>
    <w:rsid w:val="00FD736A"/>
    <w:rsid w:val="00FE0279"/>
    <w:rsid w:val="00FE18F3"/>
    <w:rsid w:val="00FE3F2E"/>
    <w:rsid w:val="00FE504C"/>
    <w:rsid w:val="00FE6F7A"/>
    <w:rsid w:val="00FE75D7"/>
    <w:rsid w:val="00FF0FB3"/>
    <w:rsid w:val="00FF67A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36303-801A-4B35-B1D3-3281E5DF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C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E5DD8"/>
    <w:pPr>
      <w:spacing w:after="0" w:line="240" w:lineRule="auto"/>
    </w:pPr>
  </w:style>
  <w:style w:type="paragraph" w:styleId="Textodeglobo">
    <w:name w:val="Balloon Text"/>
    <w:basedOn w:val="Normal"/>
    <w:link w:val="TextodegloboCar"/>
    <w:uiPriority w:val="99"/>
    <w:semiHidden/>
    <w:unhideWhenUsed/>
    <w:rsid w:val="00C94B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B24"/>
    <w:rPr>
      <w:rFonts w:ascii="Tahoma" w:hAnsi="Tahoma" w:cs="Tahoma"/>
      <w:sz w:val="16"/>
      <w:szCs w:val="16"/>
    </w:rPr>
  </w:style>
  <w:style w:type="paragraph" w:styleId="Encabezado">
    <w:name w:val="header"/>
    <w:basedOn w:val="Normal"/>
    <w:link w:val="EncabezadoCar"/>
    <w:uiPriority w:val="99"/>
    <w:unhideWhenUsed/>
    <w:rsid w:val="00A609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098E"/>
  </w:style>
  <w:style w:type="paragraph" w:styleId="Piedepgina">
    <w:name w:val="footer"/>
    <w:basedOn w:val="Normal"/>
    <w:link w:val="PiedepginaCar"/>
    <w:uiPriority w:val="99"/>
    <w:unhideWhenUsed/>
    <w:rsid w:val="00A609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098E"/>
  </w:style>
  <w:style w:type="paragraph" w:styleId="NormalWeb">
    <w:name w:val="Normal (Web)"/>
    <w:basedOn w:val="Normal"/>
    <w:uiPriority w:val="99"/>
    <w:unhideWhenUsed/>
    <w:rsid w:val="004F33E6"/>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SinespaciadoCar">
    <w:name w:val="Sin espaciado Car"/>
    <w:basedOn w:val="Fuentedeprrafopredeter"/>
    <w:link w:val="Sinespaciado"/>
    <w:uiPriority w:val="1"/>
    <w:locked/>
    <w:rsid w:val="004F33E6"/>
  </w:style>
  <w:style w:type="character" w:styleId="Hipervnculo">
    <w:name w:val="Hyperlink"/>
    <w:basedOn w:val="Fuentedeprrafopredeter"/>
    <w:uiPriority w:val="99"/>
    <w:unhideWhenUsed/>
    <w:rsid w:val="006B54A8"/>
    <w:rPr>
      <w:color w:val="0000FF" w:themeColor="hyperlink"/>
      <w:u w:val="single"/>
    </w:rPr>
  </w:style>
  <w:style w:type="paragraph" w:styleId="Textonotapie">
    <w:name w:val="footnote text"/>
    <w:basedOn w:val="Normal"/>
    <w:link w:val="TextonotapieCar"/>
    <w:uiPriority w:val="99"/>
    <w:semiHidden/>
    <w:unhideWhenUsed/>
    <w:rsid w:val="006F1F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1F3C"/>
    <w:rPr>
      <w:sz w:val="20"/>
      <w:szCs w:val="20"/>
    </w:rPr>
  </w:style>
  <w:style w:type="character" w:styleId="Refdenotaalpie">
    <w:name w:val="footnote reference"/>
    <w:basedOn w:val="Fuentedeprrafopredeter"/>
    <w:uiPriority w:val="99"/>
    <w:semiHidden/>
    <w:unhideWhenUsed/>
    <w:rsid w:val="006F1F3C"/>
    <w:rPr>
      <w:vertAlign w:val="superscript"/>
    </w:rPr>
  </w:style>
  <w:style w:type="character" w:styleId="Hipervnculovisitado">
    <w:name w:val="FollowedHyperlink"/>
    <w:basedOn w:val="Fuentedeprrafopredeter"/>
    <w:uiPriority w:val="99"/>
    <w:semiHidden/>
    <w:unhideWhenUsed/>
    <w:rsid w:val="00B937ED"/>
    <w:rPr>
      <w:color w:val="800080" w:themeColor="followedHyperlink"/>
      <w:u w:val="single"/>
    </w:rPr>
  </w:style>
  <w:style w:type="paragraph" w:styleId="Prrafodelista">
    <w:name w:val="List Paragraph"/>
    <w:basedOn w:val="Normal"/>
    <w:uiPriority w:val="34"/>
    <w:qFormat/>
    <w:rsid w:val="001D339A"/>
    <w:pPr>
      <w:ind w:left="720"/>
      <w:contextualSpacing/>
      <w:jc w:val="both"/>
    </w:pPr>
    <w:rPr>
      <w:rFonts w:ascii="Times New Roman" w:hAnsi="Times New Roman"/>
    </w:rPr>
  </w:style>
  <w:style w:type="table" w:styleId="Tablaconcuadrcula">
    <w:name w:val="Table Grid"/>
    <w:basedOn w:val="Tablanormal"/>
    <w:uiPriority w:val="59"/>
    <w:rsid w:val="004C1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104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8957">
      <w:bodyDiv w:val="1"/>
      <w:marLeft w:val="0"/>
      <w:marRight w:val="0"/>
      <w:marTop w:val="0"/>
      <w:marBottom w:val="0"/>
      <w:divBdr>
        <w:top w:val="none" w:sz="0" w:space="0" w:color="auto"/>
        <w:left w:val="none" w:sz="0" w:space="0" w:color="auto"/>
        <w:bottom w:val="none" w:sz="0" w:space="0" w:color="auto"/>
        <w:right w:val="none" w:sz="0" w:space="0" w:color="auto"/>
      </w:divBdr>
    </w:div>
    <w:div w:id="87775366">
      <w:bodyDiv w:val="1"/>
      <w:marLeft w:val="0"/>
      <w:marRight w:val="0"/>
      <w:marTop w:val="0"/>
      <w:marBottom w:val="0"/>
      <w:divBdr>
        <w:top w:val="none" w:sz="0" w:space="0" w:color="auto"/>
        <w:left w:val="none" w:sz="0" w:space="0" w:color="auto"/>
        <w:bottom w:val="none" w:sz="0" w:space="0" w:color="auto"/>
        <w:right w:val="none" w:sz="0" w:space="0" w:color="auto"/>
      </w:divBdr>
    </w:div>
    <w:div w:id="133060234">
      <w:bodyDiv w:val="1"/>
      <w:marLeft w:val="0"/>
      <w:marRight w:val="0"/>
      <w:marTop w:val="0"/>
      <w:marBottom w:val="0"/>
      <w:divBdr>
        <w:top w:val="none" w:sz="0" w:space="0" w:color="auto"/>
        <w:left w:val="none" w:sz="0" w:space="0" w:color="auto"/>
        <w:bottom w:val="none" w:sz="0" w:space="0" w:color="auto"/>
        <w:right w:val="none" w:sz="0" w:space="0" w:color="auto"/>
      </w:divBdr>
    </w:div>
    <w:div w:id="304236382">
      <w:bodyDiv w:val="1"/>
      <w:marLeft w:val="0"/>
      <w:marRight w:val="0"/>
      <w:marTop w:val="0"/>
      <w:marBottom w:val="0"/>
      <w:divBdr>
        <w:top w:val="none" w:sz="0" w:space="0" w:color="auto"/>
        <w:left w:val="none" w:sz="0" w:space="0" w:color="auto"/>
        <w:bottom w:val="none" w:sz="0" w:space="0" w:color="auto"/>
        <w:right w:val="none" w:sz="0" w:space="0" w:color="auto"/>
      </w:divBdr>
    </w:div>
    <w:div w:id="317267169">
      <w:bodyDiv w:val="1"/>
      <w:marLeft w:val="0"/>
      <w:marRight w:val="0"/>
      <w:marTop w:val="0"/>
      <w:marBottom w:val="0"/>
      <w:divBdr>
        <w:top w:val="none" w:sz="0" w:space="0" w:color="auto"/>
        <w:left w:val="none" w:sz="0" w:space="0" w:color="auto"/>
        <w:bottom w:val="none" w:sz="0" w:space="0" w:color="auto"/>
        <w:right w:val="none" w:sz="0" w:space="0" w:color="auto"/>
      </w:divBdr>
    </w:div>
    <w:div w:id="649213026">
      <w:bodyDiv w:val="1"/>
      <w:marLeft w:val="0"/>
      <w:marRight w:val="0"/>
      <w:marTop w:val="0"/>
      <w:marBottom w:val="0"/>
      <w:divBdr>
        <w:top w:val="none" w:sz="0" w:space="0" w:color="auto"/>
        <w:left w:val="none" w:sz="0" w:space="0" w:color="auto"/>
        <w:bottom w:val="none" w:sz="0" w:space="0" w:color="auto"/>
        <w:right w:val="none" w:sz="0" w:space="0" w:color="auto"/>
      </w:divBdr>
    </w:div>
    <w:div w:id="880827965">
      <w:bodyDiv w:val="1"/>
      <w:marLeft w:val="0"/>
      <w:marRight w:val="0"/>
      <w:marTop w:val="0"/>
      <w:marBottom w:val="0"/>
      <w:divBdr>
        <w:top w:val="none" w:sz="0" w:space="0" w:color="auto"/>
        <w:left w:val="none" w:sz="0" w:space="0" w:color="auto"/>
        <w:bottom w:val="none" w:sz="0" w:space="0" w:color="auto"/>
        <w:right w:val="none" w:sz="0" w:space="0" w:color="auto"/>
      </w:divBdr>
    </w:div>
    <w:div w:id="1011295899">
      <w:bodyDiv w:val="1"/>
      <w:marLeft w:val="0"/>
      <w:marRight w:val="0"/>
      <w:marTop w:val="0"/>
      <w:marBottom w:val="0"/>
      <w:divBdr>
        <w:top w:val="none" w:sz="0" w:space="0" w:color="auto"/>
        <w:left w:val="none" w:sz="0" w:space="0" w:color="auto"/>
        <w:bottom w:val="none" w:sz="0" w:space="0" w:color="auto"/>
        <w:right w:val="none" w:sz="0" w:space="0" w:color="auto"/>
      </w:divBdr>
    </w:div>
    <w:div w:id="1038429322">
      <w:bodyDiv w:val="1"/>
      <w:marLeft w:val="0"/>
      <w:marRight w:val="0"/>
      <w:marTop w:val="0"/>
      <w:marBottom w:val="0"/>
      <w:divBdr>
        <w:top w:val="none" w:sz="0" w:space="0" w:color="auto"/>
        <w:left w:val="none" w:sz="0" w:space="0" w:color="auto"/>
        <w:bottom w:val="none" w:sz="0" w:space="0" w:color="auto"/>
        <w:right w:val="none" w:sz="0" w:space="0" w:color="auto"/>
      </w:divBdr>
    </w:div>
    <w:div w:id="1719085067">
      <w:bodyDiv w:val="1"/>
      <w:marLeft w:val="0"/>
      <w:marRight w:val="0"/>
      <w:marTop w:val="0"/>
      <w:marBottom w:val="0"/>
      <w:divBdr>
        <w:top w:val="none" w:sz="0" w:space="0" w:color="auto"/>
        <w:left w:val="none" w:sz="0" w:space="0" w:color="auto"/>
        <w:bottom w:val="none" w:sz="0" w:space="0" w:color="auto"/>
        <w:right w:val="none" w:sz="0" w:space="0" w:color="auto"/>
      </w:divBdr>
      <w:divsChild>
        <w:div w:id="1278223015">
          <w:marLeft w:val="0"/>
          <w:marRight w:val="0"/>
          <w:marTop w:val="0"/>
          <w:marBottom w:val="0"/>
          <w:divBdr>
            <w:top w:val="none" w:sz="0" w:space="0" w:color="auto"/>
            <w:left w:val="none" w:sz="0" w:space="0" w:color="auto"/>
            <w:bottom w:val="none" w:sz="0" w:space="0" w:color="auto"/>
            <w:right w:val="none" w:sz="0" w:space="0" w:color="auto"/>
          </w:divBdr>
          <w:divsChild>
            <w:div w:id="1524630340">
              <w:marLeft w:val="0"/>
              <w:marRight w:val="0"/>
              <w:marTop w:val="0"/>
              <w:marBottom w:val="0"/>
              <w:divBdr>
                <w:top w:val="none" w:sz="0" w:space="0" w:color="auto"/>
                <w:left w:val="none" w:sz="0" w:space="0" w:color="auto"/>
                <w:bottom w:val="none" w:sz="0" w:space="0" w:color="auto"/>
                <w:right w:val="none" w:sz="0" w:space="0" w:color="auto"/>
              </w:divBdr>
              <w:divsChild>
                <w:div w:id="704016197">
                  <w:marLeft w:val="0"/>
                  <w:marRight w:val="0"/>
                  <w:marTop w:val="0"/>
                  <w:marBottom w:val="0"/>
                  <w:divBdr>
                    <w:top w:val="none" w:sz="0" w:space="0" w:color="auto"/>
                    <w:left w:val="none" w:sz="0" w:space="0" w:color="auto"/>
                    <w:bottom w:val="none" w:sz="0" w:space="0" w:color="auto"/>
                    <w:right w:val="none" w:sz="0" w:space="0" w:color="auto"/>
                  </w:divBdr>
                  <w:divsChild>
                    <w:div w:id="1894996699">
                      <w:marLeft w:val="0"/>
                      <w:marRight w:val="0"/>
                      <w:marTop w:val="0"/>
                      <w:marBottom w:val="0"/>
                      <w:divBdr>
                        <w:top w:val="none" w:sz="0" w:space="0" w:color="auto"/>
                        <w:left w:val="none" w:sz="0" w:space="0" w:color="auto"/>
                        <w:bottom w:val="none" w:sz="0" w:space="0" w:color="auto"/>
                        <w:right w:val="none" w:sz="0" w:space="0" w:color="auto"/>
                      </w:divBdr>
                      <w:divsChild>
                        <w:div w:id="1278492299">
                          <w:marLeft w:val="0"/>
                          <w:marRight w:val="0"/>
                          <w:marTop w:val="0"/>
                          <w:marBottom w:val="0"/>
                          <w:divBdr>
                            <w:top w:val="none" w:sz="0" w:space="0" w:color="auto"/>
                            <w:left w:val="none" w:sz="0" w:space="0" w:color="auto"/>
                            <w:bottom w:val="none" w:sz="0" w:space="0" w:color="auto"/>
                            <w:right w:val="none" w:sz="0" w:space="0" w:color="auto"/>
                          </w:divBdr>
                          <w:divsChild>
                            <w:div w:id="199710835">
                              <w:marLeft w:val="0"/>
                              <w:marRight w:val="0"/>
                              <w:marTop w:val="0"/>
                              <w:marBottom w:val="0"/>
                              <w:divBdr>
                                <w:top w:val="none" w:sz="0" w:space="0" w:color="auto"/>
                                <w:left w:val="none" w:sz="0" w:space="0" w:color="auto"/>
                                <w:bottom w:val="none" w:sz="0" w:space="0" w:color="auto"/>
                                <w:right w:val="none" w:sz="0" w:space="0" w:color="auto"/>
                              </w:divBdr>
                              <w:divsChild>
                                <w:div w:id="1023170690">
                                  <w:marLeft w:val="0"/>
                                  <w:marRight w:val="0"/>
                                  <w:marTop w:val="0"/>
                                  <w:marBottom w:val="0"/>
                                  <w:divBdr>
                                    <w:top w:val="none" w:sz="0" w:space="0" w:color="auto"/>
                                    <w:left w:val="none" w:sz="0" w:space="0" w:color="auto"/>
                                    <w:bottom w:val="none" w:sz="0" w:space="0" w:color="auto"/>
                                    <w:right w:val="none" w:sz="0" w:space="0" w:color="auto"/>
                                  </w:divBdr>
                                  <w:divsChild>
                                    <w:div w:id="383409800">
                                      <w:marLeft w:val="0"/>
                                      <w:marRight w:val="0"/>
                                      <w:marTop w:val="0"/>
                                      <w:marBottom w:val="0"/>
                                      <w:divBdr>
                                        <w:top w:val="none" w:sz="0" w:space="0" w:color="auto"/>
                                        <w:left w:val="none" w:sz="0" w:space="0" w:color="auto"/>
                                        <w:bottom w:val="none" w:sz="0" w:space="0" w:color="auto"/>
                                        <w:right w:val="none" w:sz="0" w:space="0" w:color="auto"/>
                                      </w:divBdr>
                                      <w:divsChild>
                                        <w:div w:id="18718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516617">
      <w:bodyDiv w:val="1"/>
      <w:marLeft w:val="0"/>
      <w:marRight w:val="0"/>
      <w:marTop w:val="0"/>
      <w:marBottom w:val="0"/>
      <w:divBdr>
        <w:top w:val="none" w:sz="0" w:space="0" w:color="auto"/>
        <w:left w:val="none" w:sz="0" w:space="0" w:color="auto"/>
        <w:bottom w:val="none" w:sz="0" w:space="0" w:color="auto"/>
        <w:right w:val="none" w:sz="0" w:space="0" w:color="auto"/>
      </w:divBdr>
    </w:div>
    <w:div w:id="21191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chart" Target="charts/chart1.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3204242326852"/>
          <c:y val="3.4298422514466582E-2"/>
          <c:w val="0.85440027468744473"/>
          <c:h val="0.76926277238600993"/>
        </c:manualLayout>
      </c:layout>
      <c:lineChart>
        <c:grouping val="standard"/>
        <c:varyColors val="0"/>
        <c:ser>
          <c:idx val="0"/>
          <c:order val="0"/>
          <c:tx>
            <c:strRef>
              <c:f>Hoja1!$B$1</c:f>
              <c:strCache>
                <c:ptCount val="1"/>
                <c:pt idx="0">
                  <c:v>2015-2014</c:v>
                </c:pt>
              </c:strCache>
            </c:strRef>
          </c:tx>
          <c:spPr>
            <a:ln>
              <a:solidFill>
                <a:srgbClr val="0070C0"/>
              </a:solidFill>
            </a:ln>
          </c:spPr>
          <c:marker>
            <c:symbol val="circle"/>
            <c:size val="5"/>
            <c:spPr>
              <a:solidFill>
                <a:srgbClr val="0070C0"/>
              </a:solidFill>
            </c:spPr>
          </c:marker>
          <c:dLbls>
            <c:dLbl>
              <c:idx val="3"/>
              <c:layout>
                <c:manualLayout>
                  <c:x val="-9.0842243502991353E-3"/>
                  <c:y val="-4.5197150565659235E-3"/>
                </c:manualLayout>
              </c:layout>
              <c:spPr/>
              <c:txPr>
                <a:bodyPr/>
                <a:lstStyle/>
                <a:p>
                  <a:pPr>
                    <a:defRPr sz="800" b="1">
                      <a:solidFill>
                        <a:srgbClr val="0070C0"/>
                      </a:solidFill>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FB-4962-ACED-BD470BE256CB}"/>
                </c:ext>
              </c:extLst>
            </c:dLbl>
            <c:spPr>
              <a:noFill/>
              <a:ln>
                <a:noFill/>
              </a:ln>
              <a:effectLst/>
            </c:spPr>
            <c:txPr>
              <a:bodyPr/>
              <a:lstStyle/>
              <a:p>
                <a:pPr>
                  <a:defRPr sz="800"/>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Hoja1!$A$2:$A$5</c:f>
              <c:strCache>
                <c:ptCount val="4"/>
                <c:pt idx="0">
                  <c:v>Ene</c:v>
                </c:pt>
                <c:pt idx="1">
                  <c:v>Feb</c:v>
                </c:pt>
                <c:pt idx="2">
                  <c:v>Mar</c:v>
                </c:pt>
                <c:pt idx="3">
                  <c:v>Abr</c:v>
                </c:pt>
              </c:strCache>
            </c:strRef>
          </c:cat>
          <c:val>
            <c:numRef>
              <c:f>Hoja1!$B$2:$B$5</c:f>
              <c:numCache>
                <c:formatCode>#,##0.0</c:formatCode>
                <c:ptCount val="4"/>
                <c:pt idx="0" formatCode="General">
                  <c:v>96.948942229999375</c:v>
                </c:pt>
                <c:pt idx="1">
                  <c:v>297.42003094999836</c:v>
                </c:pt>
                <c:pt idx="2">
                  <c:v>404.74016878000111</c:v>
                </c:pt>
                <c:pt idx="3">
                  <c:v>449.9</c:v>
                </c:pt>
              </c:numCache>
            </c:numRef>
          </c:val>
          <c:smooth val="0"/>
          <c:extLst>
            <c:ext xmlns:c16="http://schemas.microsoft.com/office/drawing/2014/chart" uri="{C3380CC4-5D6E-409C-BE32-E72D297353CC}">
              <c16:uniqueId val="{00000001-A2FB-4962-ACED-BD470BE256CB}"/>
            </c:ext>
          </c:extLst>
        </c:ser>
        <c:ser>
          <c:idx val="1"/>
          <c:order val="1"/>
          <c:tx>
            <c:strRef>
              <c:f>Hoja1!$C$1</c:f>
              <c:strCache>
                <c:ptCount val="1"/>
                <c:pt idx="0">
                  <c:v>2015-Meta</c:v>
                </c:pt>
              </c:strCache>
            </c:strRef>
          </c:tx>
          <c:marker>
            <c:symbol val="circle"/>
            <c:size val="5"/>
          </c:marker>
          <c:dLbls>
            <c:dLbl>
              <c:idx val="3"/>
              <c:layout>
                <c:manualLayout>
                  <c:x val="0"/>
                  <c:y val="6.1815112495507835E-3"/>
                </c:manualLayout>
              </c:layout>
              <c:spPr/>
              <c:txPr>
                <a:bodyPr/>
                <a:lstStyle/>
                <a:p>
                  <a:pPr>
                    <a:defRPr sz="800" b="1">
                      <a:solidFill>
                        <a:srgbClr val="C00000"/>
                      </a:solidFill>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FB-4962-ACED-BD470BE256CB}"/>
                </c:ext>
              </c:extLst>
            </c:dLbl>
            <c:spPr>
              <a:noFill/>
              <a:ln>
                <a:noFill/>
              </a:ln>
              <a:effectLst/>
            </c:spPr>
            <c:txPr>
              <a:bodyPr/>
              <a:lstStyle/>
              <a:p>
                <a:pPr>
                  <a:defRPr sz="800"/>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Hoja1!$A$2:$A$5</c:f>
              <c:strCache>
                <c:ptCount val="4"/>
                <c:pt idx="0">
                  <c:v>Ene</c:v>
                </c:pt>
                <c:pt idx="1">
                  <c:v>Feb</c:v>
                </c:pt>
                <c:pt idx="2">
                  <c:v>Mar</c:v>
                </c:pt>
                <c:pt idx="3">
                  <c:v>Abr</c:v>
                </c:pt>
              </c:strCache>
            </c:strRef>
          </c:cat>
          <c:val>
            <c:numRef>
              <c:f>Hoja1!$C$2:$C$5</c:f>
              <c:numCache>
                <c:formatCode>#,##0.0</c:formatCode>
                <c:ptCount val="4"/>
                <c:pt idx="0" formatCode="General">
                  <c:v>-15.281346164754723</c:v>
                </c:pt>
                <c:pt idx="1">
                  <c:v>-111.68129228988073</c:v>
                </c:pt>
                <c:pt idx="2">
                  <c:v>-588.76221399393398</c:v>
                </c:pt>
                <c:pt idx="3">
                  <c:v>-1247.7</c:v>
                </c:pt>
              </c:numCache>
            </c:numRef>
          </c:val>
          <c:smooth val="0"/>
          <c:extLst>
            <c:ext xmlns:c16="http://schemas.microsoft.com/office/drawing/2014/chart" uri="{C3380CC4-5D6E-409C-BE32-E72D297353CC}">
              <c16:uniqueId val="{00000003-A2FB-4962-ACED-BD470BE256CB}"/>
            </c:ext>
          </c:extLst>
        </c:ser>
        <c:dLbls>
          <c:showLegendKey val="0"/>
          <c:showVal val="0"/>
          <c:showCatName val="0"/>
          <c:showSerName val="0"/>
          <c:showPercent val="0"/>
          <c:showBubbleSize val="0"/>
        </c:dLbls>
        <c:marker val="1"/>
        <c:smooth val="0"/>
        <c:axId val="99960320"/>
        <c:axId val="99961856"/>
      </c:lineChart>
      <c:catAx>
        <c:axId val="99960320"/>
        <c:scaling>
          <c:orientation val="minMax"/>
        </c:scaling>
        <c:delete val="0"/>
        <c:axPos val="b"/>
        <c:numFmt formatCode="General" sourceLinked="0"/>
        <c:majorTickMark val="out"/>
        <c:minorTickMark val="none"/>
        <c:tickLblPos val="low"/>
        <c:txPr>
          <a:bodyPr/>
          <a:lstStyle/>
          <a:p>
            <a:pPr>
              <a:defRPr sz="800" b="1"/>
            </a:pPr>
            <a:endParaRPr lang="es-GT"/>
          </a:p>
        </c:txPr>
        <c:crossAx val="99961856"/>
        <c:crosses val="autoZero"/>
        <c:auto val="1"/>
        <c:lblAlgn val="ctr"/>
        <c:lblOffset val="100"/>
        <c:noMultiLvlLbl val="0"/>
      </c:catAx>
      <c:valAx>
        <c:axId val="99961856"/>
        <c:scaling>
          <c:orientation val="minMax"/>
        </c:scaling>
        <c:delete val="0"/>
        <c:axPos val="l"/>
        <c:numFmt formatCode="General" sourceLinked="1"/>
        <c:majorTickMark val="out"/>
        <c:minorTickMark val="none"/>
        <c:tickLblPos val="nextTo"/>
        <c:txPr>
          <a:bodyPr/>
          <a:lstStyle/>
          <a:p>
            <a:pPr>
              <a:defRPr sz="800"/>
            </a:pPr>
            <a:endParaRPr lang="es-GT"/>
          </a:p>
        </c:txPr>
        <c:crossAx val="99960320"/>
        <c:crosses val="autoZero"/>
        <c:crossBetween val="between"/>
      </c:valAx>
    </c:plotArea>
    <c:legend>
      <c:legendPos val="b"/>
      <c:layout>
        <c:manualLayout>
          <c:xMode val="edge"/>
          <c:yMode val="edge"/>
          <c:x val="0.15786414864366094"/>
          <c:y val="0.90153944445392764"/>
          <c:w val="0.64813648293963244"/>
          <c:h val="9.1604712201672461E-2"/>
        </c:manualLayout>
      </c:layout>
      <c:overlay val="0"/>
      <c:txPr>
        <a:bodyPr/>
        <a:lstStyle/>
        <a:p>
          <a:pPr>
            <a:defRPr sz="800" b="1"/>
          </a:pPr>
          <a:endParaRPr lang="es-GT"/>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02979357310067"/>
          <c:y val="6.9841269841269843E-2"/>
          <c:w val="0.80042065687734976"/>
          <c:h val="0.73503212098487691"/>
        </c:manualLayout>
      </c:layout>
      <c:barChart>
        <c:barDir val="col"/>
        <c:grouping val="stacked"/>
        <c:varyColors val="0"/>
        <c:ser>
          <c:idx val="0"/>
          <c:order val="0"/>
          <c:tx>
            <c:strRef>
              <c:f>Hoja1!$B$1</c:f>
              <c:strCache>
                <c:ptCount val="1"/>
                <c:pt idx="0">
                  <c:v>Obs</c:v>
                </c:pt>
              </c:strCache>
            </c:strRef>
          </c:tx>
          <c:spPr>
            <a:solidFill>
              <a:schemeClr val="accent6">
                <a:lumMod val="60000"/>
                <a:lumOff val="40000"/>
              </a:schemeClr>
            </a:solidFill>
            <a:effectLst>
              <a:outerShdw blurRad="50800" dist="50800" dir="5400000" algn="ctr" rotWithShape="0">
                <a:schemeClr val="tx1"/>
              </a:outerShdw>
            </a:effectLst>
          </c:spPr>
          <c:invertIfNegative val="0"/>
          <c:dPt>
            <c:idx val="1"/>
            <c:invertIfNegative val="0"/>
            <c:bubble3D val="0"/>
            <c:spPr>
              <a:solidFill>
                <a:schemeClr val="accent6">
                  <a:lumMod val="75000"/>
                </a:schemeClr>
              </a:solidFill>
              <a:effectLst>
                <a:outerShdw blurRad="50800" dist="50800" dir="5400000" algn="ctr" rotWithShape="0">
                  <a:schemeClr val="tx1"/>
                </a:outerShdw>
              </a:effectLst>
            </c:spPr>
            <c:extLst>
              <c:ext xmlns:c16="http://schemas.microsoft.com/office/drawing/2014/chart" uri="{C3380CC4-5D6E-409C-BE32-E72D297353CC}">
                <c16:uniqueId val="{00000001-301B-49D8-BBAA-E464D6E066A2}"/>
              </c:ext>
            </c:extLst>
          </c:dPt>
          <c:dPt>
            <c:idx val="2"/>
            <c:invertIfNegative val="0"/>
            <c:bubble3D val="0"/>
            <c:spPr>
              <a:solidFill>
                <a:srgbClr val="0070C0"/>
              </a:solidFill>
              <a:effectLst>
                <a:outerShdw blurRad="50800" dist="50800" dir="5400000" algn="ctr" rotWithShape="0">
                  <a:schemeClr val="tx1"/>
                </a:outerShdw>
              </a:effectLst>
            </c:spPr>
            <c:extLst>
              <c:ext xmlns:c16="http://schemas.microsoft.com/office/drawing/2014/chart" uri="{C3380CC4-5D6E-409C-BE32-E72D297353CC}">
                <c16:uniqueId val="{00000003-301B-49D8-BBAA-E464D6E066A2}"/>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1B-49D8-BBAA-E464D6E066A2}"/>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1B-49D8-BBAA-E464D6E066A2}"/>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1B-49D8-BBAA-E464D6E066A2}"/>
                </c:ext>
              </c:extLst>
            </c:dLbl>
            <c:numFmt formatCode="#,##0.0" sourceLinked="0"/>
            <c:spPr>
              <a:noFill/>
              <a:ln>
                <a:noFill/>
              </a:ln>
              <a:effectLst/>
            </c:spPr>
            <c:txPr>
              <a:bodyPr/>
              <a:lstStyle/>
              <a:p>
                <a:pPr>
                  <a:defRPr b="1">
                    <a:solidFill>
                      <a:schemeClr val="tx1"/>
                    </a:solidFill>
                  </a:defRPr>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Hoja1!$A$2:$A$4</c:f>
              <c:strCache>
                <c:ptCount val="3"/>
                <c:pt idx="0">
                  <c:v>2014</c:v>
                </c:pt>
                <c:pt idx="1">
                  <c:v>2015</c:v>
                </c:pt>
                <c:pt idx="2">
                  <c:v>Meta SAT</c:v>
                </c:pt>
              </c:strCache>
            </c:strRef>
          </c:cat>
          <c:val>
            <c:numRef>
              <c:f>Hoja1!$B$2:$B$4</c:f>
              <c:numCache>
                <c:formatCode>General</c:formatCode>
                <c:ptCount val="3"/>
                <c:pt idx="0">
                  <c:v>16993.967198859998</c:v>
                </c:pt>
                <c:pt idx="1">
                  <c:v>17443.900000000001</c:v>
                </c:pt>
                <c:pt idx="2">
                  <c:v>17841.509539637744</c:v>
                </c:pt>
              </c:numCache>
            </c:numRef>
          </c:val>
          <c:extLst>
            <c:ext xmlns:c16="http://schemas.microsoft.com/office/drawing/2014/chart" uri="{C3380CC4-5D6E-409C-BE32-E72D297353CC}">
              <c16:uniqueId val="{00000005-301B-49D8-BBAA-E464D6E066A2}"/>
            </c:ext>
          </c:extLst>
        </c:ser>
        <c:ser>
          <c:idx val="1"/>
          <c:order val="1"/>
          <c:tx>
            <c:strRef>
              <c:f>Hoja1!$C$1</c:f>
              <c:strCache>
                <c:ptCount val="1"/>
                <c:pt idx="0">
                  <c:v>Impuesto a Telefonía</c:v>
                </c:pt>
              </c:strCache>
            </c:strRef>
          </c:tx>
          <c:spPr>
            <a:effectLst>
              <a:outerShdw blurRad="50800" dist="50800" dir="5400000" algn="ctr" rotWithShape="0">
                <a:schemeClr val="tx1"/>
              </a:outerShdw>
            </a:effectLst>
          </c:spPr>
          <c:invertIfNegative val="0"/>
          <c:dLbls>
            <c:spPr>
              <a:noFill/>
              <a:ln>
                <a:noFill/>
              </a:ln>
              <a:effectLst/>
            </c:spPr>
            <c:txPr>
              <a:bodyPr/>
              <a:lstStyle/>
              <a:p>
                <a:pPr>
                  <a:defRPr b="1"/>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2014</c:v>
                </c:pt>
                <c:pt idx="1">
                  <c:v>2015</c:v>
                </c:pt>
                <c:pt idx="2">
                  <c:v>Meta SAT</c:v>
                </c:pt>
              </c:strCache>
            </c:strRef>
          </c:cat>
          <c:val>
            <c:numRef>
              <c:f>Hoja1!$C$2:$C$4</c:f>
              <c:numCache>
                <c:formatCode>General</c:formatCode>
                <c:ptCount val="3"/>
                <c:pt idx="2">
                  <c:v>356.9</c:v>
                </c:pt>
              </c:numCache>
            </c:numRef>
          </c:val>
          <c:extLst>
            <c:ext xmlns:c16="http://schemas.microsoft.com/office/drawing/2014/chart" uri="{C3380CC4-5D6E-409C-BE32-E72D297353CC}">
              <c16:uniqueId val="{00000006-301B-49D8-BBAA-E464D6E066A2}"/>
            </c:ext>
          </c:extLst>
        </c:ser>
        <c:ser>
          <c:idx val="2"/>
          <c:order val="2"/>
          <c:tx>
            <c:strRef>
              <c:f>Hoja1!$D$1</c:f>
              <c:strCache>
                <c:ptCount val="1"/>
                <c:pt idx="0">
                  <c:v>Medidas Administrativas</c:v>
                </c:pt>
              </c:strCache>
            </c:strRef>
          </c:tx>
          <c:spPr>
            <a:effectLst>
              <a:outerShdw blurRad="50800" dist="50800" dir="5400000" algn="ctr" rotWithShape="0">
                <a:schemeClr val="tx1"/>
              </a:outerShdw>
            </a:effectLst>
          </c:spPr>
          <c:invertIfNegative val="0"/>
          <c:dLbls>
            <c:spPr>
              <a:noFill/>
              <a:ln>
                <a:noFill/>
              </a:ln>
              <a:effectLst/>
            </c:spPr>
            <c:txPr>
              <a:bodyPr/>
              <a:lstStyle/>
              <a:p>
                <a:pPr>
                  <a:defRPr b="1"/>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2014</c:v>
                </c:pt>
                <c:pt idx="1">
                  <c:v>2015</c:v>
                </c:pt>
                <c:pt idx="2">
                  <c:v>Meta SAT</c:v>
                </c:pt>
              </c:strCache>
            </c:strRef>
          </c:cat>
          <c:val>
            <c:numRef>
              <c:f>Hoja1!$D$2:$D$4</c:f>
              <c:numCache>
                <c:formatCode>General</c:formatCode>
                <c:ptCount val="3"/>
                <c:pt idx="2">
                  <c:v>493.2</c:v>
                </c:pt>
              </c:numCache>
            </c:numRef>
          </c:val>
          <c:extLst>
            <c:ext xmlns:c16="http://schemas.microsoft.com/office/drawing/2014/chart" uri="{C3380CC4-5D6E-409C-BE32-E72D297353CC}">
              <c16:uniqueId val="{00000007-301B-49D8-BBAA-E464D6E066A2}"/>
            </c:ext>
          </c:extLst>
        </c:ser>
        <c:dLbls>
          <c:showLegendKey val="0"/>
          <c:showVal val="0"/>
          <c:showCatName val="0"/>
          <c:showSerName val="0"/>
          <c:showPercent val="0"/>
          <c:showBubbleSize val="0"/>
        </c:dLbls>
        <c:gapWidth val="38"/>
        <c:overlap val="100"/>
        <c:axId val="100104448"/>
        <c:axId val="100192256"/>
      </c:barChart>
      <c:catAx>
        <c:axId val="100104448"/>
        <c:scaling>
          <c:orientation val="minMax"/>
        </c:scaling>
        <c:delete val="0"/>
        <c:axPos val="b"/>
        <c:numFmt formatCode="General" sourceLinked="0"/>
        <c:majorTickMark val="out"/>
        <c:minorTickMark val="none"/>
        <c:tickLblPos val="nextTo"/>
        <c:txPr>
          <a:bodyPr/>
          <a:lstStyle/>
          <a:p>
            <a:pPr>
              <a:defRPr b="1"/>
            </a:pPr>
            <a:endParaRPr lang="es-GT"/>
          </a:p>
        </c:txPr>
        <c:crossAx val="100192256"/>
        <c:crosses val="autoZero"/>
        <c:auto val="1"/>
        <c:lblAlgn val="ctr"/>
        <c:lblOffset val="100"/>
        <c:noMultiLvlLbl val="0"/>
      </c:catAx>
      <c:valAx>
        <c:axId val="100192256"/>
        <c:scaling>
          <c:orientation val="minMax"/>
        </c:scaling>
        <c:delete val="0"/>
        <c:axPos val="l"/>
        <c:numFmt formatCode="General" sourceLinked="1"/>
        <c:majorTickMark val="out"/>
        <c:minorTickMark val="none"/>
        <c:tickLblPos val="nextTo"/>
        <c:crossAx val="100104448"/>
        <c:crosses val="autoZero"/>
        <c:crossBetween val="between"/>
      </c:valAx>
    </c:plotArea>
    <c:legend>
      <c:legendPos val="b"/>
      <c:legendEntry>
        <c:idx val="0"/>
        <c:delete val="1"/>
      </c:legendEntry>
      <c:layout>
        <c:manualLayout>
          <c:xMode val="edge"/>
          <c:yMode val="edge"/>
          <c:x val="4.5055253702143319E-4"/>
          <c:y val="0.9062142232220971"/>
          <c:w val="0.99954949837762619"/>
          <c:h val="9.3785776777902757E-2"/>
        </c:manualLayout>
      </c:layout>
      <c:overlay val="0"/>
      <c:txPr>
        <a:bodyPr/>
        <a:lstStyle/>
        <a:p>
          <a:pPr>
            <a:defRPr b="1"/>
          </a:pPr>
          <a:endParaRPr lang="es-GT"/>
        </a:p>
      </c:txPr>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0.53765</cdr:x>
      <cdr:y>0.15081</cdr:y>
    </cdr:from>
    <cdr:to>
      <cdr:x>0.7074</cdr:x>
      <cdr:y>0.43865</cdr:y>
    </cdr:to>
    <cdr:cxnSp macro="">
      <cdr:nvCxnSpPr>
        <cdr:cNvPr id="3" name="2 Conector recto de flecha"/>
        <cdr:cNvCxnSpPr/>
      </cdr:nvCxnSpPr>
      <cdr:spPr>
        <a:xfrm xmlns:a="http://schemas.openxmlformats.org/drawingml/2006/main" flipH="1">
          <a:off x="1514475" y="301275"/>
          <a:ext cx="478173" cy="575025"/>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0.46347</cdr:x>
      <cdr:y>0.13494</cdr:y>
    </cdr:from>
    <cdr:to>
      <cdr:x>0.69239</cdr:x>
      <cdr:y>0.30956</cdr:y>
    </cdr:to>
    <cdr:sp macro="" textlink="">
      <cdr:nvSpPr>
        <cdr:cNvPr id="8" name="7 Cuadro de texto"/>
        <cdr:cNvSpPr txBox="1"/>
      </cdr:nvSpPr>
      <cdr:spPr>
        <a:xfrm xmlns:a="http://schemas.openxmlformats.org/drawingml/2006/main">
          <a:off x="1305530" y="269563"/>
          <a:ext cx="644837" cy="3488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GT" sz="700" b="1">
              <a:latin typeface="Times New Roman" panose="02020603050405020304" pitchFamily="18" charset="0"/>
              <a:cs typeface="Times New Roman" panose="02020603050405020304" pitchFamily="18" charset="0"/>
            </a:rPr>
            <a:t>Q 1,247.7 millones</a:t>
          </a:r>
        </a:p>
      </cdr:txBody>
    </cdr:sp>
  </cdr:relSizeAnchor>
  <cdr:relSizeAnchor xmlns:cdr="http://schemas.openxmlformats.org/drawingml/2006/chartDrawing">
    <cdr:from>
      <cdr:x>0.67538</cdr:x>
      <cdr:y>0.03969</cdr:y>
    </cdr:from>
    <cdr:to>
      <cdr:x>1</cdr:x>
      <cdr:y>0.1561</cdr:y>
    </cdr:to>
    <cdr:sp macro="" textlink="">
      <cdr:nvSpPr>
        <cdr:cNvPr id="9" name="8 Cuadro de texto"/>
        <cdr:cNvSpPr txBox="1"/>
      </cdr:nvSpPr>
      <cdr:spPr>
        <a:xfrm xmlns:a="http://schemas.openxmlformats.org/drawingml/2006/main">
          <a:off x="1902460" y="79284"/>
          <a:ext cx="914400" cy="2325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GT" sz="1100"/>
        </a:p>
      </cdr:txBody>
    </cdr:sp>
  </cdr:relSizeAnchor>
  <cdr:relSizeAnchor xmlns:cdr="http://schemas.openxmlformats.org/drawingml/2006/chartDrawing">
    <cdr:from>
      <cdr:x>0.69314</cdr:x>
      <cdr:y>0.02381</cdr:y>
    </cdr:from>
    <cdr:to>
      <cdr:x>0.96679</cdr:x>
      <cdr:y>0.11905</cdr:y>
    </cdr:to>
    <cdr:sp macro="" textlink="">
      <cdr:nvSpPr>
        <cdr:cNvPr id="10" name="9 Cuadro de texto"/>
        <cdr:cNvSpPr txBox="1"/>
      </cdr:nvSpPr>
      <cdr:spPr>
        <a:xfrm xmlns:a="http://schemas.openxmlformats.org/drawingml/2006/main">
          <a:off x="1789183" y="47625"/>
          <a:ext cx="706367"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GT" sz="700" b="1">
              <a:latin typeface="Times New Roman" panose="02020603050405020304" pitchFamily="18" charset="0"/>
              <a:cs typeface="Times New Roman" panose="02020603050405020304" pitchFamily="18" charset="0"/>
            </a:rPr>
            <a:t>Q 18,691.6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DCF45-3B9F-4B1A-A45E-DB797600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12511</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Rodas Anleu</dc:creator>
  <cp:lastModifiedBy>Saul Enrique De León Meneses</cp:lastModifiedBy>
  <cp:revision>2</cp:revision>
  <cp:lastPrinted>2015-05-28T22:20:00Z</cp:lastPrinted>
  <dcterms:created xsi:type="dcterms:W3CDTF">2018-05-14T20:36:00Z</dcterms:created>
  <dcterms:modified xsi:type="dcterms:W3CDTF">2018-05-14T20:36:00Z</dcterms:modified>
</cp:coreProperties>
</file>