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5.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0B0FDA" w:rsidRDefault="000B0FDA"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0B0FDA" w:rsidSect="00754057">
          <w:headerReference w:type="default" r:id="rId9"/>
          <w:footerReference w:type="default" r:id="rId10"/>
          <w:pgSz w:w="12240" w:h="15840" w:code="1"/>
          <w:pgMar w:top="1418" w:right="1418" w:bottom="1418" w:left="1418" w:header="709" w:footer="709" w:gutter="0"/>
          <w:cols w:space="708"/>
          <w:docGrid w:linePitch="360"/>
        </w:sectPr>
      </w:pPr>
      <w:r w:rsidRPr="000B0FDA">
        <w:rPr>
          <w:rFonts w:ascii="Times New Roman" w:hAnsi="Times New Roman" w:cs="Times New Roman"/>
          <w:b/>
          <w:lang w:val="es-MX"/>
        </w:rPr>
        <w:t>Mayo con reducción e</w:t>
      </w:r>
      <w:r w:rsidR="00C646C4" w:rsidRPr="000B0FDA">
        <w:rPr>
          <w:rFonts w:ascii="Times New Roman" w:hAnsi="Times New Roman" w:cs="Times New Roman"/>
          <w:b/>
          <w:lang w:val="es-MX"/>
        </w:rPr>
        <w:t>n superávit</w:t>
      </w:r>
      <w:r w:rsidR="00157402" w:rsidRPr="000B0FDA">
        <w:rPr>
          <w:rFonts w:ascii="Times New Roman" w:hAnsi="Times New Roman" w:cs="Times New Roman"/>
          <w:b/>
          <w:lang w:val="es-MX"/>
        </w:rPr>
        <w:t xml:space="preserve"> fiscal </w:t>
      </w:r>
    </w:p>
    <w:p w:rsidR="007D4651" w:rsidRPr="000B0FDA" w:rsidRDefault="007D4651" w:rsidP="007D4651">
      <w:pPr>
        <w:pStyle w:val="Sinespaciado"/>
        <w:rPr>
          <w:rFonts w:ascii="Times New Roman" w:hAnsi="Times New Roman" w:cs="Times New Roman"/>
          <w:b/>
          <w:color w:val="FF0000"/>
          <w:sz w:val="6"/>
          <w:lang w:val="es-MX"/>
        </w:rPr>
      </w:pPr>
    </w:p>
    <w:p w:rsidR="007D4651" w:rsidRPr="000B0FDA" w:rsidRDefault="007D4651" w:rsidP="007D4651">
      <w:pPr>
        <w:pStyle w:val="Sinespaciado"/>
        <w:jc w:val="center"/>
        <w:rPr>
          <w:rFonts w:ascii="Times New Roman" w:hAnsi="Times New Roman" w:cs="Times New Roman"/>
          <w:b/>
          <w:color w:val="FF0000"/>
          <w:lang w:val="es-MX"/>
        </w:rPr>
      </w:pPr>
    </w:p>
    <w:p w:rsidR="009C4027" w:rsidRPr="000B0FDA" w:rsidRDefault="009C4027" w:rsidP="007D4651">
      <w:pPr>
        <w:pStyle w:val="Sinespaciado"/>
        <w:jc w:val="center"/>
        <w:rPr>
          <w:rFonts w:ascii="Times New Roman" w:hAnsi="Times New Roman" w:cs="Times New Roman"/>
          <w:b/>
          <w:color w:val="FF0000"/>
          <w:lang w:val="es-MX"/>
        </w:rPr>
        <w:sectPr w:rsidR="009C4027" w:rsidRPr="000B0FDA" w:rsidSect="004E358C">
          <w:type w:val="continuous"/>
          <w:pgSz w:w="12240" w:h="15840"/>
          <w:pgMar w:top="1417" w:right="1701" w:bottom="1417" w:left="1701" w:header="708" w:footer="708" w:gutter="0"/>
          <w:cols w:space="708"/>
          <w:docGrid w:linePitch="360"/>
        </w:sectPr>
      </w:pPr>
    </w:p>
    <w:p w:rsidR="000B0FDA" w:rsidRP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sigue mostrando un superávit fiscal, el cual  se sitúa al 31 de mayo de 2017 en</w:t>
      </w:r>
      <w:r w:rsidRPr="00F92177">
        <w:rPr>
          <w:rFonts w:ascii="Times New Roman" w:hAnsi="Times New Roman" w:cs="Times New Roman"/>
          <w:lang w:val="es-MX"/>
        </w:rPr>
        <w:t xml:space="preserve"> Q</w:t>
      </w:r>
      <w:r>
        <w:rPr>
          <w:rFonts w:ascii="Times New Roman" w:hAnsi="Times New Roman" w:cs="Times New Roman"/>
          <w:lang w:val="es-MX"/>
        </w:rPr>
        <w:t xml:space="preserve"> </w:t>
      </w:r>
      <w:r>
        <w:rPr>
          <w:rFonts w:ascii="Times New Roman" w:hAnsi="Times New Roman" w:cs="Times New Roman"/>
          <w:lang w:val="es-MX"/>
        </w:rPr>
        <w:t xml:space="preserve">408.9 </w:t>
      </w:r>
      <w:r w:rsidRPr="00F92177">
        <w:rPr>
          <w:rFonts w:ascii="Times New Roman" w:hAnsi="Times New Roman" w:cs="Times New Roman"/>
          <w:lang w:val="es-MX"/>
        </w:rPr>
        <w:t>millones</w:t>
      </w:r>
      <w:r>
        <w:rPr>
          <w:rFonts w:ascii="Times New Roman" w:hAnsi="Times New Roman" w:cs="Times New Roman"/>
          <w:lang w:val="es-MX"/>
        </w:rPr>
        <w:t>, dicho nivel es menor al mostrado en igual fecha del año anterior, en donde el superávit fue de Q</w:t>
      </w:r>
      <w:r>
        <w:rPr>
          <w:rFonts w:ascii="Times New Roman" w:hAnsi="Times New Roman" w:cs="Times New Roman"/>
          <w:lang w:val="es-MX"/>
        </w:rPr>
        <w:t xml:space="preserve"> </w:t>
      </w:r>
      <w:r>
        <w:rPr>
          <w:rFonts w:ascii="Times New Roman" w:hAnsi="Times New Roman" w:cs="Times New Roman"/>
          <w:lang w:val="es-MX"/>
        </w:rPr>
        <w:t xml:space="preserve">1,466.3 millones.   Esta reducción en el superávit interanual se debe  al mayor dinamismo observado en la ejecución de público en este año y aunque los ingresos muestran </w:t>
      </w:r>
      <w:r w:rsidRPr="000B0FDA">
        <w:rPr>
          <w:rFonts w:ascii="Times New Roman" w:hAnsi="Times New Roman" w:cs="Times New Roman"/>
          <w:lang w:val="es-MX"/>
        </w:rPr>
        <w:t xml:space="preserve">un comportamiento </w:t>
      </w:r>
      <w:r w:rsidRPr="000B0FDA">
        <w:rPr>
          <w:rFonts w:ascii="Times New Roman" w:hAnsi="Times New Roman" w:cs="Times New Roman"/>
          <w:lang w:val="es-MX"/>
        </w:rPr>
        <w:lastRenderedPageBreak/>
        <w:t>aceptable, la recaudación tributaria acumulada ha estado por debajo de la meta de presupuesto.   Dado el comportamiento estacional de los ingresos y gastos es normal que el resultado fiscal a esta fecha sea  superavitario, principalmente porque el gasto suele repuntar en el segundo semestre, especialmente los últimos 3 meses del año.</w:t>
      </w:r>
    </w:p>
    <w:p w:rsidR="007D4651" w:rsidRPr="000B0FDA" w:rsidRDefault="007D4651" w:rsidP="000813C5">
      <w:pPr>
        <w:pStyle w:val="Sinespaciado"/>
        <w:jc w:val="both"/>
        <w:rPr>
          <w:rFonts w:ascii="Times New Roman" w:hAnsi="Times New Roman" w:cs="Times New Roman"/>
          <w:lang w:val="es-MX"/>
        </w:rPr>
      </w:pPr>
    </w:p>
    <w:p w:rsidR="007D4651" w:rsidRPr="000B0FDA" w:rsidRDefault="007D4651" w:rsidP="007D4651">
      <w:pPr>
        <w:pStyle w:val="Sinespaciado"/>
        <w:jc w:val="both"/>
        <w:rPr>
          <w:rFonts w:ascii="Times New Roman" w:hAnsi="Times New Roman" w:cs="Times New Roman"/>
          <w:lang w:val="es-MX"/>
        </w:rPr>
      </w:pPr>
    </w:p>
    <w:p w:rsidR="007D4651" w:rsidRPr="000B0FDA" w:rsidRDefault="007D4651" w:rsidP="007D4651">
      <w:pPr>
        <w:pStyle w:val="Sinespaciado"/>
        <w:jc w:val="center"/>
        <w:rPr>
          <w:rFonts w:ascii="Times New Roman" w:hAnsi="Times New Roman" w:cs="Times New Roman"/>
          <w:b/>
          <w:lang w:val="es-MX"/>
        </w:rPr>
        <w:sectPr w:rsidR="007D4651" w:rsidRPr="000B0FDA" w:rsidSect="004E358C">
          <w:type w:val="continuous"/>
          <w:pgSz w:w="12240" w:h="15840"/>
          <w:pgMar w:top="1417" w:right="1701" w:bottom="1417" w:left="1701" w:header="708" w:footer="708" w:gutter="0"/>
          <w:cols w:num="2" w:space="708"/>
          <w:docGrid w:linePitch="360"/>
        </w:sectPr>
      </w:pPr>
    </w:p>
    <w:p w:rsidR="007D4651" w:rsidRPr="000B0FDA" w:rsidRDefault="007D4651" w:rsidP="00B9286A">
      <w:pPr>
        <w:pStyle w:val="Sinespaciado"/>
        <w:rPr>
          <w:rFonts w:ascii="Times New Roman" w:hAnsi="Times New Roman" w:cs="Times New Roman"/>
          <w:b/>
          <w:lang w:val="es-MX"/>
        </w:rPr>
      </w:pPr>
    </w:p>
    <w:p w:rsidR="009C4027" w:rsidRPr="000B0FDA" w:rsidRDefault="009C4027" w:rsidP="007D4651">
      <w:pPr>
        <w:pStyle w:val="Sinespaciado"/>
        <w:jc w:val="center"/>
        <w:rPr>
          <w:rFonts w:ascii="Times New Roman" w:hAnsi="Times New Roman" w:cs="Times New Roman"/>
          <w:b/>
          <w:lang w:val="es-MX"/>
        </w:rPr>
      </w:pPr>
    </w:p>
    <w:p w:rsidR="009C4027" w:rsidRPr="000B0FDA" w:rsidRDefault="009C4027" w:rsidP="007D4651">
      <w:pPr>
        <w:pStyle w:val="Sinespaciado"/>
        <w:jc w:val="center"/>
        <w:rPr>
          <w:rFonts w:ascii="Times New Roman" w:hAnsi="Times New Roman" w:cs="Times New Roman"/>
          <w:b/>
          <w:lang w:val="es-MX"/>
        </w:rPr>
        <w:sectPr w:rsidR="009C4027" w:rsidRPr="000B0FDA" w:rsidSect="007D4651">
          <w:type w:val="continuous"/>
          <w:pgSz w:w="12240" w:h="15840" w:code="1"/>
          <w:pgMar w:top="1418" w:right="1418" w:bottom="1418" w:left="1418" w:header="709" w:footer="709" w:gutter="0"/>
          <w:cols w:num="2" w:space="708"/>
          <w:docGrid w:linePitch="360"/>
        </w:sectPr>
      </w:pPr>
    </w:p>
    <w:p w:rsidR="00950874" w:rsidRPr="000B0FDA" w:rsidRDefault="00950874" w:rsidP="00950874">
      <w:pPr>
        <w:pStyle w:val="Sinespaciado"/>
        <w:jc w:val="center"/>
        <w:rPr>
          <w:rFonts w:ascii="Times New Roman" w:hAnsi="Times New Roman" w:cs="Times New Roman"/>
          <w:b/>
          <w:lang w:val="es-MX"/>
        </w:rPr>
      </w:pPr>
      <w:r w:rsidRPr="000B0FDA">
        <w:rPr>
          <w:rFonts w:ascii="Times New Roman" w:hAnsi="Times New Roman" w:cs="Times New Roman"/>
          <w:b/>
          <w:lang w:val="es-MX"/>
        </w:rPr>
        <w:lastRenderedPageBreak/>
        <w:t>Resultado Presupuestario</w:t>
      </w:r>
    </w:p>
    <w:p w:rsidR="009C4027" w:rsidRPr="000B0FDA" w:rsidRDefault="00950874" w:rsidP="00AF68D3">
      <w:pPr>
        <w:pStyle w:val="Sinespaciado"/>
        <w:jc w:val="center"/>
        <w:rPr>
          <w:rFonts w:ascii="Times New Roman" w:hAnsi="Times New Roman" w:cs="Times New Roman"/>
          <w:sz w:val="18"/>
          <w:lang w:val="es-MX"/>
        </w:rPr>
      </w:pPr>
      <w:r w:rsidRPr="000B0FDA">
        <w:rPr>
          <w:rFonts w:ascii="Times New Roman" w:hAnsi="Times New Roman" w:cs="Times New Roman"/>
          <w:sz w:val="18"/>
          <w:lang w:val="es-MX"/>
        </w:rPr>
        <w:t>Millones de quetzales</w:t>
      </w:r>
    </w:p>
    <w:p w:rsidR="00AF68D3" w:rsidRPr="000B0FDA" w:rsidRDefault="00AF68D3" w:rsidP="00AF68D3">
      <w:pPr>
        <w:pStyle w:val="Sinespaciado"/>
        <w:jc w:val="center"/>
        <w:rPr>
          <w:rFonts w:ascii="Times New Roman" w:hAnsi="Times New Roman" w:cs="Times New Roman"/>
          <w:sz w:val="18"/>
          <w:lang w:val="es-MX"/>
        </w:rPr>
      </w:pPr>
    </w:p>
    <w:p w:rsidR="007D4651" w:rsidRPr="000B0FDA" w:rsidRDefault="000B0FDA" w:rsidP="007D4651">
      <w:pPr>
        <w:pStyle w:val="Sinespaciado"/>
        <w:jc w:val="center"/>
        <w:rPr>
          <w:rFonts w:ascii="Times New Roman" w:hAnsi="Times New Roman" w:cs="Times New Roman"/>
          <w:lang w:val="es-MX"/>
        </w:rPr>
      </w:pPr>
      <w:r w:rsidRPr="000B0FDA">
        <w:rPr>
          <w:rFonts w:ascii="Times New Roman" w:hAnsi="Times New Roman" w:cs="Times New Roman"/>
          <w:noProof/>
          <w:lang w:eastAsia="es-GT"/>
        </w:rPr>
        <w:drawing>
          <wp:inline distT="0" distB="0" distL="0" distR="0" wp14:anchorId="33A2FFC7" wp14:editId="0F3B3A75">
            <wp:extent cx="5108268" cy="290222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268" cy="2902226"/>
                    </a:xfrm>
                    <a:prstGeom prst="rect">
                      <a:avLst/>
                    </a:prstGeom>
                    <a:noFill/>
                  </pic:spPr>
                </pic:pic>
              </a:graphicData>
            </a:graphic>
          </wp:inline>
        </w:drawing>
      </w:r>
    </w:p>
    <w:p w:rsidR="00DF71A8" w:rsidRPr="000B0FDA" w:rsidRDefault="00AF68D3" w:rsidP="00AF68D3">
      <w:pPr>
        <w:pStyle w:val="Sinespaciado"/>
        <w:jc w:val="both"/>
        <w:rPr>
          <w:rFonts w:ascii="Times New Roman" w:hAnsi="Times New Roman" w:cs="Times New Roman"/>
          <w:sz w:val="16"/>
        </w:rPr>
      </w:pPr>
      <w:r w:rsidRPr="000B0FDA">
        <w:rPr>
          <w:rFonts w:ascii="Times New Roman" w:hAnsi="Times New Roman" w:cs="Times New Roman"/>
          <w:sz w:val="16"/>
        </w:rPr>
        <w:t xml:space="preserve">                      </w:t>
      </w:r>
      <w:r w:rsidR="007D4651" w:rsidRPr="000B0FDA">
        <w:rPr>
          <w:rFonts w:ascii="Times New Roman" w:hAnsi="Times New Roman" w:cs="Times New Roman"/>
          <w:sz w:val="16"/>
        </w:rPr>
        <w:t>Fuente: Dirección de Análisis y Política fiscal</w:t>
      </w:r>
    </w:p>
    <w:p w:rsidR="009C4027" w:rsidRPr="000B0FDA" w:rsidRDefault="009C4027" w:rsidP="007D4651">
      <w:pPr>
        <w:spacing w:after="0" w:line="240" w:lineRule="auto"/>
        <w:rPr>
          <w:rFonts w:ascii="Times New Roman" w:hAnsi="Times New Roman" w:cs="Times New Roman"/>
          <w:lang w:val="es-MX"/>
        </w:rPr>
      </w:pPr>
    </w:p>
    <w:p w:rsidR="009C4027" w:rsidRPr="000B0FDA" w:rsidRDefault="009C4027" w:rsidP="007D4651">
      <w:pPr>
        <w:spacing w:after="0" w:line="240" w:lineRule="auto"/>
        <w:rPr>
          <w:rFonts w:ascii="Times New Roman" w:hAnsi="Times New Roman" w:cs="Times New Roman"/>
          <w:color w:val="FF0000"/>
          <w:lang w:val="es-MX"/>
        </w:rPr>
        <w:sectPr w:rsidR="009C4027" w:rsidRPr="000B0FDA" w:rsidSect="007D4651">
          <w:type w:val="continuous"/>
          <w:pgSz w:w="12240" w:h="15840" w:code="1"/>
          <w:pgMar w:top="1418" w:right="1418" w:bottom="1418" w:left="1418" w:header="709" w:footer="709" w:gutter="0"/>
          <w:cols w:space="708"/>
          <w:docGrid w:linePitch="360"/>
        </w:sectPr>
      </w:pPr>
    </w:p>
    <w:p w:rsidR="00E16925" w:rsidRPr="003072A9" w:rsidRDefault="00E545F1"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3072A9"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r w:rsidRPr="003072A9">
        <w:rPr>
          <w:rFonts w:ascii="Times New Roman" w:hAnsi="Times New Roman" w:cs="Times New Roman"/>
          <w:b/>
          <w:lang w:val="es-MX"/>
        </w:rPr>
        <w:lastRenderedPageBreak/>
        <w:t xml:space="preserve">La meta mensual </w:t>
      </w:r>
      <w:r w:rsidR="003072A9" w:rsidRPr="003072A9">
        <w:rPr>
          <w:rFonts w:ascii="Times New Roman" w:hAnsi="Times New Roman" w:cs="Times New Roman"/>
          <w:b/>
          <w:lang w:val="es-MX"/>
        </w:rPr>
        <w:t xml:space="preserve">no </w:t>
      </w:r>
      <w:r w:rsidRPr="003072A9">
        <w:rPr>
          <w:rFonts w:ascii="Times New Roman" w:hAnsi="Times New Roman" w:cs="Times New Roman"/>
          <w:b/>
          <w:lang w:val="es-MX"/>
        </w:rPr>
        <w:t xml:space="preserve">se superó </w:t>
      </w:r>
    </w:p>
    <w:p w:rsidR="00E16925" w:rsidRPr="000B0FDA" w:rsidRDefault="00E16925" w:rsidP="00E16925">
      <w:pPr>
        <w:pStyle w:val="Sinespaciado"/>
        <w:rPr>
          <w:rFonts w:ascii="Times New Roman" w:hAnsi="Times New Roman" w:cs="Times New Roman"/>
          <w:b/>
          <w:color w:val="FF0000"/>
          <w:sz w:val="8"/>
          <w:lang w:val="es-MX"/>
        </w:rPr>
      </w:pPr>
    </w:p>
    <w:p w:rsidR="00E16925" w:rsidRPr="000B0FDA" w:rsidRDefault="00E16925" w:rsidP="004277D4">
      <w:pPr>
        <w:pStyle w:val="Sinespaciado"/>
        <w:jc w:val="center"/>
        <w:rPr>
          <w:rFonts w:ascii="Times New Roman" w:hAnsi="Times New Roman" w:cs="Times New Roman"/>
          <w:b/>
          <w:color w:val="FF0000"/>
          <w:lang w:val="es-MX"/>
        </w:rPr>
      </w:pPr>
    </w:p>
    <w:p w:rsidR="00343A5D" w:rsidRPr="000B0FDA" w:rsidRDefault="00343A5D" w:rsidP="004277D4">
      <w:pPr>
        <w:pStyle w:val="Sinespaciado"/>
        <w:jc w:val="center"/>
        <w:rPr>
          <w:rFonts w:ascii="Times New Roman" w:hAnsi="Times New Roman" w:cs="Times New Roman"/>
          <w:b/>
          <w:color w:val="FF0000"/>
          <w:sz w:val="28"/>
          <w:lang w:val="es-MX"/>
        </w:rPr>
        <w:sectPr w:rsidR="00343A5D" w:rsidRPr="000B0FDA" w:rsidSect="004E358C">
          <w:type w:val="continuous"/>
          <w:pgSz w:w="12240" w:h="15840"/>
          <w:pgMar w:top="1417" w:right="1701" w:bottom="1417" w:left="1701" w:header="708" w:footer="708" w:gutter="0"/>
          <w:cols w:space="708"/>
          <w:docGrid w:linePitch="360"/>
        </w:sectPr>
      </w:pPr>
    </w:p>
    <w:p w:rsidR="003072A9" w:rsidRDefault="003072A9" w:rsidP="003072A9">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recaudación observada de mayo no alcanzó lo programado quedando por debajo en Q</w:t>
      </w:r>
      <w:r>
        <w:rPr>
          <w:rFonts w:ascii="Times New Roman" w:hAnsi="Times New Roman" w:cs="Times New Roman"/>
          <w:lang w:val="es-MX"/>
        </w:rPr>
        <w:t xml:space="preserve"> </w:t>
      </w:r>
      <w:r>
        <w:rPr>
          <w:rFonts w:ascii="Times New Roman" w:hAnsi="Times New Roman" w:cs="Times New Roman"/>
          <w:lang w:val="es-MX"/>
        </w:rPr>
        <w:t xml:space="preserve">134.3 millones, dicha caída puede esta explicada principalmente por la desaceleración en el impuesto a la renta y en el IVA de importaciones, de manera acumulada se observa una brecha fiscal negativa respecto a la </w:t>
      </w:r>
      <w:r>
        <w:rPr>
          <w:rFonts w:ascii="Times New Roman" w:hAnsi="Times New Roman" w:cs="Times New Roman"/>
          <w:lang w:val="es-MX"/>
        </w:rPr>
        <w:lastRenderedPageBreak/>
        <w:t>meta de Q</w:t>
      </w:r>
      <w:r>
        <w:rPr>
          <w:rFonts w:ascii="Times New Roman" w:hAnsi="Times New Roman" w:cs="Times New Roman"/>
          <w:lang w:val="es-MX"/>
        </w:rPr>
        <w:t xml:space="preserve"> </w:t>
      </w:r>
      <w:r>
        <w:rPr>
          <w:rFonts w:ascii="Times New Roman" w:hAnsi="Times New Roman" w:cs="Times New Roman"/>
          <w:lang w:val="es-MX"/>
        </w:rPr>
        <w:t>768.2 millones, la meta de presupuesto incluye</w:t>
      </w:r>
      <w:r>
        <w:rPr>
          <w:rFonts w:ascii="Times New Roman" w:hAnsi="Times New Roman" w:cs="Times New Roman"/>
          <w:lang w:val="es-MX"/>
        </w:rPr>
        <w:t xml:space="preserve">     </w:t>
      </w:r>
      <w:r>
        <w:rPr>
          <w:rFonts w:ascii="Times New Roman" w:hAnsi="Times New Roman" w:cs="Times New Roman"/>
          <w:lang w:val="es-MX"/>
        </w:rPr>
        <w:t xml:space="preserve"> Q</w:t>
      </w:r>
      <w:r>
        <w:rPr>
          <w:rFonts w:ascii="Times New Roman" w:hAnsi="Times New Roman" w:cs="Times New Roman"/>
          <w:lang w:val="es-MX"/>
        </w:rPr>
        <w:t xml:space="preserve"> </w:t>
      </w:r>
      <w:r>
        <w:rPr>
          <w:rFonts w:ascii="Times New Roman" w:hAnsi="Times New Roman" w:cs="Times New Roman"/>
          <w:lang w:val="es-MX"/>
        </w:rPr>
        <w:t xml:space="preserve">1,343.3 millones por concepto de medidas administrativas.   </w:t>
      </w:r>
    </w:p>
    <w:p w:rsidR="003072A9" w:rsidRDefault="003072A9" w:rsidP="003072A9">
      <w:pPr>
        <w:spacing w:after="0" w:line="240" w:lineRule="auto"/>
        <w:jc w:val="both"/>
        <w:rPr>
          <w:rFonts w:ascii="Times New Roman" w:hAnsi="Times New Roman" w:cs="Times New Roman"/>
          <w:lang w:val="es-MX"/>
        </w:rPr>
      </w:pPr>
    </w:p>
    <w:p w:rsidR="003072A9" w:rsidRDefault="003072A9" w:rsidP="003072A9">
      <w:pPr>
        <w:spacing w:after="0" w:line="240" w:lineRule="auto"/>
        <w:jc w:val="both"/>
        <w:rPr>
          <w:rFonts w:ascii="Times New Roman" w:hAnsi="Times New Roman" w:cs="Times New Roman"/>
          <w:lang w:val="es-MX"/>
        </w:rPr>
      </w:pPr>
    </w:p>
    <w:p w:rsidR="003072A9" w:rsidRDefault="003072A9" w:rsidP="003072A9">
      <w:pPr>
        <w:spacing w:after="0" w:line="240" w:lineRule="auto"/>
        <w:jc w:val="both"/>
        <w:rPr>
          <w:rFonts w:ascii="Times New Roman" w:hAnsi="Times New Roman" w:cs="Times New Roman"/>
          <w:lang w:val="es-MX"/>
        </w:rPr>
      </w:pPr>
    </w:p>
    <w:p w:rsidR="000A2F67" w:rsidRDefault="000A2F67" w:rsidP="003072A9">
      <w:pPr>
        <w:spacing w:after="0" w:line="240" w:lineRule="auto"/>
        <w:jc w:val="both"/>
        <w:rPr>
          <w:rFonts w:ascii="Times New Roman" w:hAnsi="Times New Roman" w:cs="Times New Roman"/>
          <w:lang w:val="es-MX"/>
        </w:rPr>
      </w:pPr>
    </w:p>
    <w:p w:rsidR="003072A9" w:rsidRPr="00D47E32" w:rsidRDefault="003072A9" w:rsidP="003072A9">
      <w:pPr>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R</w:t>
      </w:r>
      <w:r w:rsidRPr="00D47E32">
        <w:rPr>
          <w:rFonts w:ascii="Times New Roman" w:hAnsi="Times New Roman" w:cs="Times New Roman"/>
          <w:b/>
          <w:lang w:val="es-MX"/>
        </w:rPr>
        <w:t xml:space="preserve">ecaudación </w:t>
      </w:r>
      <w:r>
        <w:rPr>
          <w:rFonts w:ascii="Times New Roman" w:hAnsi="Times New Roman" w:cs="Times New Roman"/>
          <w:b/>
          <w:lang w:val="es-MX"/>
        </w:rPr>
        <w:t>Tributaria</w:t>
      </w:r>
    </w:p>
    <w:p w:rsidR="003072A9" w:rsidRPr="003072A9" w:rsidRDefault="003072A9" w:rsidP="003072A9">
      <w:pPr>
        <w:spacing w:after="0" w:line="240" w:lineRule="auto"/>
        <w:jc w:val="center"/>
        <w:rPr>
          <w:rFonts w:ascii="Times New Roman" w:hAnsi="Times New Roman" w:cs="Times New Roman"/>
          <w:sz w:val="18"/>
          <w:lang w:val="es-MX"/>
        </w:rPr>
      </w:pPr>
      <w:r w:rsidRPr="003072A9">
        <w:rPr>
          <w:rFonts w:ascii="Times New Roman" w:hAnsi="Times New Roman" w:cs="Times New Roman"/>
          <w:sz w:val="18"/>
          <w:lang w:val="es-MX"/>
        </w:rPr>
        <w:t>Millones de quetzales</w:t>
      </w:r>
    </w:p>
    <w:p w:rsidR="003072A9" w:rsidRDefault="003072A9" w:rsidP="000A2F67">
      <w:pPr>
        <w:spacing w:after="0"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1649A166" wp14:editId="21C190D6">
            <wp:extent cx="2581835" cy="1775012"/>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72A9" w:rsidRPr="003072A9" w:rsidRDefault="003072A9" w:rsidP="003072A9">
      <w:pPr>
        <w:spacing w:after="0" w:line="240" w:lineRule="auto"/>
        <w:jc w:val="both"/>
        <w:rPr>
          <w:rFonts w:ascii="Times New Roman" w:hAnsi="Times New Roman" w:cs="Times New Roman"/>
          <w:sz w:val="24"/>
          <w:lang w:val="es-MX"/>
        </w:rPr>
      </w:pPr>
      <w:r w:rsidRPr="003072A9">
        <w:rPr>
          <w:rFonts w:ascii="Times New Roman" w:hAnsi="Times New Roman" w:cs="Times New Roman"/>
          <w:sz w:val="16"/>
          <w:lang w:val="es-MX"/>
        </w:rPr>
        <w:t>Fuente: Dirección de Análisis y Política Fiscal</w:t>
      </w:r>
    </w:p>
    <w:p w:rsidR="003072A9" w:rsidRDefault="003072A9" w:rsidP="003072A9">
      <w:pPr>
        <w:spacing w:after="0" w:line="240" w:lineRule="auto"/>
        <w:jc w:val="both"/>
        <w:rPr>
          <w:rFonts w:ascii="Times New Roman" w:hAnsi="Times New Roman" w:cs="Times New Roman"/>
          <w:lang w:val="es-MX"/>
        </w:rPr>
      </w:pPr>
    </w:p>
    <w:p w:rsidR="003072A9" w:rsidRDefault="003072A9" w:rsidP="003072A9">
      <w:pPr>
        <w:spacing w:after="0" w:line="240" w:lineRule="auto"/>
        <w:jc w:val="both"/>
        <w:rPr>
          <w:rFonts w:ascii="Times New Roman" w:hAnsi="Times New Roman" w:cs="Times New Roman"/>
          <w:lang w:val="es-MX"/>
        </w:rPr>
      </w:pPr>
      <w:r>
        <w:rPr>
          <w:rFonts w:ascii="Times New Roman" w:hAnsi="Times New Roman" w:cs="Times New Roman"/>
          <w:lang w:val="es-MX"/>
        </w:rPr>
        <w:t>En términos relativos a mayo la recaudación tributaria acumulada crece de manera interanual en 5.3% (Q</w:t>
      </w:r>
      <w:r>
        <w:rPr>
          <w:rFonts w:ascii="Times New Roman" w:hAnsi="Times New Roman" w:cs="Times New Roman"/>
          <w:lang w:val="es-MX"/>
        </w:rPr>
        <w:t xml:space="preserve"> </w:t>
      </w:r>
      <w:r>
        <w:rPr>
          <w:rFonts w:ascii="Times New Roman" w:hAnsi="Times New Roman" w:cs="Times New Roman"/>
          <w:lang w:val="es-MX"/>
        </w:rPr>
        <w:t>1,172.3 millones), además es preciso indicar que en mayo de 2016 fue cuando se recaudaron Q</w:t>
      </w:r>
      <w:r>
        <w:rPr>
          <w:rFonts w:ascii="Times New Roman" w:hAnsi="Times New Roman" w:cs="Times New Roman"/>
          <w:lang w:val="es-MX"/>
        </w:rPr>
        <w:t xml:space="preserve"> </w:t>
      </w:r>
      <w:r>
        <w:rPr>
          <w:rFonts w:ascii="Times New Roman" w:hAnsi="Times New Roman" w:cs="Times New Roman"/>
          <w:lang w:val="es-MX"/>
        </w:rPr>
        <w:t>829.2 millones por concepto de adeudos tributarios de ejercicios anteriores de los cuales solo por ISR eran Q</w:t>
      </w:r>
      <w:r>
        <w:rPr>
          <w:rFonts w:ascii="Times New Roman" w:hAnsi="Times New Roman" w:cs="Times New Roman"/>
          <w:lang w:val="es-MX"/>
        </w:rPr>
        <w:t xml:space="preserve"> </w:t>
      </w:r>
      <w:r>
        <w:rPr>
          <w:rFonts w:ascii="Times New Roman" w:hAnsi="Times New Roman" w:cs="Times New Roman"/>
          <w:lang w:val="es-MX"/>
        </w:rPr>
        <w:t>589.9 millones y de IVA Q</w:t>
      </w:r>
      <w:r>
        <w:rPr>
          <w:rFonts w:ascii="Times New Roman" w:hAnsi="Times New Roman" w:cs="Times New Roman"/>
          <w:lang w:val="es-MX"/>
        </w:rPr>
        <w:t xml:space="preserve"> </w:t>
      </w:r>
      <w:r>
        <w:rPr>
          <w:rFonts w:ascii="Times New Roman" w:hAnsi="Times New Roman" w:cs="Times New Roman"/>
          <w:lang w:val="es-MX"/>
        </w:rPr>
        <w:t>239.3 millones.</w:t>
      </w:r>
    </w:p>
    <w:p w:rsidR="003072A9" w:rsidRDefault="003072A9" w:rsidP="003072A9">
      <w:pPr>
        <w:spacing w:after="0" w:line="240" w:lineRule="auto"/>
        <w:jc w:val="both"/>
        <w:rPr>
          <w:rFonts w:ascii="Times New Roman" w:hAnsi="Times New Roman" w:cs="Times New Roman"/>
          <w:lang w:val="es-MX"/>
        </w:rPr>
      </w:pPr>
      <w:r>
        <w:rPr>
          <w:rFonts w:ascii="Times New Roman" w:hAnsi="Times New Roman" w:cs="Times New Roman"/>
          <w:lang w:val="es-MX"/>
        </w:rPr>
        <w:t xml:space="preserve"> </w:t>
      </w:r>
    </w:p>
    <w:p w:rsidR="003072A9" w:rsidRDefault="003072A9" w:rsidP="003072A9">
      <w:pPr>
        <w:spacing w:after="0" w:line="240" w:lineRule="auto"/>
        <w:jc w:val="both"/>
        <w:rPr>
          <w:rFonts w:ascii="Times New Roman" w:hAnsi="Times New Roman" w:cs="Times New Roman"/>
          <w:b/>
          <w:lang w:val="es-MX"/>
        </w:rPr>
      </w:pPr>
      <w:r w:rsidRPr="00F3141C">
        <w:rPr>
          <w:rFonts w:ascii="Times New Roman" w:hAnsi="Times New Roman" w:cs="Times New Roman"/>
          <w:b/>
          <w:lang w:val="es-MX"/>
        </w:rPr>
        <w:t>Impuesto al valor agregado</w:t>
      </w:r>
    </w:p>
    <w:p w:rsidR="003072A9" w:rsidRPr="00F3141C" w:rsidRDefault="003072A9" w:rsidP="003072A9">
      <w:pPr>
        <w:spacing w:after="0" w:line="240" w:lineRule="auto"/>
        <w:jc w:val="both"/>
        <w:rPr>
          <w:rFonts w:ascii="Times New Roman" w:hAnsi="Times New Roman" w:cs="Times New Roman"/>
          <w:b/>
          <w:lang w:val="es-MX"/>
        </w:rPr>
      </w:pPr>
    </w:p>
    <w:p w:rsidR="003072A9" w:rsidRDefault="003072A9" w:rsidP="003072A9">
      <w:pPr>
        <w:spacing w:line="240" w:lineRule="auto"/>
        <w:jc w:val="both"/>
        <w:rPr>
          <w:rFonts w:ascii="Times New Roman" w:hAnsi="Times New Roman" w:cs="Times New Roman"/>
          <w:lang w:val="es-MX"/>
        </w:rPr>
      </w:pPr>
      <w:r>
        <w:rPr>
          <w:rFonts w:ascii="Times New Roman" w:hAnsi="Times New Roman" w:cs="Times New Roman"/>
          <w:lang w:val="es-MX"/>
        </w:rPr>
        <w:t xml:space="preserve">La recaudación mensual de este impuesto refleja un crecimiento de 0.1% respecto a la meta, impulsado dicho crecimiento por el desempeño positivo del IVA doméstico, de manera acumulada este impuesto crece respecto a lo observado en 2016 en 5.3% </w:t>
      </w:r>
      <w:r>
        <w:rPr>
          <w:rFonts w:ascii="Times New Roman" w:hAnsi="Times New Roman" w:cs="Times New Roman"/>
          <w:lang w:val="es-MX"/>
        </w:rPr>
        <w:t xml:space="preserve">     </w:t>
      </w:r>
      <w:r>
        <w:rPr>
          <w:rFonts w:ascii="Times New Roman" w:hAnsi="Times New Roman" w:cs="Times New Roman"/>
          <w:lang w:val="es-MX"/>
        </w:rPr>
        <w:t>(Q</w:t>
      </w:r>
      <w:r>
        <w:rPr>
          <w:rFonts w:ascii="Times New Roman" w:hAnsi="Times New Roman" w:cs="Times New Roman"/>
          <w:lang w:val="es-MX"/>
        </w:rPr>
        <w:t xml:space="preserve"> </w:t>
      </w:r>
      <w:r>
        <w:rPr>
          <w:rFonts w:ascii="Times New Roman" w:hAnsi="Times New Roman" w:cs="Times New Roman"/>
          <w:lang w:val="es-MX"/>
        </w:rPr>
        <w:t xml:space="preserve">522.8 millones), con relación a la meta su rendimiento fue negativo decrece en 4.6% </w:t>
      </w:r>
      <w:r>
        <w:rPr>
          <w:rFonts w:ascii="Times New Roman" w:hAnsi="Times New Roman" w:cs="Times New Roman"/>
          <w:lang w:val="es-MX"/>
        </w:rPr>
        <w:t xml:space="preserve">   </w:t>
      </w:r>
      <w:r>
        <w:rPr>
          <w:rFonts w:ascii="Times New Roman" w:hAnsi="Times New Roman" w:cs="Times New Roman"/>
          <w:lang w:val="es-MX"/>
        </w:rPr>
        <w:t>(Q</w:t>
      </w:r>
      <w:r>
        <w:rPr>
          <w:rFonts w:ascii="Times New Roman" w:hAnsi="Times New Roman" w:cs="Times New Roman"/>
          <w:lang w:val="es-MX"/>
        </w:rPr>
        <w:t xml:space="preserve"> </w:t>
      </w:r>
      <w:r>
        <w:rPr>
          <w:rFonts w:ascii="Times New Roman" w:hAnsi="Times New Roman" w:cs="Times New Roman"/>
          <w:lang w:val="es-MX"/>
        </w:rPr>
        <w:t>497.7 millones) es preciso indicar que la meta considera Q</w:t>
      </w:r>
      <w:r>
        <w:rPr>
          <w:rFonts w:ascii="Times New Roman" w:hAnsi="Times New Roman" w:cs="Times New Roman"/>
          <w:lang w:val="es-MX"/>
        </w:rPr>
        <w:t xml:space="preserve"> </w:t>
      </w:r>
      <w:r>
        <w:rPr>
          <w:rFonts w:ascii="Times New Roman" w:hAnsi="Times New Roman" w:cs="Times New Roman"/>
          <w:lang w:val="es-MX"/>
        </w:rPr>
        <w:t xml:space="preserve">492.3 millones producto de medidas administrativas monto similar a lo que no se ha recaudado, </w:t>
      </w:r>
    </w:p>
    <w:p w:rsidR="003072A9" w:rsidRDefault="003072A9" w:rsidP="003072A9">
      <w:pPr>
        <w:spacing w:after="0" w:line="240" w:lineRule="auto"/>
        <w:jc w:val="both"/>
        <w:rPr>
          <w:rFonts w:ascii="Times New Roman" w:hAnsi="Times New Roman" w:cs="Times New Roman"/>
          <w:lang w:val="es-MX"/>
        </w:rPr>
      </w:pPr>
      <w:r>
        <w:rPr>
          <w:rFonts w:ascii="Times New Roman" w:hAnsi="Times New Roman" w:cs="Times New Roman"/>
          <w:lang w:val="es-MX"/>
        </w:rPr>
        <w:t xml:space="preserve">De manera interanual el IVA de importaciones crece esto puede deberse al desempeño de variables macroeconómicas como las importaciones gravadas no asociadas a los derivados de petróleo que acumuladas a abril crecen en 3% y su volumen que de igual forma crece en 7.9%, para las importaciones </w:t>
      </w:r>
      <w:r>
        <w:rPr>
          <w:rFonts w:ascii="Times New Roman" w:hAnsi="Times New Roman" w:cs="Times New Roman"/>
          <w:lang w:val="es-MX"/>
        </w:rPr>
        <w:lastRenderedPageBreak/>
        <w:t>asociadas a los derivados de petróleo tienen estas tienen un crecimiento acumulado a abril de 45% y su volumen de igual manera crece en 11% esto influenciado por una baja en el precio internacional del petróleo y a la apreciación del quetzal ante el dólar.</w:t>
      </w:r>
    </w:p>
    <w:p w:rsidR="003072A9" w:rsidRDefault="003072A9" w:rsidP="003072A9">
      <w:pPr>
        <w:spacing w:after="0" w:line="240" w:lineRule="auto"/>
        <w:jc w:val="both"/>
        <w:rPr>
          <w:rFonts w:ascii="Times New Roman" w:hAnsi="Times New Roman" w:cs="Times New Roman"/>
          <w:lang w:val="es-MX"/>
        </w:rPr>
      </w:pPr>
    </w:p>
    <w:p w:rsidR="003072A9" w:rsidRDefault="003072A9" w:rsidP="003072A9">
      <w:pPr>
        <w:spacing w:line="240" w:lineRule="auto"/>
        <w:jc w:val="both"/>
        <w:rPr>
          <w:rFonts w:ascii="Times New Roman" w:hAnsi="Times New Roman" w:cs="Times New Roman"/>
          <w:lang w:val="es-MX"/>
        </w:rPr>
      </w:pPr>
      <w:r>
        <w:rPr>
          <w:rFonts w:ascii="Times New Roman" w:hAnsi="Times New Roman" w:cs="Times New Roman"/>
          <w:lang w:val="es-MX"/>
        </w:rPr>
        <w:t>El IVA doméstico tiene un crecimiento interanual acumulado de 6.8% este impuesto continua creciendo a pesar de una desaceleración en el flujo de remesas familiares las cuales para mayo tienen un crecimiento acumulado de 14.9% inferior a lo observado en 2016 cuando crecían en 19.8%, el impulso positivo a este impuesto puede estar asociado a una mejora en la economía interna que medida a través de la variación de tendencia ciclo del IMAE la sitúa en abril en un ritmo de 3.59%  superior al 2.65% del año anterior.</w:t>
      </w:r>
    </w:p>
    <w:p w:rsidR="003072A9" w:rsidRPr="00D47E32" w:rsidRDefault="003072A9" w:rsidP="003072A9">
      <w:pPr>
        <w:spacing w:after="0" w:line="240" w:lineRule="auto"/>
        <w:jc w:val="center"/>
        <w:rPr>
          <w:rFonts w:ascii="Times New Roman" w:hAnsi="Times New Roman" w:cs="Times New Roman"/>
          <w:b/>
          <w:lang w:val="es-MX"/>
        </w:rPr>
      </w:pPr>
      <w:r>
        <w:rPr>
          <w:rFonts w:ascii="Times New Roman" w:hAnsi="Times New Roman" w:cs="Times New Roman"/>
          <w:b/>
          <w:lang w:val="es-MX"/>
        </w:rPr>
        <w:t>Impuesto al valor agregado</w:t>
      </w:r>
    </w:p>
    <w:p w:rsidR="003072A9" w:rsidRPr="003072A9" w:rsidRDefault="003072A9" w:rsidP="003072A9">
      <w:pPr>
        <w:spacing w:after="0" w:line="240" w:lineRule="auto"/>
        <w:jc w:val="center"/>
        <w:rPr>
          <w:rFonts w:ascii="Times New Roman" w:hAnsi="Times New Roman" w:cs="Times New Roman"/>
          <w:sz w:val="18"/>
          <w:lang w:val="es-MX"/>
        </w:rPr>
      </w:pPr>
      <w:r w:rsidRPr="003072A9">
        <w:rPr>
          <w:rFonts w:ascii="Times New Roman" w:hAnsi="Times New Roman" w:cs="Times New Roman"/>
          <w:sz w:val="18"/>
          <w:lang w:val="es-MX"/>
        </w:rPr>
        <w:t>Variación interanual Acumulada</w:t>
      </w:r>
    </w:p>
    <w:p w:rsidR="003072A9" w:rsidRDefault="003072A9" w:rsidP="000A2F67">
      <w:pPr>
        <w:spacing w:after="0"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63375436" wp14:editId="5CA68544">
            <wp:extent cx="2581835" cy="1873624"/>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72A9" w:rsidRPr="003072A9" w:rsidRDefault="003072A9" w:rsidP="003072A9">
      <w:pPr>
        <w:spacing w:after="0" w:line="240" w:lineRule="auto"/>
        <w:jc w:val="both"/>
        <w:rPr>
          <w:rFonts w:ascii="Times New Roman" w:hAnsi="Times New Roman" w:cs="Times New Roman"/>
          <w:lang w:val="es-MX"/>
        </w:rPr>
      </w:pPr>
      <w:r w:rsidRPr="003072A9">
        <w:rPr>
          <w:rFonts w:ascii="Times New Roman" w:hAnsi="Times New Roman" w:cs="Times New Roman"/>
          <w:sz w:val="16"/>
          <w:lang w:val="es-MX"/>
        </w:rPr>
        <w:t>Fuente: Dirección de Análisis y Política Fiscal</w:t>
      </w:r>
    </w:p>
    <w:p w:rsidR="003072A9" w:rsidRDefault="003072A9" w:rsidP="003072A9">
      <w:pPr>
        <w:spacing w:after="0" w:line="240" w:lineRule="auto"/>
        <w:jc w:val="both"/>
        <w:rPr>
          <w:rFonts w:ascii="Times New Roman" w:hAnsi="Times New Roman" w:cs="Times New Roman"/>
          <w:b/>
          <w:lang w:val="es-MX"/>
        </w:rPr>
      </w:pPr>
    </w:p>
    <w:p w:rsidR="003072A9" w:rsidRDefault="003072A9" w:rsidP="003072A9">
      <w:pPr>
        <w:spacing w:after="0" w:line="240" w:lineRule="auto"/>
        <w:jc w:val="both"/>
        <w:rPr>
          <w:rFonts w:ascii="Times New Roman" w:hAnsi="Times New Roman" w:cs="Times New Roman"/>
          <w:b/>
          <w:lang w:val="es-MX"/>
        </w:rPr>
      </w:pPr>
      <w:r w:rsidRPr="00D74D30">
        <w:rPr>
          <w:rFonts w:ascii="Times New Roman" w:hAnsi="Times New Roman" w:cs="Times New Roman"/>
          <w:b/>
          <w:lang w:val="es-MX"/>
        </w:rPr>
        <w:t>El impuesto sobre la renta</w:t>
      </w:r>
    </w:p>
    <w:p w:rsidR="003072A9" w:rsidRPr="00D74D30" w:rsidRDefault="003072A9" w:rsidP="003072A9">
      <w:pPr>
        <w:spacing w:after="0" w:line="240" w:lineRule="auto"/>
        <w:jc w:val="both"/>
        <w:rPr>
          <w:rFonts w:ascii="Times New Roman" w:hAnsi="Times New Roman" w:cs="Times New Roman"/>
          <w:b/>
          <w:lang w:val="es-MX"/>
        </w:rPr>
      </w:pPr>
    </w:p>
    <w:p w:rsidR="003072A9" w:rsidRDefault="003072A9" w:rsidP="003072A9">
      <w:pPr>
        <w:spacing w:line="240" w:lineRule="auto"/>
        <w:jc w:val="both"/>
        <w:rPr>
          <w:rFonts w:ascii="Times New Roman" w:hAnsi="Times New Roman" w:cs="Times New Roman"/>
          <w:lang w:val="es-MX"/>
        </w:rPr>
      </w:pPr>
      <w:r>
        <w:rPr>
          <w:rFonts w:ascii="Times New Roman" w:hAnsi="Times New Roman" w:cs="Times New Roman"/>
          <w:lang w:val="es-MX"/>
        </w:rPr>
        <w:t>Este impuesto genera una brecha fiscal acumulada de recaudación positiva por Q</w:t>
      </w:r>
      <w:r w:rsidR="000A2F67">
        <w:rPr>
          <w:rFonts w:ascii="Times New Roman" w:hAnsi="Times New Roman" w:cs="Times New Roman"/>
          <w:lang w:val="es-MX"/>
        </w:rPr>
        <w:t xml:space="preserve"> </w:t>
      </w:r>
      <w:r>
        <w:rPr>
          <w:rFonts w:ascii="Times New Roman" w:hAnsi="Times New Roman" w:cs="Times New Roman"/>
          <w:lang w:val="es-MX"/>
        </w:rPr>
        <w:t>306.8 millones respecto a la meta, con relación al año anterior presenta un crecimiento de 6.6%, (Q</w:t>
      </w:r>
      <w:r w:rsidR="000A2F67">
        <w:rPr>
          <w:rFonts w:ascii="Times New Roman" w:hAnsi="Times New Roman" w:cs="Times New Roman"/>
          <w:lang w:val="es-MX"/>
        </w:rPr>
        <w:t xml:space="preserve"> </w:t>
      </w:r>
      <w:r>
        <w:rPr>
          <w:rFonts w:ascii="Times New Roman" w:hAnsi="Times New Roman" w:cs="Times New Roman"/>
          <w:lang w:val="es-MX"/>
        </w:rPr>
        <w:t xml:space="preserve">442.6 millones), a mayo se observó un crecimiento en todos los regímenes del ISR pero sobresale el régimen de actividades lucrativas sobre renta imponible y el de </w:t>
      </w:r>
      <w:r>
        <w:rPr>
          <w:rFonts w:ascii="Times New Roman" w:hAnsi="Times New Roman" w:cs="Times New Roman"/>
          <w:lang w:val="es-MX"/>
        </w:rPr>
        <w:lastRenderedPageBreak/>
        <w:t>relación de dependencia que muestran crecimiento de 28.2% y 14.7%.</w:t>
      </w:r>
    </w:p>
    <w:p w:rsidR="003072A9" w:rsidRPr="00D47E32" w:rsidRDefault="003072A9" w:rsidP="003072A9">
      <w:pPr>
        <w:spacing w:after="0" w:line="240" w:lineRule="auto"/>
        <w:jc w:val="center"/>
        <w:rPr>
          <w:rFonts w:ascii="Times New Roman" w:hAnsi="Times New Roman" w:cs="Times New Roman"/>
          <w:b/>
          <w:lang w:val="es-MX"/>
        </w:rPr>
      </w:pPr>
      <w:r>
        <w:rPr>
          <w:rFonts w:ascii="Times New Roman" w:hAnsi="Times New Roman" w:cs="Times New Roman"/>
          <w:b/>
          <w:lang w:val="es-MX"/>
        </w:rPr>
        <w:t>Impuesto sobre la renta</w:t>
      </w:r>
    </w:p>
    <w:p w:rsidR="003072A9" w:rsidRPr="003072A9" w:rsidRDefault="003072A9" w:rsidP="003072A9">
      <w:pPr>
        <w:spacing w:after="0" w:line="240" w:lineRule="auto"/>
        <w:jc w:val="center"/>
        <w:rPr>
          <w:rFonts w:ascii="Times New Roman" w:hAnsi="Times New Roman" w:cs="Times New Roman"/>
          <w:sz w:val="18"/>
          <w:lang w:val="es-MX"/>
        </w:rPr>
      </w:pPr>
      <w:r w:rsidRPr="003072A9">
        <w:rPr>
          <w:rFonts w:ascii="Times New Roman" w:hAnsi="Times New Roman" w:cs="Times New Roman"/>
          <w:sz w:val="18"/>
          <w:lang w:val="es-MX"/>
        </w:rPr>
        <w:t>Variación interanual Acumulada</w:t>
      </w:r>
    </w:p>
    <w:p w:rsidR="003072A9" w:rsidRDefault="003072A9" w:rsidP="003072A9">
      <w:pPr>
        <w:spacing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44924130" wp14:editId="39DBA069">
            <wp:extent cx="2584174" cy="1848678"/>
            <wp:effectExtent l="0" t="0" r="6985"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72A9" w:rsidRPr="003072A9" w:rsidRDefault="003072A9" w:rsidP="003072A9">
      <w:pPr>
        <w:spacing w:after="0" w:line="240" w:lineRule="auto"/>
        <w:jc w:val="both"/>
        <w:rPr>
          <w:rFonts w:ascii="Times New Roman" w:hAnsi="Times New Roman" w:cs="Times New Roman"/>
          <w:sz w:val="24"/>
          <w:lang w:val="es-MX"/>
        </w:rPr>
      </w:pPr>
      <w:r w:rsidRPr="003072A9">
        <w:rPr>
          <w:rFonts w:ascii="Times New Roman" w:hAnsi="Times New Roman" w:cs="Times New Roman"/>
          <w:sz w:val="16"/>
          <w:lang w:val="es-MX"/>
        </w:rPr>
        <w:t>Fuente: Dirección de Análisis y Política Fiscal</w:t>
      </w:r>
    </w:p>
    <w:p w:rsidR="003072A9" w:rsidRDefault="003072A9" w:rsidP="003072A9">
      <w:pPr>
        <w:spacing w:after="0" w:line="240" w:lineRule="auto"/>
        <w:jc w:val="both"/>
        <w:rPr>
          <w:rFonts w:ascii="Times New Roman" w:hAnsi="Times New Roman" w:cs="Times New Roman"/>
          <w:lang w:val="es-MX"/>
        </w:rPr>
      </w:pPr>
    </w:p>
    <w:p w:rsidR="003072A9" w:rsidRDefault="003072A9" w:rsidP="003072A9">
      <w:pPr>
        <w:spacing w:after="0" w:line="240" w:lineRule="auto"/>
        <w:jc w:val="both"/>
        <w:rPr>
          <w:rFonts w:ascii="Times New Roman" w:hAnsi="Times New Roman" w:cs="Times New Roman"/>
          <w:b/>
          <w:lang w:val="es-MX"/>
        </w:rPr>
      </w:pPr>
      <w:r w:rsidRPr="00F3141C">
        <w:rPr>
          <w:rFonts w:ascii="Times New Roman" w:hAnsi="Times New Roman" w:cs="Times New Roman"/>
          <w:b/>
          <w:lang w:val="es-MX"/>
        </w:rPr>
        <w:t>El resto de los impuestos</w:t>
      </w:r>
    </w:p>
    <w:p w:rsidR="003072A9" w:rsidRPr="00F3141C" w:rsidRDefault="003072A9" w:rsidP="003072A9">
      <w:pPr>
        <w:spacing w:after="0" w:line="240" w:lineRule="auto"/>
        <w:jc w:val="both"/>
        <w:rPr>
          <w:rFonts w:ascii="Times New Roman" w:hAnsi="Times New Roman" w:cs="Times New Roman"/>
          <w:b/>
          <w:lang w:val="es-MX"/>
        </w:rPr>
      </w:pPr>
    </w:p>
    <w:p w:rsidR="003072A9" w:rsidRDefault="003072A9" w:rsidP="003072A9">
      <w:pPr>
        <w:spacing w:line="240" w:lineRule="auto"/>
        <w:jc w:val="both"/>
        <w:rPr>
          <w:rFonts w:ascii="Times New Roman" w:hAnsi="Times New Roman" w:cs="Times New Roman"/>
          <w:lang w:val="es-MX"/>
        </w:rPr>
      </w:pPr>
      <w:r>
        <w:rPr>
          <w:rFonts w:ascii="Times New Roman" w:hAnsi="Times New Roman" w:cs="Times New Roman"/>
          <w:lang w:val="es-MX"/>
        </w:rPr>
        <w:t>El ISO, l</w:t>
      </w:r>
      <w:r w:rsidRPr="00254080">
        <w:rPr>
          <w:rFonts w:ascii="Times New Roman" w:hAnsi="Times New Roman" w:cs="Times New Roman"/>
          <w:lang w:val="es-MX"/>
        </w:rPr>
        <w:t xml:space="preserve">os derechos arancelarios a la importación,  derivados del petróleo, el de </w:t>
      </w:r>
      <w:r>
        <w:rPr>
          <w:rFonts w:ascii="Times New Roman" w:hAnsi="Times New Roman" w:cs="Times New Roman"/>
          <w:lang w:val="es-MX"/>
        </w:rPr>
        <w:t xml:space="preserve">vehículos, </w:t>
      </w:r>
      <w:r w:rsidRPr="00254080">
        <w:rPr>
          <w:rFonts w:ascii="Times New Roman" w:hAnsi="Times New Roman" w:cs="Times New Roman"/>
          <w:lang w:val="es-MX"/>
        </w:rPr>
        <w:t>IPRIMA</w:t>
      </w:r>
      <w:r>
        <w:rPr>
          <w:rFonts w:ascii="Times New Roman" w:hAnsi="Times New Roman" w:cs="Times New Roman"/>
          <w:lang w:val="es-MX"/>
        </w:rPr>
        <w:t xml:space="preserve">, timbres, </w:t>
      </w:r>
      <w:r w:rsidRPr="00254080">
        <w:rPr>
          <w:rFonts w:ascii="Times New Roman" w:hAnsi="Times New Roman" w:cs="Times New Roman"/>
          <w:lang w:val="es-MX"/>
        </w:rPr>
        <w:t xml:space="preserve">bebidas, </w:t>
      </w:r>
      <w:r>
        <w:rPr>
          <w:rFonts w:ascii="Times New Roman" w:hAnsi="Times New Roman" w:cs="Times New Roman"/>
          <w:lang w:val="es-MX"/>
        </w:rPr>
        <w:t xml:space="preserve">y tabacos </w:t>
      </w:r>
      <w:r w:rsidRPr="00254080">
        <w:rPr>
          <w:rFonts w:ascii="Times New Roman" w:hAnsi="Times New Roman" w:cs="Times New Roman"/>
          <w:lang w:val="es-MX"/>
        </w:rPr>
        <w:t xml:space="preserve">en conjunto dejaron de percibir </w:t>
      </w:r>
      <w:r w:rsidR="0095506C">
        <w:rPr>
          <w:rFonts w:ascii="Times New Roman" w:hAnsi="Times New Roman" w:cs="Times New Roman"/>
          <w:lang w:val="es-MX"/>
        </w:rPr>
        <w:t xml:space="preserve">          </w:t>
      </w:r>
      <w:r w:rsidRPr="00254080">
        <w:rPr>
          <w:rFonts w:ascii="Times New Roman" w:hAnsi="Times New Roman" w:cs="Times New Roman"/>
          <w:lang w:val="es-MX"/>
        </w:rPr>
        <w:t>Q</w:t>
      </w:r>
      <w:r>
        <w:rPr>
          <w:rFonts w:ascii="Times New Roman" w:hAnsi="Times New Roman" w:cs="Times New Roman"/>
          <w:lang w:val="es-MX"/>
        </w:rPr>
        <w:t xml:space="preserve"> </w:t>
      </w:r>
      <w:r>
        <w:rPr>
          <w:rFonts w:ascii="Times New Roman" w:hAnsi="Times New Roman" w:cs="Times New Roman"/>
          <w:lang w:val="es-MX"/>
        </w:rPr>
        <w:t xml:space="preserve">612.3 </w:t>
      </w:r>
      <w:r w:rsidRPr="00254080">
        <w:rPr>
          <w:rFonts w:ascii="Times New Roman" w:hAnsi="Times New Roman" w:cs="Times New Roman"/>
          <w:lang w:val="es-MX"/>
        </w:rPr>
        <w:t>millones de lo presupuestado.  Los únicos impuestos que superaron la meta establecida para este mes fueron el impuesto a la propiedad y de cemento.</w:t>
      </w:r>
    </w:p>
    <w:p w:rsidR="003072A9" w:rsidRDefault="003072A9" w:rsidP="003072A9">
      <w:pPr>
        <w:spacing w:line="240" w:lineRule="auto"/>
        <w:jc w:val="both"/>
        <w:rPr>
          <w:rFonts w:ascii="Times New Roman" w:hAnsi="Times New Roman" w:cs="Times New Roman"/>
          <w:lang w:val="es-MX"/>
        </w:rPr>
      </w:pPr>
      <w:r>
        <w:rPr>
          <w:rFonts w:ascii="Times New Roman" w:hAnsi="Times New Roman" w:cs="Times New Roman"/>
          <w:lang w:val="es-MX"/>
        </w:rPr>
        <w:t>Los impuestos asociados al comercio exterior presentan una caída de 7.5% (Q</w:t>
      </w:r>
      <w:r w:rsidR="000A2F67">
        <w:rPr>
          <w:rFonts w:ascii="Times New Roman" w:hAnsi="Times New Roman" w:cs="Times New Roman"/>
          <w:lang w:val="es-MX"/>
        </w:rPr>
        <w:t xml:space="preserve"> </w:t>
      </w:r>
      <w:r>
        <w:rPr>
          <w:rFonts w:ascii="Times New Roman" w:hAnsi="Times New Roman" w:cs="Times New Roman"/>
          <w:lang w:val="es-MX"/>
        </w:rPr>
        <w:t xml:space="preserve">487 millones) respecto a la meta, de manera interanual crecen en 3.5%, de los impuestos no administrados por SAT solo el de regalías supera la meta por </w:t>
      </w:r>
      <w:r>
        <w:rPr>
          <w:rFonts w:ascii="Times New Roman" w:hAnsi="Times New Roman" w:cs="Times New Roman"/>
          <w:lang w:val="es-MX"/>
        </w:rPr>
        <w:lastRenderedPageBreak/>
        <w:t>Q</w:t>
      </w:r>
      <w:r w:rsidR="000A2F67">
        <w:rPr>
          <w:rFonts w:ascii="Times New Roman" w:hAnsi="Times New Roman" w:cs="Times New Roman"/>
          <w:lang w:val="es-MX"/>
        </w:rPr>
        <w:t xml:space="preserve"> </w:t>
      </w:r>
      <w:r>
        <w:rPr>
          <w:rFonts w:ascii="Times New Roman" w:hAnsi="Times New Roman" w:cs="Times New Roman"/>
          <w:lang w:val="es-MX"/>
        </w:rPr>
        <w:t>37.6 millones el de salidas del país tiene una brecha negativa de Q</w:t>
      </w:r>
      <w:r w:rsidR="000A2F67">
        <w:rPr>
          <w:rFonts w:ascii="Times New Roman" w:hAnsi="Times New Roman" w:cs="Times New Roman"/>
          <w:lang w:val="es-MX"/>
        </w:rPr>
        <w:t xml:space="preserve"> </w:t>
      </w:r>
      <w:r>
        <w:rPr>
          <w:rFonts w:ascii="Times New Roman" w:hAnsi="Times New Roman" w:cs="Times New Roman"/>
          <w:lang w:val="es-MX"/>
        </w:rPr>
        <w:t>21.4 millones.</w:t>
      </w:r>
    </w:p>
    <w:p w:rsidR="003072A9" w:rsidRPr="00FF4E1B" w:rsidRDefault="003072A9" w:rsidP="003072A9">
      <w:pPr>
        <w:spacing w:after="0" w:line="240" w:lineRule="auto"/>
        <w:jc w:val="center"/>
        <w:rPr>
          <w:rFonts w:ascii="Times New Roman" w:hAnsi="Times New Roman" w:cs="Times New Roman"/>
          <w:b/>
          <w:lang w:val="es-MX"/>
        </w:rPr>
      </w:pPr>
      <w:r w:rsidRPr="00FF4E1B">
        <w:rPr>
          <w:rFonts w:ascii="Times New Roman" w:hAnsi="Times New Roman" w:cs="Times New Roman"/>
          <w:b/>
          <w:lang w:val="es-MX"/>
        </w:rPr>
        <w:t>Recaudación tributaria</w:t>
      </w:r>
    </w:p>
    <w:p w:rsidR="003072A9" w:rsidRPr="000A2F67" w:rsidRDefault="003072A9" w:rsidP="003072A9">
      <w:pPr>
        <w:spacing w:after="0" w:line="240" w:lineRule="auto"/>
        <w:jc w:val="center"/>
        <w:rPr>
          <w:rFonts w:ascii="Times New Roman" w:hAnsi="Times New Roman" w:cs="Times New Roman"/>
          <w:sz w:val="18"/>
          <w:lang w:val="es-MX"/>
        </w:rPr>
      </w:pPr>
      <w:r w:rsidRPr="000A2F67">
        <w:rPr>
          <w:rFonts w:ascii="Times New Roman" w:hAnsi="Times New Roman" w:cs="Times New Roman"/>
          <w:sz w:val="18"/>
          <w:lang w:val="es-MX"/>
        </w:rPr>
        <w:t>Millones de quetzales</w:t>
      </w:r>
    </w:p>
    <w:p w:rsidR="003072A9" w:rsidRDefault="003072A9" w:rsidP="003072A9">
      <w:pPr>
        <w:spacing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39A5AB0B" wp14:editId="239FA91A">
            <wp:extent cx="2805953" cy="3756212"/>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2F67" w:rsidRPr="000A2F67" w:rsidRDefault="003072A9" w:rsidP="000A2F67">
      <w:pPr>
        <w:spacing w:after="0" w:line="240" w:lineRule="auto"/>
        <w:jc w:val="both"/>
        <w:rPr>
          <w:rFonts w:ascii="Times New Roman" w:hAnsi="Times New Roman" w:cs="Times New Roman"/>
          <w:sz w:val="16"/>
          <w:lang w:val="es-MX"/>
        </w:rPr>
      </w:pPr>
      <w:r w:rsidRPr="000A2F67">
        <w:rPr>
          <w:rFonts w:ascii="Times New Roman" w:hAnsi="Times New Roman" w:cs="Times New Roman"/>
          <w:sz w:val="16"/>
          <w:lang w:val="es-MX"/>
        </w:rPr>
        <w:t>Fuente: Dirección de Análisis y Política Fiscal</w:t>
      </w:r>
    </w:p>
    <w:p w:rsidR="000A2F67" w:rsidRPr="000B0FDA" w:rsidRDefault="000A2F67" w:rsidP="000A2F67">
      <w:pPr>
        <w:pStyle w:val="Sinespaciado"/>
        <w:jc w:val="both"/>
        <w:rPr>
          <w:rFonts w:ascii="Times New Roman" w:hAnsi="Times New Roman" w:cs="Times New Roman"/>
          <w:color w:val="FF0000"/>
          <w:sz w:val="18"/>
          <w:szCs w:val="18"/>
          <w:lang w:val="es-MX"/>
        </w:rPr>
      </w:pPr>
    </w:p>
    <w:p w:rsidR="000A2F67" w:rsidRPr="000B0FDA" w:rsidRDefault="000A2F67" w:rsidP="000A2F67">
      <w:pPr>
        <w:pStyle w:val="Sinespaciado"/>
        <w:jc w:val="both"/>
        <w:rPr>
          <w:rFonts w:ascii="Times New Roman" w:hAnsi="Times New Roman" w:cs="Times New Roman"/>
          <w:color w:val="FF0000"/>
          <w:lang w:val="es-MX"/>
        </w:rPr>
        <w:sectPr w:rsidR="000A2F67" w:rsidRPr="000B0FDA" w:rsidSect="00374D44">
          <w:headerReference w:type="default" r:id="rId18"/>
          <w:footerReference w:type="default" r:id="rId19"/>
          <w:type w:val="continuous"/>
          <w:pgSz w:w="12240" w:h="15840" w:code="1"/>
          <w:pgMar w:top="1418" w:right="1418" w:bottom="1418" w:left="1701" w:header="709" w:footer="709" w:gutter="0"/>
          <w:cols w:num="2" w:space="708"/>
          <w:docGrid w:linePitch="360"/>
        </w:sectPr>
      </w:pPr>
    </w:p>
    <w:p w:rsidR="000A2F67" w:rsidRPr="000B0FDA" w:rsidRDefault="000A2F67" w:rsidP="00674EAE">
      <w:pPr>
        <w:pStyle w:val="Sinespaciado"/>
        <w:jc w:val="both"/>
        <w:rPr>
          <w:rFonts w:ascii="Times New Roman" w:hAnsi="Times New Roman" w:cs="Times New Roman"/>
          <w:color w:val="FF0000"/>
          <w:sz w:val="18"/>
          <w:szCs w:val="18"/>
          <w:lang w:val="es-MX"/>
        </w:rPr>
        <w:sectPr w:rsidR="000A2F67" w:rsidRPr="000B0FDA" w:rsidSect="005A03A9">
          <w:type w:val="continuous"/>
          <w:pgSz w:w="12240" w:h="15840"/>
          <w:pgMar w:top="1417" w:right="1701" w:bottom="1417" w:left="1701" w:header="708" w:footer="708" w:gutter="0"/>
          <w:cols w:num="2" w:space="708"/>
          <w:docGrid w:linePitch="360"/>
        </w:sectPr>
      </w:pPr>
    </w:p>
    <w:p w:rsidR="00FA3B81" w:rsidRPr="000B0FDA" w:rsidRDefault="00AF68D3"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0B0FDA" w:rsidSect="00FA3B81">
          <w:headerReference w:type="default" r:id="rId20"/>
          <w:footerReference w:type="default" r:id="rId21"/>
          <w:type w:val="continuous"/>
          <w:pgSz w:w="12240" w:h="15840" w:code="1"/>
          <w:pgMar w:top="1418" w:right="1418" w:bottom="1418" w:left="1418" w:header="709" w:footer="709" w:gutter="0"/>
          <w:cols w:space="708"/>
          <w:docGrid w:linePitch="360"/>
        </w:sectPr>
      </w:pPr>
      <w:r w:rsidRPr="000B0FDA">
        <w:rPr>
          <w:rFonts w:ascii="Times New Roman" w:hAnsi="Times New Roman" w:cs="Times New Roman"/>
          <w:b/>
          <w:lang w:val="es-MX"/>
        </w:rPr>
        <w:lastRenderedPageBreak/>
        <w:t>E</w:t>
      </w:r>
      <w:r w:rsidR="000B0FDA" w:rsidRPr="000B0FDA">
        <w:rPr>
          <w:rFonts w:ascii="Times New Roman" w:hAnsi="Times New Roman" w:cs="Times New Roman"/>
          <w:b/>
          <w:lang w:val="es-MX"/>
        </w:rPr>
        <w:t>l gasto público aumenta aunque el grado de ejecución de cuota financiera es bajo</w:t>
      </w:r>
    </w:p>
    <w:p w:rsidR="00FA3B81" w:rsidRPr="000B0FDA" w:rsidRDefault="00FA3B81" w:rsidP="00FA3B81">
      <w:pPr>
        <w:pStyle w:val="Sinespaciado"/>
        <w:rPr>
          <w:rFonts w:ascii="Times New Roman" w:hAnsi="Times New Roman" w:cs="Times New Roman"/>
          <w:b/>
          <w:color w:val="FF0000"/>
          <w:sz w:val="18"/>
          <w:lang w:val="es-MX"/>
        </w:rPr>
      </w:pPr>
    </w:p>
    <w:p w:rsidR="00FA3B81" w:rsidRPr="000B0FDA" w:rsidRDefault="00FA3B81" w:rsidP="00FA3B81">
      <w:pPr>
        <w:pStyle w:val="Sinespaciado"/>
        <w:jc w:val="center"/>
        <w:rPr>
          <w:rFonts w:ascii="Times New Roman" w:hAnsi="Times New Roman" w:cs="Times New Roman"/>
          <w:b/>
          <w:color w:val="FF0000"/>
          <w:lang w:val="es-MX"/>
        </w:rPr>
        <w:sectPr w:rsidR="00FA3B81" w:rsidRPr="000B0FDA" w:rsidSect="004E358C">
          <w:type w:val="continuous"/>
          <w:pgSz w:w="12240" w:h="15840"/>
          <w:pgMar w:top="1417" w:right="1701" w:bottom="1417" w:left="1701" w:header="708" w:footer="708" w:gutter="0"/>
          <w:cols w:space="708"/>
          <w:docGrid w:linePitch="360"/>
        </w:sectPr>
      </w:pP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En mayo el gasto público volvió a mostrar un ritmo de ejecución acelerado, debido principalmente a la aprobación de cuotas financieras, ya que un alto componente de las solicitudes de las instituciones fueron atendidas y aprobadas por parte de la COPEP, lo que brinda un mayor margen de maniobra  para la ejecución de las entidades, además apoya  el </w:t>
      </w:r>
      <w:r>
        <w:rPr>
          <w:rFonts w:ascii="Times New Roman" w:hAnsi="Times New Roman" w:cs="Times New Roman"/>
          <w:lang w:val="es-MX"/>
        </w:rPr>
        <w:lastRenderedPageBreak/>
        <w:t>cumplimiento de las metas estratégicas e institucionales.</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 xml:space="preserve">De esa cuenta,  al 31 de mayo de 2017, el nivel de ejecución gasto público se situó en  </w:t>
      </w:r>
      <w:r w:rsidR="000A2F67">
        <w:rPr>
          <w:rFonts w:ascii="Times New Roman" w:hAnsi="Times New Roman" w:cs="Times New Roman"/>
          <w:lang w:val="es-MX"/>
        </w:rPr>
        <w:t xml:space="preserve">            </w:t>
      </w:r>
      <w:r>
        <w:rPr>
          <w:rFonts w:ascii="Times New Roman" w:hAnsi="Times New Roman" w:cs="Times New Roman"/>
          <w:lang w:val="es-MX"/>
        </w:rPr>
        <w:t>Q</w:t>
      </w:r>
      <w:r w:rsidR="000A2F67">
        <w:rPr>
          <w:rFonts w:ascii="Times New Roman" w:hAnsi="Times New Roman" w:cs="Times New Roman"/>
          <w:lang w:val="es-MX"/>
        </w:rPr>
        <w:t xml:space="preserve"> </w:t>
      </w:r>
      <w:r>
        <w:rPr>
          <w:rFonts w:ascii="Times New Roman" w:hAnsi="Times New Roman" w:cs="Times New Roman"/>
          <w:lang w:val="es-MX"/>
        </w:rPr>
        <w:t>24,368.3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9.2</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al cierre de mayo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6, la cual a </w:t>
      </w:r>
      <w:r>
        <w:rPr>
          <w:rFonts w:ascii="Times New Roman" w:hAnsi="Times New Roman" w:cs="Times New Roman"/>
          <w:lang w:val="es-MX"/>
        </w:rPr>
        <w:lastRenderedPageBreak/>
        <w:t xml:space="preserve">esta misma fecha  esta variación era negativa en 10.9%. </w:t>
      </w:r>
    </w:p>
    <w:p w:rsidR="000A2F67" w:rsidRDefault="000A2F67" w:rsidP="000B0FDA">
      <w:pPr>
        <w:pStyle w:val="Sinespaciado"/>
        <w:jc w:val="both"/>
        <w:rPr>
          <w:rFonts w:ascii="Times New Roman" w:hAnsi="Times New Roman" w:cs="Times New Roman"/>
          <w:lang w:val="es-MX"/>
        </w:rPr>
      </w:pPr>
    </w:p>
    <w:p w:rsidR="000B0FDA" w:rsidRPr="009D459C" w:rsidRDefault="000B0FDA" w:rsidP="000B0FDA">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0B0FDA" w:rsidRPr="009D459C" w:rsidRDefault="000B0FDA" w:rsidP="000B0FDA">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r>
        <w:rPr>
          <w:rFonts w:ascii="Times New Roman" w:hAnsi="Times New Roman" w:cs="Times New Roman"/>
          <w:sz w:val="18"/>
          <w:lang w:val="es-MX"/>
        </w:rPr>
        <w:t xml:space="preserve"> Acumulada</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522D88E" wp14:editId="24DA6CFF">
            <wp:extent cx="2663685" cy="2047461"/>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5956" cy="2049207"/>
                    </a:xfrm>
                    <a:prstGeom prst="rect">
                      <a:avLst/>
                    </a:prstGeom>
                    <a:noFill/>
                  </pic:spPr>
                </pic:pic>
              </a:graphicData>
            </a:graphic>
          </wp:inline>
        </w:drawing>
      </w:r>
    </w:p>
    <w:p w:rsidR="000B0FDA" w:rsidRDefault="000B0FDA" w:rsidP="000B0FDA">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B0FDA" w:rsidRPr="009D459C" w:rsidRDefault="000B0FDA" w:rsidP="000B0FDA">
      <w:pPr>
        <w:pStyle w:val="Sinespaciado"/>
        <w:jc w:val="both"/>
        <w:rPr>
          <w:rFonts w:ascii="Times New Roman" w:hAnsi="Times New Roman" w:cs="Times New Roman"/>
        </w:r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t>Sin embargo, hay un aspecto importante a destacar, si bien la ejecución muestra mayor dinamismo al compararla con la cuota financiera aprobada para mayo, dicha ejecución pudo ser mayo dada la disponibilidad de recursos y espacio que tenían las entidades para gastar en este mes, lo cual se evidencia con el grado de ejecución de la cuota, la cual fue de 89.2%, es decir de un cupo autorizado para gastar de Q</w:t>
      </w:r>
      <w:r w:rsidR="000A2F67">
        <w:rPr>
          <w:rFonts w:ascii="Times New Roman" w:hAnsi="Times New Roman" w:cs="Times New Roman"/>
        </w:rPr>
        <w:t xml:space="preserve"> </w:t>
      </w:r>
      <w:r>
        <w:rPr>
          <w:rFonts w:ascii="Times New Roman" w:hAnsi="Times New Roman" w:cs="Times New Roman"/>
        </w:rPr>
        <w:t>6,201.3 millones, las entidades ejecutaron Q</w:t>
      </w:r>
      <w:r w:rsidR="000A2F67">
        <w:rPr>
          <w:rFonts w:ascii="Times New Roman" w:hAnsi="Times New Roman" w:cs="Times New Roman"/>
        </w:rPr>
        <w:t xml:space="preserve"> </w:t>
      </w:r>
      <w:r>
        <w:rPr>
          <w:rFonts w:ascii="Times New Roman" w:hAnsi="Times New Roman" w:cs="Times New Roman"/>
        </w:rPr>
        <w:t>5,531.9 millones, posponiendo para los tres meses siguientes cerca de Q</w:t>
      </w:r>
      <w:r w:rsidR="000A2F67">
        <w:rPr>
          <w:rFonts w:ascii="Times New Roman" w:hAnsi="Times New Roman" w:cs="Times New Roman"/>
        </w:rPr>
        <w:t xml:space="preserve"> </w:t>
      </w:r>
      <w:r>
        <w:rPr>
          <w:rFonts w:ascii="Times New Roman" w:hAnsi="Times New Roman" w:cs="Times New Roman"/>
        </w:rPr>
        <w:t xml:space="preserve">670 millones.  </w:t>
      </w:r>
    </w:p>
    <w:p w:rsidR="000B0FDA" w:rsidRDefault="000B0FDA" w:rsidP="000B0FDA">
      <w:pPr>
        <w:pStyle w:val="Sinespaciado"/>
        <w:jc w:val="both"/>
        <w:rPr>
          <w:rFonts w:ascii="Times New Roman" w:hAnsi="Times New Roman" w:cs="Times New Roman"/>
        </w:r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t xml:space="preserve">Es por ello que el porcentaje de ejecución de la cuota financiera de mayo, es el más bajo en lo que va del año, esto puede deberse a que las entidades, en este año, tienen la opción de gastar el monto no ejecutado en el siguiente mes dentro de un mismo cuatrimestre, por lo que optan por regularizar o gestionar su disponibilidad con mayor holgura, como  ocurrió en el período enero – abril 2017.       </w:t>
      </w:r>
    </w:p>
    <w:p w:rsidR="000B0FDA" w:rsidRDefault="000B0FDA" w:rsidP="000A2F67">
      <w:pPr>
        <w:pStyle w:val="Sinespaciado"/>
        <w:rPr>
          <w:rFonts w:ascii="Times New Roman" w:hAnsi="Times New Roman" w:cs="Times New Roman"/>
          <w:b/>
          <w:lang w:val="es-MX"/>
        </w:rPr>
      </w:pPr>
    </w:p>
    <w:p w:rsidR="000A2F67" w:rsidRDefault="000A2F67" w:rsidP="000A2F67">
      <w:pPr>
        <w:pStyle w:val="Sinespaciado"/>
        <w:rPr>
          <w:rFonts w:ascii="Times New Roman" w:hAnsi="Times New Roman" w:cs="Times New Roman"/>
          <w:b/>
          <w:lang w:val="es-MX"/>
        </w:rPr>
      </w:pPr>
    </w:p>
    <w:p w:rsidR="000B0FDA" w:rsidRDefault="000B0FDA" w:rsidP="000B0FDA">
      <w:pPr>
        <w:pStyle w:val="Sinespaciado"/>
        <w:jc w:val="center"/>
        <w:rPr>
          <w:rFonts w:ascii="Times New Roman" w:hAnsi="Times New Roman" w:cs="Times New Roman"/>
          <w:b/>
          <w:lang w:val="es-MX"/>
        </w:rPr>
      </w:pPr>
      <w:r>
        <w:rPr>
          <w:rFonts w:ascii="Times New Roman" w:hAnsi="Times New Roman" w:cs="Times New Roman"/>
          <w:b/>
          <w:lang w:val="es-MX"/>
        </w:rPr>
        <w:lastRenderedPageBreak/>
        <w:t>Porcentaje de Ejecución de Cuota Financiera</w:t>
      </w:r>
    </w:p>
    <w:p w:rsidR="000B0FDA" w:rsidRPr="000A2F67" w:rsidRDefault="000B0FDA" w:rsidP="000A2F67">
      <w:pPr>
        <w:pStyle w:val="Sinespaciado"/>
        <w:jc w:val="center"/>
        <w:rPr>
          <w:rFonts w:ascii="Times New Roman" w:hAnsi="Times New Roman" w:cs="Times New Roman"/>
          <w:sz w:val="18"/>
          <w:lang w:val="es-MX"/>
        </w:rPr>
      </w:pPr>
      <w:r w:rsidRPr="00F23B59">
        <w:rPr>
          <w:rFonts w:ascii="Times New Roman" w:hAnsi="Times New Roman" w:cs="Times New Roman"/>
          <w:sz w:val="18"/>
          <w:lang w:val="es-MX"/>
        </w:rPr>
        <w:t xml:space="preserve">Enero – Mayo 2017 </w:t>
      </w:r>
    </w:p>
    <w:p w:rsidR="000B0FDA" w:rsidRDefault="000B0FDA" w:rsidP="000B0FDA">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6A9428F5" wp14:editId="50F4334B">
            <wp:extent cx="2673626" cy="15505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3056" cy="1550173"/>
                    </a:xfrm>
                    <a:prstGeom prst="rect">
                      <a:avLst/>
                    </a:prstGeom>
                    <a:noFill/>
                  </pic:spPr>
                </pic:pic>
              </a:graphicData>
            </a:graphic>
          </wp:inline>
        </w:drawing>
      </w:r>
    </w:p>
    <w:p w:rsidR="000B0FDA" w:rsidRDefault="000B0FDA" w:rsidP="000B0FDA">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B0FDA" w:rsidRPr="0095506C" w:rsidRDefault="000B0FDA" w:rsidP="000B0FDA">
      <w:pPr>
        <w:pStyle w:val="Sinespaciado"/>
        <w:jc w:val="both"/>
        <w:rPr>
          <w:rFonts w:ascii="Times New Roman" w:hAnsi="Times New Roman" w:cs="Times New Roman"/>
          <w:sz w:val="18"/>
        </w:r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t>Dado el comportamiento mostrado en el primer cuatrimestre  se esperaría que el grado de cumplimiento de la cuota financiera aumente de manera gradual, lo que apoyaría a una mayor ejecución presupuestaría.</w:t>
      </w:r>
    </w:p>
    <w:p w:rsidR="000B0FDA" w:rsidRPr="0095506C" w:rsidRDefault="000B0FDA" w:rsidP="000B0FDA">
      <w:pPr>
        <w:pStyle w:val="Sinespaciado"/>
        <w:jc w:val="both"/>
        <w:rPr>
          <w:rFonts w:ascii="Times New Roman" w:hAnsi="Times New Roman" w:cs="Times New Roman"/>
          <w:sz w:val="18"/>
        </w:rPr>
      </w:pPr>
      <w:r>
        <w:rPr>
          <w:rFonts w:ascii="Times New Roman" w:hAnsi="Times New Roman" w:cs="Times New Roman"/>
        </w:rPr>
        <w:t xml:space="preserve"> </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rPr>
        <w:t xml:space="preserve">Las entidades que mostraron menor ejecución en la cuota financiera de mayo fueron Desarrollo Social, Agricultura, Finanzas, Comunicaciones y Defensa.  Por su parte, las entidades que mayor ejecución mostraron fueron: Presidencia, Trabajo y Educación. </w:t>
      </w:r>
    </w:p>
    <w:p w:rsidR="000B0FDA" w:rsidRPr="0095506C" w:rsidRDefault="000B0FDA" w:rsidP="000B0FDA">
      <w:pPr>
        <w:pStyle w:val="Sinespaciado"/>
        <w:jc w:val="both"/>
        <w:rPr>
          <w:rFonts w:ascii="Times New Roman" w:hAnsi="Times New Roman" w:cs="Times New Roman"/>
          <w:sz w:val="18"/>
          <w:lang w:val="es-MX"/>
        </w:rPr>
      </w:pPr>
    </w:p>
    <w:p w:rsidR="000B0FDA" w:rsidRDefault="000B0FDA" w:rsidP="000B0FDA">
      <w:pPr>
        <w:pStyle w:val="Sinespaciado"/>
        <w:jc w:val="center"/>
        <w:rPr>
          <w:rFonts w:ascii="Times New Roman" w:hAnsi="Times New Roman" w:cs="Times New Roman"/>
          <w:b/>
          <w:lang w:val="es-MX"/>
        </w:rPr>
      </w:pPr>
      <w:r w:rsidRPr="0036338D">
        <w:rPr>
          <w:rFonts w:ascii="Times New Roman" w:hAnsi="Times New Roman" w:cs="Times New Roman"/>
          <w:b/>
          <w:lang w:val="es-MX"/>
        </w:rPr>
        <w:t>Incumplimiento de la Cuota Financiera</w:t>
      </w:r>
    </w:p>
    <w:p w:rsidR="000B0FDA" w:rsidRPr="00AE0895" w:rsidRDefault="000B0FDA" w:rsidP="000B0FDA">
      <w:pPr>
        <w:pStyle w:val="Sinespaciado"/>
        <w:jc w:val="center"/>
        <w:rPr>
          <w:rFonts w:ascii="Times New Roman" w:hAnsi="Times New Roman" w:cs="Times New Roman"/>
          <w:sz w:val="18"/>
          <w:lang w:val="es-MX"/>
        </w:rPr>
      </w:pPr>
      <w:r w:rsidRPr="00AE0895">
        <w:rPr>
          <w:rFonts w:ascii="Times New Roman" w:hAnsi="Times New Roman" w:cs="Times New Roman"/>
          <w:sz w:val="18"/>
          <w:lang w:val="es-MX"/>
        </w:rPr>
        <w:t>Al 31 de mayo de 2015</w:t>
      </w:r>
    </w:p>
    <w:p w:rsidR="000B0FDA" w:rsidRPr="00AE0895" w:rsidRDefault="000B0FDA" w:rsidP="000B0FDA">
      <w:pPr>
        <w:pStyle w:val="Sinespaciado"/>
        <w:jc w:val="center"/>
        <w:rPr>
          <w:rFonts w:ascii="Times New Roman" w:hAnsi="Times New Roman" w:cs="Times New Roman"/>
          <w:sz w:val="18"/>
          <w:lang w:val="es-MX"/>
        </w:rPr>
      </w:pPr>
      <w:r w:rsidRPr="00AE0895">
        <w:rPr>
          <w:rFonts w:ascii="Times New Roman" w:hAnsi="Times New Roman" w:cs="Times New Roman"/>
          <w:sz w:val="18"/>
          <w:lang w:val="es-MX"/>
        </w:rPr>
        <w:t>Porcentajes</w:t>
      </w:r>
    </w:p>
    <w:p w:rsidR="000B0FDA" w:rsidRDefault="000B0FDA" w:rsidP="000A2F67">
      <w:pPr>
        <w:pStyle w:val="Sinespaciado"/>
        <w:jc w:val="center"/>
        <w:rPr>
          <w:rFonts w:ascii="Times New Roman" w:hAnsi="Times New Roman" w:cs="Times New Roman"/>
          <w:lang w:val="es-MX"/>
        </w:rPr>
      </w:pPr>
      <w:r w:rsidRPr="008A4DA6">
        <w:rPr>
          <w:noProof/>
          <w:lang w:eastAsia="es-GT"/>
        </w:rPr>
        <w:drawing>
          <wp:inline distT="0" distB="0" distL="0" distR="0" wp14:anchorId="43609A7D" wp14:editId="6C1389DF">
            <wp:extent cx="2263360" cy="2510118"/>
            <wp:effectExtent l="0" t="0" r="381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8486" cy="2515803"/>
                    </a:xfrm>
                    <a:prstGeom prst="rect">
                      <a:avLst/>
                    </a:prstGeom>
                    <a:noFill/>
                    <a:ln>
                      <a:noFill/>
                    </a:ln>
                  </pic:spPr>
                </pic:pic>
              </a:graphicData>
            </a:graphic>
          </wp:inline>
        </w:drawing>
      </w:r>
    </w:p>
    <w:p w:rsidR="000B0FDA" w:rsidRDefault="0095506C" w:rsidP="000B0FDA">
      <w:pPr>
        <w:pStyle w:val="Sinespaciado"/>
        <w:jc w:val="both"/>
        <w:rPr>
          <w:rFonts w:ascii="Times New Roman" w:hAnsi="Times New Roman" w:cs="Times New Roman"/>
          <w:sz w:val="16"/>
        </w:rPr>
      </w:pPr>
      <w:r>
        <w:rPr>
          <w:rFonts w:ascii="Times New Roman" w:hAnsi="Times New Roman" w:cs="Times New Roman"/>
          <w:sz w:val="16"/>
        </w:rPr>
        <w:t xml:space="preserve">    </w:t>
      </w:r>
      <w:r w:rsidR="000B0FDA">
        <w:rPr>
          <w:rFonts w:ascii="Times New Roman" w:hAnsi="Times New Roman" w:cs="Times New Roman"/>
          <w:sz w:val="16"/>
        </w:rPr>
        <w:t xml:space="preserve">Fuente: </w:t>
      </w:r>
      <w:r w:rsidR="000B0FDA" w:rsidRPr="006F1F3C">
        <w:rPr>
          <w:rFonts w:ascii="Times New Roman" w:hAnsi="Times New Roman" w:cs="Times New Roman"/>
          <w:sz w:val="16"/>
        </w:rPr>
        <w:t xml:space="preserve">Dirección de Análisis </w:t>
      </w:r>
      <w:r w:rsidR="000B0FDA">
        <w:rPr>
          <w:rFonts w:ascii="Times New Roman" w:hAnsi="Times New Roman" w:cs="Times New Roman"/>
          <w:sz w:val="16"/>
        </w:rPr>
        <w:t>y Política Fiscal</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A nivel de cuenta económica,  el principal aumento en la ejecución acumulada interanual a mayo 2016-2017 se da en el rubro de las transferencias corrientes y de capital  al sector público, las cuales aumentan en conjunto </w:t>
      </w:r>
      <w:r w:rsidR="000A2F67">
        <w:rPr>
          <w:rFonts w:ascii="Times New Roman" w:hAnsi="Times New Roman" w:cs="Times New Roman"/>
          <w:lang w:val="es-MX"/>
        </w:rPr>
        <w:t xml:space="preserve">       </w:t>
      </w:r>
      <w:r>
        <w:rPr>
          <w:rFonts w:ascii="Times New Roman" w:hAnsi="Times New Roman" w:cs="Times New Roman"/>
          <w:lang w:val="es-MX"/>
        </w:rPr>
        <w:t>Q</w:t>
      </w:r>
      <w:r w:rsidR="000A2F67">
        <w:rPr>
          <w:rFonts w:ascii="Times New Roman" w:hAnsi="Times New Roman" w:cs="Times New Roman"/>
          <w:lang w:val="es-MX"/>
        </w:rPr>
        <w:t xml:space="preserve"> </w:t>
      </w:r>
      <w:r>
        <w:rPr>
          <w:rFonts w:ascii="Times New Roman" w:hAnsi="Times New Roman" w:cs="Times New Roman"/>
          <w:lang w:val="es-MX"/>
        </w:rPr>
        <w:t>1,760.2 millones.  En el caso de los aportes corrientes  está fundamentado principalmente por el aumento en los aportes a las entidades de justicias (MP, OJ, CC, INACIF, entre otras), la Universidad de San Carlos y en el caso de los aportes de capital a las municipalidades, Consejos de Desarrollo y el aporte al FIDEMUNI.</w:t>
      </w:r>
    </w:p>
    <w:p w:rsidR="000B0FDA" w:rsidRDefault="000B0FDA" w:rsidP="000B0FDA">
      <w:pPr>
        <w:pStyle w:val="Sinespaciado"/>
        <w:jc w:val="both"/>
        <w:rPr>
          <w:rFonts w:ascii="Times New Roman" w:hAnsi="Times New Roman" w:cs="Times New Roman"/>
          <w:lang w:val="es-MX"/>
        </w:rPr>
      </w:pP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Asimismo, las remuneraciones muestran un aumento interanual de Q</w:t>
      </w:r>
      <w:r w:rsidR="000A2F67">
        <w:rPr>
          <w:rFonts w:ascii="Times New Roman" w:hAnsi="Times New Roman" w:cs="Times New Roman"/>
          <w:lang w:val="es-MX"/>
        </w:rPr>
        <w:t xml:space="preserve"> </w:t>
      </w:r>
      <w:r>
        <w:rPr>
          <w:rFonts w:ascii="Times New Roman" w:hAnsi="Times New Roman" w:cs="Times New Roman"/>
          <w:lang w:val="es-MX"/>
        </w:rPr>
        <w:t>285.0 millones, motivado principalmente por un ajuste salarial y un aumento de personal efectuado en el Ministerio de Gobernación.  El otro rubro que mostró un aumento en la ejecución fueron las pensiones y jubilaciones del Estado derivadas del incremento que estas tuvieron el año pasado, principalmente a los pensionados que tienen aportes menores al salario mínimo.</w:t>
      </w:r>
    </w:p>
    <w:p w:rsidR="000B0FDA" w:rsidRDefault="000B0FDA" w:rsidP="000B0FDA">
      <w:pPr>
        <w:pStyle w:val="Sinespaciado"/>
        <w:jc w:val="both"/>
        <w:rPr>
          <w:rFonts w:ascii="Times New Roman" w:hAnsi="Times New Roman" w:cs="Times New Roman"/>
          <w:lang w:val="es-MX"/>
        </w:rPr>
      </w:pP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La inversión real directa, si bien muestra una ejecución por encima de lo observado a mayo de 2016 (Q</w:t>
      </w:r>
      <w:r w:rsidR="000A2F67">
        <w:rPr>
          <w:rFonts w:ascii="Times New Roman" w:hAnsi="Times New Roman" w:cs="Times New Roman"/>
          <w:lang w:val="es-MX"/>
        </w:rPr>
        <w:t xml:space="preserve"> </w:t>
      </w:r>
      <w:r>
        <w:rPr>
          <w:rFonts w:ascii="Times New Roman" w:hAnsi="Times New Roman" w:cs="Times New Roman"/>
          <w:lang w:val="es-MX"/>
        </w:rPr>
        <w:t>142.1 millones), apenas se ha ejecutado el 6.8% de su presupuesto.</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Por otro lado, el rubro de gasto con una ejecución menor a la experimentada en 2016, son los bienes y servicios (menor en Q</w:t>
      </w:r>
      <w:r w:rsidR="000A2F67">
        <w:rPr>
          <w:rFonts w:ascii="Times New Roman" w:hAnsi="Times New Roman" w:cs="Times New Roman"/>
          <w:lang w:val="es-MX"/>
        </w:rPr>
        <w:t xml:space="preserve"> </w:t>
      </w:r>
      <w:r>
        <w:rPr>
          <w:rFonts w:ascii="Times New Roman" w:hAnsi="Times New Roman" w:cs="Times New Roman"/>
          <w:lang w:val="es-MX"/>
        </w:rPr>
        <w:t xml:space="preserve">420.0 millones)  principalmente asociado a la baja ejecución en ministerios como, salud, gobernación,  comunicaciones, entre otros.   </w:t>
      </w:r>
    </w:p>
    <w:p w:rsidR="000B0FDA" w:rsidRDefault="000B0FDA" w:rsidP="000B0FDA">
      <w:pPr>
        <w:pStyle w:val="Sinespaciado"/>
        <w:jc w:val="both"/>
        <w:rPr>
          <w:rFonts w:ascii="Times New Roman" w:hAnsi="Times New Roman" w:cs="Times New Roman"/>
          <w:lang w:val="es-MX"/>
        </w:rPr>
      </w:pP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Por su parte, el gasto social realizado en los sectores de educación, salud y vivienda se ubica al cierre de mayo de 2017 en Q</w:t>
      </w:r>
      <w:r w:rsidR="000A2F67">
        <w:rPr>
          <w:rFonts w:ascii="Times New Roman" w:hAnsi="Times New Roman" w:cs="Times New Roman"/>
          <w:lang w:val="es-MX"/>
        </w:rPr>
        <w:t xml:space="preserve"> </w:t>
      </w:r>
      <w:r>
        <w:rPr>
          <w:rFonts w:ascii="Times New Roman" w:hAnsi="Times New Roman" w:cs="Times New Roman"/>
          <w:lang w:val="es-MX"/>
        </w:rPr>
        <w:t xml:space="preserve">9,039.1 millones, que representa un grado de ejecución presupuestaria de 30.8%, este nivel, como se observa está por debajo de la ejecución institucional (33.2%) debido a que el sector </w:t>
      </w:r>
      <w:r>
        <w:rPr>
          <w:rFonts w:ascii="Times New Roman" w:hAnsi="Times New Roman" w:cs="Times New Roman"/>
          <w:lang w:val="es-MX"/>
        </w:rPr>
        <w:lastRenderedPageBreak/>
        <w:t>salud y asistencia social sigue mostrando a la fecha una baja ejecución, no así los otros sectores que muestran porcentajes de ejecución por arriba del 34%.</w:t>
      </w:r>
    </w:p>
    <w:p w:rsidR="000B0FDA" w:rsidRDefault="000B0FDA" w:rsidP="000B0FDA">
      <w:pPr>
        <w:pStyle w:val="Sinespaciado"/>
        <w:jc w:val="both"/>
        <w:rPr>
          <w:rFonts w:ascii="Times New Roman" w:hAnsi="Times New Roman" w:cs="Times New Roman"/>
          <w:lang w:val="es-MX"/>
        </w:rPr>
      </w:pP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 xml:space="preserve">Al observar el gasto de los Acuerdos de Paz (gasto social más gasto en seguridad ciudadana y entidades de justicia) el gasto aumenta a </w:t>
      </w:r>
      <w:r w:rsidR="000A2F67">
        <w:rPr>
          <w:rFonts w:ascii="Times New Roman" w:hAnsi="Times New Roman" w:cs="Times New Roman"/>
          <w:lang w:val="es-MX"/>
        </w:rPr>
        <w:t xml:space="preserve">      </w:t>
      </w:r>
      <w:r>
        <w:rPr>
          <w:rFonts w:ascii="Times New Roman" w:hAnsi="Times New Roman" w:cs="Times New Roman"/>
          <w:lang w:val="es-MX"/>
        </w:rPr>
        <w:t>Q</w:t>
      </w:r>
      <w:r w:rsidR="000A2F67">
        <w:rPr>
          <w:rFonts w:ascii="Times New Roman" w:hAnsi="Times New Roman" w:cs="Times New Roman"/>
          <w:lang w:val="es-MX"/>
        </w:rPr>
        <w:t xml:space="preserve"> </w:t>
      </w:r>
      <w:r>
        <w:rPr>
          <w:rFonts w:ascii="Times New Roman" w:hAnsi="Times New Roman" w:cs="Times New Roman"/>
          <w:lang w:val="es-MX"/>
        </w:rPr>
        <w:t>12,264.1 millones, con un grado de ejecución de 31.3%, lo que resalta es el aporte a las entidades como el Ministerio Público, Organismo Judicial y la Corte de Constitucionalidad que tienen altos grados de ejecución, lo cual evidencia el cumplimiento oportuno en el pago de dicho aportes.  Por su parte, el sector de  seguridad interna muestra un menor desempeño en el uso de su asignación presupuestaria ya que tiene un grado de ejecución de 27.5%.</w:t>
      </w:r>
    </w:p>
    <w:p w:rsidR="000B0FDA" w:rsidRDefault="000B0FDA" w:rsidP="000B0FDA">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B0FDA" w:rsidRPr="005531F6" w:rsidRDefault="000B0FDA" w:rsidP="000B0FDA">
      <w:pPr>
        <w:pStyle w:val="Sinespaciado"/>
        <w:jc w:val="center"/>
        <w:rPr>
          <w:rFonts w:ascii="Times New Roman" w:hAnsi="Times New Roman" w:cs="Times New Roman"/>
          <w:b/>
          <w:lang w:val="es-MX"/>
        </w:rPr>
      </w:pPr>
      <w:r w:rsidRPr="005531F6">
        <w:rPr>
          <w:rFonts w:ascii="Times New Roman" w:hAnsi="Times New Roman" w:cs="Times New Roman"/>
          <w:b/>
          <w:lang w:val="es-MX"/>
        </w:rPr>
        <w:t>Gasto de los Acuerdos de Paz</w:t>
      </w:r>
    </w:p>
    <w:p w:rsidR="000B0FDA" w:rsidRPr="005531F6" w:rsidRDefault="000B0FDA" w:rsidP="000B0FDA">
      <w:pPr>
        <w:pStyle w:val="Sinespaciado"/>
        <w:jc w:val="center"/>
        <w:rPr>
          <w:rFonts w:ascii="Times New Roman" w:hAnsi="Times New Roman" w:cs="Times New Roman"/>
          <w:b/>
          <w:sz w:val="20"/>
          <w:lang w:val="es-MX"/>
        </w:rPr>
      </w:pPr>
      <w:r w:rsidRPr="005531F6">
        <w:rPr>
          <w:rFonts w:ascii="Times New Roman" w:hAnsi="Times New Roman" w:cs="Times New Roman"/>
          <w:b/>
          <w:sz w:val="20"/>
          <w:lang w:val="es-MX"/>
        </w:rPr>
        <w:t>Presupuesto y Ejecución 2017</w:t>
      </w:r>
    </w:p>
    <w:p w:rsidR="000B0FDA" w:rsidRPr="000A2F67" w:rsidRDefault="000B0FDA" w:rsidP="000B0FDA">
      <w:pPr>
        <w:pStyle w:val="Sinespaciado"/>
        <w:jc w:val="center"/>
        <w:rPr>
          <w:rFonts w:ascii="Times New Roman" w:hAnsi="Times New Roman" w:cs="Times New Roman"/>
          <w:sz w:val="18"/>
          <w:lang w:val="es-MX"/>
        </w:rPr>
      </w:pPr>
      <w:r w:rsidRPr="000A2F67">
        <w:rPr>
          <w:rFonts w:ascii="Times New Roman" w:hAnsi="Times New Roman" w:cs="Times New Roman"/>
          <w:sz w:val="18"/>
          <w:lang w:val="es-MX"/>
        </w:rPr>
        <w:t>-Millones de quetzales-</w:t>
      </w:r>
    </w:p>
    <w:p w:rsidR="000B0FDA" w:rsidRDefault="000B0FDA" w:rsidP="000B0FDA">
      <w:pPr>
        <w:pStyle w:val="Sinespaciado"/>
        <w:jc w:val="both"/>
        <w:rPr>
          <w:noProof/>
          <w:lang w:eastAsia="es-GT"/>
        </w:rPr>
      </w:pPr>
      <w:r w:rsidRPr="00DB0CFC">
        <w:rPr>
          <w:noProof/>
          <w:lang w:eastAsia="es-GT"/>
        </w:rPr>
        <w:drawing>
          <wp:inline distT="0" distB="0" distL="0" distR="0" wp14:anchorId="449D0F65" wp14:editId="5864785F">
            <wp:extent cx="2662518" cy="1837732"/>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1940" cy="1837333"/>
                    </a:xfrm>
                    <a:prstGeom prst="rect">
                      <a:avLst/>
                    </a:prstGeom>
                    <a:noFill/>
                    <a:ln>
                      <a:noFill/>
                    </a:ln>
                  </pic:spPr>
                </pic:pic>
              </a:graphicData>
            </a:graphic>
          </wp:inline>
        </w:drawing>
      </w:r>
    </w:p>
    <w:p w:rsidR="000B0FDA" w:rsidRDefault="000B0FDA" w:rsidP="000B0FDA">
      <w:pPr>
        <w:pStyle w:val="Sinespaciado"/>
        <w:jc w:val="both"/>
        <w:rPr>
          <w:rFonts w:ascii="Times New Roman" w:hAnsi="Times New Roman" w:cs="Times New Roman"/>
          <w:sz w:val="16"/>
        </w:rPr>
      </w:pPr>
      <w:r>
        <w:rPr>
          <w:rFonts w:ascii="Times New Roman" w:hAnsi="Times New Roman" w:cs="Times New Roman"/>
          <w:lang w:val="es-MX"/>
        </w:rPr>
        <w:t xml:space="preserve"> </w:t>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804E1C" w:rsidRDefault="00804E1C"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Default="000A2F67" w:rsidP="00343A5D">
      <w:pPr>
        <w:pStyle w:val="Sinespaciado"/>
        <w:jc w:val="both"/>
        <w:rPr>
          <w:rFonts w:ascii="Times New Roman" w:hAnsi="Times New Roman" w:cs="Times New Roman"/>
          <w:color w:val="FF0000"/>
          <w:sz w:val="18"/>
          <w:szCs w:val="18"/>
          <w:lang w:val="es-MX"/>
        </w:rPr>
      </w:pPr>
    </w:p>
    <w:p w:rsidR="000A2F67" w:rsidRPr="000B0FDA" w:rsidRDefault="000A2F67" w:rsidP="00343A5D">
      <w:pPr>
        <w:pStyle w:val="Sinespaciado"/>
        <w:jc w:val="both"/>
        <w:rPr>
          <w:rFonts w:ascii="Times New Roman" w:hAnsi="Times New Roman" w:cs="Times New Roman"/>
          <w:color w:val="FF0000"/>
          <w:sz w:val="18"/>
          <w:szCs w:val="18"/>
          <w:lang w:val="es-MX"/>
        </w:rPr>
      </w:pPr>
    </w:p>
    <w:p w:rsidR="00804E1C" w:rsidRPr="000B0FDA" w:rsidRDefault="00804E1C" w:rsidP="007C0C8C">
      <w:pPr>
        <w:pStyle w:val="Sinespaciado"/>
        <w:jc w:val="both"/>
        <w:rPr>
          <w:rFonts w:ascii="Times New Roman" w:hAnsi="Times New Roman" w:cs="Times New Roman"/>
          <w:color w:val="FF0000"/>
          <w:lang w:val="es-MX"/>
        </w:rPr>
        <w:sectPr w:rsidR="00804E1C" w:rsidRPr="000B0FDA" w:rsidSect="00374D44">
          <w:headerReference w:type="default" r:id="rId26"/>
          <w:footerReference w:type="default" r:id="rId27"/>
          <w:type w:val="continuous"/>
          <w:pgSz w:w="12240" w:h="15840" w:code="1"/>
          <w:pgMar w:top="1418" w:right="1418" w:bottom="1418" w:left="1701" w:header="709" w:footer="709" w:gutter="0"/>
          <w:cols w:num="2" w:space="708"/>
          <w:docGrid w:linePitch="360"/>
        </w:sectPr>
      </w:pPr>
    </w:p>
    <w:p w:rsidR="00DD23C0" w:rsidRPr="000B0FDA" w:rsidRDefault="00DD23C0" w:rsidP="00BC7539">
      <w:pPr>
        <w:pStyle w:val="Sinespaciado"/>
        <w:jc w:val="both"/>
        <w:rPr>
          <w:rFonts w:ascii="Times New Roman" w:hAnsi="Times New Roman" w:cs="Times New Roman"/>
          <w:color w:val="FF0000"/>
          <w:lang w:val="es-MX"/>
        </w:rPr>
      </w:pPr>
    </w:p>
    <w:p w:rsidR="00F76491" w:rsidRPr="000B0FDA" w:rsidRDefault="000B0FDA"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0B0FDA" w:rsidSect="00FA3B81">
          <w:type w:val="continuous"/>
          <w:pgSz w:w="12240" w:h="15840" w:code="1"/>
          <w:pgMar w:top="1418" w:right="1418" w:bottom="1418" w:left="1418" w:header="709" w:footer="709" w:gutter="0"/>
          <w:cols w:space="708"/>
          <w:docGrid w:linePitch="360"/>
        </w:sectPr>
      </w:pPr>
      <w:r w:rsidRPr="000B0FDA">
        <w:rPr>
          <w:rFonts w:ascii="Times New Roman" w:hAnsi="Times New Roman" w:cs="Times New Roman"/>
          <w:b/>
          <w:lang w:val="es-MX"/>
        </w:rPr>
        <w:lastRenderedPageBreak/>
        <w:t>Exitosa c</w:t>
      </w:r>
      <w:r w:rsidR="00A9153A" w:rsidRPr="000B0FDA">
        <w:rPr>
          <w:rFonts w:ascii="Times New Roman" w:hAnsi="Times New Roman" w:cs="Times New Roman"/>
          <w:b/>
          <w:lang w:val="es-MX"/>
        </w:rPr>
        <w:t xml:space="preserve">olocación de </w:t>
      </w:r>
      <w:r w:rsidRPr="000B0FDA">
        <w:rPr>
          <w:rFonts w:ascii="Times New Roman" w:hAnsi="Times New Roman" w:cs="Times New Roman"/>
          <w:b/>
          <w:lang w:val="es-MX"/>
        </w:rPr>
        <w:t>Eurob</w:t>
      </w:r>
      <w:r w:rsidR="00A9153A" w:rsidRPr="000B0FDA">
        <w:rPr>
          <w:rFonts w:ascii="Times New Roman" w:hAnsi="Times New Roman" w:cs="Times New Roman"/>
          <w:b/>
          <w:lang w:val="es-MX"/>
        </w:rPr>
        <w:t xml:space="preserve">onos </w:t>
      </w:r>
    </w:p>
    <w:p w:rsidR="00F76491" w:rsidRPr="000B0FDA" w:rsidRDefault="00F76491" w:rsidP="00F76491">
      <w:pPr>
        <w:pStyle w:val="Sinespaciado"/>
        <w:rPr>
          <w:rFonts w:ascii="Times New Roman" w:hAnsi="Times New Roman" w:cs="Times New Roman"/>
          <w:b/>
          <w:color w:val="FF0000"/>
          <w:sz w:val="24"/>
          <w:lang w:val="es-MX"/>
        </w:rPr>
      </w:pPr>
    </w:p>
    <w:p w:rsidR="00F76491" w:rsidRPr="000B0FDA" w:rsidRDefault="00F76491" w:rsidP="00F76491">
      <w:pPr>
        <w:pStyle w:val="Sinespaciado"/>
        <w:rPr>
          <w:rFonts w:ascii="Times New Roman" w:hAnsi="Times New Roman" w:cs="Times New Roman"/>
          <w:b/>
          <w:color w:val="FF0000"/>
          <w:lang w:val="es-MX"/>
        </w:rPr>
        <w:sectPr w:rsidR="00F76491" w:rsidRPr="000B0FDA" w:rsidSect="004E358C">
          <w:type w:val="continuous"/>
          <w:pgSz w:w="12240" w:h="15840"/>
          <w:pgMar w:top="1417" w:right="1701" w:bottom="1417" w:left="1701" w:header="708" w:footer="708" w:gutter="0"/>
          <w:cols w:space="708"/>
          <w:docGrid w:linePitch="360"/>
        </w:sect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lastRenderedPageBreak/>
        <w:t>En cuanto a los recursos por endeudamiento que se han captado a mayo de 2017, es importante mencionar que a la fecha indicada, en concepto de préstamos externos, el financiamiento neto es negativo en Q</w:t>
      </w:r>
      <w:r w:rsidR="000A2F67">
        <w:rPr>
          <w:rFonts w:ascii="Times New Roman" w:hAnsi="Times New Roman" w:cs="Times New Roman"/>
        </w:rPr>
        <w:t xml:space="preserve"> </w:t>
      </w:r>
      <w:r>
        <w:rPr>
          <w:rFonts w:ascii="Times New Roman" w:hAnsi="Times New Roman" w:cs="Times New Roman"/>
        </w:rPr>
        <w:t>1,580.9 millones, debido a que solo se han recibido desembolsos por Q</w:t>
      </w:r>
      <w:r w:rsidR="000A2F67">
        <w:rPr>
          <w:rFonts w:ascii="Times New Roman" w:hAnsi="Times New Roman" w:cs="Times New Roman"/>
        </w:rPr>
        <w:t xml:space="preserve"> </w:t>
      </w:r>
      <w:r>
        <w:rPr>
          <w:rFonts w:ascii="Times New Roman" w:hAnsi="Times New Roman" w:cs="Times New Roman"/>
        </w:rPr>
        <w:t>42.1 millones, mientras que los pagos por amortizaciones de capital realizados ascienden a Q</w:t>
      </w:r>
      <w:r w:rsidR="000A2F67">
        <w:rPr>
          <w:rFonts w:ascii="Times New Roman" w:hAnsi="Times New Roman" w:cs="Times New Roman"/>
        </w:rPr>
        <w:t xml:space="preserve"> </w:t>
      </w:r>
      <w:r>
        <w:rPr>
          <w:rFonts w:ascii="Times New Roman" w:hAnsi="Times New Roman" w:cs="Times New Roman"/>
        </w:rPr>
        <w:t xml:space="preserve">1,318.8 millones. </w:t>
      </w:r>
    </w:p>
    <w:p w:rsidR="000B0FDA" w:rsidRDefault="000B0FDA" w:rsidP="000B0FDA">
      <w:pPr>
        <w:pStyle w:val="Sinespaciado"/>
        <w:jc w:val="both"/>
        <w:rPr>
          <w:rFonts w:ascii="Times New Roman" w:hAnsi="Times New Roman" w:cs="Times New Roman"/>
        </w:r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t xml:space="preserve">En lo que respecta a la emisión y colocación de Bonos del Tesoro, de los eventos realizados a la fecha  en el mercado nacional, se ha obtenido una demanda acumulada de </w:t>
      </w:r>
      <w:r w:rsidR="000A2F67">
        <w:rPr>
          <w:rFonts w:ascii="Times New Roman" w:hAnsi="Times New Roman" w:cs="Times New Roman"/>
        </w:rPr>
        <w:t xml:space="preserve">   </w:t>
      </w:r>
      <w:r>
        <w:rPr>
          <w:rFonts w:ascii="Times New Roman" w:hAnsi="Times New Roman" w:cs="Times New Roman"/>
        </w:rPr>
        <w:t>Q</w:t>
      </w:r>
      <w:r w:rsidR="000A2F67">
        <w:rPr>
          <w:rFonts w:ascii="Times New Roman" w:hAnsi="Times New Roman" w:cs="Times New Roman"/>
        </w:rPr>
        <w:t xml:space="preserve"> </w:t>
      </w:r>
      <w:r>
        <w:rPr>
          <w:rFonts w:ascii="Times New Roman" w:hAnsi="Times New Roman" w:cs="Times New Roman"/>
        </w:rPr>
        <w:t>20,288.5 millones y se adjudicaron un total de Q</w:t>
      </w:r>
      <w:r w:rsidR="000A2F67">
        <w:rPr>
          <w:rFonts w:ascii="Times New Roman" w:hAnsi="Times New Roman" w:cs="Times New Roman"/>
        </w:rPr>
        <w:t xml:space="preserve"> </w:t>
      </w:r>
      <w:r>
        <w:rPr>
          <w:rFonts w:ascii="Times New Roman" w:hAnsi="Times New Roman" w:cs="Times New Roman"/>
        </w:rPr>
        <w:t>4,976.4 millones, dichas colocaciones se han adjudicado a una tasa favorable (7.1% promedio ponderado) y a un plazo promedio de 14 años.</w:t>
      </w:r>
    </w:p>
    <w:p w:rsidR="000B0FDA" w:rsidRDefault="000B0FDA" w:rsidP="000B0FDA">
      <w:pPr>
        <w:pStyle w:val="Sinespaciado"/>
        <w:jc w:val="both"/>
        <w:rPr>
          <w:rFonts w:ascii="Times New Roman" w:hAnsi="Times New Roman" w:cs="Times New Roman"/>
        </w:r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t>Asimismo, en la última semana de mayo, se adjudicó una colocación de Bonos del Tesoro en el mercado internacional de capitales (Eurobonos) por la cantidad de US$</w:t>
      </w:r>
      <w:r w:rsidR="000A2F67">
        <w:rPr>
          <w:rFonts w:ascii="Times New Roman" w:hAnsi="Times New Roman" w:cs="Times New Roman"/>
        </w:rPr>
        <w:t xml:space="preserve"> </w:t>
      </w:r>
      <w:r>
        <w:rPr>
          <w:rFonts w:ascii="Times New Roman" w:hAnsi="Times New Roman" w:cs="Times New Roman"/>
        </w:rPr>
        <w:t>500.0 millones, la cual tuvo una demanda de aproximadamente US$</w:t>
      </w:r>
      <w:r w:rsidR="000A2F67">
        <w:rPr>
          <w:rFonts w:ascii="Times New Roman" w:hAnsi="Times New Roman" w:cs="Times New Roman"/>
        </w:rPr>
        <w:t xml:space="preserve"> </w:t>
      </w:r>
      <w:r>
        <w:rPr>
          <w:rFonts w:ascii="Times New Roman" w:hAnsi="Times New Roman" w:cs="Times New Roman"/>
        </w:rPr>
        <w:t xml:space="preserve">1,600.0 millones.   Dicha colocación se adjudicó a la tasa cupón más baja realizada desde que Guatemala emite este tipo de títulos (4.375%) cuyo </w:t>
      </w:r>
      <w:r>
        <w:rPr>
          <w:rFonts w:ascii="Times New Roman" w:hAnsi="Times New Roman" w:cs="Times New Roman"/>
        </w:rPr>
        <w:lastRenderedPageBreak/>
        <w:t xml:space="preserve">precio fue de 99.002% y el plazo de la colocación fue de 10 años.  </w:t>
      </w:r>
    </w:p>
    <w:p w:rsidR="000B0FDA" w:rsidRPr="00841322" w:rsidRDefault="000B0FDA" w:rsidP="000B0FDA">
      <w:pPr>
        <w:pStyle w:val="Sinespaciado"/>
        <w:jc w:val="both"/>
        <w:rPr>
          <w:rFonts w:ascii="Times New Roman" w:hAnsi="Times New Roman" w:cs="Times New Roman"/>
        </w:rPr>
      </w:pPr>
      <w:r w:rsidRPr="00841322">
        <w:rPr>
          <w:rFonts w:ascii="Times New Roman" w:hAnsi="Times New Roman" w:cs="Times New Roman"/>
        </w:rPr>
        <w:t xml:space="preserve">Es importante indicar </w:t>
      </w:r>
      <w:r>
        <w:rPr>
          <w:rFonts w:ascii="Times New Roman" w:hAnsi="Times New Roman" w:cs="Times New Roman"/>
        </w:rPr>
        <w:t>que el 05 de junio ingresará</w:t>
      </w:r>
      <w:r w:rsidRPr="00841322">
        <w:rPr>
          <w:rFonts w:ascii="Times New Roman" w:hAnsi="Times New Roman" w:cs="Times New Roman"/>
        </w:rPr>
        <w:t xml:space="preserve">n los recursos de dicha colocación </w:t>
      </w:r>
      <w:r>
        <w:rPr>
          <w:rFonts w:ascii="Times New Roman" w:hAnsi="Times New Roman" w:cs="Times New Roman"/>
        </w:rPr>
        <w:t>a</w:t>
      </w:r>
      <w:r w:rsidRPr="00841322">
        <w:rPr>
          <w:rFonts w:ascii="Times New Roman" w:hAnsi="Times New Roman" w:cs="Times New Roman"/>
        </w:rPr>
        <w:t xml:space="preserve"> las arcas del gobi</w:t>
      </w:r>
      <w:r>
        <w:rPr>
          <w:rFonts w:ascii="Times New Roman" w:hAnsi="Times New Roman" w:cs="Times New Roman"/>
        </w:rPr>
        <w:t>erno, por lo que esta operación aún no se registra como ingreso hasta que los recursos estén depositados en la cuenta respectiva en el Banco de Guatemala.</w:t>
      </w:r>
    </w:p>
    <w:p w:rsidR="000B0FDA" w:rsidRDefault="000B0FDA" w:rsidP="000B0FDA">
      <w:pPr>
        <w:pStyle w:val="Sinespaciado"/>
        <w:jc w:val="both"/>
        <w:rPr>
          <w:rFonts w:ascii="Times New Roman" w:hAnsi="Times New Roman" w:cs="Times New Roman"/>
        </w:rPr>
      </w:pPr>
    </w:p>
    <w:p w:rsidR="000B0FDA" w:rsidRDefault="000B0FDA" w:rsidP="000B0FDA">
      <w:pPr>
        <w:pStyle w:val="Sinespaciado"/>
        <w:jc w:val="both"/>
        <w:rPr>
          <w:rFonts w:ascii="Times New Roman" w:hAnsi="Times New Roman" w:cs="Times New Roman"/>
        </w:rPr>
      </w:pPr>
      <w:r>
        <w:rPr>
          <w:rFonts w:ascii="Times New Roman" w:hAnsi="Times New Roman" w:cs="Times New Roman"/>
        </w:rPr>
        <w:t>Derivado de lo anterior, queda pendiente de colocar en lo que resta del año, Q</w:t>
      </w:r>
      <w:r w:rsidR="000A2F67">
        <w:rPr>
          <w:rFonts w:ascii="Times New Roman" w:hAnsi="Times New Roman" w:cs="Times New Roman"/>
        </w:rPr>
        <w:t xml:space="preserve"> </w:t>
      </w:r>
      <w:r>
        <w:rPr>
          <w:rFonts w:ascii="Times New Roman" w:hAnsi="Times New Roman" w:cs="Times New Roman"/>
        </w:rPr>
        <w:t>9,518.9 millones, conforme lo establece el cupo autorizado por el Congreso de la República.</w:t>
      </w:r>
    </w:p>
    <w:p w:rsidR="000B0FDA" w:rsidRDefault="000B0FDA" w:rsidP="000B0FDA">
      <w:pPr>
        <w:pStyle w:val="Sinespaciado"/>
        <w:jc w:val="both"/>
        <w:rPr>
          <w:rFonts w:ascii="Times New Roman" w:hAnsi="Times New Roman" w:cs="Times New Roman"/>
        </w:rPr>
      </w:pPr>
    </w:p>
    <w:p w:rsidR="000B0FDA" w:rsidRPr="002D4740" w:rsidRDefault="000B0FDA" w:rsidP="000B0FDA">
      <w:pPr>
        <w:pStyle w:val="Sinespaciado"/>
        <w:jc w:val="center"/>
        <w:rPr>
          <w:rFonts w:ascii="Times New Roman" w:hAnsi="Times New Roman" w:cs="Times New Roman"/>
          <w:b/>
        </w:rPr>
      </w:pPr>
      <w:r>
        <w:rPr>
          <w:rFonts w:ascii="Times New Roman" w:hAnsi="Times New Roman" w:cs="Times New Roman"/>
        </w:rPr>
        <w:t xml:space="preserve">  </w:t>
      </w:r>
      <w:r w:rsidRPr="002D4740">
        <w:rPr>
          <w:rFonts w:ascii="Times New Roman" w:hAnsi="Times New Roman" w:cs="Times New Roman"/>
          <w:b/>
        </w:rPr>
        <w:t>Colocación de Bonos del Tesoro</w:t>
      </w:r>
    </w:p>
    <w:p w:rsidR="000B0FDA" w:rsidRPr="002D4740" w:rsidRDefault="000B0FDA" w:rsidP="000B0FDA">
      <w:pPr>
        <w:pStyle w:val="Sinespaciado"/>
        <w:jc w:val="center"/>
        <w:rPr>
          <w:rFonts w:ascii="Times New Roman" w:hAnsi="Times New Roman" w:cs="Times New Roman"/>
          <w:sz w:val="18"/>
        </w:rPr>
      </w:pPr>
      <w:r w:rsidRPr="002D4740">
        <w:rPr>
          <w:rFonts w:ascii="Times New Roman" w:hAnsi="Times New Roman" w:cs="Times New Roman"/>
          <w:sz w:val="18"/>
        </w:rPr>
        <w:t>Al 3</w:t>
      </w:r>
      <w:r>
        <w:rPr>
          <w:rFonts w:ascii="Times New Roman" w:hAnsi="Times New Roman" w:cs="Times New Roman"/>
          <w:sz w:val="18"/>
        </w:rPr>
        <w:t>1</w:t>
      </w:r>
      <w:r w:rsidRPr="002D4740">
        <w:rPr>
          <w:rFonts w:ascii="Times New Roman" w:hAnsi="Times New Roman" w:cs="Times New Roman"/>
          <w:sz w:val="18"/>
        </w:rPr>
        <w:t xml:space="preserve"> de </w:t>
      </w:r>
      <w:r>
        <w:rPr>
          <w:rFonts w:ascii="Times New Roman" w:hAnsi="Times New Roman" w:cs="Times New Roman"/>
          <w:sz w:val="18"/>
        </w:rPr>
        <w:t>mayo</w:t>
      </w:r>
      <w:r w:rsidRPr="002D4740">
        <w:rPr>
          <w:rFonts w:ascii="Times New Roman" w:hAnsi="Times New Roman" w:cs="Times New Roman"/>
          <w:sz w:val="18"/>
        </w:rPr>
        <w:t xml:space="preserve"> de 2017</w:t>
      </w:r>
    </w:p>
    <w:p w:rsidR="000B0FDA" w:rsidRPr="0095506C" w:rsidRDefault="000B0FDA" w:rsidP="0095506C">
      <w:pPr>
        <w:pStyle w:val="Sinespaciado"/>
        <w:jc w:val="center"/>
        <w:rPr>
          <w:rFonts w:ascii="Times New Roman" w:hAnsi="Times New Roman" w:cs="Times New Roman"/>
          <w:sz w:val="18"/>
        </w:rPr>
      </w:pPr>
      <w:r w:rsidRPr="002D4740">
        <w:rPr>
          <w:rFonts w:ascii="Times New Roman" w:hAnsi="Times New Roman" w:cs="Times New Roman"/>
          <w:sz w:val="18"/>
        </w:rPr>
        <w:t>Millones de quetzales y porcentajes</w:t>
      </w:r>
    </w:p>
    <w:p w:rsidR="000B0FDA" w:rsidRDefault="000B0FDA" w:rsidP="000B0FDA">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01DB75B8" wp14:editId="5B3FD70E">
            <wp:extent cx="2727439" cy="1613647"/>
            <wp:effectExtent l="0" t="0" r="0"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717" cy="1619136"/>
                    </a:xfrm>
                    <a:prstGeom prst="rect">
                      <a:avLst/>
                    </a:prstGeom>
                    <a:noFill/>
                  </pic:spPr>
                </pic:pic>
              </a:graphicData>
            </a:graphic>
          </wp:inline>
        </w:drawing>
      </w:r>
    </w:p>
    <w:p w:rsidR="00374D44" w:rsidRPr="0095506C" w:rsidRDefault="000B0FDA" w:rsidP="00374D44">
      <w:pPr>
        <w:pStyle w:val="Sinespaciado"/>
        <w:jc w:val="both"/>
        <w:rPr>
          <w:rFonts w:ascii="Times New Roman" w:hAnsi="Times New Roman" w:cs="Times New Roman"/>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646C4" w:rsidRPr="000B0FDA" w:rsidRDefault="00C646C4" w:rsidP="00343A5D">
      <w:pPr>
        <w:pStyle w:val="Sinespaciado"/>
        <w:jc w:val="both"/>
        <w:rPr>
          <w:rFonts w:ascii="Times New Roman" w:hAnsi="Times New Roman" w:cs="Times New Roman"/>
          <w:color w:val="FF0000"/>
        </w:rPr>
      </w:pPr>
      <w:r w:rsidRPr="000B0FDA">
        <w:rPr>
          <w:rFonts w:ascii="Times New Roman" w:hAnsi="Times New Roman" w:cs="Times New Roman"/>
          <w:color w:val="FF0000"/>
        </w:rPr>
        <w:t xml:space="preserve"> </w:t>
      </w:r>
    </w:p>
    <w:p w:rsidR="00FA5DE4" w:rsidRPr="000B0FDA" w:rsidRDefault="00FA5DE4" w:rsidP="00FA5DE4">
      <w:pPr>
        <w:pStyle w:val="Sinespaciado"/>
        <w:jc w:val="both"/>
        <w:rPr>
          <w:rFonts w:ascii="Times New Roman" w:hAnsi="Times New Roman" w:cs="Times New Roman"/>
          <w:color w:val="FF0000"/>
        </w:rPr>
        <w:sectPr w:rsidR="00FA5DE4" w:rsidRPr="000B0FDA" w:rsidSect="004E358C">
          <w:type w:val="continuous"/>
          <w:pgSz w:w="12240" w:h="15840"/>
          <w:pgMar w:top="1417" w:right="1701" w:bottom="1417" w:left="1701" w:header="708" w:footer="708" w:gutter="0"/>
          <w:cols w:num="2" w:space="708"/>
          <w:docGrid w:linePitch="360"/>
        </w:sectPr>
      </w:pPr>
    </w:p>
    <w:p w:rsidR="00F76491" w:rsidRPr="0095506C" w:rsidRDefault="00F76491" w:rsidP="00D4202F">
      <w:pPr>
        <w:spacing w:after="0"/>
        <w:rPr>
          <w:color w:val="FF0000"/>
          <w:sz w:val="20"/>
          <w:lang w:val="es-MX"/>
        </w:rPr>
        <w:sectPr w:rsidR="00F76491" w:rsidRPr="0095506C" w:rsidSect="004E358C">
          <w:type w:val="continuous"/>
          <w:pgSz w:w="12240" w:h="15840"/>
          <w:pgMar w:top="1417" w:right="1701" w:bottom="1417" w:left="1701" w:header="708" w:footer="708" w:gutter="0"/>
          <w:cols w:num="2" w:space="708"/>
          <w:docGrid w:linePitch="360"/>
        </w:sectPr>
      </w:pPr>
    </w:p>
    <w:p w:rsidR="00F76491" w:rsidRPr="000B0FDA" w:rsidRDefault="00F76491" w:rsidP="00F76491">
      <w:pPr>
        <w:pStyle w:val="Sinespaciado"/>
        <w:jc w:val="both"/>
        <w:rPr>
          <w:rFonts w:ascii="Times New Roman" w:hAnsi="Times New Roman" w:cs="Times New Roman"/>
          <w:color w:val="FF0000"/>
          <w:sz w:val="6"/>
          <w:lang w:val="es-MX"/>
        </w:rPr>
      </w:pPr>
    </w:p>
    <w:p w:rsidR="00494D1D" w:rsidRPr="000B0FDA"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0B0FDA"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0B0FDA">
        <w:rPr>
          <w:rFonts w:ascii="Times New Roman" w:hAnsi="Times New Roman" w:cs="Times New Roman"/>
          <w:b/>
          <w:lang w:val="es-MX"/>
        </w:rPr>
        <w:t>Ambientes macroeconómicos (externo e interno)</w:t>
      </w:r>
    </w:p>
    <w:p w:rsidR="00494D1D" w:rsidRPr="000B0FDA" w:rsidRDefault="00494D1D" w:rsidP="00494D1D">
      <w:pPr>
        <w:pStyle w:val="Sinespaciado"/>
        <w:rPr>
          <w:rFonts w:ascii="Times New Roman" w:hAnsi="Times New Roman" w:cs="Times New Roman"/>
          <w:b/>
          <w:sz w:val="18"/>
          <w:lang w:val="es-MX"/>
        </w:rPr>
      </w:pPr>
    </w:p>
    <w:p w:rsidR="00494D1D" w:rsidRPr="000B0FDA" w:rsidRDefault="00494D1D" w:rsidP="00494D1D">
      <w:pPr>
        <w:pStyle w:val="Sinespaciado"/>
        <w:rPr>
          <w:rFonts w:ascii="Times New Roman" w:hAnsi="Times New Roman" w:cs="Times New Roman"/>
          <w:b/>
          <w:lang w:val="es-MX"/>
        </w:rPr>
        <w:sectPr w:rsidR="00494D1D" w:rsidRPr="000B0FDA" w:rsidSect="004E358C">
          <w:type w:val="continuous"/>
          <w:pgSz w:w="12240" w:h="15840"/>
          <w:pgMar w:top="1417" w:right="1701" w:bottom="1417" w:left="1701" w:header="708" w:footer="708" w:gutter="0"/>
          <w:cols w:space="708"/>
          <w:docGrid w:linePitch="360"/>
        </w:sectPr>
      </w:pPr>
    </w:p>
    <w:p w:rsidR="00911652" w:rsidRPr="000B0FDA" w:rsidRDefault="00911652" w:rsidP="00911652">
      <w:pPr>
        <w:pStyle w:val="Sinespaciado"/>
        <w:jc w:val="both"/>
        <w:rPr>
          <w:rFonts w:ascii="Times New Roman" w:hAnsi="Times New Roman" w:cs="Times New Roman"/>
        </w:rPr>
      </w:pPr>
      <w:r w:rsidRPr="000B0FDA">
        <w:rPr>
          <w:rFonts w:ascii="Times New Roman" w:hAnsi="Times New Roman" w:cs="Times New Roman"/>
        </w:rPr>
        <w:lastRenderedPageBreak/>
        <w:t>La OCDE revisó sus previsiones de crecimiento de la economía mundial</w:t>
      </w:r>
      <w:r w:rsidR="0095506C">
        <w:rPr>
          <w:rFonts w:ascii="Times New Roman" w:hAnsi="Times New Roman" w:cs="Times New Roman"/>
        </w:rPr>
        <w:t xml:space="preserve"> para este año</w:t>
      </w:r>
      <w:r w:rsidRPr="000B0FDA">
        <w:rPr>
          <w:rFonts w:ascii="Times New Roman" w:hAnsi="Times New Roman" w:cs="Times New Roman"/>
        </w:rPr>
        <w:t>, pasando de 3.3% a 3.5% en relación a su revisión de febrero;  la entidad resaltó que si bien existió una mejora</w:t>
      </w:r>
      <w:r w:rsidR="0095506C">
        <w:rPr>
          <w:rFonts w:ascii="Times New Roman" w:hAnsi="Times New Roman" w:cs="Times New Roman"/>
        </w:rPr>
        <w:t>,</w:t>
      </w:r>
      <w:r w:rsidRPr="000B0FDA">
        <w:rPr>
          <w:rFonts w:ascii="Times New Roman" w:hAnsi="Times New Roman" w:cs="Times New Roman"/>
        </w:rPr>
        <w:t xml:space="preserve"> sigue siendo insuficiente para reducir las persistentes desigualdades.  La mejora de las perspectivas se atribuyó al fortalecimiento de la confianza de empresas y consumidores, el aumento de la </w:t>
      </w:r>
      <w:r w:rsidRPr="000B0FDA">
        <w:rPr>
          <w:rFonts w:ascii="Times New Roman" w:hAnsi="Times New Roman" w:cs="Times New Roman"/>
        </w:rPr>
        <w:lastRenderedPageBreak/>
        <w:t>producción industrial, la recuperación del empleo y de los flujos comerciales.</w:t>
      </w:r>
    </w:p>
    <w:p w:rsidR="00911652" w:rsidRPr="000B0FDA" w:rsidRDefault="00911652" w:rsidP="00911652">
      <w:pPr>
        <w:pStyle w:val="Sinespaciado"/>
        <w:jc w:val="both"/>
        <w:rPr>
          <w:rFonts w:ascii="Times New Roman" w:hAnsi="Times New Roman" w:cs="Times New Roman"/>
        </w:rPr>
      </w:pPr>
    </w:p>
    <w:p w:rsidR="00911652" w:rsidRPr="000B0FDA" w:rsidRDefault="00911652" w:rsidP="00911652">
      <w:pPr>
        <w:pStyle w:val="Sinespaciado"/>
        <w:jc w:val="both"/>
        <w:rPr>
          <w:rFonts w:ascii="Times New Roman" w:hAnsi="Times New Roman" w:cs="Times New Roman"/>
        </w:rPr>
      </w:pPr>
      <w:r w:rsidRPr="000B0FDA">
        <w:rPr>
          <w:rFonts w:ascii="Times New Roman" w:hAnsi="Times New Roman" w:cs="Times New Roman"/>
        </w:rPr>
        <w:t xml:space="preserve">En cuanto a sus previsiones por país para las principales economías avanzadas, la OCDE redujo </w:t>
      </w:r>
      <w:r w:rsidR="0095506C">
        <w:rPr>
          <w:rFonts w:ascii="Times New Roman" w:hAnsi="Times New Roman" w:cs="Times New Roman"/>
        </w:rPr>
        <w:t xml:space="preserve">el </w:t>
      </w:r>
      <w:r w:rsidRPr="000B0FDA">
        <w:rPr>
          <w:rFonts w:ascii="Times New Roman" w:hAnsi="Times New Roman" w:cs="Times New Roman"/>
        </w:rPr>
        <w:t>crecimiento</w:t>
      </w:r>
      <w:r w:rsidR="0095506C">
        <w:rPr>
          <w:rFonts w:ascii="Times New Roman" w:hAnsi="Times New Roman" w:cs="Times New Roman"/>
        </w:rPr>
        <w:t xml:space="preserve"> de</w:t>
      </w:r>
      <w:r w:rsidRPr="000B0FDA">
        <w:rPr>
          <w:rFonts w:ascii="Times New Roman" w:hAnsi="Times New Roman" w:cs="Times New Roman"/>
        </w:rPr>
        <w:t xml:space="preserve"> 2.4% al 2.1% para </w:t>
      </w:r>
      <w:r w:rsidR="0095506C">
        <w:rPr>
          <w:rFonts w:ascii="Times New Roman" w:hAnsi="Times New Roman" w:cs="Times New Roman"/>
        </w:rPr>
        <w:t>Estados Unidos</w:t>
      </w:r>
      <w:r w:rsidRPr="000B0FDA">
        <w:rPr>
          <w:rFonts w:ascii="Times New Roman" w:hAnsi="Times New Roman" w:cs="Times New Roman"/>
        </w:rPr>
        <w:t>, después de un primer trimestre distinto a lo esperado.  Para China, las previsiones aumentaron del 6.5% al 6.6%, y además para el 2018 serían del 6.4%.</w:t>
      </w:r>
    </w:p>
    <w:p w:rsidR="00911652" w:rsidRPr="000B0FDA" w:rsidRDefault="00911652" w:rsidP="00911652">
      <w:pPr>
        <w:pStyle w:val="Sinespaciado"/>
        <w:jc w:val="both"/>
        <w:rPr>
          <w:rFonts w:ascii="Times New Roman" w:hAnsi="Times New Roman" w:cs="Times New Roman"/>
        </w:rPr>
      </w:pPr>
      <w:r w:rsidRPr="000B0FDA">
        <w:rPr>
          <w:rFonts w:ascii="Times New Roman" w:hAnsi="Times New Roman" w:cs="Times New Roman"/>
        </w:rPr>
        <w:lastRenderedPageBreak/>
        <w:t>Para Brasil, confirma la salida de la recesión este año y prevé un crecimiento de 0.7% en el 2017 y de 1.6% en el 2018, frente a 0.3% y 1.2% de la revisión anterior.</w:t>
      </w:r>
      <w:r w:rsidR="00935315">
        <w:rPr>
          <w:rFonts w:ascii="Times New Roman" w:hAnsi="Times New Roman" w:cs="Times New Roman"/>
        </w:rPr>
        <w:t xml:space="preserve">  En la</w:t>
      </w:r>
      <w:r w:rsidRPr="000B0FDA">
        <w:rPr>
          <w:rFonts w:ascii="Times New Roman" w:hAnsi="Times New Roman" w:cs="Times New Roman"/>
        </w:rPr>
        <w:t xml:space="preserve"> zona euro, se prevé que el crecimiento alcance 1.8%, es decir 0.2 puntos más que la revisión anterior, impulsado principalmente por Alemania, que asume su rol de motor de la economía europea, con un crecimiento que podría alcanzar el 2.0% este año y continuar en ese nivel el próximo año.</w:t>
      </w:r>
    </w:p>
    <w:p w:rsidR="00911652" w:rsidRPr="000B0FDA" w:rsidRDefault="00911652" w:rsidP="00911652">
      <w:pPr>
        <w:pStyle w:val="Sinespaciado"/>
        <w:jc w:val="both"/>
        <w:rPr>
          <w:rFonts w:ascii="Times New Roman" w:hAnsi="Times New Roman" w:cs="Times New Roman"/>
        </w:rPr>
      </w:pPr>
    </w:p>
    <w:p w:rsidR="00911652" w:rsidRPr="000B0FDA" w:rsidRDefault="00935315" w:rsidP="00911652">
      <w:pPr>
        <w:pStyle w:val="Sinespaciado"/>
        <w:jc w:val="both"/>
        <w:rPr>
          <w:rFonts w:ascii="Times New Roman" w:hAnsi="Times New Roman" w:cs="Times New Roman"/>
        </w:rPr>
      </w:pPr>
      <w:r>
        <w:rPr>
          <w:rFonts w:ascii="Times New Roman" w:hAnsi="Times New Roman" w:cs="Times New Roman"/>
        </w:rPr>
        <w:t xml:space="preserve">Este mes, </w:t>
      </w:r>
      <w:r w:rsidRPr="000B0FDA">
        <w:rPr>
          <w:rFonts w:ascii="Times New Roman" w:hAnsi="Times New Roman" w:cs="Times New Roman"/>
        </w:rPr>
        <w:t>el Departamento de Comercio</w:t>
      </w:r>
      <w:r>
        <w:rPr>
          <w:rFonts w:ascii="Times New Roman" w:hAnsi="Times New Roman" w:cs="Times New Roman"/>
        </w:rPr>
        <w:t xml:space="preserve"> de</w:t>
      </w:r>
      <w:r w:rsidR="00911652" w:rsidRPr="000B0FDA">
        <w:rPr>
          <w:rFonts w:ascii="Times New Roman" w:hAnsi="Times New Roman" w:cs="Times New Roman"/>
        </w:rPr>
        <w:t xml:space="preserve"> Estados Unid</w:t>
      </w:r>
      <w:r>
        <w:rPr>
          <w:rFonts w:ascii="Times New Roman" w:hAnsi="Times New Roman" w:cs="Times New Roman"/>
        </w:rPr>
        <w:t>os</w:t>
      </w:r>
      <w:r w:rsidR="00911652" w:rsidRPr="000B0FDA">
        <w:rPr>
          <w:rFonts w:ascii="Times New Roman" w:hAnsi="Times New Roman" w:cs="Times New Roman"/>
        </w:rPr>
        <w:t xml:space="preserve"> dio a conocer su segunda estimación del PIB correspondiente al primer trimestre del año, el cual indica un aumento a una tasa anual de 1.2%, en vez del ritmo de 0.7% reportado inicialmente.  El crecimiento económico en </w:t>
      </w:r>
      <w:r>
        <w:rPr>
          <w:rFonts w:ascii="Times New Roman" w:hAnsi="Times New Roman" w:cs="Times New Roman"/>
        </w:rPr>
        <w:t>dicho periodo</w:t>
      </w:r>
      <w:r w:rsidR="00911652" w:rsidRPr="000B0FDA">
        <w:rPr>
          <w:rFonts w:ascii="Times New Roman" w:hAnsi="Times New Roman" w:cs="Times New Roman"/>
        </w:rPr>
        <w:t xml:space="preserve"> fue presionado por una casi paralización en el gasto del consumidor y una fuerte desaceleración en el ritmo de acumulación de inventarios por parte de las empresas.  Por su parte, la tasa de desempleo cayó una décima en mayo para situarse en 4.3%, su nivel más bajo en 16 años (mayo 2001), según los datos divulgados por el departamento de Trabajo. La economía estadounidense creó 138,000 empleos en mayo, bastante abajo de los 185,000 empleos esperados por los analistas.</w:t>
      </w:r>
    </w:p>
    <w:p w:rsidR="00911652" w:rsidRPr="000B0FDA" w:rsidRDefault="00911652" w:rsidP="00911652">
      <w:pPr>
        <w:pStyle w:val="Sinespaciado"/>
        <w:jc w:val="both"/>
        <w:rPr>
          <w:rFonts w:ascii="Times New Roman" w:hAnsi="Times New Roman" w:cs="Times New Roman"/>
          <w:sz w:val="20"/>
        </w:rPr>
      </w:pPr>
    </w:p>
    <w:p w:rsidR="00911652" w:rsidRPr="000B0FDA" w:rsidRDefault="00911652" w:rsidP="00911652">
      <w:pPr>
        <w:pStyle w:val="Sinespaciado"/>
        <w:jc w:val="both"/>
        <w:rPr>
          <w:rFonts w:ascii="Times New Roman" w:hAnsi="Times New Roman" w:cs="Times New Roman"/>
        </w:rPr>
      </w:pPr>
      <w:r w:rsidRPr="000B0FDA">
        <w:rPr>
          <w:rFonts w:ascii="Times New Roman" w:hAnsi="Times New Roman" w:cs="Times New Roman"/>
        </w:rPr>
        <w:t>En la zona euro, el crecimiento económico se estabilizó en mayo, gracias al buen ritmo de expansión de Alemania y Francia. El Índice PMI Compuesto final de la Actividad Total de IHS Markit registró la marca de 56.8 puntos, en consonancia con sus estimaciones e igual que la puntuación de abril. El Índice Final de Actividad Comercial del Sector Servicios aumentó hasta 56.3 frente a los 56.4 de abril.</w:t>
      </w:r>
    </w:p>
    <w:p w:rsidR="00911652" w:rsidRPr="000B0FDA" w:rsidRDefault="00911652" w:rsidP="00911652">
      <w:pPr>
        <w:pStyle w:val="Sinespaciado"/>
        <w:jc w:val="both"/>
        <w:rPr>
          <w:rFonts w:ascii="Times New Roman" w:hAnsi="Times New Roman" w:cs="Times New Roman"/>
        </w:rPr>
      </w:pPr>
    </w:p>
    <w:p w:rsidR="00911652" w:rsidRPr="000B0FDA" w:rsidRDefault="00911652" w:rsidP="00911652">
      <w:pPr>
        <w:pStyle w:val="Sinespaciado"/>
        <w:jc w:val="both"/>
        <w:rPr>
          <w:rFonts w:ascii="Times New Roman" w:hAnsi="Times New Roman" w:cs="Times New Roman"/>
          <w:lang w:val="es-MX"/>
        </w:rPr>
      </w:pPr>
      <w:r w:rsidRPr="000B0FDA">
        <w:rPr>
          <w:rFonts w:ascii="Times New Roman" w:hAnsi="Times New Roman" w:cs="Times New Roman"/>
          <w:lang w:val="es-MX"/>
        </w:rPr>
        <w:t xml:space="preserve">La Comisión Europea aumentó este mes ligeramente sus previsiones de crecimiento de la zona euro para 2017 a pesar de la elevada incertidumbre, en un contexto de recuperación </w:t>
      </w:r>
      <w:r w:rsidRPr="000B0FDA">
        <w:rPr>
          <w:rFonts w:ascii="Times New Roman" w:hAnsi="Times New Roman" w:cs="Times New Roman"/>
          <w:lang w:val="es-MX"/>
        </w:rPr>
        <w:lastRenderedPageBreak/>
        <w:t>económica global pero desigual entre países.  La expansión en la zona será del 1.7% para 2017 y mantiene sin cambios el crecimiento para 2018 en 1.8%.  La comisión resaltó que dicha incertidumbre se deriva de la política económica y comercial de Estados Unidos, las tensiones geopolíticas, el programa de ajuste económico de China y el estado del sector bancario de Europa.  Respecto a la Unión Europea en su conjunto, la previsión para 2017 aumentó una décima hasta el 1.9%.</w:t>
      </w:r>
    </w:p>
    <w:p w:rsidR="00911652" w:rsidRPr="000B0FDA" w:rsidRDefault="00911652" w:rsidP="00911652">
      <w:pPr>
        <w:pStyle w:val="Sinespaciado"/>
        <w:jc w:val="both"/>
        <w:rPr>
          <w:rFonts w:ascii="Times New Roman" w:hAnsi="Times New Roman" w:cs="Times New Roman"/>
          <w:lang w:val="es-MX"/>
        </w:rPr>
      </w:pPr>
    </w:p>
    <w:p w:rsidR="00844088" w:rsidRDefault="00911652" w:rsidP="00911652">
      <w:pPr>
        <w:pStyle w:val="Sinespaciado"/>
        <w:jc w:val="both"/>
        <w:rPr>
          <w:rFonts w:ascii="Times New Roman" w:hAnsi="Times New Roman" w:cs="Times New Roman"/>
          <w:lang w:val="es-MX"/>
        </w:rPr>
      </w:pPr>
      <w:r w:rsidRPr="000B0FDA">
        <w:rPr>
          <w:rFonts w:ascii="Times New Roman" w:hAnsi="Times New Roman" w:cs="Times New Roman"/>
          <w:lang w:val="es-MX"/>
        </w:rPr>
        <w:t>En China, la inflación de los precios a la producción se ralentizó en mayo, tras un declive en los valores de las materias primas, lo que sugiere un enfriamiento más amplio de la actividad económica. El índice de precios al productor (</w:t>
      </w:r>
      <w:proofErr w:type="spellStart"/>
      <w:r w:rsidRPr="000B0FDA">
        <w:rPr>
          <w:rFonts w:ascii="Times New Roman" w:hAnsi="Times New Roman" w:cs="Times New Roman"/>
          <w:lang w:val="es-MX"/>
        </w:rPr>
        <w:t>IPP</w:t>
      </w:r>
      <w:proofErr w:type="spellEnd"/>
      <w:r w:rsidRPr="000B0FDA">
        <w:rPr>
          <w:rFonts w:ascii="Times New Roman" w:hAnsi="Times New Roman" w:cs="Times New Roman"/>
          <w:lang w:val="es-MX"/>
        </w:rPr>
        <w:t>) subió un 5.5% respecto al mismo mes del año anterior, según la Oficina Nacional de Estadísticas.</w:t>
      </w:r>
      <w:r w:rsidR="00844088">
        <w:rPr>
          <w:rFonts w:ascii="Times New Roman" w:hAnsi="Times New Roman" w:cs="Times New Roman"/>
          <w:lang w:val="es-MX"/>
        </w:rPr>
        <w:t xml:space="preserve">  </w:t>
      </w:r>
    </w:p>
    <w:p w:rsidR="00844088" w:rsidRDefault="00844088" w:rsidP="00911652">
      <w:pPr>
        <w:pStyle w:val="Sinespaciado"/>
        <w:jc w:val="both"/>
        <w:rPr>
          <w:rFonts w:ascii="Times New Roman" w:hAnsi="Times New Roman" w:cs="Times New Roman"/>
          <w:lang w:val="es-MX"/>
        </w:rPr>
      </w:pPr>
    </w:p>
    <w:p w:rsidR="00911652" w:rsidRDefault="00911652" w:rsidP="00911652">
      <w:pPr>
        <w:pStyle w:val="Sinespaciado"/>
        <w:jc w:val="both"/>
        <w:rPr>
          <w:rFonts w:ascii="Times New Roman" w:hAnsi="Times New Roman" w:cs="Times New Roman"/>
          <w:lang w:val="es-MX"/>
        </w:rPr>
      </w:pPr>
      <w:r w:rsidRPr="000B0FDA">
        <w:rPr>
          <w:rFonts w:ascii="Times New Roman" w:hAnsi="Times New Roman" w:cs="Times New Roman"/>
          <w:lang w:val="es-MX"/>
        </w:rPr>
        <w:t xml:space="preserve">En Japón, </w:t>
      </w:r>
      <w:r w:rsidR="00935315">
        <w:rPr>
          <w:rFonts w:ascii="Times New Roman" w:hAnsi="Times New Roman" w:cs="Times New Roman"/>
          <w:lang w:val="es-MX"/>
        </w:rPr>
        <w:t xml:space="preserve">la </w:t>
      </w:r>
      <w:r w:rsidR="00935315" w:rsidRPr="000B0FDA">
        <w:rPr>
          <w:rFonts w:ascii="Times New Roman" w:hAnsi="Times New Roman" w:cs="Times New Roman"/>
          <w:lang w:val="es-MX"/>
        </w:rPr>
        <w:t>Oficina del Gabinete</w:t>
      </w:r>
      <w:r w:rsidR="00844088">
        <w:rPr>
          <w:rFonts w:ascii="Times New Roman" w:hAnsi="Times New Roman" w:cs="Times New Roman"/>
          <w:lang w:val="es-MX"/>
        </w:rPr>
        <w:t xml:space="preserve"> dio a conocer los datos del PIB correspondientes al</w:t>
      </w:r>
      <w:r w:rsidR="00935315" w:rsidRPr="000B0FDA">
        <w:rPr>
          <w:rFonts w:ascii="Times New Roman" w:hAnsi="Times New Roman" w:cs="Times New Roman"/>
          <w:lang w:val="es-MX"/>
        </w:rPr>
        <w:t xml:space="preserve"> </w:t>
      </w:r>
      <w:r w:rsidRPr="000B0FDA">
        <w:rPr>
          <w:rFonts w:ascii="Times New Roman" w:hAnsi="Times New Roman" w:cs="Times New Roman"/>
          <w:lang w:val="es-MX"/>
        </w:rPr>
        <w:t>primer trimestre del año</w:t>
      </w:r>
      <w:r w:rsidR="00844088">
        <w:rPr>
          <w:rFonts w:ascii="Times New Roman" w:hAnsi="Times New Roman" w:cs="Times New Roman"/>
          <w:lang w:val="es-MX"/>
        </w:rPr>
        <w:t>, indicando que</w:t>
      </w:r>
      <w:r w:rsidRPr="000B0FDA">
        <w:rPr>
          <w:rFonts w:ascii="Times New Roman" w:hAnsi="Times New Roman" w:cs="Times New Roman"/>
          <w:lang w:val="es-MX"/>
        </w:rPr>
        <w:t xml:space="preserve"> creció a un ritmo anual del 2.</w:t>
      </w:r>
      <w:r w:rsidR="00844088">
        <w:rPr>
          <w:rFonts w:ascii="Times New Roman" w:hAnsi="Times New Roman" w:cs="Times New Roman"/>
          <w:lang w:val="es-MX"/>
        </w:rPr>
        <w:t>2%,</w:t>
      </w:r>
      <w:r w:rsidRPr="000B0FDA">
        <w:rPr>
          <w:rFonts w:ascii="Times New Roman" w:hAnsi="Times New Roman" w:cs="Times New Roman"/>
          <w:lang w:val="es-MX"/>
        </w:rPr>
        <w:t xml:space="preserve"> atribuido sobre todo al aumento de las exportaciones, del consumo doméstico y de la inversión inmobiliaria; además, se expandió un 0.5% con respecto al último trimestre de 2016, cuando el PIB japonés había avanzado un 1.2% interanual y un 0.3% respecto al tercer trimestre.</w:t>
      </w:r>
    </w:p>
    <w:p w:rsidR="00844088" w:rsidRPr="000B0FDA" w:rsidRDefault="00844088" w:rsidP="00911652">
      <w:pPr>
        <w:pStyle w:val="Sinespaciado"/>
        <w:jc w:val="both"/>
        <w:rPr>
          <w:rFonts w:ascii="Times New Roman" w:hAnsi="Times New Roman" w:cs="Times New Roman"/>
          <w:lang w:val="es-MX"/>
        </w:rPr>
      </w:pPr>
    </w:p>
    <w:p w:rsidR="00844088" w:rsidRPr="000B0FDA" w:rsidRDefault="00911652" w:rsidP="00844088">
      <w:pPr>
        <w:spacing w:after="0" w:line="240" w:lineRule="auto"/>
        <w:jc w:val="both"/>
        <w:rPr>
          <w:rFonts w:ascii="Times New Roman" w:hAnsi="Times New Roman" w:cs="Times New Roman"/>
          <w:lang w:val="es-MX"/>
        </w:rPr>
      </w:pPr>
      <w:r w:rsidRPr="000B0FDA">
        <w:rPr>
          <w:rFonts w:ascii="Times New Roman" w:hAnsi="Times New Roman" w:cs="Times New Roman"/>
          <w:lang w:val="es-MX"/>
        </w:rPr>
        <w:t>El entorno interno, en mayo disminuyó la percepción sobre la situación económica actual y el ambiente para los negocios, el nivel del Índice de Confianza de la Actividad Económica se situó en 53.58 puntos, inferior en 1.09% con respecto al registrado el mes anterior y menor en 13.12% respecto al registrado en mayo 2016.</w:t>
      </w:r>
      <w:r w:rsidR="00844088">
        <w:rPr>
          <w:rFonts w:ascii="Times New Roman" w:hAnsi="Times New Roman" w:cs="Times New Roman"/>
          <w:lang w:val="es-MX"/>
        </w:rPr>
        <w:t xml:space="preserve">  </w:t>
      </w:r>
      <w:r w:rsidR="00844088" w:rsidRPr="000B0FDA">
        <w:rPr>
          <w:rFonts w:ascii="Times New Roman" w:hAnsi="Times New Roman" w:cs="Times New Roman"/>
          <w:lang w:val="es-MX"/>
        </w:rPr>
        <w:t xml:space="preserve">Se espera un ritmo inflacionario de 4.11% en febrero, 4.15 % para marzo y 4.21% para abril 2017; en un horizonte de 12 y 24 meses se esperaría un ritmo de 4.40% y 4.46% respectivamente. </w:t>
      </w:r>
    </w:p>
    <w:p w:rsidR="00911652" w:rsidRPr="000B0FDA" w:rsidRDefault="00911652" w:rsidP="00911652">
      <w:pPr>
        <w:spacing w:after="0" w:line="240" w:lineRule="auto"/>
        <w:jc w:val="both"/>
        <w:rPr>
          <w:lang w:val="es-MX"/>
        </w:rPr>
      </w:pPr>
    </w:p>
    <w:p w:rsidR="00911652" w:rsidRPr="000B0FDA" w:rsidRDefault="00911652" w:rsidP="00911652">
      <w:pPr>
        <w:spacing w:after="0" w:line="240" w:lineRule="auto"/>
        <w:jc w:val="center"/>
        <w:rPr>
          <w:rFonts w:ascii="Times New Roman" w:hAnsi="Times New Roman" w:cs="Times New Roman"/>
          <w:b/>
          <w:szCs w:val="24"/>
        </w:rPr>
      </w:pPr>
      <w:r w:rsidRPr="000B0FDA">
        <w:rPr>
          <w:rFonts w:ascii="Times New Roman" w:hAnsi="Times New Roman" w:cs="Times New Roman"/>
          <w:b/>
          <w:szCs w:val="24"/>
        </w:rPr>
        <w:lastRenderedPageBreak/>
        <w:t>Índice de confianza de la actividad económica</w:t>
      </w:r>
    </w:p>
    <w:p w:rsidR="00911652" w:rsidRPr="000B0FDA" w:rsidRDefault="00911652" w:rsidP="00911652">
      <w:pPr>
        <w:spacing w:after="0" w:line="240" w:lineRule="auto"/>
        <w:jc w:val="center"/>
        <w:rPr>
          <w:rFonts w:ascii="Times New Roman" w:hAnsi="Times New Roman" w:cs="Times New Roman"/>
          <w:sz w:val="18"/>
        </w:rPr>
      </w:pPr>
      <w:r w:rsidRPr="000B0FDA">
        <w:rPr>
          <w:rFonts w:ascii="Times New Roman" w:hAnsi="Times New Roman" w:cs="Times New Roman"/>
          <w:sz w:val="18"/>
        </w:rPr>
        <w:t>Enero 2016 –  mayo 2017</w:t>
      </w:r>
    </w:p>
    <w:p w:rsidR="00911652" w:rsidRPr="000B0FDA" w:rsidRDefault="00911652" w:rsidP="00911652">
      <w:pPr>
        <w:spacing w:after="0" w:line="240" w:lineRule="auto"/>
        <w:jc w:val="both"/>
        <w:rPr>
          <w:lang w:val="es-MX"/>
        </w:rPr>
      </w:pPr>
      <w:r w:rsidRPr="000B0FDA">
        <w:rPr>
          <w:rFonts w:ascii="Times New Roman" w:hAnsi="Times New Roman" w:cs="Times New Roman"/>
          <w:noProof/>
          <w:sz w:val="12"/>
          <w:lang w:eastAsia="es-GT"/>
        </w:rPr>
        <w:drawing>
          <wp:inline distT="0" distB="0" distL="0" distR="0" wp14:anchorId="3EB564FE" wp14:editId="4FF0406F">
            <wp:extent cx="2670810" cy="160248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11652" w:rsidRPr="000B0FDA" w:rsidRDefault="00911652" w:rsidP="00911652">
      <w:pPr>
        <w:spacing w:after="0"/>
        <w:jc w:val="both"/>
        <w:rPr>
          <w:rFonts w:ascii="Times New Roman" w:hAnsi="Times New Roman" w:cs="Times New Roman"/>
          <w:sz w:val="16"/>
          <w:szCs w:val="12"/>
          <w:lang w:val="es-MX"/>
        </w:rPr>
      </w:pPr>
      <w:r w:rsidRPr="000B0FDA">
        <w:rPr>
          <w:rFonts w:ascii="Times New Roman" w:hAnsi="Times New Roman" w:cs="Times New Roman"/>
          <w:sz w:val="16"/>
          <w:szCs w:val="12"/>
          <w:lang w:val="es-MX"/>
        </w:rPr>
        <w:t>Fuente: Banco de Guatemala</w:t>
      </w:r>
    </w:p>
    <w:p w:rsidR="00911652" w:rsidRPr="000B0FDA" w:rsidRDefault="00911652" w:rsidP="00911652">
      <w:pPr>
        <w:spacing w:after="0" w:line="240" w:lineRule="auto"/>
        <w:rPr>
          <w:rFonts w:ascii="Times New Roman" w:hAnsi="Times New Roman" w:cs="Times New Roman"/>
          <w:lang w:val="es-MX"/>
        </w:rPr>
      </w:pPr>
    </w:p>
    <w:p w:rsidR="00B26014" w:rsidRPr="00844088" w:rsidRDefault="00911652" w:rsidP="000658A4">
      <w:pPr>
        <w:pStyle w:val="Sinespaciado"/>
        <w:jc w:val="both"/>
        <w:rPr>
          <w:rFonts w:ascii="Times New Roman" w:hAnsi="Times New Roman" w:cs="Times New Roman"/>
          <w:lang w:val="es-MX"/>
        </w:rPr>
      </w:pPr>
      <w:r w:rsidRPr="000B0FDA">
        <w:rPr>
          <w:rFonts w:ascii="Times New Roman" w:hAnsi="Times New Roman" w:cs="Times New Roman"/>
          <w:lang w:val="es-MX"/>
        </w:rPr>
        <w:lastRenderedPageBreak/>
        <w:t>La Junta Monetaria decidió este mes mantener en 3.0% el nivel de la tasa de interés líder de política monetaria, con base en el análisis integral de la coyuntura económica externa e interna, luego de haber conocido el Balance de Riesgo de Inflación.</w:t>
      </w:r>
      <w:r w:rsidR="002C482A" w:rsidRPr="000B0FDA">
        <w:rPr>
          <w:rFonts w:ascii="Times New Roman" w:hAnsi="Times New Roman" w:cs="Times New Roman"/>
          <w:lang w:val="es-MX"/>
        </w:rPr>
        <w:t xml:space="preserve">  </w:t>
      </w:r>
      <w:r w:rsidR="000658A4">
        <w:rPr>
          <w:rFonts w:ascii="Times New Roman" w:hAnsi="Times New Roman" w:cs="Times New Roman"/>
          <w:lang w:val="es-MX"/>
        </w:rPr>
        <w:t xml:space="preserve">Así mismo, </w:t>
      </w:r>
      <w:r w:rsidR="000658A4" w:rsidRPr="000658A4">
        <w:rPr>
          <w:rFonts w:ascii="Times New Roman" w:hAnsi="Times New Roman" w:cs="Times New Roman"/>
          <w:lang w:val="es-MX"/>
        </w:rPr>
        <w:t>señaló que varios indicadores</w:t>
      </w:r>
      <w:r w:rsidR="000658A4">
        <w:rPr>
          <w:rFonts w:ascii="Times New Roman" w:hAnsi="Times New Roman" w:cs="Times New Roman"/>
          <w:lang w:val="es-MX"/>
        </w:rPr>
        <w:t xml:space="preserve"> de corto plazo de la actividad </w:t>
      </w:r>
      <w:r w:rsidR="000658A4" w:rsidRPr="000658A4">
        <w:rPr>
          <w:rFonts w:ascii="Times New Roman" w:hAnsi="Times New Roman" w:cs="Times New Roman"/>
          <w:lang w:val="es-MX"/>
        </w:rPr>
        <w:t>económica (IMAE, remesas familiares y comercio exterior), reflejan un c</w:t>
      </w:r>
      <w:r w:rsidR="000658A4">
        <w:rPr>
          <w:rFonts w:ascii="Times New Roman" w:hAnsi="Times New Roman" w:cs="Times New Roman"/>
          <w:lang w:val="es-MX"/>
        </w:rPr>
        <w:t xml:space="preserve">omportamiento congruente con la </w:t>
      </w:r>
      <w:r w:rsidR="000658A4" w:rsidRPr="000658A4">
        <w:rPr>
          <w:rFonts w:ascii="Times New Roman" w:hAnsi="Times New Roman" w:cs="Times New Roman"/>
          <w:lang w:val="es-MX"/>
        </w:rPr>
        <w:t>estimación de creci</w:t>
      </w:r>
      <w:r w:rsidR="000658A4">
        <w:rPr>
          <w:rFonts w:ascii="Times New Roman" w:hAnsi="Times New Roman" w:cs="Times New Roman"/>
          <w:lang w:val="es-MX"/>
        </w:rPr>
        <w:t>miento anual del PIB para 2017 de entre 3.0% y 3.8%</w:t>
      </w:r>
      <w:bookmarkStart w:id="0" w:name="_GoBack"/>
      <w:bookmarkEnd w:id="0"/>
      <w:r w:rsidR="000658A4" w:rsidRPr="000658A4">
        <w:rPr>
          <w:rFonts w:ascii="Times New Roman" w:hAnsi="Times New Roman" w:cs="Times New Roman"/>
          <w:lang w:val="es-MX"/>
        </w:rPr>
        <w:t>.</w:t>
      </w:r>
    </w:p>
    <w:p w:rsidR="008718E5" w:rsidRPr="000B0FDA" w:rsidRDefault="001C3649" w:rsidP="001C3649">
      <w:pPr>
        <w:spacing w:after="0" w:line="240" w:lineRule="auto"/>
        <w:jc w:val="both"/>
        <w:rPr>
          <w:rFonts w:ascii="Times New Roman" w:hAnsi="Times New Roman" w:cs="Times New Roman"/>
          <w:color w:val="FF0000"/>
          <w:lang w:val="es-MX"/>
        </w:rPr>
      </w:pPr>
      <w:r w:rsidRPr="000B0FDA">
        <w:rPr>
          <w:rFonts w:ascii="Times New Roman" w:hAnsi="Times New Roman" w:cs="Times New Roman"/>
          <w:color w:val="FF0000"/>
          <w:lang w:val="es-MX"/>
        </w:rPr>
        <w:t xml:space="preserve">  </w:t>
      </w:r>
    </w:p>
    <w:p w:rsidR="00343A5D" w:rsidRDefault="00343A5D" w:rsidP="0042387A">
      <w:pPr>
        <w:spacing w:after="0" w:line="240" w:lineRule="auto"/>
        <w:rPr>
          <w:rFonts w:ascii="Times New Roman" w:hAnsi="Times New Roman" w:cs="Times New Roman"/>
          <w:color w:val="FF0000"/>
          <w:lang w:val="es-MX"/>
        </w:rPr>
      </w:pPr>
    </w:p>
    <w:p w:rsidR="00844088" w:rsidRPr="000B0FDA" w:rsidRDefault="00844088" w:rsidP="0042387A">
      <w:pPr>
        <w:spacing w:after="0" w:line="240" w:lineRule="auto"/>
        <w:rPr>
          <w:rFonts w:ascii="Times New Roman" w:hAnsi="Times New Roman" w:cs="Times New Roman"/>
          <w:color w:val="FF0000"/>
          <w:lang w:val="es-MX"/>
        </w:rPr>
        <w:sectPr w:rsidR="00844088" w:rsidRPr="000B0FDA" w:rsidSect="00374D44">
          <w:type w:val="continuous"/>
          <w:pgSz w:w="12240" w:h="15840" w:code="1"/>
          <w:pgMar w:top="1418" w:right="1418" w:bottom="1418" w:left="1701" w:header="709" w:footer="709" w:gutter="0"/>
          <w:cols w:num="2" w:space="708"/>
          <w:docGrid w:linePitch="360"/>
        </w:sectPr>
      </w:pPr>
    </w:p>
    <w:p w:rsidR="00374D44" w:rsidRDefault="00374D44"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Default="00844088" w:rsidP="000D016D">
      <w:pPr>
        <w:spacing w:after="0" w:line="240" w:lineRule="auto"/>
        <w:rPr>
          <w:noProof/>
          <w:color w:val="FF0000"/>
          <w:sz w:val="16"/>
          <w:lang w:eastAsia="es-GT"/>
        </w:rPr>
      </w:pPr>
    </w:p>
    <w:p w:rsidR="00844088" w:rsidRPr="000B0FDA" w:rsidRDefault="00844088" w:rsidP="000D016D">
      <w:pPr>
        <w:spacing w:after="0" w:line="240" w:lineRule="auto"/>
        <w:rPr>
          <w:noProof/>
          <w:color w:val="FF0000"/>
          <w:sz w:val="16"/>
          <w:lang w:eastAsia="es-GT"/>
        </w:rPr>
      </w:pPr>
    </w:p>
    <w:p w:rsidR="00343A5D" w:rsidRPr="000B0FDA" w:rsidRDefault="00343A5D" w:rsidP="00343A5D">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343A5D" w:rsidRPr="000B0FDA" w:rsidSect="00FA3B81">
          <w:headerReference w:type="default" r:id="rId32"/>
          <w:footerReference w:type="default" r:id="rId33"/>
          <w:type w:val="continuous"/>
          <w:pgSz w:w="12240" w:h="15840" w:code="1"/>
          <w:pgMar w:top="1418" w:right="1418" w:bottom="1418" w:left="1418" w:header="709" w:footer="709" w:gutter="0"/>
          <w:cols w:space="708"/>
          <w:docGrid w:linePitch="360"/>
        </w:sectPr>
      </w:pPr>
      <w:r w:rsidRPr="000B0FDA">
        <w:rPr>
          <w:rFonts w:ascii="Times New Roman" w:hAnsi="Times New Roman" w:cs="Times New Roman"/>
          <w:b/>
          <w:lang w:val="es-MX"/>
        </w:rPr>
        <w:t>Anexo</w:t>
      </w:r>
    </w:p>
    <w:p w:rsidR="00343A5D" w:rsidRPr="000B0FDA" w:rsidRDefault="00343A5D" w:rsidP="00416D41">
      <w:pPr>
        <w:spacing w:after="0" w:line="240" w:lineRule="auto"/>
        <w:jc w:val="center"/>
        <w:rPr>
          <w:noProof/>
          <w:color w:val="FF0000"/>
          <w:lang w:eastAsia="es-GT"/>
        </w:rPr>
      </w:pPr>
    </w:p>
    <w:p w:rsidR="00374D44" w:rsidRPr="000B0FDA" w:rsidRDefault="00374D44" w:rsidP="00416D41">
      <w:pPr>
        <w:spacing w:after="0" w:line="240" w:lineRule="auto"/>
        <w:jc w:val="center"/>
        <w:rPr>
          <w:noProof/>
          <w:color w:val="FF0000"/>
          <w:lang w:eastAsia="es-GT"/>
        </w:rPr>
      </w:pPr>
    </w:p>
    <w:p w:rsidR="00416D41" w:rsidRPr="000B0FDA" w:rsidRDefault="000B0FDA" w:rsidP="00416D41">
      <w:pPr>
        <w:spacing w:after="0" w:line="240" w:lineRule="auto"/>
        <w:jc w:val="center"/>
        <w:rPr>
          <w:rFonts w:ascii="Times New Roman" w:hAnsi="Times New Roman" w:cs="Times New Roman"/>
          <w:color w:val="FF0000"/>
          <w:lang w:val="es-MX"/>
        </w:rPr>
      </w:pPr>
      <w:r w:rsidRPr="00F23B59">
        <w:rPr>
          <w:noProof/>
          <w:lang w:eastAsia="es-GT"/>
        </w:rPr>
        <w:drawing>
          <wp:inline distT="0" distB="0" distL="0" distR="0" wp14:anchorId="5B939BDE" wp14:editId="48CF88C3">
            <wp:extent cx="5973628" cy="5423647"/>
            <wp:effectExtent l="0" t="0" r="825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8707" cy="5428258"/>
                    </a:xfrm>
                    <a:prstGeom prst="rect">
                      <a:avLst/>
                    </a:prstGeom>
                    <a:noFill/>
                    <a:ln>
                      <a:noFill/>
                    </a:ln>
                  </pic:spPr>
                </pic:pic>
              </a:graphicData>
            </a:graphic>
          </wp:inline>
        </w:drawing>
      </w:r>
    </w:p>
    <w:sectPr w:rsidR="00416D41" w:rsidRPr="000B0FDA" w:rsidSect="00416D41">
      <w:headerReference w:type="default" r:id="rId35"/>
      <w:footerReference w:type="default" r:id="rId36"/>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1F" w:rsidRDefault="00467E1F" w:rsidP="007D4651">
      <w:pPr>
        <w:spacing w:after="0" w:line="240" w:lineRule="auto"/>
      </w:pPr>
      <w:r>
        <w:separator/>
      </w:r>
    </w:p>
  </w:endnote>
  <w:endnote w:type="continuationSeparator" w:id="0">
    <w:p w:rsidR="00467E1F" w:rsidRDefault="00467E1F"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978979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1FF12AC6" wp14:editId="0202C05B">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8A4" w:rsidRPr="000658A4">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9405431"/>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39D941B0" wp14:editId="5EB9C71D">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A2F67" w:rsidRPr="000A2F67">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15037210"/>
      <w:docPartObj>
        <w:docPartGallery w:val="Page Numbers (Bottom of Page)"/>
        <w:docPartUnique/>
      </w:docPartObj>
    </w:sdtPr>
    <w:sdtContent>
      <w:p w:rsidR="000A2F67" w:rsidRDefault="000A2F67">
        <w:pPr>
          <w:pStyle w:val="Piedepgina"/>
          <w:jc w:val="right"/>
          <w:rPr>
            <w:lang w:val="es-ES"/>
          </w:rPr>
        </w:pPr>
      </w:p>
      <w:p w:rsidR="000A2F67" w:rsidRDefault="000A2F67"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0EE8680E" wp14:editId="04EC971D">
                  <wp:simplePos x="0" y="0"/>
                  <wp:positionH relativeFrom="column">
                    <wp:posOffset>1776669</wp:posOffset>
                  </wp:positionH>
                  <wp:positionV relativeFrom="paragraph">
                    <wp:posOffset>70516</wp:posOffset>
                  </wp:positionV>
                  <wp:extent cx="5155565" cy="45719"/>
                  <wp:effectExtent l="38100" t="38100" r="64135" b="88265"/>
                  <wp:wrapNone/>
                  <wp:docPr id="43" name="4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3 Rectángulo" o:spid="_x0000_s1026" style="position:absolute;margin-left:139.9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HJ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tZrByT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0A2F67" w:rsidRDefault="000A2F67">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8A4" w:rsidRPr="000658A4">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0A2F67" w:rsidRDefault="000A2F67" w:rsidP="007D4651">
    <w:pPr>
      <w:pStyle w:val="Piedepgina"/>
      <w:tabs>
        <w:tab w:val="clear" w:pos="4419"/>
        <w:tab w:val="clear" w:pos="8838"/>
        <w:tab w:val="left" w:pos="5777"/>
      </w:tabs>
    </w:pPr>
  </w:p>
  <w:p w:rsidR="000A2F67" w:rsidRDefault="000A2F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305702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1F6A0EA1" wp14:editId="42C008C2">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Pr="00AF68D3">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20901799"/>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6F58A17D" wp14:editId="363827C1">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8A4" w:rsidRPr="000658A4">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65058809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51BE0966" wp14:editId="027B801A">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8A4" w:rsidRPr="000658A4">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360325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4320" behindDoc="0" locked="0" layoutInCell="1" allowOverlap="1" wp14:anchorId="38C37DCA" wp14:editId="3EBD859A">
                  <wp:simplePos x="0" y="0"/>
                  <wp:positionH relativeFrom="column">
                    <wp:posOffset>1776669</wp:posOffset>
                  </wp:positionH>
                  <wp:positionV relativeFrom="paragraph">
                    <wp:posOffset>70516</wp:posOffset>
                  </wp:positionV>
                  <wp:extent cx="5155565" cy="45719"/>
                  <wp:effectExtent l="38100" t="38100" r="64135" b="88265"/>
                  <wp:wrapNone/>
                  <wp:docPr id="24"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4 Rectángulo" o:spid="_x0000_s1026" style="position:absolute;margin-left:139.9pt;margin-top:5.55pt;width:405.95pt;height: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&#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PVGH7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8A4" w:rsidRPr="000658A4">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A67760D" wp14:editId="0E28904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44088" w:rsidRPr="00844088">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1F" w:rsidRDefault="00467E1F" w:rsidP="007D4651">
      <w:pPr>
        <w:spacing w:after="0" w:line="240" w:lineRule="auto"/>
      </w:pPr>
      <w:r>
        <w:separator/>
      </w:r>
    </w:p>
  </w:footnote>
  <w:footnote w:type="continuationSeparator" w:id="0">
    <w:p w:rsidR="00467E1F" w:rsidRDefault="00467E1F"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5888" behindDoc="1" locked="0" layoutInCell="1" allowOverlap="1" wp14:anchorId="29291D61" wp14:editId="2958D84C">
          <wp:simplePos x="0" y="0"/>
          <wp:positionH relativeFrom="column">
            <wp:posOffset>-234177</wp:posOffset>
          </wp:positionH>
          <wp:positionV relativeFrom="paragraph">
            <wp:posOffset>-5439</wp:posOffset>
          </wp:positionV>
          <wp:extent cx="1365775" cy="735496"/>
          <wp:effectExtent l="0" t="0" r="6350" b="7620"/>
          <wp:wrapNone/>
          <wp:docPr id="10" name="Imagen 1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0B0FD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87936" behindDoc="0" locked="0" layoutInCell="1" allowOverlap="1" wp14:anchorId="52303438" wp14:editId="1E502D6D">
              <wp:simplePos x="0" y="0"/>
              <wp:positionH relativeFrom="column">
                <wp:posOffset>1232949</wp:posOffset>
              </wp:positionH>
              <wp:positionV relativeFrom="paragraph">
                <wp:posOffset>61595</wp:posOffset>
              </wp:positionV>
              <wp:extent cx="5634990" cy="45085"/>
              <wp:effectExtent l="38100" t="38100" r="60960" b="88265"/>
              <wp:wrapNone/>
              <wp:docPr id="12" name="12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margin-left:97.1pt;margin-top:4.85pt;width:443.7pt;height:3.55pt;flip:y;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h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IlmHcSoH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Pr="009F164F"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7A1576AF" wp14:editId="2477050C">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0B0FD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05095F60" wp14:editId="539C9A53">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7" w:rsidRPr="007D4651" w:rsidRDefault="000A2F67"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11DABDCC" wp14:editId="0FB0078A">
          <wp:simplePos x="0" y="0"/>
          <wp:positionH relativeFrom="column">
            <wp:posOffset>-89849</wp:posOffset>
          </wp:positionH>
          <wp:positionV relativeFrom="paragraph">
            <wp:posOffset>-163027</wp:posOffset>
          </wp:positionV>
          <wp:extent cx="1697990" cy="914400"/>
          <wp:effectExtent l="0" t="0" r="0" b="0"/>
          <wp:wrapNone/>
          <wp:docPr id="44" name="Imagen 4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0A2F67" w:rsidRPr="007D4651" w:rsidRDefault="000A2F67"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 2017</w:t>
    </w:r>
  </w:p>
  <w:p w:rsidR="000A2F67" w:rsidRDefault="000A2F67"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6F1DF719" wp14:editId="6B9D5C3C">
              <wp:simplePos x="0" y="0"/>
              <wp:positionH relativeFrom="column">
                <wp:posOffset>1710568</wp:posOffset>
              </wp:positionH>
              <wp:positionV relativeFrom="paragraph">
                <wp:posOffset>29118</wp:posOffset>
              </wp:positionV>
              <wp:extent cx="5155894" cy="45719"/>
              <wp:effectExtent l="38100" t="38100" r="64135" b="88265"/>
              <wp:wrapNone/>
              <wp:docPr id="41" name="4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5+82ZT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0A2F67" w:rsidRDefault="000A2F67"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0A2F67" w:rsidRPr="00E16925" w:rsidRDefault="000A2F67"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2032" behindDoc="1" locked="0" layoutInCell="1" allowOverlap="1" wp14:anchorId="7CD895DF" wp14:editId="1BFA858C">
          <wp:simplePos x="0" y="0"/>
          <wp:positionH relativeFrom="column">
            <wp:posOffset>-453169</wp:posOffset>
          </wp:positionH>
          <wp:positionV relativeFrom="paragraph">
            <wp:posOffset>-5080</wp:posOffset>
          </wp:positionV>
          <wp:extent cx="1365775" cy="735496"/>
          <wp:effectExtent l="0" t="0" r="6350" b="7620"/>
          <wp:wrapNone/>
          <wp:docPr id="45" name="Imagen 4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AF68D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8176" behindDoc="0" locked="0" layoutInCell="1" allowOverlap="1" wp14:anchorId="74E21729" wp14:editId="209F6ECA">
              <wp:simplePos x="0" y="0"/>
              <wp:positionH relativeFrom="column">
                <wp:posOffset>1066165</wp:posOffset>
              </wp:positionH>
              <wp:positionV relativeFrom="paragraph">
                <wp:posOffset>72611</wp:posOffset>
              </wp:positionV>
              <wp:extent cx="5634990" cy="45085"/>
              <wp:effectExtent l="38100" t="38100" r="60960" b="88265"/>
              <wp:wrapNone/>
              <wp:docPr id="21" name="21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1 Rectángulo redondeado" o:spid="_x0000_s1026" style="position:absolute;margin-left:83.95pt;margin-top:5.7pt;width:443.7pt;height:3.5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kpQ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4E94AC68" wp14:editId="38A6DE22">
          <wp:simplePos x="0" y="0"/>
          <wp:positionH relativeFrom="column">
            <wp:posOffset>-89849</wp:posOffset>
          </wp:positionH>
          <wp:positionV relativeFrom="paragraph">
            <wp:posOffset>-163027</wp:posOffset>
          </wp:positionV>
          <wp:extent cx="1697990" cy="914400"/>
          <wp:effectExtent l="0" t="0" r="0" b="0"/>
          <wp:wrapNone/>
          <wp:docPr id="4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0B0FD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705E39EF" wp14:editId="69E16F2C">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4080" behindDoc="1" locked="0" layoutInCell="1" allowOverlap="1" wp14:anchorId="1B69A9D2" wp14:editId="3FA4A046">
          <wp:simplePos x="0" y="0"/>
          <wp:positionH relativeFrom="column">
            <wp:posOffset>-432849</wp:posOffset>
          </wp:positionH>
          <wp:positionV relativeFrom="paragraph">
            <wp:posOffset>-4445</wp:posOffset>
          </wp:positionV>
          <wp:extent cx="1365775" cy="735496"/>
          <wp:effectExtent l="0" t="0" r="6350" b="7620"/>
          <wp:wrapNone/>
          <wp:docPr id="18" name="Imagen 1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0B0FD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Pr="004A73AA" w:rsidRDefault="00AF68D3"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700224" behindDoc="0" locked="0" layoutInCell="1" allowOverlap="1" wp14:anchorId="29A5861B" wp14:editId="4E168A22">
              <wp:simplePos x="0" y="0"/>
              <wp:positionH relativeFrom="column">
                <wp:posOffset>1022626</wp:posOffset>
              </wp:positionH>
              <wp:positionV relativeFrom="paragraph">
                <wp:posOffset>45720</wp:posOffset>
              </wp:positionV>
              <wp:extent cx="5634990" cy="45085"/>
              <wp:effectExtent l="38100" t="38100" r="60960" b="88265"/>
              <wp:wrapNone/>
              <wp:docPr id="28" name="28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8 Rectángulo redondeado" o:spid="_x0000_s1026" style="position:absolute;margin-left:80.5pt;margin-top:3.6pt;width:443.7pt;height:3.55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4A73AA">
      <w:rPr>
        <w:rFonts w:ascii="Times New Roman" w:hAnsi="Times New Roman" w:cs="Times New Roman"/>
        <w:b/>
        <w:color w:val="1F497D" w:themeColor="text2"/>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3296" behindDoc="1" locked="0" layoutInCell="1" allowOverlap="1" wp14:anchorId="1F300D85" wp14:editId="1183704D">
          <wp:simplePos x="0" y="0"/>
          <wp:positionH relativeFrom="column">
            <wp:posOffset>-89849</wp:posOffset>
          </wp:positionH>
          <wp:positionV relativeFrom="paragraph">
            <wp:posOffset>-163027</wp:posOffset>
          </wp:positionV>
          <wp:extent cx="1697990" cy="914400"/>
          <wp:effectExtent l="0" t="0" r="0" b="0"/>
          <wp:wrapNone/>
          <wp:docPr id="25" name="Imagen 2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844088"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2272" behindDoc="0" locked="0" layoutInCell="1" allowOverlap="1" wp14:anchorId="76431915" wp14:editId="0726427A">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134.7pt;margin-top:2.3pt;width:406pt;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12891CBC" wp14:editId="312001F5">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0B0FD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sidRPr="007D4651">
      <w:rPr>
        <w:rFonts w:ascii="Times New Roman" w:hAnsi="Times New Roman" w:cs="Times New Roman"/>
        <w:color w:val="1F497D" w:themeColor="text2"/>
        <w:lang w:val="es-MX"/>
      </w:rPr>
      <w:t xml:space="preserve"> 2016</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1AEC0691" wp14:editId="6BC4BA58">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6489"/>
    <w:rsid w:val="00013C63"/>
    <w:rsid w:val="00053517"/>
    <w:rsid w:val="000658A4"/>
    <w:rsid w:val="000723B2"/>
    <w:rsid w:val="00072EEB"/>
    <w:rsid w:val="00076AD2"/>
    <w:rsid w:val="000813C5"/>
    <w:rsid w:val="0008348D"/>
    <w:rsid w:val="00087ADE"/>
    <w:rsid w:val="000A2F67"/>
    <w:rsid w:val="000B0FDA"/>
    <w:rsid w:val="000C1547"/>
    <w:rsid w:val="000D016D"/>
    <w:rsid w:val="000D2FA4"/>
    <w:rsid w:val="00102939"/>
    <w:rsid w:val="00111B77"/>
    <w:rsid w:val="001259BA"/>
    <w:rsid w:val="00133DBA"/>
    <w:rsid w:val="00157402"/>
    <w:rsid w:val="00160EAC"/>
    <w:rsid w:val="00185253"/>
    <w:rsid w:val="001C2FF5"/>
    <w:rsid w:val="001C3649"/>
    <w:rsid w:val="001D46C3"/>
    <w:rsid w:val="001D5A5B"/>
    <w:rsid w:val="001E0E10"/>
    <w:rsid w:val="001F5240"/>
    <w:rsid w:val="001F7141"/>
    <w:rsid w:val="00200FB1"/>
    <w:rsid w:val="00202594"/>
    <w:rsid w:val="002101C9"/>
    <w:rsid w:val="00213C92"/>
    <w:rsid w:val="002335EE"/>
    <w:rsid w:val="00240D86"/>
    <w:rsid w:val="00242202"/>
    <w:rsid w:val="00244AAA"/>
    <w:rsid w:val="002512EC"/>
    <w:rsid w:val="00264C3A"/>
    <w:rsid w:val="002672D5"/>
    <w:rsid w:val="00270CAB"/>
    <w:rsid w:val="00276250"/>
    <w:rsid w:val="00276A28"/>
    <w:rsid w:val="00281439"/>
    <w:rsid w:val="00281FB7"/>
    <w:rsid w:val="0029321A"/>
    <w:rsid w:val="00296D57"/>
    <w:rsid w:val="002C482A"/>
    <w:rsid w:val="002D54E6"/>
    <w:rsid w:val="002E3F4C"/>
    <w:rsid w:val="002F2A42"/>
    <w:rsid w:val="00302D40"/>
    <w:rsid w:val="003072A9"/>
    <w:rsid w:val="00334324"/>
    <w:rsid w:val="00343A5D"/>
    <w:rsid w:val="00345216"/>
    <w:rsid w:val="0034700C"/>
    <w:rsid w:val="0035279B"/>
    <w:rsid w:val="003531E5"/>
    <w:rsid w:val="00353F9F"/>
    <w:rsid w:val="003551C3"/>
    <w:rsid w:val="00364DD6"/>
    <w:rsid w:val="00367E12"/>
    <w:rsid w:val="00374D44"/>
    <w:rsid w:val="00376802"/>
    <w:rsid w:val="00381A4F"/>
    <w:rsid w:val="00385BA8"/>
    <w:rsid w:val="00393E59"/>
    <w:rsid w:val="003968DB"/>
    <w:rsid w:val="003A3726"/>
    <w:rsid w:val="003B13B4"/>
    <w:rsid w:val="003C7085"/>
    <w:rsid w:val="003D05CE"/>
    <w:rsid w:val="003D38A7"/>
    <w:rsid w:val="003D60E4"/>
    <w:rsid w:val="0040361C"/>
    <w:rsid w:val="00413FBE"/>
    <w:rsid w:val="00416D41"/>
    <w:rsid w:val="0042387A"/>
    <w:rsid w:val="004277D4"/>
    <w:rsid w:val="00443621"/>
    <w:rsid w:val="00447F4F"/>
    <w:rsid w:val="00450531"/>
    <w:rsid w:val="004575BA"/>
    <w:rsid w:val="004606FD"/>
    <w:rsid w:val="00464DB9"/>
    <w:rsid w:val="004650C5"/>
    <w:rsid w:val="00467E1F"/>
    <w:rsid w:val="00474EC2"/>
    <w:rsid w:val="00494BC6"/>
    <w:rsid w:val="00494D1D"/>
    <w:rsid w:val="00495F43"/>
    <w:rsid w:val="004A6705"/>
    <w:rsid w:val="004A73AA"/>
    <w:rsid w:val="004B336D"/>
    <w:rsid w:val="004B5B0F"/>
    <w:rsid w:val="004C208F"/>
    <w:rsid w:val="004C3B4E"/>
    <w:rsid w:val="004D1F76"/>
    <w:rsid w:val="004D7482"/>
    <w:rsid w:val="004E358C"/>
    <w:rsid w:val="004E4FDE"/>
    <w:rsid w:val="004F4F4D"/>
    <w:rsid w:val="004F72F9"/>
    <w:rsid w:val="005004C9"/>
    <w:rsid w:val="005016F6"/>
    <w:rsid w:val="005077A5"/>
    <w:rsid w:val="005364DE"/>
    <w:rsid w:val="005428C6"/>
    <w:rsid w:val="00546650"/>
    <w:rsid w:val="00573AB0"/>
    <w:rsid w:val="005879A5"/>
    <w:rsid w:val="0059421A"/>
    <w:rsid w:val="005948F0"/>
    <w:rsid w:val="005979EB"/>
    <w:rsid w:val="005A03A9"/>
    <w:rsid w:val="005A1EFC"/>
    <w:rsid w:val="005A6ACE"/>
    <w:rsid w:val="005B1B53"/>
    <w:rsid w:val="005B6D05"/>
    <w:rsid w:val="005D2336"/>
    <w:rsid w:val="0060094A"/>
    <w:rsid w:val="00606D70"/>
    <w:rsid w:val="00610F84"/>
    <w:rsid w:val="00623EC9"/>
    <w:rsid w:val="00625AA5"/>
    <w:rsid w:val="00632EE6"/>
    <w:rsid w:val="00640B12"/>
    <w:rsid w:val="00643FB6"/>
    <w:rsid w:val="00651522"/>
    <w:rsid w:val="006525C5"/>
    <w:rsid w:val="006553D6"/>
    <w:rsid w:val="00660888"/>
    <w:rsid w:val="006668D4"/>
    <w:rsid w:val="0066791B"/>
    <w:rsid w:val="00670F33"/>
    <w:rsid w:val="00674EAE"/>
    <w:rsid w:val="00685C3A"/>
    <w:rsid w:val="006A1473"/>
    <w:rsid w:val="006B0D82"/>
    <w:rsid w:val="006D1857"/>
    <w:rsid w:val="006D7B6E"/>
    <w:rsid w:val="006D7BB6"/>
    <w:rsid w:val="006E1D11"/>
    <w:rsid w:val="006E27A5"/>
    <w:rsid w:val="006F157C"/>
    <w:rsid w:val="006F20A4"/>
    <w:rsid w:val="00715D8F"/>
    <w:rsid w:val="00741591"/>
    <w:rsid w:val="00741F6B"/>
    <w:rsid w:val="007452E2"/>
    <w:rsid w:val="00747C79"/>
    <w:rsid w:val="00754057"/>
    <w:rsid w:val="0076667B"/>
    <w:rsid w:val="00784AF8"/>
    <w:rsid w:val="007859CD"/>
    <w:rsid w:val="007A6523"/>
    <w:rsid w:val="007A7814"/>
    <w:rsid w:val="007B3D0C"/>
    <w:rsid w:val="007C0C8C"/>
    <w:rsid w:val="007C4E46"/>
    <w:rsid w:val="007D0566"/>
    <w:rsid w:val="007D38A9"/>
    <w:rsid w:val="007D4651"/>
    <w:rsid w:val="007D7CFE"/>
    <w:rsid w:val="007E314A"/>
    <w:rsid w:val="007F6F57"/>
    <w:rsid w:val="00804E1C"/>
    <w:rsid w:val="00810A4C"/>
    <w:rsid w:val="00844088"/>
    <w:rsid w:val="008501C7"/>
    <w:rsid w:val="00851B4B"/>
    <w:rsid w:val="00861640"/>
    <w:rsid w:val="008718E5"/>
    <w:rsid w:val="00891B11"/>
    <w:rsid w:val="00892181"/>
    <w:rsid w:val="00892DE1"/>
    <w:rsid w:val="008E5C4F"/>
    <w:rsid w:val="008E7869"/>
    <w:rsid w:val="008F312E"/>
    <w:rsid w:val="008F5DBB"/>
    <w:rsid w:val="00910163"/>
    <w:rsid w:val="00911652"/>
    <w:rsid w:val="00916532"/>
    <w:rsid w:val="00935315"/>
    <w:rsid w:val="00942163"/>
    <w:rsid w:val="00950874"/>
    <w:rsid w:val="0095506C"/>
    <w:rsid w:val="00965F44"/>
    <w:rsid w:val="00972FCF"/>
    <w:rsid w:val="00981FB0"/>
    <w:rsid w:val="00993857"/>
    <w:rsid w:val="00997A06"/>
    <w:rsid w:val="009A12F9"/>
    <w:rsid w:val="009A3187"/>
    <w:rsid w:val="009A47FE"/>
    <w:rsid w:val="009A5380"/>
    <w:rsid w:val="009B7148"/>
    <w:rsid w:val="009C0583"/>
    <w:rsid w:val="009C361A"/>
    <w:rsid w:val="009C4027"/>
    <w:rsid w:val="009D0D94"/>
    <w:rsid w:val="009D25F9"/>
    <w:rsid w:val="009D2C22"/>
    <w:rsid w:val="009F164F"/>
    <w:rsid w:val="009F628A"/>
    <w:rsid w:val="00A25906"/>
    <w:rsid w:val="00A26C76"/>
    <w:rsid w:val="00A305E5"/>
    <w:rsid w:val="00A64AE4"/>
    <w:rsid w:val="00A7383F"/>
    <w:rsid w:val="00A74F16"/>
    <w:rsid w:val="00A900E8"/>
    <w:rsid w:val="00A9153A"/>
    <w:rsid w:val="00A92D6E"/>
    <w:rsid w:val="00A970F8"/>
    <w:rsid w:val="00AA11B9"/>
    <w:rsid w:val="00AA54A5"/>
    <w:rsid w:val="00AA7DB0"/>
    <w:rsid w:val="00AC7961"/>
    <w:rsid w:val="00AE2039"/>
    <w:rsid w:val="00AF68D3"/>
    <w:rsid w:val="00AF7ACE"/>
    <w:rsid w:val="00B136D6"/>
    <w:rsid w:val="00B21010"/>
    <w:rsid w:val="00B26014"/>
    <w:rsid w:val="00B2709E"/>
    <w:rsid w:val="00B5079C"/>
    <w:rsid w:val="00B57AAB"/>
    <w:rsid w:val="00B667BC"/>
    <w:rsid w:val="00B86812"/>
    <w:rsid w:val="00B9286A"/>
    <w:rsid w:val="00BC4F9E"/>
    <w:rsid w:val="00BC7539"/>
    <w:rsid w:val="00BC79C1"/>
    <w:rsid w:val="00BD3A7C"/>
    <w:rsid w:val="00C074EF"/>
    <w:rsid w:val="00C33674"/>
    <w:rsid w:val="00C41470"/>
    <w:rsid w:val="00C646C4"/>
    <w:rsid w:val="00C76463"/>
    <w:rsid w:val="00C85696"/>
    <w:rsid w:val="00C91204"/>
    <w:rsid w:val="00C935C2"/>
    <w:rsid w:val="00CA57D4"/>
    <w:rsid w:val="00CA6173"/>
    <w:rsid w:val="00CA65FF"/>
    <w:rsid w:val="00CB0938"/>
    <w:rsid w:val="00CC3420"/>
    <w:rsid w:val="00CC547C"/>
    <w:rsid w:val="00CC60FF"/>
    <w:rsid w:val="00CD7760"/>
    <w:rsid w:val="00CF0F94"/>
    <w:rsid w:val="00CF2D98"/>
    <w:rsid w:val="00CF5AB1"/>
    <w:rsid w:val="00CF73B4"/>
    <w:rsid w:val="00D01738"/>
    <w:rsid w:val="00D119D8"/>
    <w:rsid w:val="00D24DA4"/>
    <w:rsid w:val="00D26F28"/>
    <w:rsid w:val="00D30D15"/>
    <w:rsid w:val="00D32839"/>
    <w:rsid w:val="00D40769"/>
    <w:rsid w:val="00D4202F"/>
    <w:rsid w:val="00D43052"/>
    <w:rsid w:val="00D466D2"/>
    <w:rsid w:val="00D50ABF"/>
    <w:rsid w:val="00D532B4"/>
    <w:rsid w:val="00D616E2"/>
    <w:rsid w:val="00D63CFC"/>
    <w:rsid w:val="00D66D34"/>
    <w:rsid w:val="00D716E4"/>
    <w:rsid w:val="00D73D1A"/>
    <w:rsid w:val="00D75C74"/>
    <w:rsid w:val="00D858E5"/>
    <w:rsid w:val="00DA53C7"/>
    <w:rsid w:val="00DA5809"/>
    <w:rsid w:val="00DA7B48"/>
    <w:rsid w:val="00DC44CF"/>
    <w:rsid w:val="00DD01C5"/>
    <w:rsid w:val="00DD23C0"/>
    <w:rsid w:val="00DD4AB3"/>
    <w:rsid w:val="00DD4D5D"/>
    <w:rsid w:val="00DF20FD"/>
    <w:rsid w:val="00DF3C7A"/>
    <w:rsid w:val="00DF71A8"/>
    <w:rsid w:val="00E02A24"/>
    <w:rsid w:val="00E16925"/>
    <w:rsid w:val="00E3382E"/>
    <w:rsid w:val="00E3492D"/>
    <w:rsid w:val="00E43BF3"/>
    <w:rsid w:val="00E47525"/>
    <w:rsid w:val="00E47F91"/>
    <w:rsid w:val="00E5126C"/>
    <w:rsid w:val="00E545F1"/>
    <w:rsid w:val="00E63798"/>
    <w:rsid w:val="00E85293"/>
    <w:rsid w:val="00E94F03"/>
    <w:rsid w:val="00EA37FC"/>
    <w:rsid w:val="00EB0687"/>
    <w:rsid w:val="00EB0FC5"/>
    <w:rsid w:val="00EB317F"/>
    <w:rsid w:val="00ED2C29"/>
    <w:rsid w:val="00EE72DB"/>
    <w:rsid w:val="00EF56F9"/>
    <w:rsid w:val="00F10A29"/>
    <w:rsid w:val="00F10ACE"/>
    <w:rsid w:val="00F20D0D"/>
    <w:rsid w:val="00F229CE"/>
    <w:rsid w:val="00F644EA"/>
    <w:rsid w:val="00F75C84"/>
    <w:rsid w:val="00F76491"/>
    <w:rsid w:val="00FA3B81"/>
    <w:rsid w:val="00FA5DE4"/>
    <w:rsid w:val="00FA5E7B"/>
    <w:rsid w:val="00FB2C2F"/>
    <w:rsid w:val="00FC3884"/>
    <w:rsid w:val="00FD61B9"/>
    <w:rsid w:val="00FE56B8"/>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image" Target="media/image6.emf"/><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emf"/><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2942983603064376"/>
          <c:y val="5.6791090302901324E-2"/>
          <c:w val="0.85088996716738818"/>
          <c:h val="0.84567681666385497"/>
        </c:manualLayout>
      </c:layout>
      <c:barChart>
        <c:barDir val="col"/>
        <c:grouping val="clustered"/>
        <c:varyColors val="0"/>
        <c:ser>
          <c:idx val="0"/>
          <c:order val="0"/>
          <c:tx>
            <c:strRef>
              <c:f>Hoja1!$B$1</c:f>
              <c:strCache>
                <c:ptCount val="1"/>
                <c:pt idx="0">
                  <c:v>Obs</c:v>
                </c:pt>
              </c:strCache>
            </c:strRef>
          </c:tx>
          <c:spPr>
            <a:solidFill>
              <a:schemeClr val="accent1"/>
            </a:solidFill>
          </c:spPr>
          <c:invertIfNegative val="0"/>
          <c:dLbls>
            <c:txPr>
              <a:bodyPr rot="-5400000" vert="horz"/>
              <a:lstStyle/>
              <a:p>
                <a:pPr>
                  <a:defRPr b="1">
                    <a:solidFill>
                      <a:schemeClr val="bg1"/>
                    </a:solidFill>
                  </a:defRPr>
                </a:pPr>
                <a:endParaRPr lang="es-GT"/>
              </a:p>
            </c:txPr>
            <c:dLblPos val="inEnd"/>
            <c:showLegendKey val="0"/>
            <c:showVal val="1"/>
            <c:showCatName val="0"/>
            <c:showSerName val="0"/>
            <c:showPercent val="0"/>
            <c:showBubbleSize val="0"/>
            <c:showLeaderLines val="0"/>
          </c:dLbls>
          <c:cat>
            <c:strRef>
              <c:f>Hoja1!$A$2:$A$6</c:f>
              <c:strCache>
                <c:ptCount val="5"/>
                <c:pt idx="0">
                  <c:v>Ene</c:v>
                </c:pt>
                <c:pt idx="1">
                  <c:v>Feb</c:v>
                </c:pt>
                <c:pt idx="2">
                  <c:v>Mar</c:v>
                </c:pt>
                <c:pt idx="3">
                  <c:v>Abr</c:v>
                </c:pt>
                <c:pt idx="4">
                  <c:v>May</c:v>
                </c:pt>
              </c:strCache>
            </c:strRef>
          </c:cat>
          <c:val>
            <c:numRef>
              <c:f>Hoja1!$B$2:$B$6</c:f>
              <c:numCache>
                <c:formatCode>_(* #,##0.0_);_(* \(#,##0.0\);_(* "-"??_);_(@_)</c:formatCode>
                <c:ptCount val="5"/>
                <c:pt idx="0">
                  <c:v>5263.6985960700003</c:v>
                </c:pt>
                <c:pt idx="1">
                  <c:v>3619.0174597299997</c:v>
                </c:pt>
                <c:pt idx="2">
                  <c:v>4894.5504783299984</c:v>
                </c:pt>
                <c:pt idx="3">
                  <c:v>5742.6185616599987</c:v>
                </c:pt>
                <c:pt idx="4">
                  <c:v>3936.7532487600001</c:v>
                </c:pt>
              </c:numCache>
            </c:numRef>
          </c:val>
        </c:ser>
        <c:ser>
          <c:idx val="1"/>
          <c:order val="1"/>
          <c:tx>
            <c:strRef>
              <c:f>Hoja1!$C$1</c:f>
              <c:strCache>
                <c:ptCount val="1"/>
                <c:pt idx="0">
                  <c:v>Meta</c:v>
                </c:pt>
              </c:strCache>
            </c:strRef>
          </c:tx>
          <c:spPr>
            <a:solidFill>
              <a:srgbClr val="FF0000"/>
            </a:solidFill>
          </c:spPr>
          <c:invertIfNegative val="0"/>
          <c:dLbls>
            <c:txPr>
              <a:bodyPr rot="-5400000" vert="horz"/>
              <a:lstStyle/>
              <a:p>
                <a:pPr>
                  <a:defRPr b="1">
                    <a:solidFill>
                      <a:schemeClr val="bg1"/>
                    </a:solidFill>
                  </a:defRPr>
                </a:pPr>
                <a:endParaRPr lang="es-GT"/>
              </a:p>
            </c:txPr>
            <c:dLblPos val="inBase"/>
            <c:showLegendKey val="0"/>
            <c:showVal val="1"/>
            <c:showCatName val="0"/>
            <c:showSerName val="0"/>
            <c:showPercent val="0"/>
            <c:showBubbleSize val="0"/>
            <c:showLeaderLines val="0"/>
          </c:dLbls>
          <c:cat>
            <c:strRef>
              <c:f>Hoja1!$A$2:$A$6</c:f>
              <c:strCache>
                <c:ptCount val="5"/>
                <c:pt idx="0">
                  <c:v>Ene</c:v>
                </c:pt>
                <c:pt idx="1">
                  <c:v>Feb</c:v>
                </c:pt>
                <c:pt idx="2">
                  <c:v>Mar</c:v>
                </c:pt>
                <c:pt idx="3">
                  <c:v>Abr</c:v>
                </c:pt>
                <c:pt idx="4">
                  <c:v>May</c:v>
                </c:pt>
              </c:strCache>
            </c:strRef>
          </c:cat>
          <c:val>
            <c:numRef>
              <c:f>Hoja1!$C$2:$C$6</c:f>
              <c:numCache>
                <c:formatCode>_(* #,##0.0_);_(* \(#,##0.0\);_(* "-"??_);_(@_)</c:formatCode>
                <c:ptCount val="5"/>
                <c:pt idx="0">
                  <c:v>5627.4079276378061</c:v>
                </c:pt>
                <c:pt idx="1">
                  <c:v>3792.9570322124555</c:v>
                </c:pt>
                <c:pt idx="2">
                  <c:v>5023.2423792012787</c:v>
                </c:pt>
                <c:pt idx="3">
                  <c:v>5710.1174957668418</c:v>
                </c:pt>
                <c:pt idx="4">
                  <c:v>4071.0732233766971</c:v>
                </c:pt>
              </c:numCache>
            </c:numRef>
          </c:val>
        </c:ser>
        <c:dLbls>
          <c:showLegendKey val="0"/>
          <c:showVal val="0"/>
          <c:showCatName val="0"/>
          <c:showSerName val="0"/>
          <c:showPercent val="0"/>
          <c:showBubbleSize val="0"/>
        </c:dLbls>
        <c:gapWidth val="60"/>
        <c:axId val="165203968"/>
        <c:axId val="165206272"/>
      </c:barChart>
      <c:catAx>
        <c:axId val="165203968"/>
        <c:scaling>
          <c:orientation val="minMax"/>
        </c:scaling>
        <c:delete val="0"/>
        <c:axPos val="b"/>
        <c:numFmt formatCode="General" sourceLinked="1"/>
        <c:majorTickMark val="out"/>
        <c:minorTickMark val="none"/>
        <c:tickLblPos val="nextTo"/>
        <c:txPr>
          <a:bodyPr/>
          <a:lstStyle/>
          <a:p>
            <a:pPr>
              <a:defRPr b="1"/>
            </a:pPr>
            <a:endParaRPr lang="es-GT"/>
          </a:p>
        </c:txPr>
        <c:crossAx val="165206272"/>
        <c:crosses val="autoZero"/>
        <c:auto val="1"/>
        <c:lblAlgn val="ctr"/>
        <c:lblOffset val="100"/>
        <c:noMultiLvlLbl val="0"/>
      </c:catAx>
      <c:valAx>
        <c:axId val="165206272"/>
        <c:scaling>
          <c:orientation val="minMax"/>
        </c:scaling>
        <c:delete val="0"/>
        <c:axPos val="l"/>
        <c:numFmt formatCode="#,##0" sourceLinked="0"/>
        <c:majorTickMark val="out"/>
        <c:minorTickMark val="none"/>
        <c:tickLblPos val="nextTo"/>
        <c:txPr>
          <a:bodyPr/>
          <a:lstStyle/>
          <a:p>
            <a:pPr>
              <a:defRPr b="1"/>
            </a:pPr>
            <a:endParaRPr lang="es-GT"/>
          </a:p>
        </c:txPr>
        <c:crossAx val="165203968"/>
        <c:crosses val="autoZero"/>
        <c:crossBetween val="between"/>
      </c:valAx>
      <c:spPr>
        <a:noFill/>
        <a:ln w="25400">
          <a:noFill/>
        </a:ln>
      </c:spPr>
    </c:plotArea>
    <c:legend>
      <c:legendPos val="b"/>
      <c:layout>
        <c:manualLayout>
          <c:xMode val="edge"/>
          <c:yMode val="edge"/>
          <c:x val="0.70582134797725926"/>
          <c:y val="4.8323409173178553E-2"/>
          <c:w val="0.28046023767324285"/>
          <c:h val="9.5144990934104251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1302166564972736"/>
          <c:y val="5.6791090302901324E-2"/>
          <c:w val="0.88697833435027262"/>
          <c:h val="0.83275306802865856"/>
        </c:manualLayout>
      </c:layout>
      <c:lineChart>
        <c:grouping val="standard"/>
        <c:varyColors val="0"/>
        <c:ser>
          <c:idx val="0"/>
          <c:order val="0"/>
          <c:tx>
            <c:strRef>
              <c:f>Hoja1!$B$1</c:f>
              <c:strCache>
                <c:ptCount val="1"/>
                <c:pt idx="0">
                  <c:v>2017/2016</c:v>
                </c:pt>
              </c:strCache>
            </c:strRef>
          </c:tx>
          <c:spPr>
            <a:ln w="19050">
              <a:solidFill>
                <a:srgbClr val="FF0000"/>
              </a:solidFill>
            </a:ln>
          </c:spPr>
          <c:marker>
            <c:symbol val="circle"/>
            <c:size val="5"/>
            <c:spPr>
              <a:solidFill>
                <a:srgbClr val="FF0000"/>
              </a:solidFill>
            </c:spPr>
          </c:marker>
          <c:dLbls>
            <c:txPr>
              <a:bodyPr rot="0" vert="horz"/>
              <a:lstStyle/>
              <a:p>
                <a:pPr>
                  <a:defRPr b="1">
                    <a:solidFill>
                      <a:srgbClr val="FF0000"/>
                    </a:solidFill>
                  </a:defRPr>
                </a:pPr>
                <a:endParaRPr lang="es-GT"/>
              </a:p>
            </c:txPr>
            <c:dLblPos val="t"/>
            <c:showLegendKey val="0"/>
            <c:showVal val="1"/>
            <c:showCatName val="0"/>
            <c:showSerName val="0"/>
            <c:showPercent val="0"/>
            <c:showBubbleSize val="0"/>
            <c:showLeaderLines val="0"/>
          </c:dLbls>
          <c:cat>
            <c:strRef>
              <c:f>Hoja1!$A$2:$A$6</c:f>
              <c:strCache>
                <c:ptCount val="5"/>
                <c:pt idx="0">
                  <c:v>Ene</c:v>
                </c:pt>
                <c:pt idx="1">
                  <c:v>Feb</c:v>
                </c:pt>
                <c:pt idx="2">
                  <c:v>Mar</c:v>
                </c:pt>
                <c:pt idx="3">
                  <c:v>Abr</c:v>
                </c:pt>
                <c:pt idx="4">
                  <c:v>May</c:v>
                </c:pt>
              </c:strCache>
            </c:strRef>
          </c:cat>
          <c:val>
            <c:numRef>
              <c:f>Hoja1!$B$2:$B$6</c:f>
              <c:numCache>
                <c:formatCode>0.0%</c:formatCode>
                <c:ptCount val="5"/>
                <c:pt idx="0">
                  <c:v>8.7106089305437395E-2</c:v>
                </c:pt>
                <c:pt idx="1">
                  <c:v>7.8763477966087292E-2</c:v>
                </c:pt>
                <c:pt idx="2">
                  <c:v>9.6681641236973093E-2</c:v>
                </c:pt>
                <c:pt idx="3">
                  <c:v>6.8944163353312993E-2</c:v>
                </c:pt>
                <c:pt idx="4">
                  <c:v>5.2999999999999999E-2</c:v>
                </c:pt>
              </c:numCache>
            </c:numRef>
          </c:val>
          <c:smooth val="0"/>
        </c:ser>
        <c:ser>
          <c:idx val="1"/>
          <c:order val="1"/>
          <c:tx>
            <c:strRef>
              <c:f>Hoja1!$C$1</c:f>
              <c:strCache>
                <c:ptCount val="1"/>
                <c:pt idx="0">
                  <c:v>2016/2015</c:v>
                </c:pt>
              </c:strCache>
            </c:strRef>
          </c:tx>
          <c:spPr>
            <a:ln w="19050">
              <a:solidFill>
                <a:schemeClr val="tx2"/>
              </a:solidFill>
              <a:prstDash val="sysDash"/>
            </a:ln>
          </c:spPr>
          <c:marker>
            <c:spPr>
              <a:solidFill>
                <a:srgbClr val="002060"/>
              </a:solidFill>
            </c:spPr>
          </c:marker>
          <c:dLbls>
            <c:dLbl>
              <c:idx val="4"/>
              <c:layout>
                <c:manualLayout>
                  <c:x val="-1.4481215678298516E-3"/>
                  <c:y val="7.0411985018726655E-2"/>
                </c:manualLayout>
              </c:layout>
              <c:dLblPos val="r"/>
              <c:showLegendKey val="0"/>
              <c:showVal val="1"/>
              <c:showCatName val="0"/>
              <c:showSerName val="0"/>
              <c:showPercent val="0"/>
              <c:showBubbleSize val="0"/>
            </c:dLbl>
            <c:txPr>
              <a:bodyPr/>
              <a:lstStyle/>
              <a:p>
                <a:pPr>
                  <a:defRPr b="1">
                    <a:solidFill>
                      <a:sysClr val="windowText" lastClr="000000"/>
                    </a:solidFill>
                  </a:defRPr>
                </a:pPr>
                <a:endParaRPr lang="es-GT"/>
              </a:p>
            </c:txPr>
            <c:dLblPos val="t"/>
            <c:showLegendKey val="0"/>
            <c:showVal val="1"/>
            <c:showCatName val="0"/>
            <c:showSerName val="0"/>
            <c:showPercent val="0"/>
            <c:showBubbleSize val="0"/>
            <c:showLeaderLines val="0"/>
          </c:dLbls>
          <c:cat>
            <c:strRef>
              <c:f>Hoja1!$A$2:$A$6</c:f>
              <c:strCache>
                <c:ptCount val="5"/>
                <c:pt idx="0">
                  <c:v>Ene</c:v>
                </c:pt>
                <c:pt idx="1">
                  <c:v>Feb</c:v>
                </c:pt>
                <c:pt idx="2">
                  <c:v>Mar</c:v>
                </c:pt>
                <c:pt idx="3">
                  <c:v>Abr</c:v>
                </c:pt>
                <c:pt idx="4">
                  <c:v>May</c:v>
                </c:pt>
              </c:strCache>
            </c:strRef>
          </c:cat>
          <c:val>
            <c:numRef>
              <c:f>Hoja1!$C$2:$C$6</c:f>
              <c:numCache>
                <c:formatCode>0.0%</c:formatCode>
                <c:ptCount val="5"/>
                <c:pt idx="0">
                  <c:v>-2.3375490882261318E-2</c:v>
                </c:pt>
                <c:pt idx="1">
                  <c:v>4.3206148558598834E-3</c:v>
                </c:pt>
                <c:pt idx="2">
                  <c:v>-1.0267216186412131E-2</c:v>
                </c:pt>
                <c:pt idx="3">
                  <c:v>1.9355073413711565E-3</c:v>
                </c:pt>
                <c:pt idx="4">
                  <c:v>2.8000000000000001E-2</c:v>
                </c:pt>
              </c:numCache>
            </c:numRef>
          </c:val>
          <c:smooth val="0"/>
        </c:ser>
        <c:dLbls>
          <c:showLegendKey val="0"/>
          <c:showVal val="0"/>
          <c:showCatName val="0"/>
          <c:showSerName val="0"/>
          <c:showPercent val="0"/>
          <c:showBubbleSize val="0"/>
        </c:dLbls>
        <c:marker val="1"/>
        <c:smooth val="0"/>
        <c:axId val="96211328"/>
        <c:axId val="96212864"/>
      </c:lineChart>
      <c:catAx>
        <c:axId val="96211328"/>
        <c:scaling>
          <c:orientation val="minMax"/>
        </c:scaling>
        <c:delete val="0"/>
        <c:axPos val="b"/>
        <c:numFmt formatCode="General" sourceLinked="1"/>
        <c:majorTickMark val="out"/>
        <c:minorTickMark val="none"/>
        <c:tickLblPos val="low"/>
        <c:crossAx val="96212864"/>
        <c:crosses val="autoZero"/>
        <c:auto val="1"/>
        <c:lblAlgn val="ctr"/>
        <c:lblOffset val="100"/>
        <c:noMultiLvlLbl val="0"/>
      </c:catAx>
      <c:valAx>
        <c:axId val="96212864"/>
        <c:scaling>
          <c:orientation val="minMax"/>
        </c:scaling>
        <c:delete val="0"/>
        <c:axPos val="l"/>
        <c:numFmt formatCode="0%" sourceLinked="0"/>
        <c:majorTickMark val="out"/>
        <c:minorTickMark val="none"/>
        <c:tickLblPos val="nextTo"/>
        <c:crossAx val="96211328"/>
        <c:crosses val="autoZero"/>
        <c:crossBetween val="between"/>
      </c:valAx>
      <c:spPr>
        <a:noFill/>
        <a:ln w="25400">
          <a:noFill/>
        </a:ln>
      </c:spPr>
    </c:plotArea>
    <c:legend>
      <c:legendPos val="b"/>
      <c:layout>
        <c:manualLayout>
          <c:xMode val="edge"/>
          <c:yMode val="edge"/>
          <c:x val="0.24333672313101085"/>
          <c:y val="0.78240585095402404"/>
          <c:w val="0.75666327686898915"/>
          <c:h val="0.11064614114246955"/>
        </c:manualLayout>
      </c:layout>
      <c:overlay val="0"/>
      <c:txPr>
        <a:bodyPr/>
        <a:lstStyle/>
        <a:p>
          <a:pPr>
            <a:defRPr b="1"/>
          </a:pPr>
          <a:endParaRPr lang="es-GT"/>
        </a:p>
      </c:txPr>
    </c:legend>
    <c:plotVisOnly val="1"/>
    <c:dispBlanksAs val="gap"/>
    <c:showDLblsOverMax val="0"/>
  </c:chart>
  <c:spPr>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2942983603064376"/>
          <c:y val="2.504670018039002E-2"/>
          <c:w val="0.85088996716738818"/>
          <c:h val="0.88863695004226151"/>
        </c:manualLayout>
      </c:layout>
      <c:lineChart>
        <c:grouping val="standard"/>
        <c:varyColors val="0"/>
        <c:ser>
          <c:idx val="0"/>
          <c:order val="0"/>
          <c:tx>
            <c:strRef>
              <c:f>Hoja1!$B$1</c:f>
              <c:strCache>
                <c:ptCount val="1"/>
                <c:pt idx="0">
                  <c:v>2017/2016</c:v>
                </c:pt>
              </c:strCache>
            </c:strRef>
          </c:tx>
          <c:spPr>
            <a:ln w="19050">
              <a:solidFill>
                <a:srgbClr val="FF0000"/>
              </a:solidFill>
            </a:ln>
          </c:spPr>
          <c:marker>
            <c:symbol val="circle"/>
            <c:size val="5"/>
            <c:spPr>
              <a:solidFill>
                <a:srgbClr val="FF0000"/>
              </a:solidFill>
            </c:spPr>
          </c:marker>
          <c:dLbls>
            <c:dLbl>
              <c:idx val="4"/>
              <c:layout>
                <c:manualLayout>
                  <c:x val="-1.4481215678298516E-3"/>
                  <c:y val="8.5393258426966295E-2"/>
                </c:manualLayout>
              </c:layout>
              <c:dLblPos val="r"/>
              <c:showLegendKey val="0"/>
              <c:showVal val="1"/>
              <c:showCatName val="0"/>
              <c:showSerName val="0"/>
              <c:showPercent val="0"/>
              <c:showBubbleSize val="0"/>
            </c:dLbl>
            <c:txPr>
              <a:bodyPr rot="0" vert="horz"/>
              <a:lstStyle/>
              <a:p>
                <a:pPr>
                  <a:defRPr b="1">
                    <a:solidFill>
                      <a:srgbClr val="FF0000"/>
                    </a:solidFill>
                  </a:defRPr>
                </a:pPr>
                <a:endParaRPr lang="es-GT"/>
              </a:p>
            </c:txPr>
            <c:dLblPos val="t"/>
            <c:showLegendKey val="0"/>
            <c:showVal val="1"/>
            <c:showCatName val="0"/>
            <c:showSerName val="0"/>
            <c:showPercent val="0"/>
            <c:showBubbleSize val="0"/>
            <c:showLeaderLines val="0"/>
          </c:dLbls>
          <c:cat>
            <c:strRef>
              <c:f>Hoja1!$A$2:$A$6</c:f>
              <c:strCache>
                <c:ptCount val="5"/>
                <c:pt idx="0">
                  <c:v>Ene</c:v>
                </c:pt>
                <c:pt idx="1">
                  <c:v>Feb</c:v>
                </c:pt>
                <c:pt idx="2">
                  <c:v>Mar</c:v>
                </c:pt>
                <c:pt idx="3">
                  <c:v>Abr</c:v>
                </c:pt>
                <c:pt idx="4">
                  <c:v>May</c:v>
                </c:pt>
              </c:strCache>
            </c:strRef>
          </c:cat>
          <c:val>
            <c:numRef>
              <c:f>Hoja1!$B$2:$B$6</c:f>
              <c:numCache>
                <c:formatCode>0.0%</c:formatCode>
                <c:ptCount val="5"/>
                <c:pt idx="0">
                  <c:v>0.14711342893697199</c:v>
                </c:pt>
                <c:pt idx="1">
                  <c:v>0.15353301655355001</c:v>
                </c:pt>
                <c:pt idx="2">
                  <c:v>0.1588626652779721</c:v>
                </c:pt>
                <c:pt idx="3">
                  <c:v>0.19687396453161088</c:v>
                </c:pt>
                <c:pt idx="4">
                  <c:v>6.6000000000000003E-2</c:v>
                </c:pt>
              </c:numCache>
            </c:numRef>
          </c:val>
          <c:smooth val="0"/>
        </c:ser>
        <c:ser>
          <c:idx val="1"/>
          <c:order val="1"/>
          <c:tx>
            <c:strRef>
              <c:f>Hoja1!$C$1</c:f>
              <c:strCache>
                <c:ptCount val="1"/>
                <c:pt idx="0">
                  <c:v>2016/2015</c:v>
                </c:pt>
              </c:strCache>
            </c:strRef>
          </c:tx>
          <c:spPr>
            <a:ln w="19050">
              <a:solidFill>
                <a:schemeClr val="tx2"/>
              </a:solidFill>
              <a:prstDash val="sysDash"/>
            </a:ln>
          </c:spPr>
          <c:marker>
            <c:spPr>
              <a:solidFill>
                <a:srgbClr val="002060"/>
              </a:solidFill>
            </c:spPr>
          </c:marker>
          <c:dLbls>
            <c:txPr>
              <a:bodyPr/>
              <a:lstStyle/>
              <a:p>
                <a:pPr>
                  <a:defRPr b="1">
                    <a:solidFill>
                      <a:sysClr val="windowText" lastClr="000000"/>
                    </a:solidFill>
                  </a:defRPr>
                </a:pPr>
                <a:endParaRPr lang="es-GT"/>
              </a:p>
            </c:txPr>
            <c:dLblPos val="t"/>
            <c:showLegendKey val="0"/>
            <c:showVal val="1"/>
            <c:showCatName val="0"/>
            <c:showSerName val="0"/>
            <c:showPercent val="0"/>
            <c:showBubbleSize val="0"/>
            <c:showLeaderLines val="0"/>
          </c:dLbls>
          <c:cat>
            <c:strRef>
              <c:f>Hoja1!$A$2:$A$6</c:f>
              <c:strCache>
                <c:ptCount val="5"/>
                <c:pt idx="0">
                  <c:v>Ene</c:v>
                </c:pt>
                <c:pt idx="1">
                  <c:v>Feb</c:v>
                </c:pt>
                <c:pt idx="2">
                  <c:v>Mar</c:v>
                </c:pt>
                <c:pt idx="3">
                  <c:v>Abr</c:v>
                </c:pt>
                <c:pt idx="4">
                  <c:v>May</c:v>
                </c:pt>
              </c:strCache>
            </c:strRef>
          </c:cat>
          <c:val>
            <c:numRef>
              <c:f>Hoja1!$C$2:$C$6</c:f>
              <c:numCache>
                <c:formatCode>0.0%</c:formatCode>
                <c:ptCount val="5"/>
                <c:pt idx="0">
                  <c:v>2.597414359755601E-2</c:v>
                </c:pt>
                <c:pt idx="1">
                  <c:v>-4.4987491310084504E-2</c:v>
                </c:pt>
                <c:pt idx="2">
                  <c:v>1.8696642978055511E-3</c:v>
                </c:pt>
                <c:pt idx="3">
                  <c:v>1.2480307838625304E-2</c:v>
                </c:pt>
                <c:pt idx="4">
                  <c:v>0.11899999999999999</c:v>
                </c:pt>
              </c:numCache>
            </c:numRef>
          </c:val>
          <c:smooth val="0"/>
        </c:ser>
        <c:dLbls>
          <c:showLegendKey val="0"/>
          <c:showVal val="0"/>
          <c:showCatName val="0"/>
          <c:showSerName val="0"/>
          <c:showPercent val="0"/>
          <c:showBubbleSize val="0"/>
        </c:dLbls>
        <c:marker val="1"/>
        <c:smooth val="0"/>
        <c:axId val="98356224"/>
        <c:axId val="98366208"/>
      </c:lineChart>
      <c:catAx>
        <c:axId val="98356224"/>
        <c:scaling>
          <c:orientation val="minMax"/>
        </c:scaling>
        <c:delete val="0"/>
        <c:axPos val="b"/>
        <c:numFmt formatCode="General" sourceLinked="1"/>
        <c:majorTickMark val="out"/>
        <c:minorTickMark val="none"/>
        <c:tickLblPos val="low"/>
        <c:crossAx val="98366208"/>
        <c:crosses val="autoZero"/>
        <c:auto val="1"/>
        <c:lblAlgn val="ctr"/>
        <c:lblOffset val="100"/>
        <c:noMultiLvlLbl val="0"/>
      </c:catAx>
      <c:valAx>
        <c:axId val="98366208"/>
        <c:scaling>
          <c:orientation val="minMax"/>
        </c:scaling>
        <c:delete val="0"/>
        <c:axPos val="l"/>
        <c:numFmt formatCode="0%" sourceLinked="0"/>
        <c:majorTickMark val="out"/>
        <c:minorTickMark val="none"/>
        <c:tickLblPos val="nextTo"/>
        <c:crossAx val="98356224"/>
        <c:crosses val="autoZero"/>
        <c:crossBetween val="between"/>
      </c:valAx>
      <c:spPr>
        <a:noFill/>
        <a:ln w="25400">
          <a:noFill/>
        </a:ln>
      </c:spPr>
    </c:plotArea>
    <c:legend>
      <c:legendPos val="b"/>
      <c:layout>
        <c:manualLayout>
          <c:xMode val="edge"/>
          <c:yMode val="edge"/>
          <c:x val="0.24333672313101085"/>
          <c:y val="0.78240585095402404"/>
          <c:w val="0.75666327686898915"/>
          <c:h val="0.11064614114246955"/>
        </c:manualLayout>
      </c:layout>
      <c:overlay val="0"/>
      <c:txPr>
        <a:bodyPr/>
        <a:lstStyle/>
        <a:p>
          <a:pPr>
            <a:defRPr b="1"/>
          </a:pPr>
          <a:endParaRPr lang="es-GT"/>
        </a:p>
      </c:txPr>
    </c:legend>
    <c:plotVisOnly val="1"/>
    <c:dispBlanksAs val="gap"/>
    <c:showDLblsOverMax val="0"/>
  </c:chart>
  <c:spPr>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9261520881318"/>
          <c:y val="2.5225225225225224E-2"/>
          <c:w val="0.74718017390683311"/>
          <c:h val="0.87051855416979729"/>
        </c:manualLayout>
      </c:layout>
      <c:barChart>
        <c:barDir val="bar"/>
        <c:grouping val="clustered"/>
        <c:varyColors val="0"/>
        <c:ser>
          <c:idx val="0"/>
          <c:order val="0"/>
          <c:tx>
            <c:strRef>
              <c:f>Hoja1!$B$1</c:f>
              <c:strCache>
                <c:ptCount val="1"/>
                <c:pt idx="0">
                  <c:v>2017-2016</c:v>
                </c:pt>
              </c:strCache>
            </c:strRef>
          </c:tx>
          <c:invertIfNegative val="0"/>
          <c:dLbls>
            <c:txPr>
              <a:bodyPr/>
              <a:lstStyle/>
              <a:p>
                <a:pPr>
                  <a:defRPr sz="600" b="1">
                    <a:solidFill>
                      <a:srgbClr val="0070C0"/>
                    </a:solidFill>
                  </a:defRPr>
                </a:pPr>
                <a:endParaRPr lang="es-GT"/>
              </a:p>
            </c:txPr>
            <c:showLegendKey val="0"/>
            <c:showVal val="1"/>
            <c:showCatName val="0"/>
            <c:showSerName val="0"/>
            <c:showPercent val="0"/>
            <c:showBubbleSize val="0"/>
            <c:showLeaderLines val="0"/>
          </c:dLbls>
          <c:cat>
            <c:strRef>
              <c:f>Hoja1!$A$2:$A$19</c:f>
              <c:strCache>
                <c:ptCount val="18"/>
                <c:pt idx="0">
                  <c:v>IVA imp</c:v>
                </c:pt>
                <c:pt idx="1">
                  <c:v>ISO</c:v>
                </c:pt>
                <c:pt idx="2">
                  <c:v>IVA dom</c:v>
                </c:pt>
                <c:pt idx="3">
                  <c:v>DAI</c:v>
                </c:pt>
                <c:pt idx="4">
                  <c:v>Petróleo</c:v>
                </c:pt>
                <c:pt idx="5">
                  <c:v>IPRIMA</c:v>
                </c:pt>
                <c:pt idx="6">
                  <c:v>Vehículos</c:v>
                </c:pt>
                <c:pt idx="7">
                  <c:v>Salidas</c:v>
                </c:pt>
                <c:pt idx="8">
                  <c:v>Bebidas</c:v>
                </c:pt>
                <c:pt idx="9">
                  <c:v>Timbres</c:v>
                </c:pt>
                <c:pt idx="10">
                  <c:v>Tabacos</c:v>
                </c:pt>
                <c:pt idx="11">
                  <c:v>IEMA</c:v>
                </c:pt>
                <c:pt idx="12">
                  <c:v>Otros</c:v>
                </c:pt>
                <c:pt idx="13">
                  <c:v>Cemento</c:v>
                </c:pt>
                <c:pt idx="14">
                  <c:v>Propiedad</c:v>
                </c:pt>
                <c:pt idx="15">
                  <c:v>IETAAP</c:v>
                </c:pt>
                <c:pt idx="16">
                  <c:v>Regalías</c:v>
                </c:pt>
                <c:pt idx="17">
                  <c:v>ISR</c:v>
                </c:pt>
              </c:strCache>
            </c:strRef>
          </c:cat>
          <c:val>
            <c:numRef>
              <c:f>Hoja1!$B$2:$B$19</c:f>
              <c:numCache>
                <c:formatCode>#,##0.0</c:formatCode>
                <c:ptCount val="18"/>
                <c:pt idx="0">
                  <c:v>185.4729899499971</c:v>
                </c:pt>
                <c:pt idx="1">
                  <c:v>100.12231483999972</c:v>
                </c:pt>
                <c:pt idx="2">
                  <c:v>337.28898605000177</c:v>
                </c:pt>
                <c:pt idx="3">
                  <c:v>15.436991749999947</c:v>
                </c:pt>
                <c:pt idx="4">
                  <c:v>-1.5481307100005779</c:v>
                </c:pt>
                <c:pt idx="5">
                  <c:v>-25.194270130000177</c:v>
                </c:pt>
                <c:pt idx="6">
                  <c:v>-1.8372408099998836</c:v>
                </c:pt>
                <c:pt idx="7">
                  <c:v>11.700660200000016</c:v>
                </c:pt>
                <c:pt idx="8">
                  <c:v>8.8704933599998981</c:v>
                </c:pt>
                <c:pt idx="9">
                  <c:v>28.364080809999962</c:v>
                </c:pt>
                <c:pt idx="10">
                  <c:v>-2.6023334300000442</c:v>
                </c:pt>
                <c:pt idx="11">
                  <c:v>-0.71635177999999988</c:v>
                </c:pt>
                <c:pt idx="12">
                  <c:v>0.2633262799999998</c:v>
                </c:pt>
                <c:pt idx="13">
                  <c:v>1.6861193099999952</c:v>
                </c:pt>
                <c:pt idx="14">
                  <c:v>7.0137666800000016</c:v>
                </c:pt>
                <c:pt idx="15">
                  <c:v>8.0044553900000004</c:v>
                </c:pt>
                <c:pt idx="16">
                  <c:v>57.409626750000015</c:v>
                </c:pt>
                <c:pt idx="17">
                  <c:v>442.58925268999883</c:v>
                </c:pt>
              </c:numCache>
            </c:numRef>
          </c:val>
        </c:ser>
        <c:ser>
          <c:idx val="1"/>
          <c:order val="1"/>
          <c:tx>
            <c:strRef>
              <c:f>Hoja1!$C$1</c:f>
              <c:strCache>
                <c:ptCount val="1"/>
                <c:pt idx="0">
                  <c:v>2017-Pres</c:v>
                </c:pt>
              </c:strCache>
            </c:strRef>
          </c:tx>
          <c:invertIfNegative val="0"/>
          <c:dLbls>
            <c:txPr>
              <a:bodyPr/>
              <a:lstStyle/>
              <a:p>
                <a:pPr>
                  <a:defRPr sz="600" b="1">
                    <a:solidFill>
                      <a:srgbClr val="C00000"/>
                    </a:solidFill>
                  </a:defRPr>
                </a:pPr>
                <a:endParaRPr lang="es-GT"/>
              </a:p>
            </c:txPr>
            <c:showLegendKey val="0"/>
            <c:showVal val="1"/>
            <c:showCatName val="0"/>
            <c:showSerName val="0"/>
            <c:showPercent val="0"/>
            <c:showBubbleSize val="0"/>
            <c:showLeaderLines val="0"/>
          </c:dLbls>
          <c:cat>
            <c:strRef>
              <c:f>Hoja1!$A$2:$A$19</c:f>
              <c:strCache>
                <c:ptCount val="18"/>
                <c:pt idx="0">
                  <c:v>IVA imp</c:v>
                </c:pt>
                <c:pt idx="1">
                  <c:v>ISO</c:v>
                </c:pt>
                <c:pt idx="2">
                  <c:v>IVA dom</c:v>
                </c:pt>
                <c:pt idx="3">
                  <c:v>DAI</c:v>
                </c:pt>
                <c:pt idx="4">
                  <c:v>Petróleo</c:v>
                </c:pt>
                <c:pt idx="5">
                  <c:v>IPRIMA</c:v>
                </c:pt>
                <c:pt idx="6">
                  <c:v>Vehículos</c:v>
                </c:pt>
                <c:pt idx="7">
                  <c:v>Salidas</c:v>
                </c:pt>
                <c:pt idx="8">
                  <c:v>Bebidas</c:v>
                </c:pt>
                <c:pt idx="9">
                  <c:v>Timbres</c:v>
                </c:pt>
                <c:pt idx="10">
                  <c:v>Tabacos</c:v>
                </c:pt>
                <c:pt idx="11">
                  <c:v>IEMA</c:v>
                </c:pt>
                <c:pt idx="12">
                  <c:v>Otros</c:v>
                </c:pt>
                <c:pt idx="13">
                  <c:v>Cemento</c:v>
                </c:pt>
                <c:pt idx="14">
                  <c:v>Propiedad</c:v>
                </c:pt>
                <c:pt idx="15">
                  <c:v>IETAAP</c:v>
                </c:pt>
                <c:pt idx="16">
                  <c:v>Regalías</c:v>
                </c:pt>
                <c:pt idx="17">
                  <c:v>ISR</c:v>
                </c:pt>
              </c:strCache>
            </c:strRef>
          </c:cat>
          <c:val>
            <c:numRef>
              <c:f>Hoja1!$C$2:$C$19</c:f>
              <c:numCache>
                <c:formatCode>#,##0.0</c:formatCode>
                <c:ptCount val="18"/>
                <c:pt idx="0">
                  <c:v>-377.14916367000023</c:v>
                </c:pt>
                <c:pt idx="1">
                  <c:v>-245.25770025000065</c:v>
                </c:pt>
                <c:pt idx="2">
                  <c:v>-120.52631107999787</c:v>
                </c:pt>
                <c:pt idx="3">
                  <c:v>-109.80201556999987</c:v>
                </c:pt>
                <c:pt idx="4">
                  <c:v>-103.88880561999895</c:v>
                </c:pt>
                <c:pt idx="5">
                  <c:v>-50.671880039999962</c:v>
                </c:pt>
                <c:pt idx="6">
                  <c:v>-45.741249510000046</c:v>
                </c:pt>
                <c:pt idx="7">
                  <c:v>-21.377614015061226</c:v>
                </c:pt>
                <c:pt idx="8">
                  <c:v>-20.65790058999994</c:v>
                </c:pt>
                <c:pt idx="9">
                  <c:v>-20.278437939999947</c:v>
                </c:pt>
                <c:pt idx="10">
                  <c:v>-16.020472000000098</c:v>
                </c:pt>
                <c:pt idx="11">
                  <c:v>0.21797808999999999</c:v>
                </c:pt>
                <c:pt idx="12">
                  <c:v>0.33907757000000105</c:v>
                </c:pt>
                <c:pt idx="13">
                  <c:v>3.0345875400000395</c:v>
                </c:pt>
                <c:pt idx="14">
                  <c:v>6.4469238300000082</c:v>
                </c:pt>
                <c:pt idx="15">
                  <c:v>8.3319873100000006</c:v>
                </c:pt>
                <c:pt idx="16">
                  <c:v>38.066160949979363</c:v>
                </c:pt>
                <c:pt idx="17">
                  <c:v>306.77512134999779</c:v>
                </c:pt>
              </c:numCache>
            </c:numRef>
          </c:val>
        </c:ser>
        <c:dLbls>
          <c:showLegendKey val="0"/>
          <c:showVal val="0"/>
          <c:showCatName val="0"/>
          <c:showSerName val="0"/>
          <c:showPercent val="0"/>
          <c:showBubbleSize val="0"/>
        </c:dLbls>
        <c:gapWidth val="25"/>
        <c:axId val="89941888"/>
        <c:axId val="89943424"/>
      </c:barChart>
      <c:catAx>
        <c:axId val="89941888"/>
        <c:scaling>
          <c:orientation val="minMax"/>
        </c:scaling>
        <c:delete val="0"/>
        <c:axPos val="l"/>
        <c:majorGridlines>
          <c:spPr>
            <a:ln w="6350">
              <a:solidFill>
                <a:schemeClr val="tx2">
                  <a:lumMod val="20000"/>
                  <a:lumOff val="80000"/>
                </a:schemeClr>
              </a:solidFill>
              <a:prstDash val="sysDash"/>
            </a:ln>
          </c:spPr>
        </c:majorGridlines>
        <c:majorTickMark val="out"/>
        <c:minorTickMark val="none"/>
        <c:tickLblPos val="low"/>
        <c:txPr>
          <a:bodyPr/>
          <a:lstStyle/>
          <a:p>
            <a:pPr>
              <a:defRPr b="1"/>
            </a:pPr>
            <a:endParaRPr lang="es-GT"/>
          </a:p>
        </c:txPr>
        <c:crossAx val="89943424"/>
        <c:crosses val="autoZero"/>
        <c:auto val="1"/>
        <c:lblAlgn val="ctr"/>
        <c:lblOffset val="100"/>
        <c:noMultiLvlLbl val="0"/>
      </c:catAx>
      <c:valAx>
        <c:axId val="89943424"/>
        <c:scaling>
          <c:orientation val="minMax"/>
        </c:scaling>
        <c:delete val="0"/>
        <c:axPos val="b"/>
        <c:majorGridlines>
          <c:spPr>
            <a:ln w="6350">
              <a:solidFill>
                <a:schemeClr val="tx2">
                  <a:lumMod val="20000"/>
                  <a:lumOff val="80000"/>
                </a:schemeClr>
              </a:solidFill>
              <a:prstDash val="sysDash"/>
            </a:ln>
          </c:spPr>
        </c:majorGridlines>
        <c:numFmt formatCode="#,##0" sourceLinked="0"/>
        <c:majorTickMark val="out"/>
        <c:minorTickMark val="none"/>
        <c:tickLblPos val="nextTo"/>
        <c:txPr>
          <a:bodyPr/>
          <a:lstStyle/>
          <a:p>
            <a:pPr>
              <a:defRPr b="1"/>
            </a:pPr>
            <a:endParaRPr lang="es-GT"/>
          </a:p>
        </c:txPr>
        <c:crossAx val="89941888"/>
        <c:crosses val="autoZero"/>
        <c:crossBetween val="between"/>
      </c:valAx>
      <c:spPr>
        <a:ln>
          <a:noFill/>
        </a:ln>
      </c:spPr>
    </c:plotArea>
    <c:legend>
      <c:legendPos val="b"/>
      <c:layout>
        <c:manualLayout>
          <c:xMode val="edge"/>
          <c:yMode val="edge"/>
          <c:x val="0.27060351394213361"/>
          <c:y val="0.9493984845724619"/>
          <c:w val="0.45879297211573283"/>
          <c:h val="5.0601570524716664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65482007331109"/>
          <c:y val="3.1609663536409913E-2"/>
          <c:w val="0.88689950769184656"/>
          <c:h val="0.71453743668486147"/>
        </c:manualLayout>
      </c:layout>
      <c:lineChart>
        <c:grouping val="standard"/>
        <c:varyColors val="0"/>
        <c:ser>
          <c:idx val="0"/>
          <c:order val="0"/>
          <c:spPr>
            <a:ln w="6350"/>
            <a:effectLst>
              <a:outerShdw blurRad="50800" dist="38100" dir="2700000" algn="tl" rotWithShape="0">
                <a:prstClr val="black">
                  <a:alpha val="40000"/>
                </a:prstClr>
              </a:outerShdw>
            </a:effectLst>
          </c:spPr>
          <c:marker>
            <c:symbol val="diamond"/>
            <c:size val="3"/>
            <c:spPr>
              <a:effectLst>
                <a:outerShdw blurRad="50800" dist="38100" dir="2700000" algn="tl" rotWithShape="0">
                  <a:prstClr val="black">
                    <a:alpha val="40000"/>
                  </a:prstClr>
                </a:outerShdw>
              </a:effectLst>
            </c:spPr>
          </c:marker>
          <c:dLbls>
            <c:dLbl>
              <c:idx val="0"/>
              <c:layout>
                <c:manualLayout>
                  <c:x val="-2.5000000000000001E-2"/>
                  <c:y val="-3.7037037037037035E-2"/>
                </c:manualLayout>
              </c:layout>
              <c:showLegendKey val="0"/>
              <c:showVal val="1"/>
              <c:showCatName val="0"/>
              <c:showSerName val="0"/>
              <c:showPercent val="0"/>
              <c:showBubbleSize val="0"/>
            </c:dLbl>
            <c:dLbl>
              <c:idx val="1"/>
              <c:delete val="1"/>
            </c:dLbl>
            <c:dLbl>
              <c:idx val="2"/>
              <c:delete val="1"/>
            </c:dLbl>
            <c:dLbl>
              <c:idx val="3"/>
              <c:delete val="1"/>
            </c:dLbl>
            <c:dLbl>
              <c:idx val="4"/>
              <c:layout>
                <c:manualLayout>
                  <c:x val="-6.7823878069432686E-2"/>
                  <c:y val="-7.4766244029782103E-2"/>
                </c:manualLayout>
              </c:layout>
              <c:showLegendKey val="0"/>
              <c:showVal val="1"/>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layout>
                <c:manualLayout>
                  <c:x val="-7.6138699495658532E-2"/>
                  <c:y val="-7.474666142356462E-2"/>
                </c:manualLayout>
              </c:layout>
              <c:showLegendKey val="0"/>
              <c:showVal val="1"/>
              <c:showCatName val="0"/>
              <c:showSerName val="0"/>
              <c:showPercent val="0"/>
              <c:showBubbleSize val="0"/>
            </c:dLbl>
            <c:dLbl>
              <c:idx val="12"/>
              <c:delete val="1"/>
            </c:dLbl>
            <c:dLbl>
              <c:idx val="13"/>
              <c:delete val="1"/>
            </c:dLbl>
            <c:dLbl>
              <c:idx val="14"/>
              <c:delete val="1"/>
            </c:dLbl>
            <c:dLbl>
              <c:idx val="15"/>
              <c:delete val="1"/>
            </c:dLbl>
            <c:dLbl>
              <c:idx val="16"/>
              <c:layout>
                <c:manualLayout>
                  <c:x val="-2.3918533116527915E-3"/>
                  <c:y val="-8.603058178220821E-2"/>
                </c:manualLayout>
              </c:layout>
              <c:numFmt formatCode="#,##0.00" sourceLinked="0"/>
              <c:spPr/>
              <c:txPr>
                <a:bodyPr/>
                <a:lstStyle/>
                <a:p>
                  <a:pPr>
                    <a:defRPr sz="700" b="1"/>
                  </a:pPr>
                  <a:endParaRPr lang="es-GT"/>
                </a:p>
              </c:txPr>
              <c:showLegendKey val="0"/>
              <c:showVal val="1"/>
              <c:showCatName val="0"/>
              <c:showSerName val="0"/>
              <c:showPercent val="0"/>
              <c:showBubbleSize val="0"/>
            </c:dLbl>
            <c:numFmt formatCode="#,##0.00" sourceLinked="0"/>
            <c:txPr>
              <a:bodyPr/>
              <a:lstStyle/>
              <a:p>
                <a:pPr>
                  <a:defRPr sz="600"/>
                </a:pPr>
                <a:endParaRPr lang="es-GT"/>
              </a:p>
            </c:txPr>
            <c:showLegendKey val="0"/>
            <c:showVal val="1"/>
            <c:showCatName val="0"/>
            <c:showSerName val="0"/>
            <c:showPercent val="0"/>
            <c:showBubbleSize val="0"/>
            <c:showLeaderLines val="0"/>
          </c:dLbls>
          <c:cat>
            <c:numRef>
              <c:f>Hoja1!$E$3:$E$19</c:f>
              <c:numCache>
                <c:formatCode>mmm\-yy</c:formatCode>
                <c:ptCount val="1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numCache>
            </c:numRef>
          </c:cat>
          <c:val>
            <c:numRef>
              <c:f>Hoja1!$F$3:$F$19</c:f>
              <c:numCache>
                <c:formatCode>General</c:formatCode>
                <c:ptCount val="17"/>
                <c:pt idx="0">
                  <c:v>66.97</c:v>
                </c:pt>
                <c:pt idx="1">
                  <c:v>60.65</c:v>
                </c:pt>
                <c:pt idx="2">
                  <c:v>61.54</c:v>
                </c:pt>
                <c:pt idx="3">
                  <c:v>62.5</c:v>
                </c:pt>
                <c:pt idx="4">
                  <c:v>61.67</c:v>
                </c:pt>
                <c:pt idx="5">
                  <c:v>50.9</c:v>
                </c:pt>
                <c:pt idx="6">
                  <c:v>45</c:v>
                </c:pt>
                <c:pt idx="7">
                  <c:v>37.5</c:v>
                </c:pt>
                <c:pt idx="8">
                  <c:v>38.89</c:v>
                </c:pt>
                <c:pt idx="9">
                  <c:v>45.14</c:v>
                </c:pt>
                <c:pt idx="10">
                  <c:v>43.46</c:v>
                </c:pt>
                <c:pt idx="11">
                  <c:v>56.95</c:v>
                </c:pt>
                <c:pt idx="12">
                  <c:v>58.04</c:v>
                </c:pt>
                <c:pt idx="13">
                  <c:v>55</c:v>
                </c:pt>
                <c:pt idx="14">
                  <c:v>50</c:v>
                </c:pt>
                <c:pt idx="15">
                  <c:v>54.17</c:v>
                </c:pt>
                <c:pt idx="16">
                  <c:v>53.58</c:v>
                </c:pt>
              </c:numCache>
            </c:numRef>
          </c:val>
          <c:smooth val="1"/>
        </c:ser>
        <c:dLbls>
          <c:showLegendKey val="0"/>
          <c:showVal val="0"/>
          <c:showCatName val="0"/>
          <c:showSerName val="0"/>
          <c:showPercent val="0"/>
          <c:showBubbleSize val="0"/>
        </c:dLbls>
        <c:marker val="1"/>
        <c:smooth val="0"/>
        <c:axId val="98996224"/>
        <c:axId val="98997760"/>
      </c:lineChart>
      <c:dateAx>
        <c:axId val="98996224"/>
        <c:scaling>
          <c:orientation val="minMax"/>
        </c:scaling>
        <c:delete val="0"/>
        <c:axPos val="b"/>
        <c:numFmt formatCode="mmm\-yy" sourceLinked="1"/>
        <c:majorTickMark val="out"/>
        <c:minorTickMark val="none"/>
        <c:tickLblPos val="nextTo"/>
        <c:txPr>
          <a:bodyPr/>
          <a:lstStyle/>
          <a:p>
            <a:pPr>
              <a:defRPr sz="700"/>
            </a:pPr>
            <a:endParaRPr lang="es-GT"/>
          </a:p>
        </c:txPr>
        <c:crossAx val="98997760"/>
        <c:crosses val="autoZero"/>
        <c:auto val="1"/>
        <c:lblOffset val="100"/>
        <c:baseTimeUnit val="months"/>
      </c:dateAx>
      <c:valAx>
        <c:axId val="98997760"/>
        <c:scaling>
          <c:orientation val="minMax"/>
        </c:scaling>
        <c:delete val="0"/>
        <c:axPos val="l"/>
        <c:numFmt formatCode="#,##0.00" sourceLinked="0"/>
        <c:majorTickMark val="out"/>
        <c:minorTickMark val="none"/>
        <c:tickLblPos val="nextTo"/>
        <c:txPr>
          <a:bodyPr/>
          <a:lstStyle/>
          <a:p>
            <a:pPr>
              <a:defRPr sz="600"/>
            </a:pPr>
            <a:endParaRPr lang="es-GT"/>
          </a:p>
        </c:txPr>
        <c:crossAx val="98996224"/>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0.73336</cdr:x>
      <cdr:y>0.04321</cdr:y>
    </cdr:from>
    <cdr:to>
      <cdr:x>0.73409</cdr:x>
      <cdr:y>0.72501</cdr:y>
    </cdr:to>
    <cdr:cxnSp macro="">
      <cdr:nvCxnSpPr>
        <cdr:cNvPr id="3" name="2 Conector recto"/>
        <cdr:cNvCxnSpPr/>
      </cdr:nvCxnSpPr>
      <cdr:spPr>
        <a:xfrm xmlns:a="http://schemas.openxmlformats.org/drawingml/2006/main" flipH="1" flipV="1">
          <a:off x="1958667" y="69221"/>
          <a:ext cx="1939" cy="1092314"/>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0.11412</cdr:x>
      <cdr:y>0.33936</cdr:y>
    </cdr:from>
    <cdr:to>
      <cdr:x>0.97708</cdr:x>
      <cdr:y>0.34028</cdr:y>
    </cdr:to>
    <cdr:cxnSp macro="">
      <cdr:nvCxnSpPr>
        <cdr:cNvPr id="5" name="4 Conector recto"/>
        <cdr:cNvCxnSpPr/>
      </cdr:nvCxnSpPr>
      <cdr:spPr>
        <a:xfrm xmlns:a="http://schemas.openxmlformats.org/drawingml/2006/main">
          <a:off x="304800" y="543697"/>
          <a:ext cx="2304795" cy="1467"/>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0.14188</cdr:x>
      <cdr:y>0.59132</cdr:y>
    </cdr:from>
    <cdr:to>
      <cdr:x>0.68474</cdr:x>
      <cdr:y>0.70444</cdr:y>
    </cdr:to>
    <cdr:sp macro="" textlink="">
      <cdr:nvSpPr>
        <cdr:cNvPr id="6" name="5 Cuadro de texto"/>
        <cdr:cNvSpPr txBox="1"/>
      </cdr:nvSpPr>
      <cdr:spPr>
        <a:xfrm xmlns:a="http://schemas.openxmlformats.org/drawingml/2006/main">
          <a:off x="378941" y="947351"/>
          <a:ext cx="1449859" cy="1812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700">
              <a:latin typeface="Times New Roman" panose="02020603050405020304" pitchFamily="18" charset="0"/>
              <a:cs typeface="Times New Roman" panose="02020603050405020304" pitchFamily="18" charset="0"/>
            </a:rPr>
            <a:t>zona</a:t>
          </a:r>
          <a:r>
            <a:rPr lang="es-GT" sz="700" baseline="0">
              <a:latin typeface="Times New Roman" panose="02020603050405020304" pitchFamily="18" charset="0"/>
              <a:cs typeface="Times New Roman" panose="02020603050405020304" pitchFamily="18" charset="0"/>
            </a:rPr>
            <a:t> de contracción</a:t>
          </a:r>
          <a:endParaRPr lang="es-GT" sz="7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0.3583</cdr:x>
      <cdr:y>0</cdr:y>
    </cdr:from>
    <cdr:to>
      <cdr:x>0.90116</cdr:x>
      <cdr:y>0.11312</cdr:y>
    </cdr:to>
    <cdr:sp macro="" textlink="">
      <cdr:nvSpPr>
        <cdr:cNvPr id="7" name="1 Cuadro de texto"/>
        <cdr:cNvSpPr txBox="1"/>
      </cdr:nvSpPr>
      <cdr:spPr>
        <a:xfrm xmlns:a="http://schemas.openxmlformats.org/drawingml/2006/main">
          <a:off x="956963" y="0"/>
          <a:ext cx="1449859" cy="1812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GT" sz="700">
              <a:latin typeface="Times New Roman" panose="02020603050405020304" pitchFamily="18" charset="0"/>
              <a:cs typeface="Times New Roman" panose="02020603050405020304" pitchFamily="18" charset="0"/>
            </a:rPr>
            <a:t>zona de expansión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47A2-27DE-4C55-AFAB-18C55BE8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2596</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DAPF</cp:lastModifiedBy>
  <cp:revision>6</cp:revision>
  <dcterms:created xsi:type="dcterms:W3CDTF">2017-07-03T15:34:00Z</dcterms:created>
  <dcterms:modified xsi:type="dcterms:W3CDTF">2017-07-03T16:15:00Z</dcterms:modified>
</cp:coreProperties>
</file>