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651" w:rsidRPr="00AA19B3" w:rsidRDefault="00276250" w:rsidP="008F312E">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7D4651" w:rsidRPr="00AA19B3" w:rsidSect="00754057">
          <w:headerReference w:type="default" r:id="rId9"/>
          <w:footerReference w:type="default" r:id="rId10"/>
          <w:pgSz w:w="12240" w:h="15840" w:code="1"/>
          <w:pgMar w:top="1418" w:right="1418" w:bottom="1418" w:left="1418" w:header="709" w:footer="709" w:gutter="0"/>
          <w:cols w:space="708"/>
          <w:docGrid w:linePitch="360"/>
        </w:sectPr>
      </w:pPr>
      <w:r w:rsidRPr="00AA19B3">
        <w:rPr>
          <w:rFonts w:ascii="Times New Roman" w:hAnsi="Times New Roman" w:cs="Times New Roman"/>
          <w:b/>
          <w:lang w:val="es-MX"/>
        </w:rPr>
        <w:t>Marzo continúa</w:t>
      </w:r>
      <w:r w:rsidR="00C646C4" w:rsidRPr="00AA19B3">
        <w:rPr>
          <w:rFonts w:ascii="Times New Roman" w:hAnsi="Times New Roman" w:cs="Times New Roman"/>
          <w:b/>
          <w:lang w:val="es-MX"/>
        </w:rPr>
        <w:t xml:space="preserve"> con superávit</w:t>
      </w:r>
      <w:r w:rsidR="00157402" w:rsidRPr="00AA19B3">
        <w:rPr>
          <w:rFonts w:ascii="Times New Roman" w:hAnsi="Times New Roman" w:cs="Times New Roman"/>
          <w:b/>
          <w:lang w:val="es-MX"/>
        </w:rPr>
        <w:t xml:space="preserve"> fiscal </w:t>
      </w:r>
    </w:p>
    <w:p w:rsidR="007D4651" w:rsidRPr="00AA19B3" w:rsidRDefault="007D4651" w:rsidP="007D4651">
      <w:pPr>
        <w:pStyle w:val="Sinespaciado"/>
        <w:rPr>
          <w:rFonts w:ascii="Times New Roman" w:hAnsi="Times New Roman" w:cs="Times New Roman"/>
          <w:b/>
          <w:color w:val="FF0000"/>
          <w:sz w:val="6"/>
          <w:lang w:val="es-MX"/>
        </w:rPr>
      </w:pPr>
    </w:p>
    <w:p w:rsidR="007D4651" w:rsidRPr="00AA19B3" w:rsidRDefault="007D4651" w:rsidP="007D4651">
      <w:pPr>
        <w:pStyle w:val="Sinespaciado"/>
        <w:jc w:val="center"/>
        <w:rPr>
          <w:rFonts w:ascii="Times New Roman" w:hAnsi="Times New Roman" w:cs="Times New Roman"/>
          <w:b/>
          <w:color w:val="FF0000"/>
          <w:lang w:val="es-MX"/>
        </w:rPr>
      </w:pPr>
    </w:p>
    <w:p w:rsidR="009C4027" w:rsidRPr="00AA19B3" w:rsidRDefault="009C4027" w:rsidP="007D4651">
      <w:pPr>
        <w:pStyle w:val="Sinespaciado"/>
        <w:jc w:val="center"/>
        <w:rPr>
          <w:rFonts w:ascii="Times New Roman" w:hAnsi="Times New Roman" w:cs="Times New Roman"/>
          <w:b/>
          <w:color w:val="FF0000"/>
          <w:lang w:val="es-MX"/>
        </w:rPr>
        <w:sectPr w:rsidR="009C4027" w:rsidRPr="00AA19B3" w:rsidSect="004E358C">
          <w:type w:val="continuous"/>
          <w:pgSz w:w="12240" w:h="15840"/>
          <w:pgMar w:top="1417" w:right="1701" w:bottom="1417" w:left="1701" w:header="708" w:footer="708" w:gutter="0"/>
          <w:cols w:space="708"/>
          <w:docGrid w:linePitch="360"/>
        </w:sectPr>
      </w:pPr>
    </w:p>
    <w:p w:rsidR="00AA19B3" w:rsidRDefault="00AA19B3" w:rsidP="00AA19B3">
      <w:pPr>
        <w:pStyle w:val="Sinespaciado"/>
        <w:jc w:val="both"/>
        <w:rPr>
          <w:rFonts w:ascii="Times New Roman" w:hAnsi="Times New Roman" w:cs="Times New Roman"/>
          <w:lang w:val="es-MX"/>
        </w:rPr>
      </w:pPr>
      <w:r>
        <w:rPr>
          <w:rFonts w:ascii="Times New Roman" w:hAnsi="Times New Roman" w:cs="Times New Roman"/>
          <w:lang w:val="es-MX"/>
        </w:rPr>
        <w:lastRenderedPageBreak/>
        <w:t>E</w:t>
      </w:r>
      <w:r w:rsidRPr="00F92177">
        <w:rPr>
          <w:rFonts w:ascii="Times New Roman" w:hAnsi="Times New Roman" w:cs="Times New Roman"/>
          <w:lang w:val="es-MX"/>
        </w:rPr>
        <w:t>l resultado pr</w:t>
      </w:r>
      <w:r>
        <w:rPr>
          <w:rFonts w:ascii="Times New Roman" w:hAnsi="Times New Roman" w:cs="Times New Roman"/>
          <w:lang w:val="es-MX"/>
        </w:rPr>
        <w:t>esupuestar</w:t>
      </w:r>
      <w:bookmarkStart w:id="0" w:name="_GoBack"/>
      <w:bookmarkEnd w:id="0"/>
      <w:r>
        <w:rPr>
          <w:rFonts w:ascii="Times New Roman" w:hAnsi="Times New Roman" w:cs="Times New Roman"/>
          <w:lang w:val="es-MX"/>
        </w:rPr>
        <w:t>io del gobierno muestra, como en años anteriores,</w:t>
      </w:r>
      <w:r w:rsidRPr="00F92177">
        <w:rPr>
          <w:rFonts w:ascii="Times New Roman" w:hAnsi="Times New Roman" w:cs="Times New Roman"/>
          <w:lang w:val="es-MX"/>
        </w:rPr>
        <w:t xml:space="preserve"> un </w:t>
      </w:r>
      <w:r>
        <w:rPr>
          <w:rFonts w:ascii="Times New Roman" w:hAnsi="Times New Roman" w:cs="Times New Roman"/>
          <w:lang w:val="es-MX"/>
        </w:rPr>
        <w:t>superávit</w:t>
      </w:r>
      <w:r w:rsidRPr="00F92177">
        <w:rPr>
          <w:rFonts w:ascii="Times New Roman" w:hAnsi="Times New Roman" w:cs="Times New Roman"/>
          <w:lang w:val="es-MX"/>
        </w:rPr>
        <w:t xml:space="preserve"> fiscal</w:t>
      </w:r>
      <w:r>
        <w:rPr>
          <w:rFonts w:ascii="Times New Roman" w:hAnsi="Times New Roman" w:cs="Times New Roman"/>
          <w:lang w:val="es-MX"/>
        </w:rPr>
        <w:t xml:space="preserve"> que se sitúa al 31 de marzo de 2017 en</w:t>
      </w:r>
      <w:r w:rsidRPr="00F92177">
        <w:rPr>
          <w:rFonts w:ascii="Times New Roman" w:hAnsi="Times New Roman" w:cs="Times New Roman"/>
          <w:lang w:val="es-MX"/>
        </w:rPr>
        <w:t xml:space="preserve"> Q</w:t>
      </w:r>
      <w:r>
        <w:rPr>
          <w:rFonts w:ascii="Times New Roman" w:hAnsi="Times New Roman" w:cs="Times New Roman"/>
          <w:lang w:val="es-MX"/>
        </w:rPr>
        <w:t xml:space="preserve"> </w:t>
      </w:r>
      <w:r>
        <w:rPr>
          <w:rFonts w:ascii="Times New Roman" w:hAnsi="Times New Roman" w:cs="Times New Roman"/>
          <w:lang w:val="es-MX"/>
        </w:rPr>
        <w:t>741.8</w:t>
      </w:r>
      <w:r w:rsidRPr="00F92177">
        <w:rPr>
          <w:rFonts w:ascii="Times New Roman" w:hAnsi="Times New Roman" w:cs="Times New Roman"/>
          <w:lang w:val="es-MX"/>
        </w:rPr>
        <w:t xml:space="preserve"> millones</w:t>
      </w:r>
      <w:r>
        <w:rPr>
          <w:rFonts w:ascii="Times New Roman" w:hAnsi="Times New Roman" w:cs="Times New Roman"/>
          <w:lang w:val="es-MX"/>
        </w:rPr>
        <w:t xml:space="preserve">. </w:t>
      </w:r>
      <w:r w:rsidRPr="00F92177">
        <w:rPr>
          <w:rFonts w:ascii="Times New Roman" w:hAnsi="Times New Roman" w:cs="Times New Roman"/>
          <w:lang w:val="es-MX"/>
        </w:rPr>
        <w:t xml:space="preserve"> </w:t>
      </w:r>
      <w:r>
        <w:rPr>
          <w:rFonts w:ascii="Times New Roman" w:hAnsi="Times New Roman" w:cs="Times New Roman"/>
          <w:lang w:val="es-MX"/>
        </w:rPr>
        <w:t xml:space="preserve">La persistencia del superávit está influenciado por el nivel de recaudación tributaria que sigue un presentando un comportamiento creciente y porque la ejecución de gasto público muestra una desaceleración  a pesar que la autoridad fiscal ha aprobado cuotas financieras </w:t>
      </w:r>
      <w:r>
        <w:rPr>
          <w:rFonts w:ascii="Times New Roman" w:hAnsi="Times New Roman" w:cs="Times New Roman"/>
          <w:lang w:val="es-MX"/>
        </w:rPr>
        <w:lastRenderedPageBreak/>
        <w:t xml:space="preserve">conforme a las solicitudes de las instituciones pero la ejecución de las mismas ha sido inferior a lo programado.  Las expectativas siguen siendo que dicha ejecución aumente al finalizar el cuatrimestre, por lo que el resultado fiscal tendería a disminuir salvo que los ingresos fiscales aumenten fuertemente derivado de medidas administrativas por parte de la SAT. </w:t>
      </w:r>
    </w:p>
    <w:p w:rsidR="007D4651" w:rsidRPr="00AA19B3" w:rsidRDefault="007D4651" w:rsidP="007D4651">
      <w:pPr>
        <w:pStyle w:val="Sinespaciado"/>
        <w:jc w:val="both"/>
        <w:rPr>
          <w:rFonts w:ascii="Times New Roman" w:hAnsi="Times New Roman" w:cs="Times New Roman"/>
          <w:color w:val="FF0000"/>
          <w:lang w:val="es-MX"/>
        </w:rPr>
      </w:pPr>
    </w:p>
    <w:p w:rsidR="007D4651" w:rsidRPr="00AA19B3" w:rsidRDefault="007D4651" w:rsidP="007D4651">
      <w:pPr>
        <w:pStyle w:val="Sinespaciado"/>
        <w:jc w:val="center"/>
        <w:rPr>
          <w:rFonts w:ascii="Times New Roman" w:hAnsi="Times New Roman" w:cs="Times New Roman"/>
          <w:b/>
          <w:color w:val="FF0000"/>
          <w:lang w:val="es-MX"/>
        </w:rPr>
        <w:sectPr w:rsidR="007D4651" w:rsidRPr="00AA19B3" w:rsidSect="004E358C">
          <w:type w:val="continuous"/>
          <w:pgSz w:w="12240" w:h="15840"/>
          <w:pgMar w:top="1417" w:right="1701" w:bottom="1417" w:left="1701" w:header="708" w:footer="708" w:gutter="0"/>
          <w:cols w:num="2" w:space="708"/>
          <w:docGrid w:linePitch="360"/>
        </w:sectPr>
      </w:pPr>
    </w:p>
    <w:p w:rsidR="007D4651" w:rsidRPr="00AA19B3" w:rsidRDefault="007D4651" w:rsidP="00B9286A">
      <w:pPr>
        <w:pStyle w:val="Sinespaciado"/>
        <w:rPr>
          <w:rFonts w:ascii="Times New Roman" w:hAnsi="Times New Roman" w:cs="Times New Roman"/>
          <w:b/>
          <w:lang w:val="es-MX"/>
        </w:rPr>
      </w:pPr>
    </w:p>
    <w:p w:rsidR="009C4027" w:rsidRPr="00AA19B3" w:rsidRDefault="009C4027" w:rsidP="007D4651">
      <w:pPr>
        <w:pStyle w:val="Sinespaciado"/>
        <w:jc w:val="center"/>
        <w:rPr>
          <w:rFonts w:ascii="Times New Roman" w:hAnsi="Times New Roman" w:cs="Times New Roman"/>
          <w:b/>
          <w:lang w:val="es-MX"/>
        </w:rPr>
      </w:pPr>
    </w:p>
    <w:p w:rsidR="009C4027" w:rsidRPr="00AA19B3" w:rsidRDefault="009C4027" w:rsidP="007D4651">
      <w:pPr>
        <w:pStyle w:val="Sinespaciado"/>
        <w:jc w:val="center"/>
        <w:rPr>
          <w:rFonts w:ascii="Times New Roman" w:hAnsi="Times New Roman" w:cs="Times New Roman"/>
          <w:b/>
          <w:lang w:val="es-MX"/>
        </w:rPr>
        <w:sectPr w:rsidR="009C4027" w:rsidRPr="00AA19B3" w:rsidSect="007D4651">
          <w:type w:val="continuous"/>
          <w:pgSz w:w="12240" w:h="15840" w:code="1"/>
          <w:pgMar w:top="1418" w:right="1418" w:bottom="1418" w:left="1418" w:header="709" w:footer="709" w:gutter="0"/>
          <w:cols w:num="2" w:space="708"/>
          <w:docGrid w:linePitch="360"/>
        </w:sectPr>
      </w:pPr>
    </w:p>
    <w:p w:rsidR="00950874" w:rsidRPr="00AA19B3" w:rsidRDefault="00950874" w:rsidP="00950874">
      <w:pPr>
        <w:pStyle w:val="Sinespaciado"/>
        <w:jc w:val="center"/>
        <w:rPr>
          <w:rFonts w:ascii="Times New Roman" w:hAnsi="Times New Roman" w:cs="Times New Roman"/>
          <w:b/>
          <w:lang w:val="es-MX"/>
        </w:rPr>
      </w:pPr>
      <w:r w:rsidRPr="00AA19B3">
        <w:rPr>
          <w:rFonts w:ascii="Times New Roman" w:hAnsi="Times New Roman" w:cs="Times New Roman"/>
          <w:b/>
          <w:lang w:val="es-MX"/>
        </w:rPr>
        <w:lastRenderedPageBreak/>
        <w:t>Resultado Presupuestario</w:t>
      </w:r>
    </w:p>
    <w:p w:rsidR="00950874" w:rsidRPr="00AA19B3" w:rsidRDefault="00950874" w:rsidP="00950874">
      <w:pPr>
        <w:pStyle w:val="Sinespaciado"/>
        <w:jc w:val="center"/>
        <w:rPr>
          <w:rFonts w:ascii="Times New Roman" w:hAnsi="Times New Roman" w:cs="Times New Roman"/>
          <w:sz w:val="18"/>
          <w:lang w:val="es-MX"/>
        </w:rPr>
      </w:pPr>
      <w:r w:rsidRPr="00AA19B3">
        <w:rPr>
          <w:rFonts w:ascii="Times New Roman" w:hAnsi="Times New Roman" w:cs="Times New Roman"/>
          <w:sz w:val="18"/>
          <w:lang w:val="es-MX"/>
        </w:rPr>
        <w:t>Millones de quetzales</w:t>
      </w:r>
    </w:p>
    <w:p w:rsidR="009C4027" w:rsidRPr="00AA19B3" w:rsidRDefault="009C4027" w:rsidP="00950874">
      <w:pPr>
        <w:pStyle w:val="Sinespaciado"/>
        <w:rPr>
          <w:rFonts w:ascii="Times New Roman" w:hAnsi="Times New Roman" w:cs="Times New Roman"/>
          <w:sz w:val="18"/>
          <w:lang w:val="es-MX"/>
        </w:rPr>
      </w:pPr>
    </w:p>
    <w:p w:rsidR="007D4651" w:rsidRPr="00AA19B3" w:rsidRDefault="00B9286A" w:rsidP="007D4651">
      <w:pPr>
        <w:pStyle w:val="Sinespaciado"/>
        <w:jc w:val="center"/>
        <w:rPr>
          <w:rFonts w:ascii="Times New Roman" w:hAnsi="Times New Roman" w:cs="Times New Roman"/>
          <w:lang w:val="es-MX"/>
        </w:rPr>
      </w:pPr>
      <w:r w:rsidRPr="00AA19B3">
        <w:rPr>
          <w:noProof/>
          <w:lang w:eastAsia="es-GT"/>
        </w:rPr>
        <w:drawing>
          <wp:inline distT="0" distB="0" distL="0" distR="0" wp14:anchorId="5131B8DA" wp14:editId="7B8D58C3">
            <wp:extent cx="5033319" cy="246311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298" cy="2466039"/>
                    </a:xfrm>
                    <a:prstGeom prst="rect">
                      <a:avLst/>
                    </a:prstGeom>
                    <a:noFill/>
                    <a:ln>
                      <a:noFill/>
                    </a:ln>
                  </pic:spPr>
                </pic:pic>
              </a:graphicData>
            </a:graphic>
          </wp:inline>
        </w:drawing>
      </w:r>
    </w:p>
    <w:p w:rsidR="00DF71A8" w:rsidRPr="00AA19B3" w:rsidRDefault="007D4651" w:rsidP="00625AA5">
      <w:pPr>
        <w:pStyle w:val="Sinespaciado"/>
        <w:ind w:left="1416" w:firstLine="708"/>
        <w:jc w:val="both"/>
        <w:rPr>
          <w:rFonts w:ascii="Times New Roman" w:hAnsi="Times New Roman" w:cs="Times New Roman"/>
          <w:sz w:val="16"/>
        </w:rPr>
      </w:pPr>
      <w:r w:rsidRPr="00AA19B3">
        <w:rPr>
          <w:rFonts w:ascii="Times New Roman" w:hAnsi="Times New Roman" w:cs="Times New Roman"/>
          <w:sz w:val="16"/>
        </w:rPr>
        <w:t>Fuente: Dirección de Análisis y Política fiscal</w:t>
      </w:r>
    </w:p>
    <w:p w:rsidR="009C4027" w:rsidRPr="00AA19B3" w:rsidRDefault="009C4027" w:rsidP="007D4651">
      <w:pPr>
        <w:spacing w:after="0" w:line="240" w:lineRule="auto"/>
        <w:rPr>
          <w:rFonts w:ascii="Times New Roman" w:hAnsi="Times New Roman" w:cs="Times New Roman"/>
          <w:color w:val="FF0000"/>
          <w:lang w:val="es-MX"/>
        </w:rPr>
      </w:pPr>
    </w:p>
    <w:p w:rsidR="009C4027" w:rsidRPr="00AA19B3" w:rsidRDefault="009C4027" w:rsidP="007D4651">
      <w:pPr>
        <w:spacing w:after="0" w:line="240" w:lineRule="auto"/>
        <w:rPr>
          <w:rFonts w:ascii="Times New Roman" w:hAnsi="Times New Roman" w:cs="Times New Roman"/>
          <w:color w:val="FF0000"/>
          <w:lang w:val="es-MX"/>
        </w:rPr>
        <w:sectPr w:rsidR="009C4027" w:rsidRPr="00AA19B3" w:rsidSect="007D4651">
          <w:type w:val="continuous"/>
          <w:pgSz w:w="12240" w:h="15840" w:code="1"/>
          <w:pgMar w:top="1418" w:right="1418" w:bottom="1418" w:left="1418" w:header="709" w:footer="709" w:gutter="0"/>
          <w:cols w:space="708"/>
          <w:docGrid w:linePitch="360"/>
        </w:sectPr>
      </w:pPr>
    </w:p>
    <w:p w:rsidR="00E16925" w:rsidRPr="00126011" w:rsidRDefault="00643FB6" w:rsidP="00270CAB">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E16925" w:rsidRPr="00126011" w:rsidSect="00E16925">
          <w:headerReference w:type="default" r:id="rId12"/>
          <w:footerReference w:type="default" r:id="rId13"/>
          <w:type w:val="continuous"/>
          <w:pgSz w:w="12240" w:h="15840" w:code="1"/>
          <w:pgMar w:top="1418" w:right="1418" w:bottom="1418" w:left="1418" w:header="709" w:footer="709" w:gutter="0"/>
          <w:cols w:space="708"/>
          <w:docGrid w:linePitch="360"/>
        </w:sectPr>
      </w:pPr>
      <w:r w:rsidRPr="00126011">
        <w:rPr>
          <w:rFonts w:ascii="Times New Roman" w:hAnsi="Times New Roman" w:cs="Times New Roman"/>
          <w:b/>
          <w:lang w:val="es-MX"/>
        </w:rPr>
        <w:lastRenderedPageBreak/>
        <w:t>Mejora el ritmo</w:t>
      </w:r>
      <w:r w:rsidR="007B3D0C" w:rsidRPr="00126011">
        <w:rPr>
          <w:rFonts w:ascii="Times New Roman" w:hAnsi="Times New Roman" w:cs="Times New Roman"/>
          <w:b/>
          <w:lang w:val="es-MX"/>
        </w:rPr>
        <w:t xml:space="preserve"> </w:t>
      </w:r>
      <w:r w:rsidR="005A03A9" w:rsidRPr="00126011">
        <w:rPr>
          <w:rFonts w:ascii="Times New Roman" w:hAnsi="Times New Roman" w:cs="Times New Roman"/>
          <w:b/>
          <w:lang w:val="es-MX"/>
        </w:rPr>
        <w:t xml:space="preserve">de recaudación </w:t>
      </w:r>
      <w:r w:rsidRPr="00126011">
        <w:rPr>
          <w:rFonts w:ascii="Times New Roman" w:hAnsi="Times New Roman" w:cs="Times New Roman"/>
          <w:b/>
          <w:lang w:val="es-MX"/>
        </w:rPr>
        <w:t>aunque la meta sigue sin alcanzarse</w:t>
      </w:r>
    </w:p>
    <w:p w:rsidR="00E16925" w:rsidRPr="00AA19B3" w:rsidRDefault="00E16925" w:rsidP="00E16925">
      <w:pPr>
        <w:pStyle w:val="Sinespaciado"/>
        <w:rPr>
          <w:rFonts w:ascii="Times New Roman" w:hAnsi="Times New Roman" w:cs="Times New Roman"/>
          <w:b/>
          <w:color w:val="FF0000"/>
          <w:sz w:val="8"/>
          <w:lang w:val="es-MX"/>
        </w:rPr>
      </w:pPr>
    </w:p>
    <w:p w:rsidR="00E16925" w:rsidRPr="00AA19B3" w:rsidRDefault="00E16925" w:rsidP="00E16925">
      <w:pPr>
        <w:pStyle w:val="Sinespaciado"/>
        <w:jc w:val="center"/>
        <w:rPr>
          <w:rFonts w:ascii="Times New Roman" w:hAnsi="Times New Roman" w:cs="Times New Roman"/>
          <w:b/>
          <w:color w:val="FF0000"/>
          <w:lang w:val="es-MX"/>
        </w:rPr>
      </w:pPr>
    </w:p>
    <w:p w:rsidR="00343A5D" w:rsidRPr="00AA19B3" w:rsidRDefault="00343A5D" w:rsidP="00E16925">
      <w:pPr>
        <w:pStyle w:val="Sinespaciado"/>
        <w:jc w:val="center"/>
        <w:rPr>
          <w:rFonts w:ascii="Times New Roman" w:hAnsi="Times New Roman" w:cs="Times New Roman"/>
          <w:b/>
          <w:color w:val="FF0000"/>
          <w:sz w:val="28"/>
          <w:lang w:val="es-MX"/>
        </w:rPr>
        <w:sectPr w:rsidR="00343A5D" w:rsidRPr="00AA19B3" w:rsidSect="004E358C">
          <w:type w:val="continuous"/>
          <w:pgSz w:w="12240" w:h="15840"/>
          <w:pgMar w:top="1417" w:right="1701" w:bottom="1417" w:left="1701" w:header="708" w:footer="708" w:gutter="0"/>
          <w:cols w:space="708"/>
          <w:docGrid w:linePitch="360"/>
        </w:sectPr>
      </w:pPr>
    </w:p>
    <w:p w:rsidR="00126011" w:rsidRDefault="00126011" w:rsidP="00126011">
      <w:pPr>
        <w:spacing w:after="0" w:line="240" w:lineRule="auto"/>
        <w:jc w:val="both"/>
        <w:rPr>
          <w:rFonts w:ascii="Times New Roman" w:hAnsi="Times New Roman" w:cs="Times New Roman"/>
          <w:lang w:val="es-MX"/>
        </w:rPr>
      </w:pPr>
      <w:r>
        <w:rPr>
          <w:rFonts w:ascii="Times New Roman" w:hAnsi="Times New Roman" w:cs="Times New Roman"/>
          <w:lang w:val="es-MX"/>
        </w:rPr>
        <w:lastRenderedPageBreak/>
        <w:t>La recaudación acumulada al 31 de marzo de 2017 se ubicó en Q</w:t>
      </w:r>
      <w:r>
        <w:rPr>
          <w:rFonts w:ascii="Times New Roman" w:hAnsi="Times New Roman" w:cs="Times New Roman"/>
          <w:lang w:val="es-MX"/>
        </w:rPr>
        <w:t xml:space="preserve"> </w:t>
      </w:r>
      <w:r>
        <w:rPr>
          <w:rFonts w:ascii="Times New Roman" w:hAnsi="Times New Roman" w:cs="Times New Roman"/>
          <w:lang w:val="es-MX"/>
        </w:rPr>
        <w:t>13,771.7  millones, monto inferior a lo estipulado en presupuesto en Q</w:t>
      </w:r>
      <w:r>
        <w:rPr>
          <w:rFonts w:ascii="Times New Roman" w:hAnsi="Times New Roman" w:cs="Times New Roman"/>
          <w:lang w:val="es-MX"/>
        </w:rPr>
        <w:t xml:space="preserve"> </w:t>
      </w:r>
      <w:r>
        <w:rPr>
          <w:rFonts w:ascii="Times New Roman" w:hAnsi="Times New Roman" w:cs="Times New Roman"/>
          <w:lang w:val="es-MX"/>
        </w:rPr>
        <w:t xml:space="preserve">671.9  millones, equivalente este monto a las medidas administrativas que no pudieron captarse en el primer trimestre.   </w:t>
      </w:r>
    </w:p>
    <w:p w:rsidR="00126011" w:rsidRDefault="00126011" w:rsidP="00126011">
      <w:pPr>
        <w:spacing w:after="0" w:line="240" w:lineRule="auto"/>
        <w:ind w:left="-142"/>
        <w:jc w:val="both"/>
        <w:rPr>
          <w:rFonts w:ascii="Times New Roman" w:hAnsi="Times New Roman" w:cs="Times New Roman"/>
          <w:lang w:val="es-MX"/>
        </w:rPr>
      </w:pPr>
    </w:p>
    <w:p w:rsidR="00126011" w:rsidRDefault="00126011" w:rsidP="00126011">
      <w:pPr>
        <w:spacing w:after="0" w:line="240" w:lineRule="auto"/>
        <w:jc w:val="both"/>
        <w:rPr>
          <w:rFonts w:ascii="Times New Roman" w:hAnsi="Times New Roman" w:cs="Times New Roman"/>
          <w:lang w:val="es-MX"/>
        </w:rPr>
      </w:pPr>
      <w:r>
        <w:rPr>
          <w:rFonts w:ascii="Times New Roman" w:hAnsi="Times New Roman" w:cs="Times New Roman"/>
          <w:lang w:val="es-MX"/>
        </w:rPr>
        <w:t xml:space="preserve">En términos relativos la recaudación tributaria creció de manera interanual en 10% </w:t>
      </w:r>
      <w:r>
        <w:rPr>
          <w:rFonts w:ascii="Times New Roman" w:hAnsi="Times New Roman" w:cs="Times New Roman"/>
          <w:lang w:val="es-MX"/>
        </w:rPr>
        <w:lastRenderedPageBreak/>
        <w:t>(Q</w:t>
      </w:r>
      <w:r>
        <w:rPr>
          <w:rFonts w:ascii="Times New Roman" w:hAnsi="Times New Roman" w:cs="Times New Roman"/>
          <w:lang w:val="es-MX"/>
        </w:rPr>
        <w:t xml:space="preserve"> </w:t>
      </w:r>
      <w:r>
        <w:rPr>
          <w:rFonts w:ascii="Times New Roman" w:hAnsi="Times New Roman" w:cs="Times New Roman"/>
          <w:lang w:val="es-MX"/>
        </w:rPr>
        <w:t>1,255.5 millones) con respecto a lo observado en marzo de 2016, es preciso indicar que en este año la semana santa fue del 24 al 27 de marzo situación que podría ajustar dicho crecimiento.</w:t>
      </w:r>
    </w:p>
    <w:p w:rsidR="00126011" w:rsidRDefault="00126011" w:rsidP="00126011">
      <w:pPr>
        <w:spacing w:after="0" w:line="240" w:lineRule="auto"/>
        <w:ind w:left="-142"/>
        <w:jc w:val="both"/>
        <w:rPr>
          <w:rFonts w:ascii="Times New Roman" w:hAnsi="Times New Roman" w:cs="Times New Roman"/>
          <w:lang w:val="es-MX"/>
        </w:rPr>
      </w:pPr>
    </w:p>
    <w:p w:rsidR="00126011" w:rsidRDefault="00126011" w:rsidP="00126011">
      <w:pPr>
        <w:spacing w:after="0" w:line="240" w:lineRule="auto"/>
        <w:ind w:left="-142"/>
        <w:jc w:val="both"/>
        <w:rPr>
          <w:rFonts w:ascii="Times New Roman" w:hAnsi="Times New Roman" w:cs="Times New Roman"/>
          <w:lang w:val="es-MX"/>
        </w:rPr>
      </w:pPr>
    </w:p>
    <w:p w:rsidR="00126011" w:rsidRDefault="00126011" w:rsidP="00126011">
      <w:pPr>
        <w:spacing w:after="0" w:line="240" w:lineRule="auto"/>
        <w:ind w:left="-142"/>
        <w:jc w:val="both"/>
        <w:rPr>
          <w:rFonts w:ascii="Times New Roman" w:hAnsi="Times New Roman" w:cs="Times New Roman"/>
          <w:lang w:val="es-MX"/>
        </w:rPr>
      </w:pPr>
    </w:p>
    <w:p w:rsidR="00126011" w:rsidRDefault="00126011" w:rsidP="00126011">
      <w:pPr>
        <w:spacing w:after="0" w:line="240" w:lineRule="auto"/>
        <w:jc w:val="both"/>
        <w:rPr>
          <w:rFonts w:ascii="Times New Roman" w:hAnsi="Times New Roman" w:cs="Times New Roman"/>
          <w:lang w:val="es-MX"/>
        </w:rPr>
      </w:pPr>
    </w:p>
    <w:p w:rsidR="00126011" w:rsidRPr="00D47E32" w:rsidRDefault="00126011" w:rsidP="004745C7">
      <w:pPr>
        <w:spacing w:after="0" w:line="240" w:lineRule="auto"/>
        <w:jc w:val="center"/>
        <w:rPr>
          <w:rFonts w:ascii="Times New Roman" w:hAnsi="Times New Roman" w:cs="Times New Roman"/>
          <w:b/>
          <w:lang w:val="es-MX"/>
        </w:rPr>
      </w:pPr>
      <w:r w:rsidRPr="00D47E32">
        <w:rPr>
          <w:rFonts w:ascii="Times New Roman" w:hAnsi="Times New Roman" w:cs="Times New Roman"/>
          <w:b/>
          <w:lang w:val="es-MX"/>
        </w:rPr>
        <w:lastRenderedPageBreak/>
        <w:t xml:space="preserve">Variación de recaudación </w:t>
      </w:r>
      <w:r>
        <w:rPr>
          <w:rFonts w:ascii="Times New Roman" w:hAnsi="Times New Roman" w:cs="Times New Roman"/>
          <w:b/>
          <w:lang w:val="es-MX"/>
        </w:rPr>
        <w:t>acumulada</w:t>
      </w:r>
    </w:p>
    <w:p w:rsidR="00126011" w:rsidRPr="00126011" w:rsidRDefault="00126011" w:rsidP="00126011">
      <w:pPr>
        <w:spacing w:after="0" w:line="240" w:lineRule="auto"/>
        <w:ind w:left="-142"/>
        <w:jc w:val="center"/>
        <w:rPr>
          <w:rFonts w:ascii="Times New Roman" w:hAnsi="Times New Roman" w:cs="Times New Roman"/>
          <w:sz w:val="18"/>
          <w:lang w:val="es-MX"/>
        </w:rPr>
      </w:pPr>
      <w:r w:rsidRPr="00126011">
        <w:rPr>
          <w:rFonts w:ascii="Times New Roman" w:hAnsi="Times New Roman" w:cs="Times New Roman"/>
          <w:sz w:val="18"/>
          <w:lang w:val="es-MX"/>
        </w:rPr>
        <w:t>Porcentajes</w:t>
      </w:r>
    </w:p>
    <w:p w:rsidR="00126011" w:rsidRDefault="00126011" w:rsidP="004745C7">
      <w:pPr>
        <w:spacing w:after="0" w:line="240" w:lineRule="auto"/>
        <w:jc w:val="both"/>
        <w:rPr>
          <w:rFonts w:ascii="Times New Roman" w:hAnsi="Times New Roman" w:cs="Times New Roman"/>
          <w:b/>
          <w:sz w:val="14"/>
          <w:lang w:val="es-MX"/>
        </w:rPr>
      </w:pPr>
      <w:r>
        <w:rPr>
          <w:rFonts w:ascii="Times New Roman" w:hAnsi="Times New Roman" w:cs="Times New Roman"/>
          <w:b/>
          <w:noProof/>
          <w:sz w:val="14"/>
          <w:lang w:eastAsia="es-GT"/>
        </w:rPr>
        <w:drawing>
          <wp:inline distT="0" distB="0" distL="0" distR="0" wp14:anchorId="123741F6" wp14:editId="6CEA3196">
            <wp:extent cx="2693773" cy="1705233"/>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26011" w:rsidRPr="00990C9B" w:rsidRDefault="00126011" w:rsidP="004745C7">
      <w:pPr>
        <w:spacing w:after="0" w:line="240" w:lineRule="auto"/>
        <w:jc w:val="both"/>
        <w:rPr>
          <w:rFonts w:ascii="Times New Roman" w:hAnsi="Times New Roman" w:cs="Times New Roman"/>
          <w:sz w:val="24"/>
          <w:lang w:val="es-MX"/>
        </w:rPr>
      </w:pPr>
      <w:r w:rsidRPr="00990C9B">
        <w:rPr>
          <w:rFonts w:ascii="Times New Roman" w:hAnsi="Times New Roman" w:cs="Times New Roman"/>
          <w:sz w:val="16"/>
          <w:lang w:val="es-MX"/>
        </w:rPr>
        <w:t>Fuente: Dirección de Análisis y Política Fiscal</w:t>
      </w:r>
    </w:p>
    <w:p w:rsidR="00126011" w:rsidRPr="004745C7" w:rsidRDefault="00126011" w:rsidP="00126011">
      <w:pPr>
        <w:spacing w:after="0" w:line="240" w:lineRule="auto"/>
        <w:ind w:left="-142"/>
        <w:jc w:val="both"/>
        <w:rPr>
          <w:rFonts w:ascii="Times New Roman" w:hAnsi="Times New Roman" w:cs="Times New Roman"/>
          <w:b/>
          <w:sz w:val="18"/>
          <w:lang w:val="es-MX"/>
        </w:rPr>
      </w:pPr>
    </w:p>
    <w:p w:rsidR="00126011" w:rsidRPr="00F3141C" w:rsidRDefault="00126011" w:rsidP="004745C7">
      <w:pPr>
        <w:spacing w:after="0" w:line="240" w:lineRule="auto"/>
        <w:jc w:val="both"/>
        <w:rPr>
          <w:rFonts w:ascii="Times New Roman" w:hAnsi="Times New Roman" w:cs="Times New Roman"/>
          <w:b/>
          <w:lang w:val="es-MX"/>
        </w:rPr>
      </w:pPr>
      <w:r w:rsidRPr="00F3141C">
        <w:rPr>
          <w:rFonts w:ascii="Times New Roman" w:hAnsi="Times New Roman" w:cs="Times New Roman"/>
          <w:b/>
          <w:lang w:val="es-MX"/>
        </w:rPr>
        <w:t>Impuesto al valor agregado</w:t>
      </w:r>
    </w:p>
    <w:p w:rsidR="00126011" w:rsidRPr="004745C7" w:rsidRDefault="00126011" w:rsidP="00126011">
      <w:pPr>
        <w:spacing w:after="0" w:line="240" w:lineRule="auto"/>
        <w:ind w:left="-142"/>
        <w:jc w:val="both"/>
        <w:rPr>
          <w:rFonts w:ascii="Times New Roman" w:hAnsi="Times New Roman" w:cs="Times New Roman"/>
          <w:sz w:val="18"/>
          <w:lang w:val="es-MX"/>
        </w:rPr>
      </w:pPr>
    </w:p>
    <w:p w:rsidR="00126011" w:rsidRDefault="00126011" w:rsidP="004745C7">
      <w:pPr>
        <w:spacing w:after="0" w:line="240" w:lineRule="auto"/>
        <w:jc w:val="both"/>
        <w:rPr>
          <w:rFonts w:ascii="Times New Roman" w:hAnsi="Times New Roman" w:cs="Times New Roman"/>
          <w:lang w:val="es-MX"/>
        </w:rPr>
      </w:pPr>
      <w:r>
        <w:rPr>
          <w:rFonts w:ascii="Times New Roman" w:hAnsi="Times New Roman" w:cs="Times New Roman"/>
          <w:lang w:val="es-MX"/>
        </w:rPr>
        <w:t>Este impuesto creció en 9.7% (Q</w:t>
      </w:r>
      <w:r>
        <w:rPr>
          <w:rFonts w:ascii="Times New Roman" w:hAnsi="Times New Roman" w:cs="Times New Roman"/>
          <w:lang w:val="es-MX"/>
        </w:rPr>
        <w:t xml:space="preserve"> </w:t>
      </w:r>
      <w:r>
        <w:rPr>
          <w:rFonts w:ascii="Times New Roman" w:hAnsi="Times New Roman" w:cs="Times New Roman"/>
          <w:lang w:val="es-MX"/>
        </w:rPr>
        <w:t>552.8 millones) respecto a lo observado en 2016, tanto el IVA asociado al comercio exterior como el IVA doméstico reflejan crecimiento interanual, el crecimiento en el IVA de importaciones puede estar explicado por variables macroeconómicas como las importaciones gravadas no asociadas a los derivados de petróleo que crecen en 7.8%, las importaciones asociadas a los derivados de petróleo crecen 43.4%  y su volumen en 7.6% esto influenciado por una leve mejoría en el precio internacional del petróleo y a la apreciación del quetzal ante el dólar.</w:t>
      </w:r>
    </w:p>
    <w:p w:rsidR="004745C7" w:rsidRDefault="004745C7" w:rsidP="004745C7">
      <w:pPr>
        <w:spacing w:after="0" w:line="240" w:lineRule="auto"/>
        <w:jc w:val="both"/>
        <w:rPr>
          <w:rFonts w:ascii="Times New Roman" w:hAnsi="Times New Roman" w:cs="Times New Roman"/>
          <w:lang w:val="es-MX"/>
        </w:rPr>
      </w:pPr>
    </w:p>
    <w:p w:rsidR="00126011" w:rsidRDefault="00126011" w:rsidP="004745C7">
      <w:pPr>
        <w:spacing w:line="240" w:lineRule="auto"/>
        <w:jc w:val="both"/>
        <w:rPr>
          <w:rFonts w:ascii="Times New Roman" w:hAnsi="Times New Roman" w:cs="Times New Roman"/>
          <w:lang w:val="es-MX"/>
        </w:rPr>
      </w:pPr>
      <w:r>
        <w:rPr>
          <w:rFonts w:ascii="Times New Roman" w:hAnsi="Times New Roman" w:cs="Times New Roman"/>
          <w:lang w:val="es-MX"/>
        </w:rPr>
        <w:t>El IVA doméstico tiene un crecimiento interanual de 9.1%  dicho crecimiento puede verse influenciado de manera positiva por el crecimiento de 16.7% en las remesas familiares a marzo y por una mejoría en la economía interna que medida a través de la variación de la tendencia ciclo del IMAE la sitúa en febrero en un ritmo de 3.6%  superior al 2.8% del año anterior.</w:t>
      </w:r>
    </w:p>
    <w:p w:rsidR="00126011" w:rsidRDefault="00126011" w:rsidP="004745C7">
      <w:pPr>
        <w:spacing w:after="0" w:line="240" w:lineRule="auto"/>
        <w:jc w:val="both"/>
        <w:rPr>
          <w:rFonts w:ascii="Times New Roman" w:hAnsi="Times New Roman" w:cs="Times New Roman"/>
          <w:lang w:val="es-MX"/>
        </w:rPr>
      </w:pPr>
      <w:r>
        <w:rPr>
          <w:rFonts w:ascii="Times New Roman" w:hAnsi="Times New Roman" w:cs="Times New Roman"/>
          <w:lang w:val="es-MX"/>
        </w:rPr>
        <w:t>Estos dos impuestos (IVA doméstico e IVA importaciones) con relación a la meta de presupuesto tienen una caída del 6.6% (Q</w:t>
      </w:r>
      <w:r>
        <w:rPr>
          <w:rFonts w:ascii="Times New Roman" w:hAnsi="Times New Roman" w:cs="Times New Roman"/>
          <w:lang w:val="es-MX"/>
        </w:rPr>
        <w:t xml:space="preserve"> </w:t>
      </w:r>
      <w:r>
        <w:rPr>
          <w:rFonts w:ascii="Times New Roman" w:hAnsi="Times New Roman" w:cs="Times New Roman"/>
          <w:lang w:val="es-MX"/>
        </w:rPr>
        <w:t xml:space="preserve">444.5 millones), dicha caída puede estar explicada por la inclusión de medidas </w:t>
      </w:r>
      <w:r>
        <w:rPr>
          <w:rFonts w:ascii="Times New Roman" w:hAnsi="Times New Roman" w:cs="Times New Roman"/>
          <w:lang w:val="es-MX"/>
        </w:rPr>
        <w:lastRenderedPageBreak/>
        <w:t>administrativas en las metas por un monto de Q</w:t>
      </w:r>
      <w:r>
        <w:rPr>
          <w:rFonts w:ascii="Times New Roman" w:hAnsi="Times New Roman" w:cs="Times New Roman"/>
          <w:lang w:val="es-MX"/>
        </w:rPr>
        <w:t xml:space="preserve"> </w:t>
      </w:r>
      <w:r>
        <w:rPr>
          <w:rFonts w:ascii="Times New Roman" w:hAnsi="Times New Roman" w:cs="Times New Roman"/>
          <w:lang w:val="es-MX"/>
        </w:rPr>
        <w:t>303.8 millones que pareciera no se han recaudado y el efecto de la semana santa.</w:t>
      </w:r>
    </w:p>
    <w:p w:rsidR="004745C7" w:rsidRPr="004745C7" w:rsidRDefault="004745C7" w:rsidP="004745C7">
      <w:pPr>
        <w:spacing w:after="0" w:line="240" w:lineRule="auto"/>
        <w:jc w:val="both"/>
        <w:rPr>
          <w:rFonts w:ascii="Times New Roman" w:hAnsi="Times New Roman" w:cs="Times New Roman"/>
          <w:sz w:val="18"/>
          <w:lang w:val="es-MX"/>
        </w:rPr>
      </w:pPr>
    </w:p>
    <w:p w:rsidR="00126011" w:rsidRPr="00D47E32" w:rsidRDefault="00126011" w:rsidP="00126011">
      <w:pPr>
        <w:spacing w:after="0" w:line="240" w:lineRule="auto"/>
        <w:ind w:left="-142"/>
        <w:jc w:val="center"/>
        <w:rPr>
          <w:rFonts w:ascii="Times New Roman" w:hAnsi="Times New Roman" w:cs="Times New Roman"/>
          <w:b/>
          <w:lang w:val="es-MX"/>
        </w:rPr>
      </w:pPr>
      <w:r>
        <w:rPr>
          <w:rFonts w:ascii="Times New Roman" w:hAnsi="Times New Roman" w:cs="Times New Roman"/>
          <w:b/>
          <w:lang w:val="es-MX"/>
        </w:rPr>
        <w:t>Impuesto al Valor Agregado Total</w:t>
      </w:r>
    </w:p>
    <w:p w:rsidR="00126011" w:rsidRPr="00126011" w:rsidRDefault="00126011" w:rsidP="00126011">
      <w:pPr>
        <w:spacing w:after="0" w:line="240" w:lineRule="auto"/>
        <w:ind w:left="-142"/>
        <w:jc w:val="center"/>
        <w:rPr>
          <w:rFonts w:ascii="Times New Roman" w:hAnsi="Times New Roman" w:cs="Times New Roman"/>
          <w:sz w:val="18"/>
          <w:lang w:val="es-MX"/>
        </w:rPr>
      </w:pPr>
      <w:r w:rsidRPr="00126011">
        <w:rPr>
          <w:rFonts w:ascii="Times New Roman" w:hAnsi="Times New Roman" w:cs="Times New Roman"/>
          <w:sz w:val="18"/>
          <w:lang w:val="es-MX"/>
        </w:rPr>
        <w:t>Millones de quetzales</w:t>
      </w:r>
    </w:p>
    <w:p w:rsidR="00126011" w:rsidRDefault="00126011" w:rsidP="004745C7">
      <w:pPr>
        <w:spacing w:after="0" w:line="240" w:lineRule="auto"/>
        <w:jc w:val="both"/>
        <w:rPr>
          <w:rFonts w:ascii="Times New Roman" w:hAnsi="Times New Roman" w:cs="Times New Roman"/>
          <w:lang w:val="es-MX"/>
        </w:rPr>
      </w:pPr>
      <w:r>
        <w:rPr>
          <w:rFonts w:ascii="Times New Roman" w:hAnsi="Times New Roman" w:cs="Times New Roman"/>
          <w:noProof/>
          <w:lang w:eastAsia="es-GT"/>
        </w:rPr>
        <w:drawing>
          <wp:inline distT="0" distB="0" distL="0" distR="0" wp14:anchorId="0EFFCE24" wp14:editId="06940689">
            <wp:extent cx="2578443" cy="1820562"/>
            <wp:effectExtent l="0" t="0" r="0" b="825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26011" w:rsidRPr="00990C9B" w:rsidRDefault="00126011" w:rsidP="004745C7">
      <w:pPr>
        <w:spacing w:after="0" w:line="240" w:lineRule="auto"/>
        <w:jc w:val="both"/>
        <w:rPr>
          <w:rFonts w:ascii="Times New Roman" w:hAnsi="Times New Roman" w:cs="Times New Roman"/>
          <w:sz w:val="24"/>
          <w:lang w:val="es-MX"/>
        </w:rPr>
      </w:pPr>
      <w:r w:rsidRPr="00990C9B">
        <w:rPr>
          <w:rFonts w:ascii="Times New Roman" w:hAnsi="Times New Roman" w:cs="Times New Roman"/>
          <w:sz w:val="16"/>
          <w:lang w:val="es-MX"/>
        </w:rPr>
        <w:t>Fuente: Dirección de Análisis y Política Fiscal</w:t>
      </w:r>
    </w:p>
    <w:p w:rsidR="00126011" w:rsidRPr="004745C7" w:rsidRDefault="00126011" w:rsidP="00126011">
      <w:pPr>
        <w:spacing w:after="0" w:line="240" w:lineRule="auto"/>
        <w:ind w:left="-142"/>
        <w:jc w:val="both"/>
        <w:rPr>
          <w:rFonts w:ascii="Times New Roman" w:hAnsi="Times New Roman" w:cs="Times New Roman"/>
          <w:b/>
          <w:sz w:val="18"/>
          <w:lang w:val="es-MX"/>
        </w:rPr>
      </w:pPr>
    </w:p>
    <w:p w:rsidR="00126011" w:rsidRPr="00D74D30" w:rsidRDefault="00126011" w:rsidP="004745C7">
      <w:pPr>
        <w:spacing w:after="0" w:line="240" w:lineRule="auto"/>
        <w:jc w:val="both"/>
        <w:rPr>
          <w:rFonts w:ascii="Times New Roman" w:hAnsi="Times New Roman" w:cs="Times New Roman"/>
          <w:b/>
          <w:lang w:val="es-MX"/>
        </w:rPr>
      </w:pPr>
      <w:r w:rsidRPr="00D74D30">
        <w:rPr>
          <w:rFonts w:ascii="Times New Roman" w:hAnsi="Times New Roman" w:cs="Times New Roman"/>
          <w:b/>
          <w:lang w:val="es-MX"/>
        </w:rPr>
        <w:t>El impuesto sobre la renta</w:t>
      </w:r>
    </w:p>
    <w:p w:rsidR="00126011" w:rsidRPr="004745C7" w:rsidRDefault="00126011" w:rsidP="00126011">
      <w:pPr>
        <w:spacing w:after="0" w:line="240" w:lineRule="auto"/>
        <w:ind w:left="-142"/>
        <w:jc w:val="both"/>
        <w:rPr>
          <w:rFonts w:ascii="Times New Roman" w:hAnsi="Times New Roman" w:cs="Times New Roman"/>
          <w:sz w:val="16"/>
          <w:lang w:val="es-MX"/>
        </w:rPr>
      </w:pPr>
    </w:p>
    <w:p w:rsidR="00126011" w:rsidRDefault="00126011" w:rsidP="004745C7">
      <w:pPr>
        <w:spacing w:after="0" w:line="240" w:lineRule="auto"/>
        <w:jc w:val="both"/>
        <w:rPr>
          <w:rFonts w:ascii="Times New Roman" w:hAnsi="Times New Roman" w:cs="Times New Roman"/>
          <w:lang w:val="es-MX"/>
        </w:rPr>
      </w:pPr>
      <w:r>
        <w:rPr>
          <w:rFonts w:ascii="Times New Roman" w:hAnsi="Times New Roman" w:cs="Times New Roman"/>
          <w:lang w:val="es-MX"/>
        </w:rPr>
        <w:t>Este impuesto supero la meta de presupuesto por Q</w:t>
      </w:r>
      <w:r>
        <w:rPr>
          <w:rFonts w:ascii="Times New Roman" w:hAnsi="Times New Roman" w:cs="Times New Roman"/>
          <w:lang w:val="es-MX"/>
        </w:rPr>
        <w:t xml:space="preserve"> </w:t>
      </w:r>
      <w:r>
        <w:rPr>
          <w:rFonts w:ascii="Times New Roman" w:hAnsi="Times New Roman" w:cs="Times New Roman"/>
          <w:lang w:val="es-MX"/>
        </w:rPr>
        <w:t>141.2 millones, con relación al año anterior tiene un crecimiento de 15.9%, (Q</w:t>
      </w:r>
      <w:r>
        <w:rPr>
          <w:rFonts w:ascii="Times New Roman" w:hAnsi="Times New Roman" w:cs="Times New Roman"/>
          <w:lang w:val="es-MX"/>
        </w:rPr>
        <w:t xml:space="preserve"> </w:t>
      </w:r>
      <w:r>
        <w:rPr>
          <w:rFonts w:ascii="Times New Roman" w:hAnsi="Times New Roman" w:cs="Times New Roman"/>
          <w:lang w:val="es-MX"/>
        </w:rPr>
        <w:t>67.0 millones), la meta de liquidación anual de este impuesto se superó.</w:t>
      </w:r>
    </w:p>
    <w:p w:rsidR="00126011" w:rsidRPr="004745C7" w:rsidRDefault="00126011" w:rsidP="00126011">
      <w:pPr>
        <w:spacing w:after="0" w:line="240" w:lineRule="auto"/>
        <w:ind w:left="-142"/>
        <w:jc w:val="both"/>
        <w:rPr>
          <w:rFonts w:ascii="Times New Roman" w:hAnsi="Times New Roman" w:cs="Times New Roman"/>
          <w:sz w:val="18"/>
          <w:lang w:val="es-MX"/>
        </w:rPr>
      </w:pPr>
    </w:p>
    <w:p w:rsidR="00126011" w:rsidRPr="0081465C" w:rsidRDefault="00126011" w:rsidP="00126011">
      <w:pPr>
        <w:spacing w:after="0" w:line="240" w:lineRule="auto"/>
        <w:ind w:left="-142"/>
        <w:jc w:val="center"/>
        <w:rPr>
          <w:rFonts w:ascii="Times New Roman" w:hAnsi="Times New Roman" w:cs="Times New Roman"/>
          <w:b/>
          <w:lang w:val="es-MX"/>
        </w:rPr>
      </w:pPr>
      <w:r w:rsidRPr="0081465C">
        <w:rPr>
          <w:rFonts w:ascii="Times New Roman" w:hAnsi="Times New Roman" w:cs="Times New Roman"/>
          <w:b/>
          <w:lang w:val="es-MX"/>
        </w:rPr>
        <w:t xml:space="preserve">Impuesto a la </w:t>
      </w:r>
      <w:r>
        <w:rPr>
          <w:rFonts w:ascii="Times New Roman" w:hAnsi="Times New Roman" w:cs="Times New Roman"/>
          <w:b/>
          <w:lang w:val="es-MX"/>
        </w:rPr>
        <w:t>R</w:t>
      </w:r>
      <w:r w:rsidRPr="0081465C">
        <w:rPr>
          <w:rFonts w:ascii="Times New Roman" w:hAnsi="Times New Roman" w:cs="Times New Roman"/>
          <w:b/>
          <w:lang w:val="es-MX"/>
        </w:rPr>
        <w:t xml:space="preserve">enta vrs </w:t>
      </w:r>
      <w:r>
        <w:rPr>
          <w:rFonts w:ascii="Times New Roman" w:hAnsi="Times New Roman" w:cs="Times New Roman"/>
          <w:b/>
          <w:lang w:val="es-MX"/>
        </w:rPr>
        <w:t>M</w:t>
      </w:r>
      <w:r w:rsidRPr="0081465C">
        <w:rPr>
          <w:rFonts w:ascii="Times New Roman" w:hAnsi="Times New Roman" w:cs="Times New Roman"/>
          <w:b/>
          <w:lang w:val="es-MX"/>
        </w:rPr>
        <w:t>eta</w:t>
      </w:r>
    </w:p>
    <w:p w:rsidR="00126011" w:rsidRPr="00126011" w:rsidRDefault="00126011" w:rsidP="00126011">
      <w:pPr>
        <w:spacing w:after="0" w:line="240" w:lineRule="auto"/>
        <w:ind w:left="-142"/>
        <w:jc w:val="center"/>
        <w:rPr>
          <w:rFonts w:ascii="Times New Roman" w:hAnsi="Times New Roman" w:cs="Times New Roman"/>
          <w:sz w:val="18"/>
          <w:lang w:val="es-MX"/>
        </w:rPr>
      </w:pPr>
      <w:r w:rsidRPr="00126011">
        <w:rPr>
          <w:rFonts w:ascii="Times New Roman" w:hAnsi="Times New Roman" w:cs="Times New Roman"/>
          <w:sz w:val="18"/>
          <w:lang w:val="es-MX"/>
        </w:rPr>
        <w:t>Millones de quetzales</w:t>
      </w:r>
    </w:p>
    <w:p w:rsidR="00126011" w:rsidRDefault="00126011" w:rsidP="004745C7">
      <w:pPr>
        <w:spacing w:after="0" w:line="240" w:lineRule="auto"/>
        <w:jc w:val="both"/>
        <w:rPr>
          <w:rFonts w:ascii="Times New Roman" w:hAnsi="Times New Roman" w:cs="Times New Roman"/>
          <w:lang w:val="es-MX"/>
        </w:rPr>
      </w:pPr>
      <w:r>
        <w:rPr>
          <w:rFonts w:ascii="Times New Roman" w:hAnsi="Times New Roman" w:cs="Times New Roman"/>
          <w:noProof/>
          <w:lang w:eastAsia="es-GT"/>
        </w:rPr>
        <w:drawing>
          <wp:inline distT="0" distB="0" distL="0" distR="0" wp14:anchorId="2A0ABDB4" wp14:editId="791C5B09">
            <wp:extent cx="2636108" cy="1556951"/>
            <wp:effectExtent l="0" t="0" r="0" b="571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26011" w:rsidRPr="00990C9B" w:rsidRDefault="00126011" w:rsidP="004745C7">
      <w:pPr>
        <w:spacing w:after="0" w:line="240" w:lineRule="auto"/>
        <w:jc w:val="both"/>
        <w:rPr>
          <w:rFonts w:ascii="Times New Roman" w:hAnsi="Times New Roman" w:cs="Times New Roman"/>
          <w:sz w:val="24"/>
          <w:lang w:val="es-MX"/>
        </w:rPr>
      </w:pPr>
      <w:r w:rsidRPr="00990C9B">
        <w:rPr>
          <w:rFonts w:ascii="Times New Roman" w:hAnsi="Times New Roman" w:cs="Times New Roman"/>
          <w:sz w:val="16"/>
          <w:lang w:val="es-MX"/>
        </w:rPr>
        <w:t>Fuente: Dirección de Análisis y Política Fiscal</w:t>
      </w:r>
    </w:p>
    <w:p w:rsidR="004745C7" w:rsidRPr="004745C7" w:rsidRDefault="004745C7" w:rsidP="004745C7">
      <w:pPr>
        <w:spacing w:after="0" w:line="240" w:lineRule="auto"/>
        <w:jc w:val="both"/>
        <w:rPr>
          <w:rFonts w:ascii="Times New Roman" w:hAnsi="Times New Roman" w:cs="Times New Roman"/>
          <w:sz w:val="20"/>
          <w:lang w:val="es-MX"/>
        </w:rPr>
      </w:pPr>
    </w:p>
    <w:p w:rsidR="00126011" w:rsidRDefault="00126011" w:rsidP="004745C7">
      <w:pPr>
        <w:spacing w:after="0" w:line="240" w:lineRule="auto"/>
        <w:jc w:val="both"/>
        <w:rPr>
          <w:rFonts w:ascii="Times New Roman" w:hAnsi="Times New Roman" w:cs="Times New Roman"/>
          <w:b/>
          <w:lang w:val="es-MX"/>
        </w:rPr>
      </w:pPr>
      <w:r w:rsidRPr="00F3141C">
        <w:rPr>
          <w:rFonts w:ascii="Times New Roman" w:hAnsi="Times New Roman" w:cs="Times New Roman"/>
          <w:b/>
          <w:lang w:val="es-MX"/>
        </w:rPr>
        <w:t>El resto de los impuestos</w:t>
      </w:r>
    </w:p>
    <w:p w:rsidR="004745C7" w:rsidRPr="004745C7" w:rsidRDefault="004745C7" w:rsidP="004745C7">
      <w:pPr>
        <w:spacing w:after="0" w:line="240" w:lineRule="auto"/>
        <w:jc w:val="both"/>
        <w:rPr>
          <w:rFonts w:ascii="Times New Roman" w:hAnsi="Times New Roman" w:cs="Times New Roman"/>
          <w:b/>
          <w:sz w:val="16"/>
          <w:lang w:val="es-MX"/>
        </w:rPr>
      </w:pPr>
    </w:p>
    <w:p w:rsidR="00126011" w:rsidRDefault="00126011" w:rsidP="004745C7">
      <w:pPr>
        <w:pStyle w:val="Sinespaciado"/>
        <w:jc w:val="both"/>
        <w:rPr>
          <w:rFonts w:ascii="Times New Roman" w:hAnsi="Times New Roman" w:cs="Times New Roman"/>
          <w:lang w:val="es-MX"/>
        </w:rPr>
      </w:pPr>
      <w:r>
        <w:rPr>
          <w:rFonts w:ascii="Times New Roman" w:hAnsi="Times New Roman" w:cs="Times New Roman"/>
          <w:lang w:val="es-MX"/>
        </w:rPr>
        <w:t xml:space="preserve">Datos mensuales indican que algunos impuestos presentaron rendimiento negativo como los </w:t>
      </w:r>
      <w:r w:rsidRPr="0086227B">
        <w:rPr>
          <w:rFonts w:ascii="Times New Roman" w:hAnsi="Times New Roman" w:cs="Times New Roman"/>
          <w:lang w:val="es-MX"/>
        </w:rPr>
        <w:t xml:space="preserve">derechos arancelarios a la importación, el de los derivados del petróleo, </w:t>
      </w:r>
      <w:r w:rsidRPr="0086227B">
        <w:rPr>
          <w:rFonts w:ascii="Times New Roman" w:hAnsi="Times New Roman" w:cs="Times New Roman"/>
          <w:lang w:val="es-MX"/>
        </w:rPr>
        <w:lastRenderedPageBreak/>
        <w:t>el de timbres, vehículos, IPRIMA</w:t>
      </w:r>
      <w:r>
        <w:rPr>
          <w:rFonts w:ascii="Times New Roman" w:hAnsi="Times New Roman" w:cs="Times New Roman"/>
          <w:lang w:val="es-MX"/>
        </w:rPr>
        <w:t>,</w:t>
      </w:r>
      <w:r w:rsidRPr="0086227B">
        <w:rPr>
          <w:rFonts w:ascii="Times New Roman" w:hAnsi="Times New Roman" w:cs="Times New Roman"/>
          <w:lang w:val="es-MX"/>
        </w:rPr>
        <w:t xml:space="preserve"> el de bebidas, y cemento </w:t>
      </w:r>
      <w:r>
        <w:rPr>
          <w:rFonts w:ascii="Times New Roman" w:hAnsi="Times New Roman" w:cs="Times New Roman"/>
          <w:lang w:val="es-MX"/>
        </w:rPr>
        <w:t xml:space="preserve">que </w:t>
      </w:r>
      <w:r w:rsidRPr="0086227B">
        <w:rPr>
          <w:rFonts w:ascii="Times New Roman" w:hAnsi="Times New Roman" w:cs="Times New Roman"/>
          <w:lang w:val="es-MX"/>
        </w:rPr>
        <w:t>en co</w:t>
      </w:r>
      <w:r>
        <w:rPr>
          <w:rFonts w:ascii="Times New Roman" w:hAnsi="Times New Roman" w:cs="Times New Roman"/>
          <w:lang w:val="es-MX"/>
        </w:rPr>
        <w:t>njunto dejaron de percibir Q</w:t>
      </w:r>
      <w:r w:rsidR="004745C7">
        <w:rPr>
          <w:rFonts w:ascii="Times New Roman" w:hAnsi="Times New Roman" w:cs="Times New Roman"/>
          <w:lang w:val="es-MX"/>
        </w:rPr>
        <w:t xml:space="preserve"> </w:t>
      </w:r>
      <w:r>
        <w:rPr>
          <w:rFonts w:ascii="Times New Roman" w:hAnsi="Times New Roman" w:cs="Times New Roman"/>
          <w:lang w:val="es-MX"/>
        </w:rPr>
        <w:t xml:space="preserve">99.6 </w:t>
      </w:r>
      <w:r w:rsidRPr="0086227B">
        <w:rPr>
          <w:rFonts w:ascii="Times New Roman" w:hAnsi="Times New Roman" w:cs="Times New Roman"/>
          <w:lang w:val="es-MX"/>
        </w:rPr>
        <w:t xml:space="preserve">millones </w:t>
      </w:r>
      <w:r>
        <w:rPr>
          <w:rFonts w:ascii="Times New Roman" w:hAnsi="Times New Roman" w:cs="Times New Roman"/>
          <w:lang w:val="es-MX"/>
        </w:rPr>
        <w:t xml:space="preserve">respecto a </w:t>
      </w:r>
      <w:r w:rsidRPr="0086227B">
        <w:rPr>
          <w:rFonts w:ascii="Times New Roman" w:hAnsi="Times New Roman" w:cs="Times New Roman"/>
          <w:lang w:val="es-MX"/>
        </w:rPr>
        <w:t>l</w:t>
      </w:r>
      <w:r>
        <w:rPr>
          <w:rFonts w:ascii="Times New Roman" w:hAnsi="Times New Roman" w:cs="Times New Roman"/>
          <w:lang w:val="es-MX"/>
        </w:rPr>
        <w:t>a</w:t>
      </w:r>
      <w:r w:rsidRPr="0086227B">
        <w:rPr>
          <w:rFonts w:ascii="Times New Roman" w:hAnsi="Times New Roman" w:cs="Times New Roman"/>
          <w:lang w:val="es-MX"/>
        </w:rPr>
        <w:t xml:space="preserve"> </w:t>
      </w:r>
      <w:r>
        <w:rPr>
          <w:rFonts w:ascii="Times New Roman" w:hAnsi="Times New Roman" w:cs="Times New Roman"/>
          <w:lang w:val="es-MX"/>
        </w:rPr>
        <w:t>meta de presupuesto, de manera acumulada estos presentan una brecha recaudatoria de Q</w:t>
      </w:r>
      <w:r w:rsidR="004745C7">
        <w:rPr>
          <w:rFonts w:ascii="Times New Roman" w:hAnsi="Times New Roman" w:cs="Times New Roman"/>
          <w:lang w:val="es-MX"/>
        </w:rPr>
        <w:t xml:space="preserve"> </w:t>
      </w:r>
      <w:r>
        <w:rPr>
          <w:rFonts w:ascii="Times New Roman" w:hAnsi="Times New Roman" w:cs="Times New Roman"/>
          <w:lang w:val="es-MX"/>
        </w:rPr>
        <w:t>243 millones.</w:t>
      </w:r>
      <w:r w:rsidRPr="0086227B">
        <w:rPr>
          <w:rFonts w:ascii="Times New Roman" w:hAnsi="Times New Roman" w:cs="Times New Roman"/>
          <w:lang w:val="es-MX"/>
        </w:rPr>
        <w:t xml:space="preserve">  Los únicos impuestos que superar</w:t>
      </w:r>
      <w:r>
        <w:rPr>
          <w:rFonts w:ascii="Times New Roman" w:hAnsi="Times New Roman" w:cs="Times New Roman"/>
          <w:lang w:val="es-MX"/>
        </w:rPr>
        <w:t xml:space="preserve">an la meta de forma acumulada son </w:t>
      </w:r>
      <w:r w:rsidRPr="0086227B">
        <w:rPr>
          <w:rFonts w:ascii="Times New Roman" w:hAnsi="Times New Roman" w:cs="Times New Roman"/>
          <w:lang w:val="es-MX"/>
        </w:rPr>
        <w:t>el ISR</w:t>
      </w:r>
      <w:r>
        <w:rPr>
          <w:rFonts w:ascii="Times New Roman" w:hAnsi="Times New Roman" w:cs="Times New Roman"/>
          <w:lang w:val="es-MX"/>
        </w:rPr>
        <w:t xml:space="preserve">, ISO, tabacos </w:t>
      </w:r>
      <w:r w:rsidRPr="0086227B">
        <w:rPr>
          <w:rFonts w:ascii="Times New Roman" w:hAnsi="Times New Roman" w:cs="Times New Roman"/>
          <w:lang w:val="es-MX"/>
        </w:rPr>
        <w:t xml:space="preserve"> y el impuesto al </w:t>
      </w:r>
      <w:r>
        <w:rPr>
          <w:rFonts w:ascii="Times New Roman" w:hAnsi="Times New Roman" w:cs="Times New Roman"/>
          <w:lang w:val="es-MX"/>
        </w:rPr>
        <w:t>cemento</w:t>
      </w:r>
      <w:r w:rsidRPr="0086227B">
        <w:rPr>
          <w:rFonts w:ascii="Times New Roman" w:hAnsi="Times New Roman" w:cs="Times New Roman"/>
          <w:lang w:val="es-MX"/>
        </w:rPr>
        <w:t>.</w:t>
      </w:r>
    </w:p>
    <w:p w:rsidR="004745C7" w:rsidRPr="004745C7" w:rsidRDefault="004745C7" w:rsidP="004745C7">
      <w:pPr>
        <w:pStyle w:val="Sinespaciado"/>
        <w:jc w:val="both"/>
        <w:rPr>
          <w:rFonts w:ascii="Times New Roman" w:hAnsi="Times New Roman" w:cs="Times New Roman"/>
          <w:lang w:val="es-MX"/>
        </w:rPr>
      </w:pPr>
    </w:p>
    <w:p w:rsidR="004745C7" w:rsidRPr="004745C7" w:rsidRDefault="00126011" w:rsidP="004745C7">
      <w:pPr>
        <w:pStyle w:val="Sinespaciado"/>
        <w:jc w:val="both"/>
        <w:rPr>
          <w:rFonts w:ascii="Times New Roman" w:hAnsi="Times New Roman" w:cs="Times New Roman"/>
          <w:lang w:val="es-MX"/>
        </w:rPr>
      </w:pPr>
      <w:r>
        <w:rPr>
          <w:rFonts w:ascii="Times New Roman" w:hAnsi="Times New Roman" w:cs="Times New Roman"/>
          <w:lang w:val="es-MX"/>
        </w:rPr>
        <w:lastRenderedPageBreak/>
        <w:t>Los impuestos asociados al comercio exterior presentan una caída de 9% respecto a la meta, de manera interanual crecen en 9.3%, los impuestos no administrados por SAT superaron la meta establecida, el impuesto a las regalías supera la meta de presupuesto en Q</w:t>
      </w:r>
      <w:r w:rsidR="004745C7">
        <w:rPr>
          <w:rFonts w:ascii="Times New Roman" w:hAnsi="Times New Roman" w:cs="Times New Roman"/>
          <w:lang w:val="es-MX"/>
        </w:rPr>
        <w:t xml:space="preserve"> </w:t>
      </w:r>
      <w:r>
        <w:rPr>
          <w:rFonts w:ascii="Times New Roman" w:hAnsi="Times New Roman" w:cs="Times New Roman"/>
          <w:lang w:val="es-MX"/>
        </w:rPr>
        <w:t>11.8 millones.</w:t>
      </w:r>
    </w:p>
    <w:p w:rsidR="00625AA5" w:rsidRPr="00AA19B3" w:rsidRDefault="00625AA5" w:rsidP="00B9286A">
      <w:pPr>
        <w:spacing w:after="0" w:line="240" w:lineRule="auto"/>
        <w:rPr>
          <w:rFonts w:ascii="Times New Roman" w:hAnsi="Times New Roman" w:cs="Times New Roman"/>
          <w:color w:val="FF0000"/>
          <w:lang w:val="es-MX"/>
        </w:rPr>
      </w:pPr>
    </w:p>
    <w:p w:rsidR="00B9286A" w:rsidRPr="00AA19B3" w:rsidRDefault="00B9286A" w:rsidP="00B9286A">
      <w:pPr>
        <w:spacing w:after="0" w:line="240" w:lineRule="auto"/>
        <w:rPr>
          <w:rFonts w:ascii="Times New Roman" w:hAnsi="Times New Roman" w:cs="Times New Roman"/>
          <w:color w:val="FF0000"/>
          <w:lang w:val="es-MX"/>
        </w:rPr>
      </w:pPr>
    </w:p>
    <w:p w:rsidR="00B9286A" w:rsidRPr="00AA19B3" w:rsidRDefault="00B9286A" w:rsidP="00B9286A">
      <w:pPr>
        <w:spacing w:after="0" w:line="240" w:lineRule="auto"/>
        <w:rPr>
          <w:rFonts w:ascii="Times New Roman" w:hAnsi="Times New Roman" w:cs="Times New Roman"/>
          <w:color w:val="FF0000"/>
          <w:lang w:val="es-MX"/>
        </w:rPr>
        <w:sectPr w:rsidR="00B9286A" w:rsidRPr="00AA19B3" w:rsidSect="005A03A9">
          <w:type w:val="continuous"/>
          <w:pgSz w:w="12240" w:h="15840"/>
          <w:pgMar w:top="1417" w:right="1701" w:bottom="1417" w:left="1701" w:header="708" w:footer="708" w:gutter="0"/>
          <w:cols w:num="2" w:space="708"/>
          <w:docGrid w:linePitch="360"/>
        </w:sectPr>
      </w:pPr>
    </w:p>
    <w:p w:rsidR="00FA3B81" w:rsidRPr="00AA19B3" w:rsidRDefault="00374D44" w:rsidP="004F72F9">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color w:val="FF0000"/>
          <w:lang w:val="es-MX"/>
        </w:rPr>
        <w:sectPr w:rsidR="00FA3B81" w:rsidRPr="00AA19B3" w:rsidSect="00FA3B81">
          <w:headerReference w:type="default" r:id="rId17"/>
          <w:footerReference w:type="default" r:id="rId18"/>
          <w:type w:val="continuous"/>
          <w:pgSz w:w="12240" w:h="15840" w:code="1"/>
          <w:pgMar w:top="1418" w:right="1418" w:bottom="1418" w:left="1418" w:header="709" w:footer="709" w:gutter="0"/>
          <w:cols w:space="708"/>
          <w:docGrid w:linePitch="360"/>
        </w:sectPr>
      </w:pPr>
      <w:r w:rsidRPr="00B80E43">
        <w:rPr>
          <w:rFonts w:ascii="Times New Roman" w:hAnsi="Times New Roman" w:cs="Times New Roman"/>
          <w:b/>
          <w:lang w:val="es-MX"/>
        </w:rPr>
        <w:lastRenderedPageBreak/>
        <w:t>Se mantiene la desaceleración de la ejecución del gasto</w:t>
      </w:r>
    </w:p>
    <w:p w:rsidR="00FA3B81" w:rsidRPr="00AA19B3" w:rsidRDefault="00FA3B81" w:rsidP="00FA3B81">
      <w:pPr>
        <w:pStyle w:val="Sinespaciado"/>
        <w:rPr>
          <w:rFonts w:ascii="Times New Roman" w:hAnsi="Times New Roman" w:cs="Times New Roman"/>
          <w:b/>
          <w:color w:val="FF0000"/>
          <w:sz w:val="18"/>
          <w:lang w:val="es-MX"/>
        </w:rPr>
      </w:pPr>
    </w:p>
    <w:p w:rsidR="00FA3B81" w:rsidRPr="00AA19B3" w:rsidRDefault="00FA3B81" w:rsidP="00FA3B81">
      <w:pPr>
        <w:pStyle w:val="Sinespaciado"/>
        <w:jc w:val="center"/>
        <w:rPr>
          <w:rFonts w:ascii="Times New Roman" w:hAnsi="Times New Roman" w:cs="Times New Roman"/>
          <w:b/>
          <w:color w:val="FF0000"/>
          <w:lang w:val="es-MX"/>
        </w:rPr>
        <w:sectPr w:rsidR="00FA3B81" w:rsidRPr="00AA19B3" w:rsidSect="004E358C">
          <w:type w:val="continuous"/>
          <w:pgSz w:w="12240" w:h="15840"/>
          <w:pgMar w:top="1417" w:right="1701" w:bottom="1417" w:left="1701" w:header="708" w:footer="708" w:gutter="0"/>
          <w:cols w:space="708"/>
          <w:docGrid w:linePitch="360"/>
        </w:sectPr>
      </w:pPr>
    </w:p>
    <w:p w:rsidR="00B80E43" w:rsidRDefault="00B80E43" w:rsidP="00B80E43">
      <w:pPr>
        <w:pStyle w:val="Sinespaciado"/>
        <w:jc w:val="both"/>
        <w:rPr>
          <w:rFonts w:ascii="Times New Roman" w:hAnsi="Times New Roman" w:cs="Times New Roman"/>
          <w:lang w:val="es-MX"/>
        </w:rPr>
      </w:pPr>
      <w:r>
        <w:rPr>
          <w:rFonts w:ascii="Times New Roman" w:hAnsi="Times New Roman" w:cs="Times New Roman"/>
          <w:lang w:val="es-MX"/>
        </w:rPr>
        <w:lastRenderedPageBreak/>
        <w:t xml:space="preserve">El primer trimestre del año arrancó en enero con un fuerte impulso en la ejecución derivado de que en este ejercicio se contaba con una mejor posición de la caja fiscal  lo que permitió atender desde inicios de año los aportes a entidades descentralizadas y autónomas como es el caso de las entidades de justicia como el Ministerio Público, Corte de Constitucionalidad, Organismo Judicial, entre otras.   Además se pudieron realizar oportunamente todos los aportes necesarios en el área de educación, los cuales son fundamentales para el buen inicio del ciclo escolar.   </w:t>
      </w:r>
    </w:p>
    <w:p w:rsidR="00B80E43" w:rsidRDefault="00B80E43" w:rsidP="00B80E43">
      <w:pPr>
        <w:pStyle w:val="Sinespaciado"/>
        <w:jc w:val="both"/>
        <w:rPr>
          <w:rFonts w:ascii="Times New Roman" w:hAnsi="Times New Roman" w:cs="Times New Roman"/>
          <w:lang w:val="es-MX"/>
        </w:rPr>
      </w:pPr>
    </w:p>
    <w:p w:rsidR="00B80E43" w:rsidRDefault="00B80E43" w:rsidP="00B80E43">
      <w:pPr>
        <w:pStyle w:val="Sinespaciado"/>
        <w:jc w:val="both"/>
        <w:rPr>
          <w:rFonts w:ascii="Times New Roman" w:hAnsi="Times New Roman" w:cs="Times New Roman"/>
          <w:lang w:val="es-MX"/>
        </w:rPr>
      </w:pPr>
      <w:r>
        <w:rPr>
          <w:rFonts w:ascii="Times New Roman" w:hAnsi="Times New Roman" w:cs="Times New Roman"/>
          <w:lang w:val="es-MX"/>
        </w:rPr>
        <w:t xml:space="preserve">Asimismo, se aprobó desde inicio de año cuotas financieras cuatrimestrales a las entidades rectoras de la salud, la educación y la seguridad ciudadana, así como asegurar los aportes a las entidades de justicia, posteriormente se aprobaron también cuotas cuatrimestrales al resto de entidades con base en los requerimientos solicitados, tomando como principal criterio de aprobación que se contará con los recursos financieros para su ejecución así como la priorización de necesidades.  </w:t>
      </w:r>
    </w:p>
    <w:p w:rsidR="00B80E43" w:rsidRDefault="00B80E43" w:rsidP="00B80E43">
      <w:pPr>
        <w:pStyle w:val="Sinespaciado"/>
        <w:jc w:val="both"/>
        <w:rPr>
          <w:rFonts w:ascii="Times New Roman" w:hAnsi="Times New Roman" w:cs="Times New Roman"/>
          <w:lang w:val="es-MX"/>
        </w:rPr>
      </w:pPr>
    </w:p>
    <w:p w:rsidR="00B80E43" w:rsidRDefault="00B80E43" w:rsidP="00B80E43">
      <w:pPr>
        <w:pStyle w:val="Sinespaciado"/>
        <w:jc w:val="both"/>
        <w:rPr>
          <w:rFonts w:ascii="Times New Roman" w:hAnsi="Times New Roman" w:cs="Times New Roman"/>
          <w:lang w:val="es-MX"/>
        </w:rPr>
      </w:pPr>
      <w:r>
        <w:rPr>
          <w:rFonts w:ascii="Times New Roman" w:hAnsi="Times New Roman" w:cs="Times New Roman"/>
          <w:lang w:val="es-MX"/>
        </w:rPr>
        <w:t xml:space="preserve">Aunque el gasto muestra un mejor desempeño que el mostrado en el primer trimestre de 2016, se observa que la ejecución  después del primer mes del año, se ha desacelerado, a pesar del esfuerzo por parte de la autoridad fiscal, por facilitar una mejor programación de gastos en </w:t>
      </w:r>
      <w:r>
        <w:rPr>
          <w:rFonts w:ascii="Times New Roman" w:hAnsi="Times New Roman" w:cs="Times New Roman"/>
          <w:lang w:val="es-MX"/>
        </w:rPr>
        <w:lastRenderedPageBreak/>
        <w:t xml:space="preserve">un horizonte de cuatro meses y que se han recibido los recursos programados tanto de recaudación tributaria como de endeudamiento, al menos, en los primeros meses del año.   </w:t>
      </w:r>
    </w:p>
    <w:p w:rsidR="00B80E43" w:rsidRDefault="00B80E43" w:rsidP="00B80E43">
      <w:pPr>
        <w:pStyle w:val="Sinespaciado"/>
        <w:jc w:val="both"/>
        <w:rPr>
          <w:rFonts w:ascii="Times New Roman" w:hAnsi="Times New Roman" w:cs="Times New Roman"/>
          <w:lang w:val="es-MX"/>
        </w:rPr>
      </w:pPr>
    </w:p>
    <w:p w:rsidR="00B80E43" w:rsidRDefault="00B80E43" w:rsidP="00B80E43">
      <w:pPr>
        <w:pStyle w:val="Sinespaciado"/>
        <w:jc w:val="both"/>
        <w:rPr>
          <w:rFonts w:ascii="Times New Roman" w:hAnsi="Times New Roman" w:cs="Times New Roman"/>
          <w:lang w:val="es-MX"/>
        </w:rPr>
      </w:pPr>
      <w:r>
        <w:rPr>
          <w:rFonts w:ascii="Times New Roman" w:hAnsi="Times New Roman" w:cs="Times New Roman"/>
          <w:lang w:val="es-MX"/>
        </w:rPr>
        <w:t xml:space="preserve">Es por ello que al 31 de marzo de 2017, el nivel de ejecución gasto público se situó en  </w:t>
      </w:r>
      <w:r>
        <w:rPr>
          <w:rFonts w:ascii="Times New Roman" w:hAnsi="Times New Roman" w:cs="Times New Roman"/>
          <w:lang w:val="es-MX"/>
        </w:rPr>
        <w:t xml:space="preserve">            </w:t>
      </w:r>
      <w:r>
        <w:rPr>
          <w:rFonts w:ascii="Times New Roman" w:hAnsi="Times New Roman" w:cs="Times New Roman"/>
          <w:lang w:val="es-MX"/>
        </w:rPr>
        <w:t>Q</w:t>
      </w:r>
      <w:r>
        <w:rPr>
          <w:rFonts w:ascii="Times New Roman" w:hAnsi="Times New Roman" w:cs="Times New Roman"/>
          <w:lang w:val="es-MX"/>
        </w:rPr>
        <w:t xml:space="preserve"> </w:t>
      </w:r>
      <w:r>
        <w:rPr>
          <w:rFonts w:ascii="Times New Roman" w:hAnsi="Times New Roman" w:cs="Times New Roman"/>
          <w:lang w:val="es-MX"/>
        </w:rPr>
        <w:t>13,535.4 millones (no incluye amortizaciones de deuda pública)</w:t>
      </w:r>
      <w:r w:rsidRPr="00F92177">
        <w:rPr>
          <w:rFonts w:ascii="Times New Roman" w:hAnsi="Times New Roman" w:cs="Times New Roman"/>
          <w:lang w:val="es-MX"/>
        </w:rPr>
        <w:t xml:space="preserve">, </w:t>
      </w:r>
      <w:r>
        <w:rPr>
          <w:rFonts w:ascii="Times New Roman" w:hAnsi="Times New Roman" w:cs="Times New Roman"/>
          <w:lang w:val="es-MX"/>
        </w:rPr>
        <w:t>el cual muestra</w:t>
      </w:r>
      <w:r w:rsidRPr="00F92177">
        <w:rPr>
          <w:rFonts w:ascii="Times New Roman" w:hAnsi="Times New Roman" w:cs="Times New Roman"/>
          <w:lang w:val="es-MX"/>
        </w:rPr>
        <w:t xml:space="preserve"> un crecimiento interanual </w:t>
      </w:r>
      <w:r>
        <w:rPr>
          <w:rFonts w:ascii="Times New Roman" w:hAnsi="Times New Roman" w:cs="Times New Roman"/>
          <w:lang w:val="es-MX"/>
        </w:rPr>
        <w:t>del 2.7</w:t>
      </w:r>
      <w:r w:rsidRPr="00F92177">
        <w:rPr>
          <w:rFonts w:ascii="Times New Roman" w:hAnsi="Times New Roman" w:cs="Times New Roman"/>
          <w:lang w:val="es-MX"/>
        </w:rPr>
        <w:t>%</w:t>
      </w:r>
      <w:r>
        <w:rPr>
          <w:rFonts w:ascii="Times New Roman" w:hAnsi="Times New Roman" w:cs="Times New Roman"/>
          <w:lang w:val="es-MX"/>
        </w:rPr>
        <w:t>,</w:t>
      </w:r>
      <w:r w:rsidRPr="00F92177">
        <w:rPr>
          <w:rFonts w:ascii="Times New Roman" w:hAnsi="Times New Roman" w:cs="Times New Roman"/>
          <w:lang w:val="es-MX"/>
        </w:rPr>
        <w:t xml:space="preserve"> respecto </w:t>
      </w:r>
      <w:r>
        <w:rPr>
          <w:rFonts w:ascii="Times New Roman" w:hAnsi="Times New Roman" w:cs="Times New Roman"/>
          <w:lang w:val="es-MX"/>
        </w:rPr>
        <w:t>al cierre de marzo</w:t>
      </w:r>
      <w:r w:rsidRPr="00F92177">
        <w:rPr>
          <w:rFonts w:ascii="Times New Roman" w:hAnsi="Times New Roman" w:cs="Times New Roman"/>
          <w:lang w:val="es-MX"/>
        </w:rPr>
        <w:t xml:space="preserve"> </w:t>
      </w:r>
      <w:r>
        <w:rPr>
          <w:rFonts w:ascii="Times New Roman" w:hAnsi="Times New Roman" w:cs="Times New Roman"/>
          <w:lang w:val="es-MX"/>
        </w:rPr>
        <w:t>de</w:t>
      </w:r>
      <w:r w:rsidRPr="00F92177">
        <w:rPr>
          <w:rFonts w:ascii="Times New Roman" w:hAnsi="Times New Roman" w:cs="Times New Roman"/>
          <w:lang w:val="es-MX"/>
        </w:rPr>
        <w:t xml:space="preserve"> 201</w:t>
      </w:r>
      <w:r>
        <w:rPr>
          <w:rFonts w:ascii="Times New Roman" w:hAnsi="Times New Roman" w:cs="Times New Roman"/>
          <w:lang w:val="es-MX"/>
        </w:rPr>
        <w:t xml:space="preserve">6, la cual a esta misma fecha  esta variación era negativa en 8.9%. </w:t>
      </w:r>
    </w:p>
    <w:p w:rsidR="00B80E43" w:rsidRDefault="00B80E43" w:rsidP="00B80E43">
      <w:pPr>
        <w:pStyle w:val="Sinespaciado"/>
        <w:jc w:val="both"/>
        <w:rPr>
          <w:rFonts w:ascii="Times New Roman" w:hAnsi="Times New Roman" w:cs="Times New Roman"/>
          <w:lang w:val="es-MX"/>
        </w:rPr>
      </w:pPr>
    </w:p>
    <w:p w:rsidR="00B80E43" w:rsidRPr="009D459C" w:rsidRDefault="00B80E43" w:rsidP="00B80E43">
      <w:pPr>
        <w:pStyle w:val="Sinespaciado"/>
        <w:jc w:val="center"/>
        <w:rPr>
          <w:rFonts w:ascii="Times New Roman" w:hAnsi="Times New Roman" w:cs="Times New Roman"/>
          <w:b/>
          <w:lang w:val="es-MX"/>
        </w:rPr>
      </w:pPr>
      <w:r w:rsidRPr="009D459C">
        <w:rPr>
          <w:rFonts w:ascii="Times New Roman" w:hAnsi="Times New Roman" w:cs="Times New Roman"/>
          <w:b/>
          <w:lang w:val="es-MX"/>
        </w:rPr>
        <w:t>Ritmo de Ejecución del Gasto</w:t>
      </w:r>
    </w:p>
    <w:p w:rsidR="00B80E43" w:rsidRPr="009D459C" w:rsidRDefault="00B80E43" w:rsidP="00B80E43">
      <w:pPr>
        <w:pStyle w:val="Sinespaciado"/>
        <w:jc w:val="center"/>
        <w:rPr>
          <w:rFonts w:ascii="Times New Roman" w:hAnsi="Times New Roman" w:cs="Times New Roman"/>
          <w:sz w:val="18"/>
          <w:lang w:val="es-MX"/>
        </w:rPr>
      </w:pPr>
      <w:r w:rsidRPr="009D459C">
        <w:rPr>
          <w:rFonts w:ascii="Times New Roman" w:hAnsi="Times New Roman" w:cs="Times New Roman"/>
          <w:sz w:val="18"/>
          <w:lang w:val="es-MX"/>
        </w:rPr>
        <w:t>Variación Interanual</w:t>
      </w:r>
    </w:p>
    <w:p w:rsidR="00B80E43" w:rsidRDefault="00B80E43" w:rsidP="00B80E43">
      <w:pPr>
        <w:pStyle w:val="Sinespaciado"/>
        <w:jc w:val="both"/>
        <w:rPr>
          <w:rFonts w:ascii="Times New Roman" w:hAnsi="Times New Roman" w:cs="Times New Roman"/>
          <w:lang w:val="es-MX"/>
        </w:rPr>
      </w:pPr>
      <w:r>
        <w:rPr>
          <w:rFonts w:ascii="Times New Roman" w:hAnsi="Times New Roman" w:cs="Times New Roman"/>
          <w:noProof/>
          <w:lang w:eastAsia="es-GT"/>
        </w:rPr>
        <w:drawing>
          <wp:inline distT="0" distB="0" distL="0" distR="0" wp14:anchorId="3608D1E5" wp14:editId="0B6910FE">
            <wp:extent cx="2561968" cy="196884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0719" cy="1967883"/>
                    </a:xfrm>
                    <a:prstGeom prst="rect">
                      <a:avLst/>
                    </a:prstGeom>
                    <a:noFill/>
                  </pic:spPr>
                </pic:pic>
              </a:graphicData>
            </a:graphic>
          </wp:inline>
        </w:drawing>
      </w:r>
    </w:p>
    <w:p w:rsidR="00B80E43" w:rsidRDefault="00B80E43" w:rsidP="00B80E43">
      <w:pPr>
        <w:pStyle w:val="Sinespaciado"/>
        <w:jc w:val="both"/>
        <w:rPr>
          <w:rFonts w:ascii="Times New Roman" w:hAnsi="Times New Roman" w:cs="Times New Roman"/>
          <w:sz w:val="16"/>
        </w:rPr>
      </w:pPr>
      <w:r>
        <w:rPr>
          <w:rFonts w:ascii="Times New Roman" w:hAnsi="Times New Roman" w:cs="Times New Roman"/>
          <w:sz w:val="16"/>
        </w:rPr>
        <w:t xml:space="preserve">Fuente: </w:t>
      </w:r>
      <w:r w:rsidRPr="006F1F3C">
        <w:rPr>
          <w:rFonts w:ascii="Times New Roman" w:hAnsi="Times New Roman" w:cs="Times New Roman"/>
          <w:sz w:val="16"/>
        </w:rPr>
        <w:t xml:space="preserve">Dirección de Análisis </w:t>
      </w:r>
      <w:r>
        <w:rPr>
          <w:rFonts w:ascii="Times New Roman" w:hAnsi="Times New Roman" w:cs="Times New Roman"/>
          <w:sz w:val="16"/>
        </w:rPr>
        <w:t>y Política fiscal</w:t>
      </w:r>
    </w:p>
    <w:p w:rsidR="00B80E43" w:rsidRPr="009D459C" w:rsidRDefault="00B80E43" w:rsidP="00B80E43">
      <w:pPr>
        <w:pStyle w:val="Sinespaciado"/>
        <w:jc w:val="both"/>
        <w:rPr>
          <w:rFonts w:ascii="Times New Roman" w:hAnsi="Times New Roman" w:cs="Times New Roman"/>
        </w:rPr>
      </w:pPr>
    </w:p>
    <w:p w:rsidR="00B80E43" w:rsidRDefault="00B80E43" w:rsidP="00B80E43">
      <w:pPr>
        <w:pStyle w:val="Sinespaciado"/>
        <w:jc w:val="both"/>
        <w:rPr>
          <w:rFonts w:ascii="Times New Roman" w:hAnsi="Times New Roman" w:cs="Times New Roman"/>
          <w:lang w:val="es-MX"/>
        </w:rPr>
      </w:pPr>
      <w:r>
        <w:rPr>
          <w:rFonts w:ascii="Times New Roman" w:hAnsi="Times New Roman" w:cs="Times New Roman"/>
          <w:lang w:val="es-MX"/>
        </w:rPr>
        <w:t xml:space="preserve">El principal rubro que le da dinamismo a la ejecución en lo que va de 2017, son las transferencias corrientes y de capital  al sector público, las cuales crecen a 19.4 %y 13.2% </w:t>
      </w:r>
      <w:r>
        <w:rPr>
          <w:rFonts w:ascii="Times New Roman" w:hAnsi="Times New Roman" w:cs="Times New Roman"/>
          <w:lang w:val="es-MX"/>
        </w:rPr>
        <w:lastRenderedPageBreak/>
        <w:t>respectivamente.  En el caso de los aportes corrientes  está fundamentado principalmente por el aumento en los aportes a las entidades de justicias, la Universidad de San Carlos y en el caso de los aportes de capital a las municipalidades, Consejos de Desarrollo y el aporte al FIDEMUNI, entre otros.</w:t>
      </w:r>
    </w:p>
    <w:p w:rsidR="00B80E43" w:rsidRDefault="00B80E43" w:rsidP="00B80E43">
      <w:pPr>
        <w:pStyle w:val="Sinespaciado"/>
        <w:jc w:val="both"/>
        <w:rPr>
          <w:rFonts w:ascii="Times New Roman" w:hAnsi="Times New Roman" w:cs="Times New Roman"/>
          <w:lang w:val="es-MX"/>
        </w:rPr>
      </w:pPr>
    </w:p>
    <w:p w:rsidR="00B80E43" w:rsidRDefault="00B80E43" w:rsidP="00B80E43">
      <w:pPr>
        <w:pStyle w:val="Sinespaciado"/>
        <w:jc w:val="both"/>
        <w:rPr>
          <w:rFonts w:ascii="Times New Roman" w:hAnsi="Times New Roman" w:cs="Times New Roman"/>
          <w:lang w:val="es-MX"/>
        </w:rPr>
      </w:pPr>
      <w:r>
        <w:rPr>
          <w:rFonts w:ascii="Times New Roman" w:hAnsi="Times New Roman" w:cs="Times New Roman"/>
          <w:lang w:val="es-MX"/>
        </w:rPr>
        <w:t>Asimismo, las remuneraciones muestran un crecimiento interanual de 3.7%, motivado principalmente por un ajuste salarial y un aumento de personal efectuado en el Ministerio de Gobernación.  El otro rubro que mostró un aumento en la ejecución fueron las prestaciones a la seguridad social (pensiones y jubilaciones) derivadas del incremento que estas tuvieron el año pasado y que el Congreso autorizó que se realizará un nuevo aumento en este año (Q</w:t>
      </w:r>
      <w:r w:rsidR="004745C7">
        <w:rPr>
          <w:rFonts w:ascii="Times New Roman" w:hAnsi="Times New Roman" w:cs="Times New Roman"/>
          <w:lang w:val="es-MX"/>
        </w:rPr>
        <w:t xml:space="preserve"> </w:t>
      </w:r>
      <w:r>
        <w:rPr>
          <w:rFonts w:ascii="Times New Roman" w:hAnsi="Times New Roman" w:cs="Times New Roman"/>
          <w:lang w:val="es-MX"/>
        </w:rPr>
        <w:t>500.0 mensuales), principalmente a los pensionados que tienen aportes menores al salario mínimo.</w:t>
      </w:r>
    </w:p>
    <w:p w:rsidR="00B80E43" w:rsidRDefault="00B80E43" w:rsidP="00B80E43">
      <w:pPr>
        <w:pStyle w:val="Sinespaciado"/>
        <w:jc w:val="both"/>
        <w:rPr>
          <w:rFonts w:ascii="Times New Roman" w:hAnsi="Times New Roman" w:cs="Times New Roman"/>
          <w:lang w:val="es-MX"/>
        </w:rPr>
      </w:pPr>
      <w:r>
        <w:rPr>
          <w:rFonts w:ascii="Times New Roman" w:hAnsi="Times New Roman" w:cs="Times New Roman"/>
          <w:lang w:val="es-MX"/>
        </w:rPr>
        <w:t xml:space="preserve"> </w:t>
      </w:r>
    </w:p>
    <w:p w:rsidR="00B80E43" w:rsidRDefault="00B80E43" w:rsidP="00B80E43">
      <w:pPr>
        <w:pStyle w:val="Sinespaciado"/>
        <w:jc w:val="both"/>
        <w:rPr>
          <w:rFonts w:ascii="Times New Roman" w:hAnsi="Times New Roman" w:cs="Times New Roman"/>
          <w:lang w:val="es-MX"/>
        </w:rPr>
      </w:pPr>
      <w:r>
        <w:rPr>
          <w:rFonts w:ascii="Times New Roman" w:hAnsi="Times New Roman" w:cs="Times New Roman"/>
          <w:lang w:val="es-MX"/>
        </w:rPr>
        <w:t>Por otro lado, los rubros de gasto con un bajo desempeño en su ejecución son los bienes y servicios y la inversión real directa,  principalmente en ministerios como educación, salud, gobernación y comunicaciones, entre otros.   En la adquisición de bienes y servicios se observa una contracción por el equivalente al 27.6% de lo observado a marzo de 2016.   La inversión real directa si bien muestra una ejecución mayor a la realizada el año anterior, todavía el nivel de gasto sigue siendo bajo (Q</w:t>
      </w:r>
      <w:r w:rsidR="004745C7">
        <w:rPr>
          <w:rFonts w:ascii="Times New Roman" w:hAnsi="Times New Roman" w:cs="Times New Roman"/>
          <w:lang w:val="es-MX"/>
        </w:rPr>
        <w:t xml:space="preserve"> </w:t>
      </w:r>
      <w:r>
        <w:rPr>
          <w:rFonts w:ascii="Times New Roman" w:hAnsi="Times New Roman" w:cs="Times New Roman"/>
          <w:lang w:val="es-MX"/>
        </w:rPr>
        <w:t>69.3 millones) equivalente al 2.0% del presupuesto vigente.   Asimismo, el otro rubro que tuvo una reducción en la ejecución fue el pago de intereses de la deuda pública, especialmente los intereses de deuda interna, lo cual se debe a la reducción de los vencimientos de los títulos con respecto a los que se dieron en 2016, en la medida que aumenta el vencimiento de los bonos aumenta también el pago de intereses asociados a dichos vencimientos.</w:t>
      </w:r>
    </w:p>
    <w:p w:rsidR="00B80E43" w:rsidRDefault="00B80E43" w:rsidP="00B80E43">
      <w:pPr>
        <w:pStyle w:val="Sinespaciado"/>
        <w:jc w:val="both"/>
        <w:rPr>
          <w:rFonts w:ascii="Times New Roman" w:hAnsi="Times New Roman" w:cs="Times New Roman"/>
          <w:lang w:val="es-MX"/>
        </w:rPr>
      </w:pPr>
    </w:p>
    <w:p w:rsidR="00B80E43" w:rsidRPr="009D459C" w:rsidRDefault="00B80E43" w:rsidP="00B80E43">
      <w:pPr>
        <w:pStyle w:val="Sinespaciado"/>
        <w:jc w:val="center"/>
        <w:rPr>
          <w:rFonts w:ascii="Times New Roman" w:hAnsi="Times New Roman" w:cs="Times New Roman"/>
          <w:b/>
          <w:lang w:val="es-MX"/>
        </w:rPr>
      </w:pPr>
      <w:r>
        <w:rPr>
          <w:rFonts w:ascii="Times New Roman" w:hAnsi="Times New Roman" w:cs="Times New Roman"/>
          <w:b/>
          <w:lang w:val="es-MX"/>
        </w:rPr>
        <w:lastRenderedPageBreak/>
        <w:t>Rubros de Cuenta Económica</w:t>
      </w:r>
    </w:p>
    <w:p w:rsidR="00B80E43" w:rsidRPr="009D459C" w:rsidRDefault="00B80E43" w:rsidP="00B80E43">
      <w:pPr>
        <w:pStyle w:val="Sinespaciado"/>
        <w:jc w:val="center"/>
        <w:rPr>
          <w:rFonts w:ascii="Times New Roman" w:hAnsi="Times New Roman" w:cs="Times New Roman"/>
          <w:sz w:val="18"/>
          <w:lang w:val="es-MX"/>
        </w:rPr>
      </w:pPr>
      <w:r w:rsidRPr="009D459C">
        <w:rPr>
          <w:rFonts w:ascii="Times New Roman" w:hAnsi="Times New Roman" w:cs="Times New Roman"/>
          <w:sz w:val="18"/>
          <w:lang w:val="es-MX"/>
        </w:rPr>
        <w:t>Variación Interanual</w:t>
      </w:r>
    </w:p>
    <w:p w:rsidR="00B80E43" w:rsidRDefault="00B80E43" w:rsidP="00B80E43">
      <w:pPr>
        <w:pStyle w:val="Sinespaciado"/>
        <w:jc w:val="both"/>
        <w:rPr>
          <w:rFonts w:ascii="Times New Roman" w:hAnsi="Times New Roman" w:cs="Times New Roman"/>
          <w:lang w:val="es-MX"/>
        </w:rPr>
      </w:pPr>
      <w:r>
        <w:rPr>
          <w:rFonts w:ascii="Times New Roman" w:hAnsi="Times New Roman" w:cs="Times New Roman"/>
          <w:noProof/>
          <w:lang w:eastAsia="es-GT"/>
        </w:rPr>
        <w:drawing>
          <wp:inline distT="0" distB="0" distL="0" distR="0" wp14:anchorId="58BD88BC" wp14:editId="7A33716E">
            <wp:extent cx="2487827" cy="2496065"/>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4709" cy="2502970"/>
                    </a:xfrm>
                    <a:prstGeom prst="rect">
                      <a:avLst/>
                    </a:prstGeom>
                    <a:noFill/>
                  </pic:spPr>
                </pic:pic>
              </a:graphicData>
            </a:graphic>
          </wp:inline>
        </w:drawing>
      </w:r>
    </w:p>
    <w:p w:rsidR="00B80E43" w:rsidRDefault="00B80E43" w:rsidP="00B80E43">
      <w:pPr>
        <w:pStyle w:val="Sinespaciado"/>
        <w:jc w:val="both"/>
        <w:rPr>
          <w:rFonts w:ascii="Times New Roman" w:hAnsi="Times New Roman" w:cs="Times New Roman"/>
          <w:sz w:val="16"/>
        </w:rPr>
      </w:pPr>
      <w:r>
        <w:rPr>
          <w:rFonts w:ascii="Times New Roman" w:hAnsi="Times New Roman" w:cs="Times New Roman"/>
          <w:sz w:val="16"/>
        </w:rPr>
        <w:t xml:space="preserve">Fuente: </w:t>
      </w:r>
      <w:r w:rsidRPr="006F1F3C">
        <w:rPr>
          <w:rFonts w:ascii="Times New Roman" w:hAnsi="Times New Roman" w:cs="Times New Roman"/>
          <w:sz w:val="16"/>
        </w:rPr>
        <w:t xml:space="preserve">Dirección de Análisis </w:t>
      </w:r>
      <w:r>
        <w:rPr>
          <w:rFonts w:ascii="Times New Roman" w:hAnsi="Times New Roman" w:cs="Times New Roman"/>
          <w:sz w:val="16"/>
        </w:rPr>
        <w:t>y Política fiscal</w:t>
      </w:r>
    </w:p>
    <w:p w:rsidR="00B80E43" w:rsidRPr="005531F6" w:rsidRDefault="00B80E43" w:rsidP="00B80E43">
      <w:pPr>
        <w:pStyle w:val="Sinespaciado"/>
        <w:jc w:val="both"/>
        <w:rPr>
          <w:rFonts w:ascii="Times New Roman" w:hAnsi="Times New Roman" w:cs="Times New Roman"/>
        </w:rPr>
      </w:pPr>
    </w:p>
    <w:p w:rsidR="00B80E43" w:rsidRDefault="00B80E43" w:rsidP="00B80E43">
      <w:pPr>
        <w:pStyle w:val="Sinespaciado"/>
        <w:jc w:val="both"/>
        <w:rPr>
          <w:rFonts w:ascii="Times New Roman" w:hAnsi="Times New Roman" w:cs="Times New Roman"/>
          <w:lang w:val="es-MX"/>
        </w:rPr>
      </w:pPr>
      <w:r>
        <w:rPr>
          <w:rFonts w:ascii="Times New Roman" w:hAnsi="Times New Roman" w:cs="Times New Roman"/>
          <w:lang w:val="es-MX"/>
        </w:rPr>
        <w:t>El gasto social realizado en los sectores de educación, salud y vivienda se ubica al cierre de marzo de 2017 en Q</w:t>
      </w:r>
      <w:r>
        <w:rPr>
          <w:rFonts w:ascii="Times New Roman" w:hAnsi="Times New Roman" w:cs="Times New Roman"/>
          <w:lang w:val="es-MX"/>
        </w:rPr>
        <w:t xml:space="preserve"> </w:t>
      </w:r>
      <w:r>
        <w:rPr>
          <w:rFonts w:ascii="Times New Roman" w:hAnsi="Times New Roman" w:cs="Times New Roman"/>
          <w:lang w:val="es-MX"/>
        </w:rPr>
        <w:t>5,109.1 millones, que representa un grado de ejecución presupuestaria de 17.4%, este nivel, como se observa está por debajo de la ejecución institucional (18.6%) debido a que el sector salud y asistencia social lleva a la fecha una baja ejecución no así los otros sectores que muestran porcentajes de ejecución por arriba del 20%.</w:t>
      </w:r>
    </w:p>
    <w:p w:rsidR="00B80E43" w:rsidRDefault="00B80E43" w:rsidP="00B80E43">
      <w:pPr>
        <w:pStyle w:val="Sinespaciado"/>
        <w:jc w:val="both"/>
        <w:rPr>
          <w:rFonts w:ascii="Times New Roman" w:hAnsi="Times New Roman" w:cs="Times New Roman"/>
          <w:lang w:val="es-MX"/>
        </w:rPr>
      </w:pPr>
    </w:p>
    <w:p w:rsidR="00B80E43" w:rsidRDefault="00B80E43" w:rsidP="00B80E43">
      <w:pPr>
        <w:pStyle w:val="Sinespaciado"/>
        <w:jc w:val="both"/>
        <w:rPr>
          <w:rFonts w:ascii="Times New Roman" w:hAnsi="Times New Roman" w:cs="Times New Roman"/>
          <w:lang w:val="es-MX"/>
        </w:rPr>
      </w:pPr>
      <w:r>
        <w:rPr>
          <w:rFonts w:ascii="Times New Roman" w:hAnsi="Times New Roman" w:cs="Times New Roman"/>
          <w:lang w:val="es-MX"/>
        </w:rPr>
        <w:t xml:space="preserve">Al observar el gasto de los Acuerdos de Paz (gasto social más gasto en seguridad ciudadana y entidades de justicia) el gasto aumenta a </w:t>
      </w:r>
      <w:r>
        <w:rPr>
          <w:rFonts w:ascii="Times New Roman" w:hAnsi="Times New Roman" w:cs="Times New Roman"/>
          <w:lang w:val="es-MX"/>
        </w:rPr>
        <w:t xml:space="preserve">      </w:t>
      </w:r>
      <w:r>
        <w:rPr>
          <w:rFonts w:ascii="Times New Roman" w:hAnsi="Times New Roman" w:cs="Times New Roman"/>
          <w:lang w:val="es-MX"/>
        </w:rPr>
        <w:t>Q</w:t>
      </w:r>
      <w:r>
        <w:rPr>
          <w:rFonts w:ascii="Times New Roman" w:hAnsi="Times New Roman" w:cs="Times New Roman"/>
          <w:lang w:val="es-MX"/>
        </w:rPr>
        <w:t xml:space="preserve"> </w:t>
      </w:r>
      <w:r>
        <w:rPr>
          <w:rFonts w:ascii="Times New Roman" w:hAnsi="Times New Roman" w:cs="Times New Roman"/>
          <w:lang w:val="es-MX"/>
        </w:rPr>
        <w:t>7,015.0 millones, con un grado de ejecución de 17.9%, lo que resalta es el aporte a las entidades como el Ministerio Público, Organismo Judicial y la Corte de Constitucionalidad que muestran altos grados de ejecución, mientras que el sector de  seguridad interna se encuentra rezagado en la ejecución.</w:t>
      </w:r>
    </w:p>
    <w:p w:rsidR="00B80E43" w:rsidRDefault="00B80E43" w:rsidP="00B80E43">
      <w:pPr>
        <w:pStyle w:val="Sinespaciado"/>
        <w:jc w:val="both"/>
        <w:rPr>
          <w:rFonts w:ascii="Times New Roman" w:hAnsi="Times New Roman" w:cs="Times New Roman"/>
          <w:lang w:val="es-MX"/>
        </w:rPr>
      </w:pPr>
      <w:r>
        <w:rPr>
          <w:rFonts w:ascii="Times New Roman" w:hAnsi="Times New Roman" w:cs="Times New Roman"/>
          <w:lang w:val="es-MX"/>
        </w:rPr>
        <w:t xml:space="preserve"> </w:t>
      </w:r>
    </w:p>
    <w:p w:rsidR="004745C7" w:rsidRDefault="004745C7" w:rsidP="00B80E43">
      <w:pPr>
        <w:pStyle w:val="Sinespaciado"/>
        <w:jc w:val="both"/>
        <w:rPr>
          <w:rFonts w:ascii="Times New Roman" w:hAnsi="Times New Roman" w:cs="Times New Roman"/>
          <w:lang w:val="es-MX"/>
        </w:rPr>
      </w:pPr>
    </w:p>
    <w:p w:rsidR="004745C7" w:rsidRDefault="004745C7" w:rsidP="00B80E43">
      <w:pPr>
        <w:pStyle w:val="Sinespaciado"/>
        <w:jc w:val="both"/>
        <w:rPr>
          <w:rFonts w:ascii="Times New Roman" w:hAnsi="Times New Roman" w:cs="Times New Roman"/>
          <w:lang w:val="es-MX"/>
        </w:rPr>
      </w:pPr>
    </w:p>
    <w:p w:rsidR="00B80E43" w:rsidRPr="005531F6" w:rsidRDefault="00B80E43" w:rsidP="00B80E43">
      <w:pPr>
        <w:pStyle w:val="Sinespaciado"/>
        <w:jc w:val="center"/>
        <w:rPr>
          <w:rFonts w:ascii="Times New Roman" w:hAnsi="Times New Roman" w:cs="Times New Roman"/>
          <w:b/>
          <w:lang w:val="es-MX"/>
        </w:rPr>
      </w:pPr>
      <w:r w:rsidRPr="005531F6">
        <w:rPr>
          <w:rFonts w:ascii="Times New Roman" w:hAnsi="Times New Roman" w:cs="Times New Roman"/>
          <w:b/>
          <w:lang w:val="es-MX"/>
        </w:rPr>
        <w:lastRenderedPageBreak/>
        <w:t>Gasto de los Acuerdos de Paz</w:t>
      </w:r>
    </w:p>
    <w:p w:rsidR="00B80E43" w:rsidRPr="005531F6" w:rsidRDefault="00B80E43" w:rsidP="00B80E43">
      <w:pPr>
        <w:pStyle w:val="Sinespaciado"/>
        <w:jc w:val="center"/>
        <w:rPr>
          <w:rFonts w:ascii="Times New Roman" w:hAnsi="Times New Roman" w:cs="Times New Roman"/>
          <w:b/>
          <w:sz w:val="20"/>
          <w:lang w:val="es-MX"/>
        </w:rPr>
      </w:pPr>
      <w:r w:rsidRPr="005531F6">
        <w:rPr>
          <w:rFonts w:ascii="Times New Roman" w:hAnsi="Times New Roman" w:cs="Times New Roman"/>
          <w:b/>
          <w:sz w:val="20"/>
          <w:lang w:val="es-MX"/>
        </w:rPr>
        <w:t>Presupuesto y Ejecución 2017</w:t>
      </w:r>
    </w:p>
    <w:p w:rsidR="00B80E43" w:rsidRPr="005531F6" w:rsidRDefault="00B80E43" w:rsidP="00B80E43">
      <w:pPr>
        <w:pStyle w:val="Sinespaciado"/>
        <w:jc w:val="center"/>
        <w:rPr>
          <w:rFonts w:ascii="Times New Roman" w:hAnsi="Times New Roman" w:cs="Times New Roman"/>
          <w:b/>
          <w:sz w:val="20"/>
          <w:lang w:val="es-MX"/>
        </w:rPr>
      </w:pPr>
      <w:r w:rsidRPr="005531F6">
        <w:rPr>
          <w:rFonts w:ascii="Times New Roman" w:hAnsi="Times New Roman" w:cs="Times New Roman"/>
          <w:b/>
          <w:sz w:val="20"/>
          <w:lang w:val="es-MX"/>
        </w:rPr>
        <w:t>-Millones de quetzales-</w:t>
      </w:r>
    </w:p>
    <w:p w:rsidR="00B80E43" w:rsidRDefault="00B80E43" w:rsidP="00B80E43">
      <w:pPr>
        <w:pStyle w:val="Sinespaciado"/>
        <w:jc w:val="both"/>
        <w:rPr>
          <w:rFonts w:ascii="Times New Roman" w:hAnsi="Times New Roman" w:cs="Times New Roman"/>
          <w:sz w:val="16"/>
        </w:rPr>
      </w:pPr>
      <w:r w:rsidRPr="005531F6">
        <w:rPr>
          <w:noProof/>
          <w:lang w:eastAsia="es-GT"/>
        </w:rPr>
        <w:drawing>
          <wp:inline distT="0" distB="0" distL="0" distR="0" wp14:anchorId="229380B3" wp14:editId="0FBD108C">
            <wp:extent cx="2600325" cy="14859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325" cy="1485900"/>
                    </a:xfrm>
                    <a:prstGeom prst="rect">
                      <a:avLst/>
                    </a:prstGeom>
                    <a:noFill/>
                    <a:ln>
                      <a:noFill/>
                    </a:ln>
                  </pic:spPr>
                </pic:pic>
              </a:graphicData>
            </a:graphic>
          </wp:inline>
        </w:drawing>
      </w:r>
      <w:r>
        <w:rPr>
          <w:rFonts w:ascii="Times New Roman" w:hAnsi="Times New Roman" w:cs="Times New Roman"/>
          <w:lang w:val="es-MX"/>
        </w:rPr>
        <w:t xml:space="preserve"> </w:t>
      </w:r>
      <w:r>
        <w:rPr>
          <w:rFonts w:ascii="Times New Roman" w:hAnsi="Times New Roman" w:cs="Times New Roman"/>
          <w:sz w:val="16"/>
        </w:rPr>
        <w:t xml:space="preserve">Fuente: </w:t>
      </w:r>
      <w:r w:rsidRPr="006F1F3C">
        <w:rPr>
          <w:rFonts w:ascii="Times New Roman" w:hAnsi="Times New Roman" w:cs="Times New Roman"/>
          <w:sz w:val="16"/>
        </w:rPr>
        <w:t xml:space="preserve">Dirección de Análisis </w:t>
      </w:r>
      <w:r>
        <w:rPr>
          <w:rFonts w:ascii="Times New Roman" w:hAnsi="Times New Roman" w:cs="Times New Roman"/>
          <w:sz w:val="16"/>
        </w:rPr>
        <w:t>y Política fiscal</w:t>
      </w:r>
    </w:p>
    <w:p w:rsidR="00B80E43" w:rsidRDefault="00B80E43" w:rsidP="00B80E43">
      <w:pPr>
        <w:pStyle w:val="Sinespaciado"/>
        <w:jc w:val="both"/>
        <w:rPr>
          <w:rFonts w:ascii="Times New Roman" w:hAnsi="Times New Roman" w:cs="Times New Roman"/>
        </w:rPr>
      </w:pPr>
    </w:p>
    <w:p w:rsidR="004745C7" w:rsidRDefault="00B80E43" w:rsidP="00B80E43">
      <w:pPr>
        <w:pStyle w:val="Sinespaciado"/>
        <w:jc w:val="both"/>
        <w:rPr>
          <w:rFonts w:ascii="Times New Roman" w:hAnsi="Times New Roman" w:cs="Times New Roman"/>
        </w:rPr>
      </w:pPr>
      <w:r>
        <w:rPr>
          <w:rFonts w:ascii="Times New Roman" w:hAnsi="Times New Roman" w:cs="Times New Roman"/>
        </w:rPr>
        <w:t>La ejecución de gasto incluyendo las amortizaciones de la deuda pública, al 31 de marzo de 2017, se ubicó en Q</w:t>
      </w:r>
      <w:r>
        <w:rPr>
          <w:rFonts w:ascii="Times New Roman" w:hAnsi="Times New Roman" w:cs="Times New Roman"/>
        </w:rPr>
        <w:t xml:space="preserve"> </w:t>
      </w:r>
      <w:r>
        <w:rPr>
          <w:rFonts w:ascii="Times New Roman" w:hAnsi="Times New Roman" w:cs="Times New Roman"/>
        </w:rPr>
        <w:t>14,416.3 millones.  La ejecución a la fecha muestra una dicotomía en su evolución, se tiene entidades con un grado de ejecución bastante aceptable, aunque con un crecimiento interanual negativo (entidades que se encuentran en la franja roja de la gráfica) lo que significa que el esfuerzo  de estas entidades debe ser mayor.  Asimismo, hay entidades con alta tasa de crecimiento pero un grado de ejecución bajo lo que significa que hay una mejora con respecto a lo observado en 2016 pero están ejecutando por debajo de lo programado en el presupuesto a pesar que existe una mayor relajación en la cuotas financieras con respecto a lo que se experimentó en el primer trimestre de 2016</w:t>
      </w:r>
    </w:p>
    <w:p w:rsidR="004745C7" w:rsidRPr="004745C7" w:rsidRDefault="004745C7" w:rsidP="00B80E43">
      <w:pPr>
        <w:pStyle w:val="Sinespaciado"/>
        <w:jc w:val="both"/>
        <w:rPr>
          <w:rFonts w:ascii="Times New Roman" w:hAnsi="Times New Roman" w:cs="Times New Roman"/>
          <w:sz w:val="10"/>
        </w:rPr>
      </w:pPr>
    </w:p>
    <w:p w:rsidR="00B80E43" w:rsidRPr="002A1B95" w:rsidRDefault="00B80E43" w:rsidP="00B80E43">
      <w:pPr>
        <w:pStyle w:val="Sinespaciado"/>
        <w:jc w:val="center"/>
        <w:rPr>
          <w:rFonts w:ascii="Times New Roman" w:hAnsi="Times New Roman" w:cs="Times New Roman"/>
          <w:b/>
          <w:lang w:val="es-MX"/>
        </w:rPr>
      </w:pPr>
      <w:r w:rsidRPr="002A1B95">
        <w:rPr>
          <w:rFonts w:ascii="Times New Roman" w:hAnsi="Times New Roman" w:cs="Times New Roman"/>
          <w:b/>
          <w:lang w:val="es-MX"/>
        </w:rPr>
        <w:lastRenderedPageBreak/>
        <w:t>Ejecución por Entidad</w:t>
      </w:r>
    </w:p>
    <w:p w:rsidR="00B80E43" w:rsidRPr="009D459C" w:rsidRDefault="00B80E43" w:rsidP="00B80E43">
      <w:pPr>
        <w:pStyle w:val="Sinespaciado"/>
        <w:jc w:val="center"/>
        <w:rPr>
          <w:rFonts w:ascii="Times New Roman" w:hAnsi="Times New Roman" w:cs="Times New Roman"/>
          <w:sz w:val="18"/>
          <w:szCs w:val="18"/>
          <w:lang w:val="es-MX"/>
        </w:rPr>
      </w:pPr>
      <w:r>
        <w:rPr>
          <w:rFonts w:ascii="Times New Roman" w:hAnsi="Times New Roman" w:cs="Times New Roman"/>
          <w:sz w:val="18"/>
          <w:szCs w:val="18"/>
          <w:lang w:val="es-MX"/>
        </w:rPr>
        <w:t>Al 31 de Marzo de 2017</w:t>
      </w:r>
    </w:p>
    <w:p w:rsidR="00B80E43" w:rsidRPr="009D459C" w:rsidRDefault="00B80E43" w:rsidP="00B80E43">
      <w:pPr>
        <w:pStyle w:val="Sinespaciado"/>
        <w:jc w:val="center"/>
        <w:rPr>
          <w:rFonts w:ascii="Times New Roman" w:hAnsi="Times New Roman" w:cs="Times New Roman"/>
          <w:sz w:val="18"/>
          <w:szCs w:val="18"/>
          <w:lang w:val="es-MX"/>
        </w:rPr>
      </w:pPr>
      <w:r w:rsidRPr="009D459C">
        <w:rPr>
          <w:rFonts w:ascii="Times New Roman" w:hAnsi="Times New Roman" w:cs="Times New Roman"/>
          <w:sz w:val="18"/>
          <w:szCs w:val="18"/>
          <w:lang w:val="es-MX"/>
        </w:rPr>
        <w:t>Millones de quetzales</w:t>
      </w:r>
    </w:p>
    <w:p w:rsidR="00B80E43" w:rsidRDefault="00B80E43" w:rsidP="00B80E43">
      <w:pPr>
        <w:pStyle w:val="Sinespaciado"/>
        <w:jc w:val="both"/>
        <w:rPr>
          <w:rFonts w:ascii="Times New Roman" w:hAnsi="Times New Roman" w:cs="Times New Roman"/>
        </w:rPr>
      </w:pPr>
      <w:r w:rsidRPr="00662A5F">
        <w:rPr>
          <w:noProof/>
          <w:lang w:eastAsia="es-GT"/>
        </w:rPr>
        <w:drawing>
          <wp:inline distT="0" distB="0" distL="0" distR="0" wp14:anchorId="63308334" wp14:editId="57265282">
            <wp:extent cx="2570206" cy="2067697"/>
            <wp:effectExtent l="0" t="0" r="1905"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1275" cy="2076602"/>
                    </a:xfrm>
                    <a:prstGeom prst="rect">
                      <a:avLst/>
                    </a:prstGeom>
                    <a:noFill/>
                    <a:ln>
                      <a:noFill/>
                    </a:ln>
                  </pic:spPr>
                </pic:pic>
              </a:graphicData>
            </a:graphic>
          </wp:inline>
        </w:drawing>
      </w:r>
    </w:p>
    <w:p w:rsidR="00B80E43" w:rsidRDefault="00B80E43" w:rsidP="00B80E43">
      <w:pPr>
        <w:pStyle w:val="Sinespaciado"/>
        <w:jc w:val="both"/>
        <w:rPr>
          <w:rFonts w:ascii="Times New Roman" w:hAnsi="Times New Roman" w:cs="Times New Roman"/>
          <w:sz w:val="16"/>
        </w:rPr>
      </w:pPr>
      <w:r>
        <w:rPr>
          <w:rFonts w:ascii="Times New Roman" w:hAnsi="Times New Roman" w:cs="Times New Roman"/>
          <w:sz w:val="16"/>
        </w:rPr>
        <w:t xml:space="preserve">Fuente: </w:t>
      </w:r>
      <w:r w:rsidRPr="006F1F3C">
        <w:rPr>
          <w:rFonts w:ascii="Times New Roman" w:hAnsi="Times New Roman" w:cs="Times New Roman"/>
          <w:sz w:val="16"/>
        </w:rPr>
        <w:t xml:space="preserve">Dirección de Análisis </w:t>
      </w:r>
      <w:r>
        <w:rPr>
          <w:rFonts w:ascii="Times New Roman" w:hAnsi="Times New Roman" w:cs="Times New Roman"/>
          <w:sz w:val="16"/>
        </w:rPr>
        <w:t>y Política fiscal</w:t>
      </w:r>
    </w:p>
    <w:p w:rsidR="00B80E43" w:rsidRDefault="00B80E43" w:rsidP="00B80E43">
      <w:pPr>
        <w:pStyle w:val="Sinespaciado"/>
        <w:jc w:val="both"/>
        <w:rPr>
          <w:rFonts w:ascii="Times New Roman" w:hAnsi="Times New Roman" w:cs="Times New Roman"/>
        </w:rPr>
      </w:pPr>
    </w:p>
    <w:p w:rsidR="00804E1C" w:rsidRPr="00AA19B3" w:rsidRDefault="00B80E43" w:rsidP="004745C7">
      <w:pPr>
        <w:pStyle w:val="Sinespaciado"/>
        <w:jc w:val="both"/>
        <w:rPr>
          <w:rFonts w:ascii="Times New Roman" w:hAnsi="Times New Roman" w:cs="Times New Roman"/>
          <w:color w:val="FF0000"/>
          <w:sz w:val="18"/>
          <w:szCs w:val="18"/>
          <w:lang w:val="es-MX"/>
        </w:rPr>
      </w:pPr>
      <w:r>
        <w:rPr>
          <w:rFonts w:ascii="Times New Roman" w:hAnsi="Times New Roman" w:cs="Times New Roman"/>
          <w:lang w:val="es-MX"/>
        </w:rPr>
        <w:t>El comportamiento del gasto realizado,  permitió que el grado de ejecución presupuestaria, se ubicara al cierre de marzo de 2017 en 18.6%,  nivel que esta por abajo  del  promedio de los años 2012-2016 (19.4%), se espera que en el último mes del cuatrimestre  la ejecución aumente debido a que las entidades deben hacer uso del espacio disponible para gastar de lo contrario lo pierden y deberán programarlo nuevamente para el siguiente cuatrimestre con la dificultad de que sus propuestas tendrán que estar sujetas nuevamente a la liquidez del gobierno y a las prioridades institucionales.</w:t>
      </w:r>
    </w:p>
    <w:p w:rsidR="00804E1C" w:rsidRPr="00AA19B3" w:rsidRDefault="00804E1C" w:rsidP="007C0C8C">
      <w:pPr>
        <w:pStyle w:val="Sinespaciado"/>
        <w:jc w:val="both"/>
        <w:rPr>
          <w:rFonts w:ascii="Times New Roman" w:hAnsi="Times New Roman" w:cs="Times New Roman"/>
          <w:color w:val="FF0000"/>
          <w:lang w:val="es-MX"/>
        </w:rPr>
        <w:sectPr w:rsidR="00804E1C" w:rsidRPr="00AA19B3" w:rsidSect="00374D44">
          <w:headerReference w:type="default" r:id="rId23"/>
          <w:footerReference w:type="default" r:id="rId24"/>
          <w:type w:val="continuous"/>
          <w:pgSz w:w="12240" w:h="15840" w:code="1"/>
          <w:pgMar w:top="1418" w:right="1418" w:bottom="1418" w:left="1701" w:header="709" w:footer="709" w:gutter="0"/>
          <w:cols w:num="2" w:space="708"/>
          <w:docGrid w:linePitch="360"/>
        </w:sectPr>
      </w:pPr>
    </w:p>
    <w:p w:rsidR="00DD23C0" w:rsidRPr="004745C7" w:rsidRDefault="00DD23C0" w:rsidP="00BC7539">
      <w:pPr>
        <w:pStyle w:val="Sinespaciado"/>
        <w:jc w:val="both"/>
        <w:rPr>
          <w:rFonts w:ascii="Times New Roman" w:hAnsi="Times New Roman" w:cs="Times New Roman"/>
          <w:color w:val="FF0000"/>
          <w:sz w:val="18"/>
          <w:lang w:val="es-MX"/>
        </w:rPr>
      </w:pPr>
    </w:p>
    <w:p w:rsidR="00F76491" w:rsidRPr="00B80E43" w:rsidRDefault="00374D44" w:rsidP="004F72F9">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F76491" w:rsidRPr="00B80E43" w:rsidSect="00FA3B81">
          <w:type w:val="continuous"/>
          <w:pgSz w:w="12240" w:h="15840" w:code="1"/>
          <w:pgMar w:top="1418" w:right="1418" w:bottom="1418" w:left="1418" w:header="709" w:footer="709" w:gutter="0"/>
          <w:cols w:space="708"/>
          <w:docGrid w:linePitch="360"/>
        </w:sectPr>
      </w:pPr>
      <w:r w:rsidRPr="00B80E43">
        <w:rPr>
          <w:rFonts w:ascii="Times New Roman" w:hAnsi="Times New Roman" w:cs="Times New Roman"/>
          <w:b/>
          <w:lang w:val="es-MX"/>
        </w:rPr>
        <w:t>C</w:t>
      </w:r>
      <w:r w:rsidR="00343A5D" w:rsidRPr="00B80E43">
        <w:rPr>
          <w:rFonts w:ascii="Times New Roman" w:hAnsi="Times New Roman" w:cs="Times New Roman"/>
          <w:b/>
          <w:lang w:val="es-MX"/>
        </w:rPr>
        <w:t xml:space="preserve">olocación de Bonos del Tesoro </w:t>
      </w:r>
      <w:r w:rsidRPr="00B80E43">
        <w:rPr>
          <w:rFonts w:ascii="Times New Roman" w:hAnsi="Times New Roman" w:cs="Times New Roman"/>
          <w:b/>
          <w:lang w:val="es-MX"/>
        </w:rPr>
        <w:t>es la fuente principal del déficit presupuestario</w:t>
      </w:r>
    </w:p>
    <w:p w:rsidR="00F76491" w:rsidRPr="00AA19B3" w:rsidRDefault="00F76491" w:rsidP="00F76491">
      <w:pPr>
        <w:pStyle w:val="Sinespaciado"/>
        <w:rPr>
          <w:rFonts w:ascii="Times New Roman" w:hAnsi="Times New Roman" w:cs="Times New Roman"/>
          <w:b/>
          <w:color w:val="FF0000"/>
          <w:sz w:val="24"/>
          <w:lang w:val="es-MX"/>
        </w:rPr>
      </w:pPr>
    </w:p>
    <w:p w:rsidR="00F76491" w:rsidRPr="00AA19B3" w:rsidRDefault="00F76491" w:rsidP="00F76491">
      <w:pPr>
        <w:pStyle w:val="Sinespaciado"/>
        <w:rPr>
          <w:rFonts w:ascii="Times New Roman" w:hAnsi="Times New Roman" w:cs="Times New Roman"/>
          <w:b/>
          <w:color w:val="FF0000"/>
          <w:lang w:val="es-MX"/>
        </w:rPr>
        <w:sectPr w:rsidR="00F76491" w:rsidRPr="00AA19B3" w:rsidSect="004E358C">
          <w:type w:val="continuous"/>
          <w:pgSz w:w="12240" w:h="15840"/>
          <w:pgMar w:top="1417" w:right="1701" w:bottom="1417" w:left="1701" w:header="708" w:footer="708" w:gutter="0"/>
          <w:cols w:space="708"/>
          <w:docGrid w:linePitch="360"/>
        </w:sectPr>
      </w:pPr>
    </w:p>
    <w:p w:rsidR="00B80E43" w:rsidRDefault="00B80E43" w:rsidP="00B80E43">
      <w:pPr>
        <w:pStyle w:val="Sinespaciado"/>
        <w:jc w:val="both"/>
        <w:rPr>
          <w:rFonts w:ascii="Times New Roman" w:hAnsi="Times New Roman" w:cs="Times New Roman"/>
        </w:rPr>
      </w:pPr>
      <w:r>
        <w:rPr>
          <w:rFonts w:ascii="Times New Roman" w:hAnsi="Times New Roman" w:cs="Times New Roman"/>
        </w:rPr>
        <w:lastRenderedPageBreak/>
        <w:t>En cuanto al financiamiento del déficit de presupuesto, al cierre de marzo 2017 se obtuvo un flujo negativo en el endeudamiento externo neto por el equivalente a Q</w:t>
      </w:r>
      <w:r>
        <w:rPr>
          <w:rFonts w:ascii="Times New Roman" w:hAnsi="Times New Roman" w:cs="Times New Roman"/>
        </w:rPr>
        <w:t xml:space="preserve"> </w:t>
      </w:r>
      <w:r>
        <w:rPr>
          <w:rFonts w:ascii="Times New Roman" w:hAnsi="Times New Roman" w:cs="Times New Roman"/>
        </w:rPr>
        <w:t>860.8 millones, debido a que a la fecha indicada solo se han recibido desembolsos por Q</w:t>
      </w:r>
      <w:r>
        <w:rPr>
          <w:rFonts w:ascii="Times New Roman" w:hAnsi="Times New Roman" w:cs="Times New Roman"/>
        </w:rPr>
        <w:t xml:space="preserve"> </w:t>
      </w:r>
      <w:r>
        <w:rPr>
          <w:rFonts w:ascii="Times New Roman" w:hAnsi="Times New Roman" w:cs="Times New Roman"/>
        </w:rPr>
        <w:t>19.9 millones y se han realizado amortizaciones por Q</w:t>
      </w:r>
      <w:r>
        <w:rPr>
          <w:rFonts w:ascii="Times New Roman" w:hAnsi="Times New Roman" w:cs="Times New Roman"/>
        </w:rPr>
        <w:t xml:space="preserve"> </w:t>
      </w:r>
      <w:r>
        <w:rPr>
          <w:rFonts w:ascii="Times New Roman" w:hAnsi="Times New Roman" w:cs="Times New Roman"/>
        </w:rPr>
        <w:t xml:space="preserve">880.7 millones.  </w:t>
      </w:r>
    </w:p>
    <w:p w:rsidR="00B80E43" w:rsidRDefault="00B80E43" w:rsidP="00B80E43">
      <w:pPr>
        <w:pStyle w:val="Sinespaciado"/>
        <w:jc w:val="both"/>
        <w:rPr>
          <w:rFonts w:ascii="Times New Roman" w:hAnsi="Times New Roman" w:cs="Times New Roman"/>
        </w:rPr>
      </w:pPr>
    </w:p>
    <w:p w:rsidR="00B80E43" w:rsidRDefault="00B80E43" w:rsidP="00B80E43">
      <w:pPr>
        <w:pStyle w:val="Sinespaciado"/>
        <w:jc w:val="both"/>
        <w:rPr>
          <w:rFonts w:ascii="Times New Roman" w:hAnsi="Times New Roman" w:cs="Times New Roman"/>
        </w:rPr>
      </w:pPr>
      <w:r>
        <w:rPr>
          <w:rFonts w:ascii="Times New Roman" w:hAnsi="Times New Roman" w:cs="Times New Roman"/>
        </w:rPr>
        <w:lastRenderedPageBreak/>
        <w:t>En cuanto a la emisión y colocación de Bonos del Tesoro, a la fecha se han realizado 16 eventos de colocación de los cuales 10 son con la modalidad de subasta y licitación mediante operaciones realizadas con el Banco de Guatemala, para lo cual se obtuvo una demanda acumulada de Q</w:t>
      </w:r>
      <w:r>
        <w:rPr>
          <w:rFonts w:ascii="Times New Roman" w:hAnsi="Times New Roman" w:cs="Times New Roman"/>
        </w:rPr>
        <w:t xml:space="preserve"> </w:t>
      </w:r>
      <w:r>
        <w:rPr>
          <w:rFonts w:ascii="Times New Roman" w:hAnsi="Times New Roman" w:cs="Times New Roman"/>
        </w:rPr>
        <w:t>13,175.3 millones y se adjudicaron un total de Q</w:t>
      </w:r>
      <w:r>
        <w:rPr>
          <w:rFonts w:ascii="Times New Roman" w:hAnsi="Times New Roman" w:cs="Times New Roman"/>
        </w:rPr>
        <w:t xml:space="preserve"> </w:t>
      </w:r>
      <w:r>
        <w:rPr>
          <w:rFonts w:ascii="Times New Roman" w:hAnsi="Times New Roman" w:cs="Times New Roman"/>
        </w:rPr>
        <w:t xml:space="preserve">1,911.4 millones.  </w:t>
      </w:r>
    </w:p>
    <w:p w:rsidR="00B80E43" w:rsidRDefault="00B80E43" w:rsidP="00B80E43">
      <w:pPr>
        <w:pStyle w:val="Sinespaciado"/>
        <w:jc w:val="both"/>
        <w:rPr>
          <w:rFonts w:ascii="Times New Roman" w:hAnsi="Times New Roman" w:cs="Times New Roman"/>
        </w:rPr>
      </w:pPr>
    </w:p>
    <w:p w:rsidR="00B80E43" w:rsidRDefault="00B80E43" w:rsidP="00B80E43">
      <w:pPr>
        <w:pStyle w:val="Sinespaciado"/>
        <w:jc w:val="both"/>
        <w:rPr>
          <w:rFonts w:ascii="Times New Roman" w:hAnsi="Times New Roman" w:cs="Times New Roman"/>
        </w:rPr>
      </w:pPr>
      <w:r>
        <w:rPr>
          <w:rFonts w:ascii="Times New Roman" w:hAnsi="Times New Roman" w:cs="Times New Roman"/>
        </w:rPr>
        <w:lastRenderedPageBreak/>
        <w:t>Asimismo, como se ha indicado en anteriores informes, en este año se inició una nueva modalidad de negociación mediante el mecanismo de anotaciones en cuenta que se realiza con la Bolsa Nacional de Valores, a la fecha se han realizado 6 eventos, a través de este mecanismo, cuya demanda acumulada asciende a Q</w:t>
      </w:r>
      <w:r>
        <w:rPr>
          <w:rFonts w:ascii="Times New Roman" w:hAnsi="Times New Roman" w:cs="Times New Roman"/>
        </w:rPr>
        <w:t xml:space="preserve"> </w:t>
      </w:r>
      <w:r>
        <w:rPr>
          <w:rFonts w:ascii="Times New Roman" w:hAnsi="Times New Roman" w:cs="Times New Roman"/>
        </w:rPr>
        <w:t>2,145.8 millones y se han adjudicado Q</w:t>
      </w:r>
      <w:r>
        <w:rPr>
          <w:rFonts w:ascii="Times New Roman" w:hAnsi="Times New Roman" w:cs="Times New Roman"/>
        </w:rPr>
        <w:t xml:space="preserve"> </w:t>
      </w:r>
      <w:r>
        <w:rPr>
          <w:rFonts w:ascii="Times New Roman" w:hAnsi="Times New Roman" w:cs="Times New Roman"/>
        </w:rPr>
        <w:t>802.7 millones.</w:t>
      </w:r>
    </w:p>
    <w:p w:rsidR="00B80E43" w:rsidRDefault="00B80E43" w:rsidP="00B80E43">
      <w:pPr>
        <w:pStyle w:val="Sinespaciado"/>
        <w:jc w:val="both"/>
        <w:rPr>
          <w:rFonts w:ascii="Times New Roman" w:hAnsi="Times New Roman" w:cs="Times New Roman"/>
        </w:rPr>
      </w:pPr>
    </w:p>
    <w:p w:rsidR="00B80E43" w:rsidRDefault="00B80E43" w:rsidP="00B80E43">
      <w:pPr>
        <w:pStyle w:val="Sinespaciado"/>
        <w:jc w:val="both"/>
        <w:rPr>
          <w:rFonts w:ascii="Times New Roman" w:hAnsi="Times New Roman" w:cs="Times New Roman"/>
        </w:rPr>
      </w:pPr>
      <w:r>
        <w:rPr>
          <w:rFonts w:ascii="Times New Roman" w:hAnsi="Times New Roman" w:cs="Times New Roman"/>
        </w:rPr>
        <w:t>Por lo anterior, queda pendiente de colocar en lo que resta del año, Q</w:t>
      </w:r>
      <w:r>
        <w:rPr>
          <w:rFonts w:ascii="Times New Roman" w:hAnsi="Times New Roman" w:cs="Times New Roman"/>
        </w:rPr>
        <w:t xml:space="preserve"> </w:t>
      </w:r>
      <w:r>
        <w:rPr>
          <w:rFonts w:ascii="Times New Roman" w:hAnsi="Times New Roman" w:cs="Times New Roman"/>
        </w:rPr>
        <w:t>10,436.3 millones, conforme lo establece el cupo autorizado por el Congreso de la República.</w:t>
      </w:r>
    </w:p>
    <w:p w:rsidR="00B80E43" w:rsidRPr="00990C9B" w:rsidRDefault="00B80E43" w:rsidP="00B80E43">
      <w:pPr>
        <w:pStyle w:val="Sinespaciado"/>
        <w:jc w:val="both"/>
        <w:rPr>
          <w:rFonts w:ascii="Times New Roman" w:hAnsi="Times New Roman" w:cs="Times New Roman"/>
          <w:sz w:val="8"/>
        </w:rPr>
      </w:pPr>
    </w:p>
    <w:p w:rsidR="004745C7" w:rsidRPr="00990C9B" w:rsidRDefault="004745C7" w:rsidP="00B80E43">
      <w:pPr>
        <w:pStyle w:val="Sinespaciado"/>
        <w:jc w:val="both"/>
        <w:rPr>
          <w:rFonts w:ascii="Times New Roman" w:hAnsi="Times New Roman" w:cs="Times New Roman"/>
          <w:sz w:val="4"/>
        </w:rPr>
      </w:pPr>
    </w:p>
    <w:p w:rsidR="004745C7" w:rsidRDefault="004745C7" w:rsidP="00B80E43">
      <w:pPr>
        <w:pStyle w:val="Sinespaciado"/>
        <w:jc w:val="both"/>
        <w:rPr>
          <w:rFonts w:ascii="Times New Roman" w:hAnsi="Times New Roman" w:cs="Times New Roman"/>
          <w:sz w:val="6"/>
        </w:rPr>
      </w:pPr>
    </w:p>
    <w:p w:rsidR="00990C9B" w:rsidRDefault="00990C9B" w:rsidP="00B80E43">
      <w:pPr>
        <w:pStyle w:val="Sinespaciado"/>
        <w:jc w:val="both"/>
        <w:rPr>
          <w:rFonts w:ascii="Times New Roman" w:hAnsi="Times New Roman" w:cs="Times New Roman"/>
          <w:sz w:val="6"/>
        </w:rPr>
      </w:pPr>
    </w:p>
    <w:p w:rsidR="00990C9B" w:rsidRDefault="00990C9B" w:rsidP="00B80E43">
      <w:pPr>
        <w:pStyle w:val="Sinespaciado"/>
        <w:jc w:val="both"/>
        <w:rPr>
          <w:rFonts w:ascii="Times New Roman" w:hAnsi="Times New Roman" w:cs="Times New Roman"/>
          <w:sz w:val="6"/>
        </w:rPr>
      </w:pPr>
    </w:p>
    <w:p w:rsidR="00990C9B" w:rsidRPr="00990C9B" w:rsidRDefault="00990C9B" w:rsidP="00B80E43">
      <w:pPr>
        <w:pStyle w:val="Sinespaciado"/>
        <w:jc w:val="both"/>
        <w:rPr>
          <w:rFonts w:ascii="Times New Roman" w:hAnsi="Times New Roman" w:cs="Times New Roman"/>
          <w:sz w:val="6"/>
        </w:rPr>
      </w:pPr>
    </w:p>
    <w:p w:rsidR="00B80E43" w:rsidRPr="002D4740" w:rsidRDefault="00B80E43" w:rsidP="00B80E43">
      <w:pPr>
        <w:pStyle w:val="Sinespaciado"/>
        <w:jc w:val="center"/>
        <w:rPr>
          <w:rFonts w:ascii="Times New Roman" w:hAnsi="Times New Roman" w:cs="Times New Roman"/>
          <w:b/>
        </w:rPr>
      </w:pPr>
      <w:r w:rsidRPr="002D4740">
        <w:rPr>
          <w:rFonts w:ascii="Times New Roman" w:hAnsi="Times New Roman" w:cs="Times New Roman"/>
          <w:b/>
        </w:rPr>
        <w:lastRenderedPageBreak/>
        <w:t>Colocación de Bonos del Tesoro</w:t>
      </w:r>
    </w:p>
    <w:p w:rsidR="00B80E43" w:rsidRPr="002D4740" w:rsidRDefault="00B80E43" w:rsidP="00B80E43">
      <w:pPr>
        <w:pStyle w:val="Sinespaciado"/>
        <w:jc w:val="center"/>
        <w:rPr>
          <w:rFonts w:ascii="Times New Roman" w:hAnsi="Times New Roman" w:cs="Times New Roman"/>
          <w:sz w:val="18"/>
        </w:rPr>
      </w:pPr>
      <w:r w:rsidRPr="002D4740">
        <w:rPr>
          <w:rFonts w:ascii="Times New Roman" w:hAnsi="Times New Roman" w:cs="Times New Roman"/>
          <w:sz w:val="18"/>
        </w:rPr>
        <w:t>Al 31 de marzo de 2017</w:t>
      </w:r>
    </w:p>
    <w:p w:rsidR="00B80E43" w:rsidRPr="002D4740" w:rsidRDefault="00B80E43" w:rsidP="00B80E43">
      <w:pPr>
        <w:pStyle w:val="Sinespaciado"/>
        <w:jc w:val="center"/>
        <w:rPr>
          <w:rFonts w:ascii="Times New Roman" w:hAnsi="Times New Roman" w:cs="Times New Roman"/>
          <w:sz w:val="18"/>
        </w:rPr>
      </w:pPr>
      <w:r w:rsidRPr="002D4740">
        <w:rPr>
          <w:rFonts w:ascii="Times New Roman" w:hAnsi="Times New Roman" w:cs="Times New Roman"/>
          <w:sz w:val="18"/>
        </w:rPr>
        <w:t>Millones de quetzales y porcentajes</w:t>
      </w:r>
    </w:p>
    <w:p w:rsidR="00374D44" w:rsidRPr="00990C9B" w:rsidRDefault="00B80E43" w:rsidP="00B80E43">
      <w:pPr>
        <w:pStyle w:val="Sinespaciado"/>
        <w:jc w:val="both"/>
        <w:rPr>
          <w:rFonts w:ascii="Times New Roman" w:hAnsi="Times New Roman" w:cs="Times New Roman"/>
          <w:color w:val="FF0000"/>
          <w:sz w:val="16"/>
        </w:rPr>
      </w:pPr>
      <w:r>
        <w:rPr>
          <w:rFonts w:ascii="Times New Roman" w:hAnsi="Times New Roman" w:cs="Times New Roman"/>
          <w:noProof/>
          <w:lang w:eastAsia="es-GT"/>
        </w:rPr>
        <w:drawing>
          <wp:inline distT="0" distB="0" distL="0" distR="0" wp14:anchorId="4329C0E1" wp14:editId="33D94BF5">
            <wp:extent cx="2663687" cy="1725433"/>
            <wp:effectExtent l="0" t="0" r="381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3484" cy="1725302"/>
                    </a:xfrm>
                    <a:prstGeom prst="rect">
                      <a:avLst/>
                    </a:prstGeom>
                    <a:noFill/>
                  </pic:spPr>
                </pic:pic>
              </a:graphicData>
            </a:graphic>
          </wp:inline>
        </w:drawing>
      </w:r>
    </w:p>
    <w:p w:rsidR="00374D44" w:rsidRPr="004745C7" w:rsidRDefault="00B80E43" w:rsidP="00374D44">
      <w:pPr>
        <w:pStyle w:val="Sinespaciado"/>
        <w:jc w:val="both"/>
        <w:rPr>
          <w:rFonts w:ascii="Times New Roman" w:hAnsi="Times New Roman" w:cs="Times New Roman"/>
          <w:sz w:val="16"/>
        </w:rPr>
      </w:pPr>
      <w:r>
        <w:rPr>
          <w:rFonts w:ascii="Times New Roman" w:hAnsi="Times New Roman" w:cs="Times New Roman"/>
          <w:sz w:val="16"/>
        </w:rPr>
        <w:t xml:space="preserve">Fuente: </w:t>
      </w:r>
      <w:r w:rsidRPr="006F1F3C">
        <w:rPr>
          <w:rFonts w:ascii="Times New Roman" w:hAnsi="Times New Roman" w:cs="Times New Roman"/>
          <w:sz w:val="16"/>
        </w:rPr>
        <w:t xml:space="preserve">Dirección de Análisis </w:t>
      </w:r>
      <w:r>
        <w:rPr>
          <w:rFonts w:ascii="Times New Roman" w:hAnsi="Times New Roman" w:cs="Times New Roman"/>
          <w:sz w:val="16"/>
        </w:rPr>
        <w:t>y Política fiscal</w:t>
      </w:r>
    </w:p>
    <w:p w:rsidR="00C646C4" w:rsidRPr="00AA19B3" w:rsidRDefault="00C646C4" w:rsidP="00343A5D">
      <w:pPr>
        <w:pStyle w:val="Sinespaciado"/>
        <w:jc w:val="both"/>
        <w:rPr>
          <w:rFonts w:ascii="Times New Roman" w:hAnsi="Times New Roman" w:cs="Times New Roman"/>
          <w:color w:val="FF0000"/>
        </w:rPr>
      </w:pPr>
    </w:p>
    <w:p w:rsidR="00FA5DE4" w:rsidRPr="00990C9B" w:rsidRDefault="00FA5DE4" w:rsidP="00FA5DE4">
      <w:pPr>
        <w:pStyle w:val="Sinespaciado"/>
        <w:jc w:val="both"/>
        <w:rPr>
          <w:rFonts w:ascii="Times New Roman" w:hAnsi="Times New Roman" w:cs="Times New Roman"/>
          <w:color w:val="FF0000"/>
          <w:sz w:val="4"/>
        </w:rPr>
        <w:sectPr w:rsidR="00FA5DE4" w:rsidRPr="00990C9B" w:rsidSect="004E358C">
          <w:type w:val="continuous"/>
          <w:pgSz w:w="12240" w:h="15840"/>
          <w:pgMar w:top="1417" w:right="1701" w:bottom="1417" w:left="1701" w:header="708" w:footer="708" w:gutter="0"/>
          <w:cols w:num="2" w:space="708"/>
          <w:docGrid w:linePitch="360"/>
        </w:sectPr>
      </w:pPr>
    </w:p>
    <w:p w:rsidR="00F76491" w:rsidRPr="00AA19B3" w:rsidRDefault="00F76491" w:rsidP="00D4202F">
      <w:pPr>
        <w:spacing w:after="0"/>
        <w:rPr>
          <w:color w:val="FF0000"/>
          <w:sz w:val="8"/>
          <w:lang w:val="es-MX"/>
        </w:rPr>
        <w:sectPr w:rsidR="00F76491" w:rsidRPr="00AA19B3" w:rsidSect="004E358C">
          <w:type w:val="continuous"/>
          <w:pgSz w:w="12240" w:h="15840"/>
          <w:pgMar w:top="1417" w:right="1701" w:bottom="1417" w:left="1701" w:header="708" w:footer="708" w:gutter="0"/>
          <w:cols w:num="2" w:space="708"/>
          <w:docGrid w:linePitch="360"/>
        </w:sectPr>
      </w:pPr>
    </w:p>
    <w:p w:rsidR="00F76491" w:rsidRPr="00AA19B3" w:rsidRDefault="00F76491" w:rsidP="00F76491">
      <w:pPr>
        <w:pStyle w:val="Sinespaciado"/>
        <w:jc w:val="both"/>
        <w:rPr>
          <w:rFonts w:ascii="Times New Roman" w:hAnsi="Times New Roman" w:cs="Times New Roman"/>
          <w:color w:val="FF0000"/>
          <w:sz w:val="6"/>
          <w:lang w:val="es-MX"/>
        </w:rPr>
      </w:pPr>
    </w:p>
    <w:p w:rsidR="00494D1D" w:rsidRPr="00B80E43" w:rsidRDefault="0042387A" w:rsidP="0042387A">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494D1D" w:rsidRPr="00B80E43" w:rsidSect="00FA3B81">
          <w:headerReference w:type="default" r:id="rId26"/>
          <w:footerReference w:type="default" r:id="rId27"/>
          <w:type w:val="continuous"/>
          <w:pgSz w:w="12240" w:h="15840" w:code="1"/>
          <w:pgMar w:top="1418" w:right="1418" w:bottom="1418" w:left="1418" w:header="709" w:footer="709" w:gutter="0"/>
          <w:cols w:space="708"/>
          <w:docGrid w:linePitch="360"/>
        </w:sectPr>
      </w:pPr>
      <w:r w:rsidRPr="00B80E43">
        <w:rPr>
          <w:rFonts w:ascii="Times New Roman" w:hAnsi="Times New Roman" w:cs="Times New Roman"/>
          <w:b/>
          <w:lang w:val="es-MX"/>
        </w:rPr>
        <w:t>Ambientes macroeconómicos (externo e interno)</w:t>
      </w:r>
    </w:p>
    <w:p w:rsidR="00494D1D" w:rsidRPr="00B80E43" w:rsidRDefault="00494D1D" w:rsidP="00494D1D">
      <w:pPr>
        <w:pStyle w:val="Sinespaciado"/>
        <w:rPr>
          <w:rFonts w:ascii="Times New Roman" w:hAnsi="Times New Roman" w:cs="Times New Roman"/>
          <w:b/>
          <w:sz w:val="18"/>
          <w:lang w:val="es-MX"/>
        </w:rPr>
      </w:pPr>
    </w:p>
    <w:p w:rsidR="00494D1D" w:rsidRPr="00B80E43" w:rsidRDefault="00494D1D" w:rsidP="00494D1D">
      <w:pPr>
        <w:pStyle w:val="Sinespaciado"/>
        <w:rPr>
          <w:rFonts w:ascii="Times New Roman" w:hAnsi="Times New Roman" w:cs="Times New Roman"/>
          <w:b/>
          <w:lang w:val="es-MX"/>
        </w:rPr>
        <w:sectPr w:rsidR="00494D1D" w:rsidRPr="00B80E43" w:rsidSect="004E358C">
          <w:type w:val="continuous"/>
          <w:pgSz w:w="12240" w:h="15840"/>
          <w:pgMar w:top="1417" w:right="1701" w:bottom="1417" w:left="1701" w:header="708" w:footer="708" w:gutter="0"/>
          <w:cols w:space="708"/>
          <w:docGrid w:linePitch="360"/>
        </w:sectPr>
      </w:pPr>
    </w:p>
    <w:p w:rsidR="00CC547C" w:rsidRPr="00B80E43" w:rsidRDefault="00916532" w:rsidP="00CC547C">
      <w:pPr>
        <w:pStyle w:val="Sinespaciado"/>
        <w:jc w:val="both"/>
        <w:rPr>
          <w:rFonts w:ascii="Times New Roman" w:hAnsi="Times New Roman" w:cs="Times New Roman"/>
          <w:lang w:val="es-MX"/>
        </w:rPr>
      </w:pPr>
      <w:r w:rsidRPr="00B80E43">
        <w:rPr>
          <w:rFonts w:ascii="Times New Roman" w:hAnsi="Times New Roman" w:cs="Times New Roman"/>
          <w:lang w:val="es-MX"/>
        </w:rPr>
        <w:lastRenderedPageBreak/>
        <w:t>En el</w:t>
      </w:r>
      <w:r w:rsidR="004650C5" w:rsidRPr="00B80E43">
        <w:rPr>
          <w:rFonts w:ascii="Times New Roman" w:hAnsi="Times New Roman" w:cs="Times New Roman"/>
          <w:lang w:val="es-MX"/>
        </w:rPr>
        <w:t xml:space="preserve"> escenario</w:t>
      </w:r>
      <w:r w:rsidRPr="00B80E43">
        <w:rPr>
          <w:rFonts w:ascii="Times New Roman" w:hAnsi="Times New Roman" w:cs="Times New Roman"/>
          <w:lang w:val="es-MX"/>
        </w:rPr>
        <w:t xml:space="preserve"> macroeconómico externo, en marzo l</w:t>
      </w:r>
      <w:r w:rsidR="00CC547C" w:rsidRPr="00B80E43">
        <w:rPr>
          <w:rFonts w:ascii="Times New Roman" w:hAnsi="Times New Roman" w:cs="Times New Roman"/>
          <w:lang w:val="es-MX"/>
        </w:rPr>
        <w:t>a Fed aumentó los tipos de interés en Estados Unidos</w:t>
      </w:r>
      <w:r w:rsidRPr="00B80E43">
        <w:rPr>
          <w:rFonts w:ascii="Times New Roman" w:hAnsi="Times New Roman" w:cs="Times New Roman"/>
          <w:lang w:val="es-MX"/>
        </w:rPr>
        <w:t xml:space="preserve"> situándolos entre el 0.75% y el 1.00%</w:t>
      </w:r>
      <w:r w:rsidR="00CC547C" w:rsidRPr="00B80E43">
        <w:rPr>
          <w:rFonts w:ascii="Times New Roman" w:hAnsi="Times New Roman" w:cs="Times New Roman"/>
          <w:lang w:val="es-MX"/>
        </w:rPr>
        <w:t xml:space="preserve">, </w:t>
      </w:r>
      <w:r w:rsidRPr="00B80E43">
        <w:rPr>
          <w:rFonts w:ascii="Times New Roman" w:hAnsi="Times New Roman" w:cs="Times New Roman"/>
          <w:lang w:val="es-MX"/>
        </w:rPr>
        <w:t xml:space="preserve">decisión </w:t>
      </w:r>
      <w:r w:rsidR="00CC547C" w:rsidRPr="00B80E43">
        <w:rPr>
          <w:rFonts w:ascii="Times New Roman" w:hAnsi="Times New Roman" w:cs="Times New Roman"/>
          <w:lang w:val="es-MX"/>
        </w:rPr>
        <w:t xml:space="preserve">impulsada por el continuo crecimiento económico, las sólidas ganancias del empleo y por la confianza en que la inflación avanza hacia la meta del banco central. La Fed en su comunicado resalto que la inflación está cerca del objetivo del 2% del banco central, dejando la puerta abierta a una posible disposición a dejar que los precios suban a un ritmo ligeramente más rápido.  </w:t>
      </w:r>
    </w:p>
    <w:p w:rsidR="009F628A" w:rsidRPr="00B80E43" w:rsidRDefault="009F628A" w:rsidP="009F628A">
      <w:pPr>
        <w:pStyle w:val="Sinespaciado"/>
        <w:jc w:val="both"/>
        <w:rPr>
          <w:rFonts w:ascii="Times New Roman" w:hAnsi="Times New Roman" w:cs="Times New Roman"/>
          <w:lang w:val="es-MX"/>
        </w:rPr>
      </w:pPr>
    </w:p>
    <w:p w:rsidR="00916532" w:rsidRPr="00B80E43" w:rsidRDefault="00916532" w:rsidP="009F628A">
      <w:pPr>
        <w:pStyle w:val="Sinespaciado"/>
        <w:jc w:val="both"/>
        <w:rPr>
          <w:rFonts w:ascii="Times New Roman" w:hAnsi="Times New Roman" w:cs="Times New Roman"/>
          <w:lang w:val="es-MX"/>
        </w:rPr>
      </w:pPr>
      <w:r w:rsidRPr="00B80E43">
        <w:rPr>
          <w:rFonts w:ascii="Times New Roman" w:hAnsi="Times New Roman" w:cs="Times New Roman"/>
          <w:lang w:val="es-MX"/>
        </w:rPr>
        <w:t>El Departamento de Comercio dio a conocer el dato oficial del crecimiento económico correspondiente al cuarto trimestre del 2016</w:t>
      </w:r>
      <w:r w:rsidR="003D05CE" w:rsidRPr="00B80E43">
        <w:rPr>
          <w:rFonts w:ascii="Times New Roman" w:hAnsi="Times New Roman" w:cs="Times New Roman"/>
          <w:lang w:val="es-MX"/>
        </w:rPr>
        <w:t>, el cual indica que el PIB creció 2.1% interanual, por encima del 1.9% informado con anterioridad; el resultado de</w:t>
      </w:r>
      <w:r w:rsidR="00B26014" w:rsidRPr="00B80E43">
        <w:rPr>
          <w:rFonts w:ascii="Times New Roman" w:hAnsi="Times New Roman" w:cs="Times New Roman"/>
          <w:lang w:val="es-MX"/>
        </w:rPr>
        <w:t xml:space="preserve"> dicha revisión estuvo provocado</w:t>
      </w:r>
      <w:r w:rsidR="003D05CE" w:rsidRPr="00B80E43">
        <w:rPr>
          <w:rFonts w:ascii="Times New Roman" w:hAnsi="Times New Roman" w:cs="Times New Roman"/>
          <w:lang w:val="es-MX"/>
        </w:rPr>
        <w:t xml:space="preserve"> por el gasto de los consumidores, que representa dos tercios de la actividad económica del país y aumentó 3.5% frente </w:t>
      </w:r>
      <w:r w:rsidR="00B26014" w:rsidRPr="00B80E43">
        <w:rPr>
          <w:rFonts w:ascii="Times New Roman" w:hAnsi="Times New Roman" w:cs="Times New Roman"/>
          <w:lang w:val="es-MX"/>
        </w:rPr>
        <w:t>al 3.0% calculado anteriormente</w:t>
      </w:r>
      <w:r w:rsidR="003D05CE" w:rsidRPr="00B80E43">
        <w:rPr>
          <w:rFonts w:ascii="Times New Roman" w:hAnsi="Times New Roman" w:cs="Times New Roman"/>
          <w:lang w:val="es-MX"/>
        </w:rPr>
        <w:t>.</w:t>
      </w:r>
    </w:p>
    <w:p w:rsidR="003D05CE" w:rsidRPr="00B80E43" w:rsidRDefault="003D05CE" w:rsidP="009F628A">
      <w:pPr>
        <w:pStyle w:val="Sinespaciado"/>
        <w:jc w:val="both"/>
        <w:rPr>
          <w:rFonts w:ascii="Times New Roman" w:hAnsi="Times New Roman" w:cs="Times New Roman"/>
          <w:lang w:val="es-MX"/>
        </w:rPr>
      </w:pPr>
    </w:p>
    <w:p w:rsidR="00CC547C" w:rsidRPr="00B80E43" w:rsidRDefault="00CC547C" w:rsidP="00CC547C">
      <w:pPr>
        <w:pStyle w:val="Sinespaciado"/>
        <w:jc w:val="both"/>
        <w:rPr>
          <w:rFonts w:ascii="Times New Roman" w:hAnsi="Times New Roman" w:cs="Times New Roman"/>
          <w:lang w:val="es-MX"/>
        </w:rPr>
      </w:pPr>
      <w:r w:rsidRPr="00B80E43">
        <w:rPr>
          <w:rFonts w:ascii="Times New Roman" w:hAnsi="Times New Roman" w:cs="Times New Roman"/>
          <w:lang w:val="es-MX"/>
        </w:rPr>
        <w:t xml:space="preserve">Los indicadores adelantados correspondientes a marzo indican estabilidad económica en las principales economías, en Estados Unidos el </w:t>
      </w:r>
      <w:r w:rsidRPr="00B80E43">
        <w:rPr>
          <w:rFonts w:ascii="Times New Roman" w:hAnsi="Times New Roman" w:cs="Times New Roman"/>
          <w:lang w:val="es-MX"/>
        </w:rPr>
        <w:lastRenderedPageBreak/>
        <w:t xml:space="preserve">nivel general de la confianza de los consumidores continuó elevado debido a la renovada fuerza de las condiciones económicas actuales y la sorprendente influencia de las opiniones políticas sobre las perspectivas económicas; la primera estimación </w:t>
      </w:r>
      <w:r w:rsidR="002512EC" w:rsidRPr="00B80E43">
        <w:rPr>
          <w:rFonts w:ascii="Times New Roman" w:hAnsi="Times New Roman" w:cs="Times New Roman"/>
          <w:lang w:val="es-MX"/>
        </w:rPr>
        <w:t>d</w:t>
      </w:r>
      <w:r w:rsidRPr="00B80E43">
        <w:rPr>
          <w:rFonts w:ascii="Times New Roman" w:hAnsi="Times New Roman" w:cs="Times New Roman"/>
          <w:lang w:val="es-MX"/>
        </w:rPr>
        <w:t>el índice de confianza fue de 97.6 puntos, lo que significa un aumento de 1.3 puntos respecto a febrero y  fue mayor a lo esperado por los analistas que proyectaban un resultado de 96.8 puntos.</w:t>
      </w:r>
      <w:r w:rsidR="002512EC" w:rsidRPr="00B80E43">
        <w:rPr>
          <w:rFonts w:ascii="Times New Roman" w:hAnsi="Times New Roman" w:cs="Times New Roman"/>
          <w:lang w:val="es-MX"/>
        </w:rPr>
        <w:t xml:space="preserve">  La tasa de paro se ubicó en 4.5%, en total se crearon 178,000 empleos y la tasa de participación laboral se mantiene en el 63%.  </w:t>
      </w:r>
    </w:p>
    <w:p w:rsidR="00EE72DB" w:rsidRPr="00B80E43" w:rsidRDefault="00EE72DB" w:rsidP="00C074EF">
      <w:pPr>
        <w:pStyle w:val="Sinespaciado"/>
        <w:jc w:val="both"/>
        <w:rPr>
          <w:rFonts w:ascii="Times New Roman" w:hAnsi="Times New Roman" w:cs="Times New Roman"/>
          <w:lang w:val="es-MX"/>
        </w:rPr>
      </w:pPr>
    </w:p>
    <w:p w:rsidR="00CC547C" w:rsidRPr="00B80E43" w:rsidRDefault="00CC547C" w:rsidP="00CC547C">
      <w:pPr>
        <w:pStyle w:val="Sinespaciado"/>
        <w:jc w:val="both"/>
        <w:rPr>
          <w:rFonts w:ascii="Times New Roman" w:hAnsi="Times New Roman" w:cs="Times New Roman"/>
          <w:lang w:val="es-MX"/>
        </w:rPr>
      </w:pPr>
      <w:r w:rsidRPr="00B80E43">
        <w:rPr>
          <w:rFonts w:ascii="Times New Roman" w:hAnsi="Times New Roman" w:cs="Times New Roman"/>
          <w:lang w:val="es-MX"/>
        </w:rPr>
        <w:t>En la zona euro, el indicador adelantado qu</w:t>
      </w:r>
      <w:r w:rsidR="002512EC" w:rsidRPr="00B80E43">
        <w:rPr>
          <w:rFonts w:ascii="Times New Roman" w:hAnsi="Times New Roman" w:cs="Times New Roman"/>
          <w:lang w:val="es-MX"/>
        </w:rPr>
        <w:t xml:space="preserve">e mide la actividad empresarial se aceleró </w:t>
      </w:r>
      <w:r w:rsidRPr="00B80E43">
        <w:rPr>
          <w:rFonts w:ascii="Times New Roman" w:hAnsi="Times New Roman" w:cs="Times New Roman"/>
          <w:lang w:val="es-MX"/>
        </w:rPr>
        <w:t>en el primer trimestre del año</w:t>
      </w:r>
      <w:r w:rsidR="002512EC" w:rsidRPr="00B80E43">
        <w:rPr>
          <w:rFonts w:ascii="Times New Roman" w:hAnsi="Times New Roman" w:cs="Times New Roman"/>
          <w:lang w:val="es-MX"/>
        </w:rPr>
        <w:t>,</w:t>
      </w:r>
      <w:r w:rsidRPr="00B80E43">
        <w:rPr>
          <w:rFonts w:ascii="Times New Roman" w:hAnsi="Times New Roman" w:cs="Times New Roman"/>
          <w:lang w:val="es-MX"/>
        </w:rPr>
        <w:t xml:space="preserve"> el índice compuesto preliminar de gerentes de compras de IHS Markit, </w:t>
      </w:r>
      <w:r w:rsidR="006668D4" w:rsidRPr="00B80E43">
        <w:rPr>
          <w:rFonts w:ascii="Times New Roman" w:hAnsi="Times New Roman" w:cs="Times New Roman"/>
          <w:lang w:val="es-MX"/>
        </w:rPr>
        <w:t>aumentó</w:t>
      </w:r>
      <w:r w:rsidRPr="00B80E43">
        <w:rPr>
          <w:rFonts w:ascii="Times New Roman" w:hAnsi="Times New Roman" w:cs="Times New Roman"/>
          <w:lang w:val="es-MX"/>
        </w:rPr>
        <w:t xml:space="preserve"> a 56.7 puntos en marzo desde 56.0 puntos en febrero</w:t>
      </w:r>
      <w:r w:rsidR="006668D4" w:rsidRPr="00B80E43">
        <w:rPr>
          <w:rFonts w:ascii="Times New Roman" w:hAnsi="Times New Roman" w:cs="Times New Roman"/>
          <w:lang w:val="es-MX"/>
        </w:rPr>
        <w:t xml:space="preserve"> y</w:t>
      </w:r>
      <w:r w:rsidRPr="00B80E43">
        <w:rPr>
          <w:rFonts w:ascii="Times New Roman" w:hAnsi="Times New Roman" w:cs="Times New Roman"/>
          <w:lang w:val="es-MX"/>
        </w:rPr>
        <w:t xml:space="preserve"> el PMI manufacturero fue de 56.2 puntos</w:t>
      </w:r>
      <w:r w:rsidR="006668D4" w:rsidRPr="00B80E43">
        <w:rPr>
          <w:rFonts w:ascii="Times New Roman" w:hAnsi="Times New Roman" w:cs="Times New Roman"/>
          <w:lang w:val="es-MX"/>
        </w:rPr>
        <w:t>, es importante resaltar que toda</w:t>
      </w:r>
      <w:r w:rsidRPr="00B80E43">
        <w:rPr>
          <w:rFonts w:ascii="Times New Roman" w:hAnsi="Times New Roman" w:cs="Times New Roman"/>
          <w:lang w:val="es-MX"/>
        </w:rPr>
        <w:t xml:space="preserve"> cifra por encima de 50 puntos indica expansión económica.</w:t>
      </w:r>
      <w:r w:rsidRPr="00B80E43">
        <w:t xml:space="preserve"> </w:t>
      </w:r>
      <w:r w:rsidRPr="00B80E43">
        <w:rPr>
          <w:rFonts w:ascii="Times New Roman" w:hAnsi="Times New Roman" w:cs="Times New Roman"/>
          <w:lang w:val="es-MX"/>
        </w:rPr>
        <w:t xml:space="preserve">Esto, junto con el avance </w:t>
      </w:r>
      <w:r w:rsidR="00B26014" w:rsidRPr="00B80E43">
        <w:rPr>
          <w:rFonts w:ascii="Times New Roman" w:hAnsi="Times New Roman" w:cs="Times New Roman"/>
          <w:lang w:val="es-MX"/>
        </w:rPr>
        <w:t>del</w:t>
      </w:r>
      <w:r w:rsidRPr="00B80E43">
        <w:rPr>
          <w:rFonts w:ascii="Times New Roman" w:hAnsi="Times New Roman" w:cs="Times New Roman"/>
          <w:lang w:val="es-MX"/>
        </w:rPr>
        <w:t xml:space="preserve"> subíndice que mide los precios cobrados </w:t>
      </w:r>
      <w:r w:rsidR="00B26014" w:rsidRPr="00B80E43">
        <w:rPr>
          <w:rFonts w:ascii="Times New Roman" w:hAnsi="Times New Roman" w:cs="Times New Roman"/>
          <w:lang w:val="es-MX"/>
        </w:rPr>
        <w:t>que se ubicó en</w:t>
      </w:r>
      <w:r w:rsidRPr="00B80E43">
        <w:rPr>
          <w:rFonts w:ascii="Times New Roman" w:hAnsi="Times New Roman" w:cs="Times New Roman"/>
          <w:lang w:val="es-MX"/>
        </w:rPr>
        <w:t xml:space="preserve"> 53.3 puntos, será bien visto por el BCE, que sigue comprando 80,000 </w:t>
      </w:r>
      <w:r w:rsidRPr="00B80E43">
        <w:rPr>
          <w:rFonts w:ascii="Times New Roman" w:hAnsi="Times New Roman" w:cs="Times New Roman"/>
          <w:lang w:val="es-MX"/>
        </w:rPr>
        <w:lastRenderedPageBreak/>
        <w:t>millones de euros al mes mayormente en bonos gubernamentales para impulsar la inflación.</w:t>
      </w:r>
      <w:r w:rsidRPr="00B80E43">
        <w:t xml:space="preserve"> </w:t>
      </w:r>
    </w:p>
    <w:p w:rsidR="006668D4" w:rsidRPr="00B80E43" w:rsidRDefault="006668D4" w:rsidP="00CC547C">
      <w:pPr>
        <w:pStyle w:val="Sinespaciado"/>
        <w:jc w:val="both"/>
        <w:rPr>
          <w:rFonts w:ascii="Times New Roman" w:hAnsi="Times New Roman" w:cs="Times New Roman"/>
          <w:lang w:val="es-MX"/>
        </w:rPr>
      </w:pPr>
    </w:p>
    <w:p w:rsidR="00CC547C" w:rsidRPr="00B80E43" w:rsidRDefault="006668D4" w:rsidP="00CC547C">
      <w:pPr>
        <w:pStyle w:val="Sinespaciado"/>
        <w:jc w:val="both"/>
        <w:rPr>
          <w:rFonts w:ascii="Times New Roman" w:hAnsi="Times New Roman" w:cs="Times New Roman"/>
          <w:lang w:val="es-MX"/>
        </w:rPr>
      </w:pPr>
      <w:r w:rsidRPr="00B80E43">
        <w:rPr>
          <w:rFonts w:ascii="Times New Roman" w:hAnsi="Times New Roman" w:cs="Times New Roman"/>
          <w:lang w:val="es-MX"/>
        </w:rPr>
        <w:t>La</w:t>
      </w:r>
      <w:r w:rsidR="00CC547C" w:rsidRPr="00B80E43">
        <w:rPr>
          <w:rFonts w:ascii="Times New Roman" w:hAnsi="Times New Roman" w:cs="Times New Roman"/>
          <w:lang w:val="es-MX"/>
        </w:rPr>
        <w:t xml:space="preserve"> confianza económica se mantuvo estable en marzo, el sondeo mensual de la Comisión Europea mostró que el índice global disminuyó a 107.9 puntos desde los 108.0 en febrero, por encima del promedio a largo plazo de 100; </w:t>
      </w:r>
      <w:r w:rsidR="00B26014" w:rsidRPr="00B80E43">
        <w:rPr>
          <w:rFonts w:ascii="Times New Roman" w:hAnsi="Times New Roman" w:cs="Times New Roman"/>
          <w:lang w:val="es-MX"/>
        </w:rPr>
        <w:t>dicho resultado</w:t>
      </w:r>
      <w:r w:rsidR="00CC547C" w:rsidRPr="00B80E43">
        <w:rPr>
          <w:rFonts w:ascii="Times New Roman" w:hAnsi="Times New Roman" w:cs="Times New Roman"/>
          <w:lang w:val="es-MX"/>
        </w:rPr>
        <w:t xml:space="preserve"> se atribuye a la caída en la confianza en la industria y los servicios, mientras que las expectativas de inflación aumentaron</w:t>
      </w:r>
      <w:r w:rsidR="00B26014" w:rsidRPr="00B80E43">
        <w:rPr>
          <w:rFonts w:ascii="Times New Roman" w:hAnsi="Times New Roman" w:cs="Times New Roman"/>
          <w:lang w:val="es-MX"/>
        </w:rPr>
        <w:t>.</w:t>
      </w:r>
      <w:r w:rsidR="00CC547C" w:rsidRPr="00B80E43">
        <w:rPr>
          <w:rFonts w:ascii="Times New Roman" w:hAnsi="Times New Roman" w:cs="Times New Roman"/>
          <w:lang w:val="es-MX"/>
        </w:rPr>
        <w:t xml:space="preserve"> </w:t>
      </w:r>
      <w:r w:rsidR="00B26014" w:rsidRPr="00B80E43">
        <w:rPr>
          <w:rFonts w:ascii="Times New Roman" w:hAnsi="Times New Roman" w:cs="Times New Roman"/>
          <w:lang w:val="es-MX"/>
        </w:rPr>
        <w:t xml:space="preserve"> </w:t>
      </w:r>
      <w:r w:rsidR="00B80E43" w:rsidRPr="00B80E43">
        <w:rPr>
          <w:rFonts w:ascii="Times New Roman" w:hAnsi="Times New Roman" w:cs="Times New Roman"/>
          <w:lang w:val="es-MX"/>
        </w:rPr>
        <w:t xml:space="preserve"> </w:t>
      </w:r>
      <w:r w:rsidR="00CC547C" w:rsidRPr="00B80E43">
        <w:rPr>
          <w:rFonts w:ascii="Times New Roman" w:hAnsi="Times New Roman" w:cs="Times New Roman"/>
          <w:lang w:val="es-MX"/>
        </w:rPr>
        <w:t xml:space="preserve">Así mismo, </w:t>
      </w:r>
      <w:r w:rsidRPr="00B80E43">
        <w:rPr>
          <w:rFonts w:ascii="Times New Roman" w:hAnsi="Times New Roman" w:cs="Times New Roman"/>
          <w:lang w:val="es-MX"/>
        </w:rPr>
        <w:t>la</w:t>
      </w:r>
      <w:r w:rsidR="00CC547C" w:rsidRPr="00B80E43">
        <w:rPr>
          <w:rFonts w:ascii="Times New Roman" w:hAnsi="Times New Roman" w:cs="Times New Roman"/>
          <w:lang w:val="es-MX"/>
        </w:rPr>
        <w:t xml:space="preserve"> confianza empresarial independiente, que apunta a la fase del ciclo empresarial, se mantuvo estable a 0.82 puntos en marzo</w:t>
      </w:r>
      <w:r w:rsidRPr="00B80E43">
        <w:rPr>
          <w:rFonts w:ascii="Times New Roman" w:hAnsi="Times New Roman" w:cs="Times New Roman"/>
          <w:lang w:val="es-MX"/>
        </w:rPr>
        <w:t>.</w:t>
      </w:r>
      <w:r w:rsidR="00CC547C" w:rsidRPr="00B80E43">
        <w:rPr>
          <w:rFonts w:ascii="Times New Roman" w:hAnsi="Times New Roman" w:cs="Times New Roman"/>
          <w:lang w:val="es-MX"/>
        </w:rPr>
        <w:t xml:space="preserve">  </w:t>
      </w:r>
    </w:p>
    <w:p w:rsidR="00CC547C" w:rsidRPr="00B80E43" w:rsidRDefault="00CC547C" w:rsidP="00651522">
      <w:pPr>
        <w:pStyle w:val="Sinespaciado"/>
        <w:jc w:val="both"/>
        <w:rPr>
          <w:rFonts w:ascii="Times New Roman" w:hAnsi="Times New Roman" w:cs="Times New Roman"/>
          <w:lang w:val="es-MX"/>
        </w:rPr>
      </w:pPr>
    </w:p>
    <w:p w:rsidR="00B26014" w:rsidRPr="00B80E43" w:rsidRDefault="00CC547C" w:rsidP="001C3649">
      <w:pPr>
        <w:spacing w:after="0" w:line="240" w:lineRule="auto"/>
        <w:jc w:val="both"/>
        <w:rPr>
          <w:rFonts w:ascii="Times New Roman" w:hAnsi="Times New Roman" w:cs="Times New Roman"/>
          <w:lang w:val="es-MX"/>
        </w:rPr>
      </w:pPr>
      <w:r w:rsidRPr="00B80E43">
        <w:rPr>
          <w:rFonts w:ascii="Times New Roman" w:hAnsi="Times New Roman" w:cs="Times New Roman"/>
          <w:lang w:val="es-MX"/>
        </w:rPr>
        <w:t xml:space="preserve">En el entorno interno, la Junta Monetaria decidió mantener </w:t>
      </w:r>
      <w:r w:rsidR="00B26014" w:rsidRPr="00B80E43">
        <w:rPr>
          <w:rFonts w:ascii="Times New Roman" w:hAnsi="Times New Roman" w:cs="Times New Roman"/>
          <w:lang w:val="es-MX"/>
        </w:rPr>
        <w:t xml:space="preserve">en marzo </w:t>
      </w:r>
      <w:r w:rsidRPr="00B80E43">
        <w:rPr>
          <w:rFonts w:ascii="Times New Roman" w:hAnsi="Times New Roman" w:cs="Times New Roman"/>
          <w:lang w:val="es-MX"/>
        </w:rPr>
        <w:t>la tasa de interés líder de política monetaria</w:t>
      </w:r>
      <w:r w:rsidR="00B26014" w:rsidRPr="00B80E43">
        <w:rPr>
          <w:rFonts w:ascii="Times New Roman" w:hAnsi="Times New Roman" w:cs="Times New Roman"/>
          <w:lang w:val="es-MX"/>
        </w:rPr>
        <w:t xml:space="preserve"> en 3.0%</w:t>
      </w:r>
      <w:r w:rsidRPr="00B80E43">
        <w:rPr>
          <w:rFonts w:ascii="Times New Roman" w:hAnsi="Times New Roman" w:cs="Times New Roman"/>
          <w:lang w:val="es-MX"/>
        </w:rPr>
        <w:t xml:space="preserve">, en base </w:t>
      </w:r>
      <w:r w:rsidR="001C3649" w:rsidRPr="00B80E43">
        <w:rPr>
          <w:rFonts w:ascii="Times New Roman" w:hAnsi="Times New Roman" w:cs="Times New Roman"/>
          <w:lang w:val="es-MX"/>
        </w:rPr>
        <w:t>al desempeño</w:t>
      </w:r>
      <w:r w:rsidRPr="00B80E43">
        <w:rPr>
          <w:rFonts w:ascii="Times New Roman" w:hAnsi="Times New Roman" w:cs="Times New Roman"/>
          <w:lang w:val="es-MX"/>
        </w:rPr>
        <w:t xml:space="preserve"> </w:t>
      </w:r>
      <w:r w:rsidR="001C3649" w:rsidRPr="00B80E43">
        <w:rPr>
          <w:rFonts w:ascii="Times New Roman" w:hAnsi="Times New Roman" w:cs="Times New Roman"/>
          <w:lang w:val="es-MX"/>
        </w:rPr>
        <w:t>e</w:t>
      </w:r>
      <w:r w:rsidRPr="00B80E43">
        <w:rPr>
          <w:rFonts w:ascii="Times New Roman" w:hAnsi="Times New Roman" w:cs="Times New Roman"/>
          <w:lang w:val="es-MX"/>
        </w:rPr>
        <w:t>conómico mundial</w:t>
      </w:r>
      <w:r w:rsidR="001C3649" w:rsidRPr="00B80E43">
        <w:rPr>
          <w:rFonts w:ascii="Times New Roman" w:hAnsi="Times New Roman" w:cs="Times New Roman"/>
          <w:lang w:val="es-MX"/>
        </w:rPr>
        <w:t xml:space="preserve"> y a</w:t>
      </w:r>
      <w:r w:rsidRPr="00B80E43">
        <w:rPr>
          <w:rFonts w:ascii="Times New Roman" w:hAnsi="Times New Roman" w:cs="Times New Roman"/>
          <w:lang w:val="es-MX"/>
        </w:rPr>
        <w:t xml:space="preserve"> las proyecciones de </w:t>
      </w:r>
      <w:r w:rsidR="001C3649" w:rsidRPr="00B80E43">
        <w:rPr>
          <w:rFonts w:ascii="Times New Roman" w:hAnsi="Times New Roman" w:cs="Times New Roman"/>
          <w:lang w:val="es-MX"/>
        </w:rPr>
        <w:t xml:space="preserve">crecimiento en 2017 y 2018, </w:t>
      </w:r>
      <w:r w:rsidR="001C3649" w:rsidRPr="00B80E43">
        <w:rPr>
          <w:rFonts w:ascii="Times New Roman" w:hAnsi="Times New Roman" w:cs="Times New Roman"/>
          <w:lang w:val="es-MX"/>
        </w:rPr>
        <w:lastRenderedPageBreak/>
        <w:t xml:space="preserve">en </w:t>
      </w:r>
      <w:r w:rsidRPr="00B80E43">
        <w:rPr>
          <w:rFonts w:ascii="Times New Roman" w:hAnsi="Times New Roman" w:cs="Times New Roman"/>
          <w:lang w:val="es-MX"/>
        </w:rPr>
        <w:t>l</w:t>
      </w:r>
      <w:r w:rsidR="001C3649" w:rsidRPr="00B80E43">
        <w:rPr>
          <w:rFonts w:ascii="Times New Roman" w:hAnsi="Times New Roman" w:cs="Times New Roman"/>
          <w:lang w:val="es-MX"/>
        </w:rPr>
        <w:t>as</w:t>
      </w:r>
      <w:r w:rsidRPr="00B80E43">
        <w:rPr>
          <w:rFonts w:ascii="Times New Roman" w:hAnsi="Times New Roman" w:cs="Times New Roman"/>
          <w:lang w:val="es-MX"/>
        </w:rPr>
        <w:t xml:space="preserve"> que prevalecen elevados niveles de in</w:t>
      </w:r>
      <w:r w:rsidR="001C3649" w:rsidRPr="00B80E43">
        <w:rPr>
          <w:rFonts w:ascii="Times New Roman" w:hAnsi="Times New Roman" w:cs="Times New Roman"/>
          <w:lang w:val="es-MX"/>
        </w:rPr>
        <w:t xml:space="preserve">certidumbre y riesgos a la baja. </w:t>
      </w:r>
      <w:r w:rsidRPr="00B80E43">
        <w:rPr>
          <w:rFonts w:ascii="Times New Roman" w:hAnsi="Times New Roman" w:cs="Times New Roman"/>
          <w:lang w:val="es-MX"/>
        </w:rPr>
        <w:t xml:space="preserve"> </w:t>
      </w:r>
      <w:r w:rsidR="001C3649" w:rsidRPr="00B80E43">
        <w:rPr>
          <w:rFonts w:ascii="Times New Roman" w:hAnsi="Times New Roman" w:cs="Times New Roman"/>
          <w:lang w:val="es-MX"/>
        </w:rPr>
        <w:t xml:space="preserve">Así mismo, </w:t>
      </w:r>
      <w:r w:rsidR="00B26014" w:rsidRPr="00B80E43">
        <w:rPr>
          <w:rFonts w:ascii="Times New Roman" w:hAnsi="Times New Roman" w:cs="Times New Roman"/>
          <w:lang w:val="es-MX"/>
        </w:rPr>
        <w:t xml:space="preserve">en </w:t>
      </w:r>
      <w:r w:rsidR="001C3649" w:rsidRPr="00B80E43">
        <w:rPr>
          <w:rFonts w:ascii="Times New Roman" w:hAnsi="Times New Roman" w:cs="Times New Roman"/>
          <w:lang w:val="es-MX"/>
        </w:rPr>
        <w:t xml:space="preserve">base a su </w:t>
      </w:r>
      <w:r w:rsidRPr="00B80E43">
        <w:rPr>
          <w:rFonts w:ascii="Times New Roman" w:hAnsi="Times New Roman" w:cs="Times New Roman"/>
          <w:lang w:val="es-MX"/>
        </w:rPr>
        <w:t xml:space="preserve">análisis interno resaltó que varios indicadores de corto plazo, tales como el IMAE, las remesas familiares, el gasto público y el comercio exterior, son consistentes con el crecimiento económico anual previsto para 2017 de entre 3.0% y 3.8%.  </w:t>
      </w:r>
    </w:p>
    <w:p w:rsidR="00B26014" w:rsidRPr="00B80E43" w:rsidRDefault="00B26014" w:rsidP="001C3649">
      <w:pPr>
        <w:spacing w:after="0" w:line="240" w:lineRule="auto"/>
        <w:jc w:val="both"/>
        <w:rPr>
          <w:rFonts w:ascii="Times New Roman" w:hAnsi="Times New Roman" w:cs="Times New Roman"/>
          <w:sz w:val="20"/>
          <w:lang w:val="es-MX"/>
        </w:rPr>
      </w:pPr>
    </w:p>
    <w:p w:rsidR="001C3649" w:rsidRPr="00B80E43" w:rsidRDefault="00B80E43" w:rsidP="001C3649">
      <w:pPr>
        <w:spacing w:after="0" w:line="240" w:lineRule="auto"/>
        <w:jc w:val="both"/>
        <w:rPr>
          <w:rFonts w:ascii="Times New Roman" w:hAnsi="Times New Roman" w:cs="Times New Roman"/>
          <w:lang w:val="es-MX"/>
        </w:rPr>
      </w:pPr>
      <w:r w:rsidRPr="00B80E43">
        <w:rPr>
          <w:rFonts w:ascii="Times New Roman" w:hAnsi="Times New Roman" w:cs="Times New Roman"/>
          <w:lang w:val="es-MX"/>
        </w:rPr>
        <w:t>E</w:t>
      </w:r>
      <w:r w:rsidR="001C3649" w:rsidRPr="00B80E43">
        <w:rPr>
          <w:rFonts w:ascii="Times New Roman" w:hAnsi="Times New Roman" w:cs="Times New Roman"/>
          <w:lang w:val="es-MX"/>
        </w:rPr>
        <w:t>l nivel del Índice de Confianza de la Actividad Económica se situó en 50.00 puntos, superior en 9.0</w:t>
      </w:r>
      <w:r w:rsidR="00B26014" w:rsidRPr="00B80E43">
        <w:rPr>
          <w:rFonts w:ascii="Times New Roman" w:hAnsi="Times New Roman" w:cs="Times New Roman"/>
          <w:lang w:val="es-MX"/>
        </w:rPr>
        <w:t xml:space="preserve">9% con el registrado en febrero;  </w:t>
      </w:r>
      <w:r w:rsidR="001C3649" w:rsidRPr="00B80E43">
        <w:rPr>
          <w:rFonts w:ascii="Times New Roman" w:hAnsi="Times New Roman" w:cs="Times New Roman"/>
          <w:lang w:val="es-MX"/>
        </w:rPr>
        <w:t xml:space="preserve">el Banco de Guatemala consideró en base a </w:t>
      </w:r>
      <w:r w:rsidR="00B26014" w:rsidRPr="00B80E43">
        <w:rPr>
          <w:rFonts w:ascii="Times New Roman" w:hAnsi="Times New Roman" w:cs="Times New Roman"/>
          <w:lang w:val="es-MX"/>
        </w:rPr>
        <w:t>la percepción sobre la situación económica actual y el ambiente para los negocios</w:t>
      </w:r>
      <w:r w:rsidR="001C3649" w:rsidRPr="00B80E43">
        <w:rPr>
          <w:rFonts w:ascii="Times New Roman" w:hAnsi="Times New Roman" w:cs="Times New Roman"/>
          <w:lang w:val="es-MX"/>
        </w:rPr>
        <w:t xml:space="preserve"> una proyección del ritmo inflacionario de 4.04% para marzo, 4.17% para abril y 4.15% para mayo del presente año y se esperaría que se registre un crecimiento de 3.2% en el Producto Interno Bruto Real en 2017 y 3.5% en 2018.  </w:t>
      </w:r>
    </w:p>
    <w:p w:rsidR="001C3649" w:rsidRPr="00B80E43" w:rsidRDefault="001C3649" w:rsidP="007D0566">
      <w:pPr>
        <w:spacing w:after="0"/>
        <w:jc w:val="both"/>
        <w:rPr>
          <w:rFonts w:ascii="Times New Roman" w:hAnsi="Times New Roman" w:cs="Times New Roman"/>
          <w:lang w:val="es-MX"/>
        </w:rPr>
      </w:pPr>
    </w:p>
    <w:p w:rsidR="00343A5D" w:rsidRPr="00AA19B3" w:rsidRDefault="00343A5D" w:rsidP="0042387A">
      <w:pPr>
        <w:spacing w:after="0" w:line="240" w:lineRule="auto"/>
        <w:rPr>
          <w:rFonts w:ascii="Times New Roman" w:hAnsi="Times New Roman" w:cs="Times New Roman"/>
          <w:color w:val="FF0000"/>
          <w:lang w:val="es-MX"/>
        </w:rPr>
        <w:sectPr w:rsidR="00343A5D" w:rsidRPr="00AA19B3" w:rsidSect="00374D44">
          <w:type w:val="continuous"/>
          <w:pgSz w:w="12240" w:h="15840" w:code="1"/>
          <w:pgMar w:top="1418" w:right="1418" w:bottom="1418" w:left="1701" w:header="709" w:footer="709" w:gutter="0"/>
          <w:cols w:num="2" w:space="708"/>
          <w:docGrid w:linePitch="360"/>
        </w:sectPr>
      </w:pPr>
    </w:p>
    <w:p w:rsidR="00343A5D" w:rsidRPr="00AA19B3" w:rsidRDefault="00343A5D" w:rsidP="000D016D">
      <w:pPr>
        <w:spacing w:after="0" w:line="240" w:lineRule="auto"/>
        <w:rPr>
          <w:noProof/>
          <w:color w:val="FF0000"/>
          <w:sz w:val="16"/>
          <w:lang w:eastAsia="es-GT"/>
        </w:rPr>
      </w:pPr>
    </w:p>
    <w:p w:rsidR="00374D44" w:rsidRPr="00AA19B3" w:rsidRDefault="00374D44" w:rsidP="000D016D">
      <w:pPr>
        <w:spacing w:after="0" w:line="240" w:lineRule="auto"/>
        <w:rPr>
          <w:noProof/>
          <w:color w:val="FF0000"/>
          <w:sz w:val="16"/>
          <w:lang w:eastAsia="es-GT"/>
        </w:rPr>
      </w:pPr>
    </w:p>
    <w:p w:rsidR="00374D44" w:rsidRPr="00AA19B3" w:rsidRDefault="00374D44" w:rsidP="000D016D">
      <w:pPr>
        <w:spacing w:after="0" w:line="240" w:lineRule="auto"/>
        <w:rPr>
          <w:noProof/>
          <w:color w:val="FF0000"/>
          <w:sz w:val="16"/>
          <w:lang w:eastAsia="es-GT"/>
        </w:rPr>
      </w:pPr>
    </w:p>
    <w:p w:rsidR="00374D44" w:rsidRPr="00AA19B3" w:rsidRDefault="00374D44" w:rsidP="000D016D">
      <w:pPr>
        <w:spacing w:after="0" w:line="240" w:lineRule="auto"/>
        <w:rPr>
          <w:noProof/>
          <w:color w:val="FF0000"/>
          <w:sz w:val="16"/>
          <w:lang w:eastAsia="es-GT"/>
        </w:rPr>
      </w:pPr>
    </w:p>
    <w:p w:rsidR="00374D44" w:rsidRPr="00AA19B3" w:rsidRDefault="00374D44" w:rsidP="000D016D">
      <w:pPr>
        <w:spacing w:after="0" w:line="240" w:lineRule="auto"/>
        <w:rPr>
          <w:noProof/>
          <w:color w:val="FF0000"/>
          <w:sz w:val="16"/>
          <w:lang w:eastAsia="es-GT"/>
        </w:rPr>
      </w:pPr>
    </w:p>
    <w:p w:rsidR="00374D44" w:rsidRPr="00AA19B3" w:rsidRDefault="00374D44" w:rsidP="000D016D">
      <w:pPr>
        <w:spacing w:after="0" w:line="240" w:lineRule="auto"/>
        <w:rPr>
          <w:noProof/>
          <w:color w:val="FF0000"/>
          <w:sz w:val="16"/>
          <w:lang w:eastAsia="es-GT"/>
        </w:rPr>
      </w:pPr>
    </w:p>
    <w:p w:rsidR="00374D44" w:rsidRPr="00AA19B3" w:rsidRDefault="00374D44" w:rsidP="000D016D">
      <w:pPr>
        <w:spacing w:after="0" w:line="240" w:lineRule="auto"/>
        <w:rPr>
          <w:noProof/>
          <w:color w:val="FF0000"/>
          <w:sz w:val="16"/>
          <w:lang w:eastAsia="es-GT"/>
        </w:rPr>
      </w:pPr>
    </w:p>
    <w:p w:rsidR="00374D44" w:rsidRDefault="00374D44" w:rsidP="000D016D">
      <w:pPr>
        <w:spacing w:after="0" w:line="240" w:lineRule="auto"/>
        <w:rPr>
          <w:noProof/>
          <w:color w:val="FF0000"/>
          <w:sz w:val="16"/>
          <w:lang w:eastAsia="es-GT"/>
        </w:rPr>
      </w:pPr>
    </w:p>
    <w:p w:rsidR="00B80E43" w:rsidRDefault="00B80E43" w:rsidP="000D016D">
      <w:pPr>
        <w:spacing w:after="0" w:line="240" w:lineRule="auto"/>
        <w:rPr>
          <w:noProof/>
          <w:color w:val="FF0000"/>
          <w:sz w:val="16"/>
          <w:lang w:eastAsia="es-GT"/>
        </w:rPr>
      </w:pPr>
    </w:p>
    <w:p w:rsidR="00B80E43" w:rsidRDefault="00B80E43" w:rsidP="000D016D">
      <w:pPr>
        <w:spacing w:after="0" w:line="240" w:lineRule="auto"/>
        <w:rPr>
          <w:noProof/>
          <w:color w:val="FF0000"/>
          <w:sz w:val="16"/>
          <w:lang w:eastAsia="es-GT"/>
        </w:rPr>
      </w:pPr>
    </w:p>
    <w:p w:rsidR="00B80E43" w:rsidRDefault="00B80E43" w:rsidP="000D016D">
      <w:pPr>
        <w:spacing w:after="0" w:line="240" w:lineRule="auto"/>
        <w:rPr>
          <w:noProof/>
          <w:color w:val="FF0000"/>
          <w:sz w:val="16"/>
          <w:lang w:eastAsia="es-GT"/>
        </w:rPr>
      </w:pPr>
    </w:p>
    <w:p w:rsidR="00B80E43" w:rsidRPr="00AA19B3" w:rsidRDefault="00B80E43" w:rsidP="000D016D">
      <w:pPr>
        <w:spacing w:after="0" w:line="240" w:lineRule="auto"/>
        <w:rPr>
          <w:noProof/>
          <w:color w:val="FF0000"/>
          <w:sz w:val="16"/>
          <w:lang w:eastAsia="es-GT"/>
        </w:rPr>
      </w:pPr>
    </w:p>
    <w:p w:rsidR="00374D44" w:rsidRDefault="00374D44" w:rsidP="000D016D">
      <w:pPr>
        <w:spacing w:after="0" w:line="240" w:lineRule="auto"/>
        <w:rPr>
          <w:noProof/>
          <w:color w:val="FF0000"/>
          <w:sz w:val="16"/>
          <w:lang w:eastAsia="es-GT"/>
        </w:rPr>
      </w:pPr>
    </w:p>
    <w:p w:rsidR="004745C7" w:rsidRDefault="004745C7" w:rsidP="000D016D">
      <w:pPr>
        <w:spacing w:after="0" w:line="240" w:lineRule="auto"/>
        <w:rPr>
          <w:noProof/>
          <w:color w:val="FF0000"/>
          <w:sz w:val="16"/>
          <w:lang w:eastAsia="es-GT"/>
        </w:rPr>
      </w:pPr>
    </w:p>
    <w:p w:rsidR="004745C7" w:rsidRDefault="004745C7" w:rsidP="000D016D">
      <w:pPr>
        <w:spacing w:after="0" w:line="240" w:lineRule="auto"/>
        <w:rPr>
          <w:noProof/>
          <w:color w:val="FF0000"/>
          <w:sz w:val="16"/>
          <w:lang w:eastAsia="es-GT"/>
        </w:rPr>
      </w:pPr>
    </w:p>
    <w:p w:rsidR="004745C7" w:rsidRDefault="004745C7" w:rsidP="000D016D">
      <w:pPr>
        <w:spacing w:after="0" w:line="240" w:lineRule="auto"/>
        <w:rPr>
          <w:noProof/>
          <w:color w:val="FF0000"/>
          <w:sz w:val="16"/>
          <w:lang w:eastAsia="es-GT"/>
        </w:rPr>
      </w:pPr>
    </w:p>
    <w:p w:rsidR="004745C7" w:rsidRDefault="004745C7" w:rsidP="000D016D">
      <w:pPr>
        <w:spacing w:after="0" w:line="240" w:lineRule="auto"/>
        <w:rPr>
          <w:noProof/>
          <w:color w:val="FF0000"/>
          <w:sz w:val="16"/>
          <w:lang w:eastAsia="es-GT"/>
        </w:rPr>
      </w:pPr>
    </w:p>
    <w:p w:rsidR="004745C7" w:rsidRDefault="004745C7" w:rsidP="000D016D">
      <w:pPr>
        <w:spacing w:after="0" w:line="240" w:lineRule="auto"/>
        <w:rPr>
          <w:noProof/>
          <w:color w:val="FF0000"/>
          <w:sz w:val="16"/>
          <w:lang w:eastAsia="es-GT"/>
        </w:rPr>
      </w:pPr>
    </w:p>
    <w:p w:rsidR="004745C7" w:rsidRDefault="004745C7" w:rsidP="000D016D">
      <w:pPr>
        <w:spacing w:after="0" w:line="240" w:lineRule="auto"/>
        <w:rPr>
          <w:noProof/>
          <w:color w:val="FF0000"/>
          <w:sz w:val="16"/>
          <w:lang w:eastAsia="es-GT"/>
        </w:rPr>
      </w:pPr>
    </w:p>
    <w:p w:rsidR="004745C7" w:rsidRDefault="004745C7" w:rsidP="000D016D">
      <w:pPr>
        <w:spacing w:after="0" w:line="240" w:lineRule="auto"/>
        <w:rPr>
          <w:noProof/>
          <w:color w:val="FF0000"/>
          <w:sz w:val="16"/>
          <w:lang w:eastAsia="es-GT"/>
        </w:rPr>
      </w:pPr>
    </w:p>
    <w:p w:rsidR="004745C7" w:rsidRDefault="004745C7" w:rsidP="000D016D">
      <w:pPr>
        <w:spacing w:after="0" w:line="240" w:lineRule="auto"/>
        <w:rPr>
          <w:noProof/>
          <w:color w:val="FF0000"/>
          <w:sz w:val="16"/>
          <w:lang w:eastAsia="es-GT"/>
        </w:rPr>
      </w:pPr>
    </w:p>
    <w:p w:rsidR="004745C7" w:rsidRDefault="004745C7" w:rsidP="000D016D">
      <w:pPr>
        <w:spacing w:after="0" w:line="240" w:lineRule="auto"/>
        <w:rPr>
          <w:noProof/>
          <w:color w:val="FF0000"/>
          <w:sz w:val="16"/>
          <w:lang w:eastAsia="es-GT"/>
        </w:rPr>
      </w:pPr>
    </w:p>
    <w:p w:rsidR="004745C7" w:rsidRDefault="004745C7" w:rsidP="000D016D">
      <w:pPr>
        <w:spacing w:after="0" w:line="240" w:lineRule="auto"/>
        <w:rPr>
          <w:noProof/>
          <w:color w:val="FF0000"/>
          <w:sz w:val="16"/>
          <w:lang w:eastAsia="es-GT"/>
        </w:rPr>
      </w:pPr>
    </w:p>
    <w:p w:rsidR="004745C7" w:rsidRDefault="004745C7" w:rsidP="000D016D">
      <w:pPr>
        <w:spacing w:after="0" w:line="240" w:lineRule="auto"/>
        <w:rPr>
          <w:noProof/>
          <w:color w:val="FF0000"/>
          <w:sz w:val="16"/>
          <w:lang w:eastAsia="es-GT"/>
        </w:rPr>
      </w:pPr>
    </w:p>
    <w:p w:rsidR="004745C7" w:rsidRDefault="004745C7" w:rsidP="000D016D">
      <w:pPr>
        <w:spacing w:after="0" w:line="240" w:lineRule="auto"/>
        <w:rPr>
          <w:noProof/>
          <w:color w:val="FF0000"/>
          <w:sz w:val="16"/>
          <w:lang w:eastAsia="es-GT"/>
        </w:rPr>
      </w:pPr>
    </w:p>
    <w:p w:rsidR="004745C7" w:rsidRDefault="004745C7" w:rsidP="000D016D">
      <w:pPr>
        <w:spacing w:after="0" w:line="240" w:lineRule="auto"/>
        <w:rPr>
          <w:noProof/>
          <w:color w:val="FF0000"/>
          <w:sz w:val="16"/>
          <w:lang w:eastAsia="es-GT"/>
        </w:rPr>
      </w:pPr>
    </w:p>
    <w:p w:rsidR="004745C7" w:rsidRDefault="004745C7" w:rsidP="000D016D">
      <w:pPr>
        <w:spacing w:after="0" w:line="240" w:lineRule="auto"/>
        <w:rPr>
          <w:noProof/>
          <w:color w:val="FF0000"/>
          <w:sz w:val="16"/>
          <w:lang w:eastAsia="es-GT"/>
        </w:rPr>
      </w:pPr>
    </w:p>
    <w:p w:rsidR="004745C7" w:rsidRDefault="004745C7" w:rsidP="000D016D">
      <w:pPr>
        <w:spacing w:after="0" w:line="240" w:lineRule="auto"/>
        <w:rPr>
          <w:noProof/>
          <w:color w:val="FF0000"/>
          <w:sz w:val="16"/>
          <w:lang w:eastAsia="es-GT"/>
        </w:rPr>
      </w:pPr>
    </w:p>
    <w:p w:rsidR="004745C7" w:rsidRPr="00AA19B3" w:rsidRDefault="004745C7" w:rsidP="000D016D">
      <w:pPr>
        <w:spacing w:after="0" w:line="240" w:lineRule="auto"/>
        <w:rPr>
          <w:noProof/>
          <w:color w:val="FF0000"/>
          <w:sz w:val="16"/>
          <w:lang w:eastAsia="es-GT"/>
        </w:rPr>
      </w:pPr>
    </w:p>
    <w:p w:rsidR="00374D44" w:rsidRPr="00AA19B3" w:rsidRDefault="00374D44" w:rsidP="000D016D">
      <w:pPr>
        <w:spacing w:after="0" w:line="240" w:lineRule="auto"/>
        <w:rPr>
          <w:noProof/>
          <w:color w:val="FF0000"/>
          <w:sz w:val="16"/>
          <w:lang w:eastAsia="es-GT"/>
        </w:rPr>
      </w:pPr>
    </w:p>
    <w:p w:rsidR="00374D44" w:rsidRPr="00B80E43" w:rsidRDefault="00374D44" w:rsidP="000D016D">
      <w:pPr>
        <w:spacing w:after="0" w:line="240" w:lineRule="auto"/>
        <w:rPr>
          <w:noProof/>
          <w:sz w:val="16"/>
          <w:lang w:eastAsia="es-GT"/>
        </w:rPr>
      </w:pPr>
    </w:p>
    <w:p w:rsidR="00343A5D" w:rsidRPr="00B80E43" w:rsidRDefault="00343A5D" w:rsidP="00343A5D">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343A5D" w:rsidRPr="00B80E43" w:rsidSect="00FA3B81">
          <w:headerReference w:type="default" r:id="rId28"/>
          <w:footerReference w:type="default" r:id="rId29"/>
          <w:type w:val="continuous"/>
          <w:pgSz w:w="12240" w:h="15840" w:code="1"/>
          <w:pgMar w:top="1418" w:right="1418" w:bottom="1418" w:left="1418" w:header="709" w:footer="709" w:gutter="0"/>
          <w:cols w:space="708"/>
          <w:docGrid w:linePitch="360"/>
        </w:sectPr>
      </w:pPr>
      <w:r w:rsidRPr="00B80E43">
        <w:rPr>
          <w:rFonts w:ascii="Times New Roman" w:hAnsi="Times New Roman" w:cs="Times New Roman"/>
          <w:b/>
          <w:lang w:val="es-MX"/>
        </w:rPr>
        <w:lastRenderedPageBreak/>
        <w:t>Anexo</w:t>
      </w:r>
    </w:p>
    <w:p w:rsidR="00343A5D" w:rsidRPr="00AA19B3" w:rsidRDefault="00343A5D" w:rsidP="00416D41">
      <w:pPr>
        <w:spacing w:after="0" w:line="240" w:lineRule="auto"/>
        <w:jc w:val="center"/>
        <w:rPr>
          <w:noProof/>
          <w:color w:val="FF0000"/>
          <w:lang w:eastAsia="es-GT"/>
        </w:rPr>
      </w:pPr>
    </w:p>
    <w:p w:rsidR="00374D44" w:rsidRPr="00AA19B3" w:rsidRDefault="00374D44" w:rsidP="00416D41">
      <w:pPr>
        <w:spacing w:after="0" w:line="240" w:lineRule="auto"/>
        <w:jc w:val="center"/>
        <w:rPr>
          <w:noProof/>
          <w:color w:val="FF0000"/>
          <w:lang w:eastAsia="es-GT"/>
        </w:rPr>
      </w:pPr>
    </w:p>
    <w:p w:rsidR="00416D41" w:rsidRPr="00AA19B3" w:rsidRDefault="00B80E43" w:rsidP="00416D41">
      <w:pPr>
        <w:spacing w:after="0" w:line="240" w:lineRule="auto"/>
        <w:jc w:val="center"/>
        <w:rPr>
          <w:rFonts w:ascii="Times New Roman" w:hAnsi="Times New Roman" w:cs="Times New Roman"/>
          <w:color w:val="FF0000"/>
          <w:lang w:val="es-MX"/>
        </w:rPr>
      </w:pPr>
      <w:r w:rsidRPr="002D4740">
        <w:rPr>
          <w:noProof/>
          <w:lang w:eastAsia="es-GT"/>
        </w:rPr>
        <w:drawing>
          <wp:inline distT="0" distB="0" distL="0" distR="0" wp14:anchorId="6670D20A" wp14:editId="1136C3EB">
            <wp:extent cx="5609967" cy="47449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130" cy="4746824"/>
                    </a:xfrm>
                    <a:prstGeom prst="rect">
                      <a:avLst/>
                    </a:prstGeom>
                    <a:noFill/>
                    <a:ln>
                      <a:noFill/>
                    </a:ln>
                  </pic:spPr>
                </pic:pic>
              </a:graphicData>
            </a:graphic>
          </wp:inline>
        </w:drawing>
      </w:r>
    </w:p>
    <w:sectPr w:rsidR="00416D41" w:rsidRPr="00AA19B3" w:rsidSect="00416D41">
      <w:headerReference w:type="default" r:id="rId31"/>
      <w:footerReference w:type="default" r:id="rId32"/>
      <w:type w:val="continuous"/>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840" w:rsidRDefault="00FA4840" w:rsidP="007D4651">
      <w:pPr>
        <w:spacing w:after="0" w:line="240" w:lineRule="auto"/>
      </w:pPr>
      <w:r>
        <w:separator/>
      </w:r>
    </w:p>
  </w:endnote>
  <w:endnote w:type="continuationSeparator" w:id="0">
    <w:p w:rsidR="00FA4840" w:rsidRDefault="00FA4840" w:rsidP="007D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89789790"/>
      <w:docPartObj>
        <w:docPartGallery w:val="Page Numbers (Bottom of Page)"/>
        <w:docPartUnique/>
      </w:docPartObj>
    </w:sdtPr>
    <w:sdtEndPr/>
    <w:sdtContent>
      <w:p w:rsidR="007D4651" w:rsidRDefault="007D4651">
        <w:pPr>
          <w:pStyle w:val="Piedepgina"/>
          <w:jc w:val="right"/>
          <w:rPr>
            <w:lang w:val="es-ES"/>
          </w:rPr>
        </w:pPr>
      </w:p>
      <w:p w:rsidR="007D4651" w:rsidRDefault="007D4651"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3360" behindDoc="0" locked="0" layoutInCell="1" allowOverlap="1" wp14:anchorId="7EF7B7BD" wp14:editId="0050DA4E">
                  <wp:simplePos x="0" y="0"/>
                  <wp:positionH relativeFrom="column">
                    <wp:posOffset>1776669</wp:posOffset>
                  </wp:positionH>
                  <wp:positionV relativeFrom="paragraph">
                    <wp:posOffset>70516</wp:posOffset>
                  </wp:positionV>
                  <wp:extent cx="5155565" cy="45719"/>
                  <wp:effectExtent l="38100" t="38100" r="64135" b="88265"/>
                  <wp:wrapNone/>
                  <wp:docPr id="3" name="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3 Rectángulo" o:spid="_x0000_s1026" style="position:absolute;margin-left:139.9pt;margin-top:5.55pt;width:405.95pt;height: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tYPAMAAKU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7D4651" w:rsidRDefault="007D4651">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990C9B" w:rsidRPr="00990C9B">
          <w:rPr>
            <w:rFonts w:ascii="Times New Roman" w:hAnsi="Times New Roman" w:cs="Times New Roman"/>
            <w:b/>
            <w:noProof/>
            <w:color w:val="1F497D" w:themeColor="text2"/>
            <w:lang w:val="es-ES"/>
          </w:rPr>
          <w:t>1</w:t>
        </w:r>
        <w:r w:rsidRPr="007D4651">
          <w:rPr>
            <w:rFonts w:ascii="Times New Roman" w:hAnsi="Times New Roman" w:cs="Times New Roman"/>
            <w:b/>
            <w:color w:val="1F497D" w:themeColor="text2"/>
          </w:rPr>
          <w:fldChar w:fldCharType="end"/>
        </w:r>
        <w:r>
          <w:rPr>
            <w:lang w:val="es-ES"/>
          </w:rPr>
          <w:t xml:space="preserve"> </w:t>
        </w:r>
      </w:p>
    </w:sdtContent>
  </w:sdt>
  <w:p w:rsidR="007D4651" w:rsidRDefault="007D4651" w:rsidP="007D4651">
    <w:pPr>
      <w:pStyle w:val="Piedepgina"/>
      <w:tabs>
        <w:tab w:val="clear" w:pos="4419"/>
        <w:tab w:val="clear" w:pos="8838"/>
        <w:tab w:val="left" w:pos="5777"/>
      </w:tabs>
    </w:pPr>
  </w:p>
  <w:p w:rsidR="0066791B" w:rsidRDefault="0066791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59405431"/>
      <w:docPartObj>
        <w:docPartGallery w:val="Page Numbers (Bottom of Page)"/>
        <w:docPartUnique/>
      </w:docPartObj>
    </w:sdtPr>
    <w:sdtEndPr/>
    <w:sdtContent>
      <w:p w:rsidR="00E16925" w:rsidRDefault="00E16925">
        <w:pPr>
          <w:pStyle w:val="Piedepgina"/>
          <w:jc w:val="right"/>
          <w:rPr>
            <w:lang w:val="es-ES"/>
          </w:rPr>
        </w:pPr>
      </w:p>
      <w:p w:rsidR="00E16925" w:rsidRDefault="00E16925"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7456" behindDoc="0" locked="0" layoutInCell="1" allowOverlap="1" wp14:anchorId="6C6F61B6" wp14:editId="08047CF4">
                  <wp:simplePos x="0" y="0"/>
                  <wp:positionH relativeFrom="column">
                    <wp:posOffset>1776669</wp:posOffset>
                  </wp:positionH>
                  <wp:positionV relativeFrom="paragraph">
                    <wp:posOffset>70516</wp:posOffset>
                  </wp:positionV>
                  <wp:extent cx="5155565" cy="45719"/>
                  <wp:effectExtent l="38100" t="38100" r="64135" b="88265"/>
                  <wp:wrapNone/>
                  <wp:docPr id="8" name="8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8 Rectángulo" o:spid="_x0000_s1026" style="position:absolute;margin-left:139.9pt;margin-top:5.55pt;width:405.95pt;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16925" w:rsidRDefault="00E16925">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990C9B" w:rsidRPr="00990C9B">
          <w:rPr>
            <w:rFonts w:ascii="Times New Roman" w:hAnsi="Times New Roman" w:cs="Times New Roman"/>
            <w:b/>
            <w:noProof/>
            <w:color w:val="1F497D" w:themeColor="text2"/>
            <w:lang w:val="es-ES"/>
          </w:rPr>
          <w:t>2</w:t>
        </w:r>
        <w:r w:rsidRPr="007D4651">
          <w:rPr>
            <w:rFonts w:ascii="Times New Roman" w:hAnsi="Times New Roman" w:cs="Times New Roman"/>
            <w:b/>
            <w:color w:val="1F497D" w:themeColor="text2"/>
          </w:rPr>
          <w:fldChar w:fldCharType="end"/>
        </w:r>
        <w:r>
          <w:rPr>
            <w:lang w:val="es-ES"/>
          </w:rPr>
          <w:t xml:space="preserve"> </w:t>
        </w:r>
      </w:p>
    </w:sdtContent>
  </w:sdt>
  <w:p w:rsidR="00E16925" w:rsidRDefault="00E16925" w:rsidP="007D4651">
    <w:pPr>
      <w:pStyle w:val="Piedepgina"/>
      <w:tabs>
        <w:tab w:val="clear" w:pos="4419"/>
        <w:tab w:val="clear" w:pos="8838"/>
        <w:tab w:val="left" w:pos="5777"/>
      </w:tabs>
    </w:pPr>
  </w:p>
  <w:p w:rsidR="00E16925" w:rsidRDefault="00E1692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203057022"/>
      <w:docPartObj>
        <w:docPartGallery w:val="Page Numbers (Bottom of Page)"/>
        <w:docPartUnique/>
      </w:docPartObj>
    </w:sdtPr>
    <w:sdtEndPr/>
    <w:sdtContent>
      <w:p w:rsidR="00FA3B81" w:rsidRDefault="00FA3B81">
        <w:pPr>
          <w:pStyle w:val="Piedepgina"/>
          <w:jc w:val="right"/>
          <w:rPr>
            <w:lang w:val="es-ES"/>
          </w:rPr>
        </w:pPr>
      </w:p>
      <w:p w:rsidR="00FA3B81" w:rsidRDefault="00FA3B81"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1552" behindDoc="0" locked="0" layoutInCell="1" allowOverlap="1" wp14:anchorId="610C3D4B" wp14:editId="2D985D9C">
                  <wp:simplePos x="0" y="0"/>
                  <wp:positionH relativeFrom="column">
                    <wp:posOffset>1776669</wp:posOffset>
                  </wp:positionH>
                  <wp:positionV relativeFrom="paragraph">
                    <wp:posOffset>70516</wp:posOffset>
                  </wp:positionV>
                  <wp:extent cx="5155565" cy="45719"/>
                  <wp:effectExtent l="38100" t="38100" r="64135" b="88265"/>
                  <wp:wrapNone/>
                  <wp:docPr id="16" name="1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6 Rectángulo" o:spid="_x0000_s1026" style="position:absolute;margin-left:139.9pt;margin-top:5.55pt;width:405.95pt;height: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&#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DkCE3GPQMAAKc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FA3B81" w:rsidRDefault="00FA3B81">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B9286A" w:rsidRPr="00B9286A">
          <w:rPr>
            <w:rFonts w:ascii="Times New Roman" w:hAnsi="Times New Roman" w:cs="Times New Roman"/>
            <w:b/>
            <w:noProof/>
            <w:color w:val="1F497D" w:themeColor="text2"/>
            <w:lang w:val="es-ES"/>
          </w:rPr>
          <w:t>3</w:t>
        </w:r>
        <w:r w:rsidRPr="007D4651">
          <w:rPr>
            <w:rFonts w:ascii="Times New Roman" w:hAnsi="Times New Roman" w:cs="Times New Roman"/>
            <w:b/>
            <w:color w:val="1F497D" w:themeColor="text2"/>
          </w:rPr>
          <w:fldChar w:fldCharType="end"/>
        </w:r>
        <w:r>
          <w:rPr>
            <w:lang w:val="es-ES"/>
          </w:rPr>
          <w:t xml:space="preserve"> </w:t>
        </w:r>
      </w:p>
    </w:sdtContent>
  </w:sdt>
  <w:p w:rsidR="00FA3B81" w:rsidRDefault="00FA3B81" w:rsidP="007D4651">
    <w:pPr>
      <w:pStyle w:val="Piedepgina"/>
      <w:tabs>
        <w:tab w:val="clear" w:pos="4419"/>
        <w:tab w:val="clear" w:pos="8838"/>
        <w:tab w:val="left" w:pos="5777"/>
      </w:tabs>
    </w:pPr>
  </w:p>
  <w:p w:rsidR="00FA3B81" w:rsidRDefault="00FA3B8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52807834"/>
      <w:docPartObj>
        <w:docPartGallery w:val="Page Numbers (Bottom of Page)"/>
        <w:docPartUnique/>
      </w:docPartObj>
    </w:sdtPr>
    <w:sdtEndPr/>
    <w:sdtContent>
      <w:p w:rsidR="00F76491" w:rsidRDefault="00F76491">
        <w:pPr>
          <w:pStyle w:val="Piedepgina"/>
          <w:jc w:val="right"/>
          <w:rPr>
            <w:lang w:val="es-ES"/>
          </w:rPr>
        </w:pPr>
      </w:p>
      <w:p w:rsidR="00F76491" w:rsidRDefault="00F76491"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5648" behindDoc="0" locked="0" layoutInCell="1" allowOverlap="1" wp14:anchorId="32BD720C" wp14:editId="28CCFBF8">
                  <wp:simplePos x="0" y="0"/>
                  <wp:positionH relativeFrom="column">
                    <wp:posOffset>1776669</wp:posOffset>
                  </wp:positionH>
                  <wp:positionV relativeFrom="paragraph">
                    <wp:posOffset>70516</wp:posOffset>
                  </wp:positionV>
                  <wp:extent cx="5155565" cy="45719"/>
                  <wp:effectExtent l="38100" t="38100" r="64135" b="88265"/>
                  <wp:wrapNone/>
                  <wp:docPr id="23"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3 Rectángulo" o:spid="_x0000_s1026" style="position:absolute;margin-left:139.9pt;margin-top:5.55pt;width:405.95pt;height: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Ke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cTrBSJAWcpRO0A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YItCnj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F76491" w:rsidRDefault="00F76491">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990C9B" w:rsidRPr="00990C9B">
          <w:rPr>
            <w:rFonts w:ascii="Times New Roman" w:hAnsi="Times New Roman" w:cs="Times New Roman"/>
            <w:b/>
            <w:noProof/>
            <w:color w:val="1F497D" w:themeColor="text2"/>
            <w:lang w:val="es-ES"/>
          </w:rPr>
          <w:t>4</w:t>
        </w:r>
        <w:r w:rsidRPr="007D4651">
          <w:rPr>
            <w:rFonts w:ascii="Times New Roman" w:hAnsi="Times New Roman" w:cs="Times New Roman"/>
            <w:b/>
            <w:color w:val="1F497D" w:themeColor="text2"/>
          </w:rPr>
          <w:fldChar w:fldCharType="end"/>
        </w:r>
        <w:r>
          <w:rPr>
            <w:lang w:val="es-ES"/>
          </w:rPr>
          <w:t xml:space="preserve"> </w:t>
        </w:r>
      </w:p>
    </w:sdtContent>
  </w:sdt>
  <w:p w:rsidR="00F76491" w:rsidRDefault="00F76491" w:rsidP="007D4651">
    <w:pPr>
      <w:pStyle w:val="Piedepgina"/>
      <w:tabs>
        <w:tab w:val="clear" w:pos="4419"/>
        <w:tab w:val="clear" w:pos="8838"/>
        <w:tab w:val="left" w:pos="5777"/>
      </w:tabs>
    </w:pPr>
  </w:p>
  <w:p w:rsidR="00F76491" w:rsidRDefault="00F7649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650588095"/>
      <w:docPartObj>
        <w:docPartGallery w:val="Page Numbers (Bottom of Page)"/>
        <w:docPartUnique/>
      </w:docPartObj>
    </w:sdtPr>
    <w:sdtEndPr/>
    <w:sdtContent>
      <w:p w:rsidR="00494D1D" w:rsidRDefault="00494D1D">
        <w:pPr>
          <w:pStyle w:val="Piedepgina"/>
          <w:jc w:val="right"/>
          <w:rPr>
            <w:lang w:val="es-ES"/>
          </w:rPr>
        </w:pPr>
      </w:p>
      <w:p w:rsidR="00494D1D" w:rsidRDefault="00494D1D"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9744" behindDoc="0" locked="0" layoutInCell="1" allowOverlap="1" wp14:anchorId="6687497A" wp14:editId="6F1AC49B">
                  <wp:simplePos x="0" y="0"/>
                  <wp:positionH relativeFrom="column">
                    <wp:posOffset>1776669</wp:posOffset>
                  </wp:positionH>
                  <wp:positionV relativeFrom="paragraph">
                    <wp:posOffset>70516</wp:posOffset>
                  </wp:positionV>
                  <wp:extent cx="5155565" cy="45719"/>
                  <wp:effectExtent l="38100" t="38100" r="64135" b="88265"/>
                  <wp:wrapNone/>
                  <wp:docPr id="26"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6 Rectángulo" o:spid="_x0000_s1026" style="position:absolute;margin-left:139.9pt;margin-top:5.55pt;width:405.95pt;height:3.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LgM0AD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494D1D" w:rsidRDefault="00494D1D">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990C9B" w:rsidRPr="00990C9B">
          <w:rPr>
            <w:rFonts w:ascii="Times New Roman" w:hAnsi="Times New Roman" w:cs="Times New Roman"/>
            <w:b/>
            <w:noProof/>
            <w:color w:val="1F497D" w:themeColor="text2"/>
            <w:lang w:val="es-ES"/>
          </w:rPr>
          <w:t>7</w:t>
        </w:r>
        <w:r w:rsidRPr="007D4651">
          <w:rPr>
            <w:rFonts w:ascii="Times New Roman" w:hAnsi="Times New Roman" w:cs="Times New Roman"/>
            <w:b/>
            <w:color w:val="1F497D" w:themeColor="text2"/>
          </w:rPr>
          <w:fldChar w:fldCharType="end"/>
        </w:r>
        <w:r>
          <w:rPr>
            <w:lang w:val="es-ES"/>
          </w:rPr>
          <w:t xml:space="preserve"> </w:t>
        </w:r>
      </w:p>
    </w:sdtContent>
  </w:sdt>
  <w:p w:rsidR="00494D1D" w:rsidRDefault="00494D1D" w:rsidP="007D4651">
    <w:pPr>
      <w:pStyle w:val="Piedepgina"/>
      <w:tabs>
        <w:tab w:val="clear" w:pos="4419"/>
        <w:tab w:val="clear" w:pos="8838"/>
        <w:tab w:val="left" w:pos="5777"/>
      </w:tabs>
    </w:pPr>
  </w:p>
  <w:p w:rsidR="00494D1D" w:rsidRDefault="00494D1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243603254"/>
      <w:docPartObj>
        <w:docPartGallery w:val="Page Numbers (Bottom of Page)"/>
        <w:docPartUnique/>
      </w:docPartObj>
    </w:sdtPr>
    <w:sdtEndPr/>
    <w:sdtContent>
      <w:p w:rsidR="00343A5D" w:rsidRDefault="00343A5D">
        <w:pPr>
          <w:pStyle w:val="Piedepgina"/>
          <w:jc w:val="right"/>
          <w:rPr>
            <w:lang w:val="es-ES"/>
          </w:rPr>
        </w:pPr>
      </w:p>
      <w:p w:rsidR="00343A5D" w:rsidRDefault="00343A5D"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04320" behindDoc="0" locked="0" layoutInCell="1" allowOverlap="1" wp14:anchorId="103CB931" wp14:editId="04993484">
                  <wp:simplePos x="0" y="0"/>
                  <wp:positionH relativeFrom="column">
                    <wp:posOffset>1776669</wp:posOffset>
                  </wp:positionH>
                  <wp:positionV relativeFrom="paragraph">
                    <wp:posOffset>70516</wp:posOffset>
                  </wp:positionV>
                  <wp:extent cx="5155565" cy="45719"/>
                  <wp:effectExtent l="38100" t="38100" r="64135" b="88265"/>
                  <wp:wrapNone/>
                  <wp:docPr id="24" name="24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4 Rectángulo" o:spid="_x0000_s1026" style="position:absolute;margin-left:139.9pt;margin-top:5.55pt;width:405.95pt;height:3.6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PVGH7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343A5D" w:rsidRDefault="00343A5D">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990C9B" w:rsidRPr="00990C9B">
          <w:rPr>
            <w:rFonts w:ascii="Times New Roman" w:hAnsi="Times New Roman" w:cs="Times New Roman"/>
            <w:b/>
            <w:noProof/>
            <w:color w:val="1F497D" w:themeColor="text2"/>
            <w:lang w:val="es-ES"/>
          </w:rPr>
          <w:t>8</w:t>
        </w:r>
        <w:r w:rsidRPr="007D4651">
          <w:rPr>
            <w:rFonts w:ascii="Times New Roman" w:hAnsi="Times New Roman" w:cs="Times New Roman"/>
            <w:b/>
            <w:color w:val="1F497D" w:themeColor="text2"/>
          </w:rPr>
          <w:fldChar w:fldCharType="end"/>
        </w:r>
        <w:r>
          <w:rPr>
            <w:lang w:val="es-ES"/>
          </w:rPr>
          <w:t xml:space="preserve"> </w:t>
        </w:r>
      </w:p>
    </w:sdtContent>
  </w:sdt>
  <w:p w:rsidR="00343A5D" w:rsidRDefault="00343A5D" w:rsidP="007D4651">
    <w:pPr>
      <w:pStyle w:val="Piedepgina"/>
      <w:tabs>
        <w:tab w:val="clear" w:pos="4419"/>
        <w:tab w:val="clear" w:pos="8838"/>
        <w:tab w:val="left" w:pos="5777"/>
      </w:tabs>
    </w:pPr>
  </w:p>
  <w:p w:rsidR="00343A5D" w:rsidRDefault="00343A5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487236705"/>
      <w:docPartObj>
        <w:docPartGallery w:val="Page Numbers (Bottom of Page)"/>
        <w:docPartUnique/>
      </w:docPartObj>
    </w:sdtPr>
    <w:sdtEndPr/>
    <w:sdtContent>
      <w:p w:rsidR="00416D41" w:rsidRDefault="00416D41">
        <w:pPr>
          <w:pStyle w:val="Piedepgina"/>
          <w:jc w:val="right"/>
          <w:rPr>
            <w:lang w:val="es-ES"/>
          </w:rPr>
        </w:pPr>
      </w:p>
      <w:p w:rsidR="00416D41" w:rsidRDefault="00416D41"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83840" behindDoc="0" locked="0" layoutInCell="1" allowOverlap="1" wp14:anchorId="1A67760D" wp14:editId="0E289044">
                  <wp:simplePos x="0" y="0"/>
                  <wp:positionH relativeFrom="column">
                    <wp:posOffset>1776669</wp:posOffset>
                  </wp:positionH>
                  <wp:positionV relativeFrom="paragraph">
                    <wp:posOffset>70516</wp:posOffset>
                  </wp:positionV>
                  <wp:extent cx="5155565" cy="45719"/>
                  <wp:effectExtent l="38100" t="38100" r="64135" b="88265"/>
                  <wp:wrapNone/>
                  <wp:docPr id="39"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39 Rectángulo" o:spid="_x0000_s1026" style="position:absolute;margin-left:139.9pt;margin-top:5.55pt;width:405.95pt;height:3.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2T2O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416D41" w:rsidRDefault="00416D41">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4745C7" w:rsidRPr="004745C7">
          <w:rPr>
            <w:rFonts w:ascii="Times New Roman" w:hAnsi="Times New Roman" w:cs="Times New Roman"/>
            <w:b/>
            <w:noProof/>
            <w:color w:val="1F497D" w:themeColor="text2"/>
            <w:lang w:val="es-ES"/>
          </w:rPr>
          <w:t>8</w:t>
        </w:r>
        <w:r w:rsidRPr="007D4651">
          <w:rPr>
            <w:rFonts w:ascii="Times New Roman" w:hAnsi="Times New Roman" w:cs="Times New Roman"/>
            <w:b/>
            <w:color w:val="1F497D" w:themeColor="text2"/>
          </w:rPr>
          <w:fldChar w:fldCharType="end"/>
        </w:r>
        <w:r>
          <w:rPr>
            <w:lang w:val="es-ES"/>
          </w:rPr>
          <w:t xml:space="preserve"> </w:t>
        </w:r>
      </w:p>
    </w:sdtContent>
  </w:sdt>
  <w:p w:rsidR="00416D41" w:rsidRDefault="00416D41" w:rsidP="007D4651">
    <w:pPr>
      <w:pStyle w:val="Piedepgina"/>
      <w:tabs>
        <w:tab w:val="clear" w:pos="4419"/>
        <w:tab w:val="clear" w:pos="8838"/>
        <w:tab w:val="left" w:pos="5777"/>
      </w:tabs>
    </w:pPr>
  </w:p>
  <w:p w:rsidR="00416D41" w:rsidRDefault="00416D4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840" w:rsidRDefault="00FA4840" w:rsidP="007D4651">
      <w:pPr>
        <w:spacing w:after="0" w:line="240" w:lineRule="auto"/>
      </w:pPr>
      <w:r>
        <w:separator/>
      </w:r>
    </w:p>
  </w:footnote>
  <w:footnote w:type="continuationSeparator" w:id="0">
    <w:p w:rsidR="00FA4840" w:rsidRDefault="00FA4840" w:rsidP="007D46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A7C" w:rsidRPr="007D4651" w:rsidRDefault="00BD3A7C" w:rsidP="00BD3A7C">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685888" behindDoc="1" locked="0" layoutInCell="1" allowOverlap="1" wp14:anchorId="6F55DA9B" wp14:editId="4BB05103">
          <wp:simplePos x="0" y="0"/>
          <wp:positionH relativeFrom="column">
            <wp:posOffset>-234177</wp:posOffset>
          </wp:positionH>
          <wp:positionV relativeFrom="paragraph">
            <wp:posOffset>-5439</wp:posOffset>
          </wp:positionV>
          <wp:extent cx="1365775" cy="735496"/>
          <wp:effectExtent l="0" t="0" r="6350" b="7620"/>
          <wp:wrapNone/>
          <wp:docPr id="10" name="Imagen 10"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775" cy="7354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BD3A7C" w:rsidRDefault="008501C7"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Marzo</w:t>
    </w:r>
    <w:r w:rsidR="00BD3A7C">
      <w:rPr>
        <w:rFonts w:ascii="Times New Roman" w:hAnsi="Times New Roman" w:cs="Times New Roman"/>
        <w:color w:val="1F497D" w:themeColor="text2"/>
        <w:lang w:val="es-MX"/>
      </w:rPr>
      <w:t xml:space="preserve"> 2017</w:t>
    </w:r>
  </w:p>
  <w:p w:rsidR="007D4651" w:rsidRDefault="00BD3A7C" w:rsidP="007D4651">
    <w:pPr>
      <w:pStyle w:val="Encabezado"/>
      <w:jc w:val="right"/>
      <w:rPr>
        <w:rFonts w:ascii="Times New Roman" w:hAnsi="Times New Roman" w:cs="Times New Roman"/>
        <w:lang w:val="es-MX"/>
      </w:rPr>
    </w:pPr>
    <w:r>
      <w:rPr>
        <w:rFonts w:ascii="Times New Roman" w:hAnsi="Times New Roman" w:cs="Times New Roman"/>
        <w:noProof/>
        <w:color w:val="1F497D" w:themeColor="text2"/>
        <w:lang w:eastAsia="es-GT"/>
      </w:rPr>
      <mc:AlternateContent>
        <mc:Choice Requires="wps">
          <w:drawing>
            <wp:anchor distT="0" distB="0" distL="114300" distR="114300" simplePos="0" relativeHeight="251687936" behindDoc="0" locked="0" layoutInCell="1" allowOverlap="1" wp14:anchorId="4620BEB9" wp14:editId="7141A8DA">
              <wp:simplePos x="0" y="0"/>
              <wp:positionH relativeFrom="column">
                <wp:posOffset>1232949</wp:posOffset>
              </wp:positionH>
              <wp:positionV relativeFrom="paragraph">
                <wp:posOffset>61595</wp:posOffset>
              </wp:positionV>
              <wp:extent cx="5634990" cy="45085"/>
              <wp:effectExtent l="38100" t="38100" r="60960" b="88265"/>
              <wp:wrapNone/>
              <wp:docPr id="12" name="12 Rectángulo redondeado"/>
              <wp:cNvGraphicFramePr/>
              <a:graphic xmlns:a="http://schemas.openxmlformats.org/drawingml/2006/main">
                <a:graphicData uri="http://schemas.microsoft.com/office/word/2010/wordprocessingShape">
                  <wps:wsp>
                    <wps:cNvSpPr/>
                    <wps:spPr>
                      <a:xfrm flipV="1">
                        <a:off x="0" y="0"/>
                        <a:ext cx="5634990" cy="45085"/>
                      </a:xfrm>
                      <a:prstGeom prst="roundRect">
                        <a:avLst/>
                      </a:prstGeom>
                      <a:gradFill flip="none" rotWithShape="1">
                        <a:gsLst>
                          <a:gs pos="0">
                            <a:schemeClr val="accent1">
                              <a:tint val="66000"/>
                              <a:satMod val="160000"/>
                            </a:schemeClr>
                          </a:gs>
                          <a:gs pos="81000">
                            <a:srgbClr val="D2DDF1"/>
                          </a:gs>
                          <a:gs pos="14000">
                            <a:schemeClr val="accent1"/>
                          </a:gs>
                          <a:gs pos="67000">
                            <a:schemeClr val="accent1">
                              <a:tint val="44500"/>
                              <a:satMod val="160000"/>
                            </a:schemeClr>
                          </a:gs>
                          <a:gs pos="90000">
                            <a:srgbClr val="DAE3F3">
                              <a:alpha val="57000"/>
                            </a:srgbClr>
                          </a:gs>
                          <a:gs pos="98000">
                            <a:schemeClr val="accent3">
                              <a:lumMod val="60000"/>
                              <a:lumOff val="40000"/>
                            </a:schemeClr>
                          </a:gs>
                        </a:gsLst>
                        <a:lin ang="0" scaled="1"/>
                        <a:tileRect/>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2 Rectángulo redondeado" o:spid="_x0000_s1026" style="position:absolute;margin-left:97.1pt;margin-top:4.85pt;width:443.7pt;height:3.55pt;flip:y;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" fillcolor="#8aabd3 [2132]" stroked="f" strokeweight="2pt">
              <v:fill color2="#c2d69b [1942]" rotate="t" angle="90" colors="0 #9ab5e4;9175f #4f81bd;43909f #c2d1ed;53084f #d2ddf1;58982f #dae3f3;64225f #c3d69b" focus="100%" type="gradient"/>
              <v:shadow on="t" color="black" opacity="26214f" origin="-.5,-.5" offset=".74836mm,.74836mm"/>
            </v:roundrect>
          </w:pict>
        </mc:Fallback>
      </mc:AlternateContent>
    </w:r>
  </w:p>
  <w:p w:rsidR="0066791B" w:rsidRPr="009F164F" w:rsidRDefault="007D4651" w:rsidP="00E16925">
    <w:pPr>
      <w:pStyle w:val="Encabezado"/>
      <w:rPr>
        <w:rFonts w:ascii="Times New Roman" w:hAnsi="Times New Roman" w:cs="Times New Roman"/>
        <w:b/>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E16925" w:rsidRPr="00E16925" w:rsidRDefault="00E16925" w:rsidP="00E16925">
    <w:pPr>
      <w:pStyle w:val="Encabezado"/>
      <w:rPr>
        <w:rFonts w:ascii="Times New Roman" w:hAnsi="Times New Roman" w:cs="Times New Roman"/>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A7C" w:rsidRPr="007D4651" w:rsidRDefault="00BD3A7C" w:rsidP="00BD3A7C">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689984" behindDoc="1" locked="0" layoutInCell="1" allowOverlap="1" wp14:anchorId="41718D9F" wp14:editId="3C52F450">
          <wp:simplePos x="0" y="0"/>
          <wp:positionH relativeFrom="column">
            <wp:posOffset>-434119</wp:posOffset>
          </wp:positionH>
          <wp:positionV relativeFrom="paragraph">
            <wp:posOffset>-5080</wp:posOffset>
          </wp:positionV>
          <wp:extent cx="1365775" cy="735496"/>
          <wp:effectExtent l="0" t="0" r="6350" b="7620"/>
          <wp:wrapNone/>
          <wp:docPr id="13" name="Imagen 13"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775" cy="7354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BD3A7C" w:rsidRDefault="008501C7"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Marzo</w:t>
    </w:r>
    <w:r w:rsidR="00BD3A7C">
      <w:rPr>
        <w:rFonts w:ascii="Times New Roman" w:hAnsi="Times New Roman" w:cs="Times New Roman"/>
        <w:color w:val="1F497D" w:themeColor="text2"/>
        <w:lang w:val="es-MX"/>
      </w:rPr>
      <w:t xml:space="preserve"> 2017</w:t>
    </w:r>
  </w:p>
  <w:p w:rsidR="00E16925" w:rsidRDefault="00BD3A7C" w:rsidP="007D4651">
    <w:pPr>
      <w:pStyle w:val="Encabezado"/>
      <w:jc w:val="right"/>
      <w:rPr>
        <w:rFonts w:ascii="Times New Roman" w:hAnsi="Times New Roman" w:cs="Times New Roman"/>
        <w:lang w:val="es-MX"/>
      </w:rPr>
    </w:pPr>
    <w:r>
      <w:rPr>
        <w:rFonts w:ascii="Times New Roman" w:hAnsi="Times New Roman" w:cs="Times New Roman"/>
        <w:noProof/>
        <w:color w:val="1F497D" w:themeColor="text2"/>
        <w:lang w:eastAsia="es-GT"/>
      </w:rPr>
      <mc:AlternateContent>
        <mc:Choice Requires="wps">
          <w:drawing>
            <wp:anchor distT="0" distB="0" distL="114300" distR="114300" simplePos="0" relativeHeight="251696128" behindDoc="0" locked="0" layoutInCell="1" allowOverlap="1" wp14:anchorId="55737BF3" wp14:editId="4A66FFC7">
              <wp:simplePos x="0" y="0"/>
              <wp:positionH relativeFrom="column">
                <wp:posOffset>1065751</wp:posOffset>
              </wp:positionH>
              <wp:positionV relativeFrom="paragraph">
                <wp:posOffset>26670</wp:posOffset>
              </wp:positionV>
              <wp:extent cx="5634990" cy="45085"/>
              <wp:effectExtent l="38100" t="38100" r="60960" b="88265"/>
              <wp:wrapNone/>
              <wp:docPr id="19" name="19 Rectángulo redondeado"/>
              <wp:cNvGraphicFramePr/>
              <a:graphic xmlns:a="http://schemas.openxmlformats.org/drawingml/2006/main">
                <a:graphicData uri="http://schemas.microsoft.com/office/word/2010/wordprocessingShape">
                  <wps:wsp>
                    <wps:cNvSpPr/>
                    <wps:spPr>
                      <a:xfrm flipV="1">
                        <a:off x="0" y="0"/>
                        <a:ext cx="5634990" cy="45085"/>
                      </a:xfrm>
                      <a:prstGeom prst="roundRect">
                        <a:avLst/>
                      </a:prstGeom>
                      <a:gradFill flip="none" rotWithShape="1">
                        <a:gsLst>
                          <a:gs pos="0">
                            <a:schemeClr val="accent1">
                              <a:tint val="66000"/>
                              <a:satMod val="160000"/>
                            </a:schemeClr>
                          </a:gs>
                          <a:gs pos="81000">
                            <a:srgbClr val="D2DDF1"/>
                          </a:gs>
                          <a:gs pos="14000">
                            <a:schemeClr val="accent1"/>
                          </a:gs>
                          <a:gs pos="67000">
                            <a:schemeClr val="accent1">
                              <a:tint val="44500"/>
                              <a:satMod val="160000"/>
                            </a:schemeClr>
                          </a:gs>
                          <a:gs pos="90000">
                            <a:srgbClr val="DAE3F3">
                              <a:alpha val="57000"/>
                            </a:srgbClr>
                          </a:gs>
                          <a:gs pos="98000">
                            <a:schemeClr val="accent3">
                              <a:lumMod val="60000"/>
                              <a:lumOff val="40000"/>
                            </a:schemeClr>
                          </a:gs>
                        </a:gsLst>
                        <a:lin ang="0" scaled="1"/>
                        <a:tileRect/>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9 Rectángulo redondeado" o:spid="_x0000_s1026" style="position:absolute;margin-left:83.9pt;margin-top:2.1pt;width:443.7pt;height:3.55pt;flip:y;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" fillcolor="#8aabd3 [2132]" stroked="f" strokeweight="2pt">
              <v:fill color2="#c2d69b [1942]" rotate="t" angle="90" colors="0 #9ab5e4;9175f #4f81bd;43909f #c2d1ed;53084f #d2ddf1;58982f #dae3f3;64225f #c3d69b" focus="100%" type="gradient"/>
              <v:shadow on="t" color="black" opacity="26214f" origin="-.5,-.5" offset=".74836mm,.74836mm"/>
            </v:roundrect>
          </w:pict>
        </mc:Fallback>
      </mc:AlternateContent>
    </w:r>
  </w:p>
  <w:p w:rsidR="00E16925" w:rsidRDefault="00BD3A7C" w:rsidP="00E16925">
    <w:pPr>
      <w:pStyle w:val="Encabezado"/>
      <w:rPr>
        <w:rFonts w:ascii="Times New Roman" w:hAnsi="Times New Roman" w:cs="Times New Roman"/>
        <w:lang w:val="es-MX"/>
      </w:rPr>
    </w:pPr>
    <w:r>
      <w:rPr>
        <w:rFonts w:ascii="Times New Roman" w:hAnsi="Times New Roman" w:cs="Times New Roman"/>
        <w:lang w:val="es-MX"/>
      </w:rPr>
      <w:t xml:space="preserve">                                            </w:t>
    </w:r>
    <w:r w:rsidR="009F164F" w:rsidRPr="009F164F">
      <w:rPr>
        <w:rFonts w:ascii="Times New Roman" w:hAnsi="Times New Roman" w:cs="Times New Roman"/>
        <w:b/>
        <w:color w:val="4F81BD" w:themeColor="accent1"/>
        <w:lang w:val="es-MX"/>
      </w:rPr>
      <w:t>Dirección de Análisis y Política Fiscal</w:t>
    </w:r>
  </w:p>
  <w:p w:rsidR="00E16925" w:rsidRPr="00E16925" w:rsidRDefault="00E16925" w:rsidP="00E16925">
    <w:pPr>
      <w:pStyle w:val="Encabezado"/>
      <w:rPr>
        <w:rFonts w:ascii="Times New Roman" w:hAnsi="Times New Roman" w:cs="Times New Roman"/>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A7C" w:rsidRPr="007D4651" w:rsidRDefault="00BD3A7C" w:rsidP="00BD3A7C">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692032" behindDoc="1" locked="0" layoutInCell="1" allowOverlap="1" wp14:anchorId="60200368" wp14:editId="472FA172">
          <wp:simplePos x="0" y="0"/>
          <wp:positionH relativeFrom="column">
            <wp:posOffset>-453169</wp:posOffset>
          </wp:positionH>
          <wp:positionV relativeFrom="paragraph">
            <wp:posOffset>-5080</wp:posOffset>
          </wp:positionV>
          <wp:extent cx="1365775" cy="735496"/>
          <wp:effectExtent l="0" t="0" r="6350" b="7620"/>
          <wp:wrapNone/>
          <wp:docPr id="14" name="Imagen 14"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775" cy="7354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BD3A7C" w:rsidRDefault="008501C7"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Marzo</w:t>
    </w:r>
    <w:r w:rsidR="00BD3A7C">
      <w:rPr>
        <w:rFonts w:ascii="Times New Roman" w:hAnsi="Times New Roman" w:cs="Times New Roman"/>
        <w:color w:val="1F497D" w:themeColor="text2"/>
        <w:lang w:val="es-MX"/>
      </w:rPr>
      <w:t xml:space="preserve"> 2017</w:t>
    </w:r>
  </w:p>
  <w:p w:rsidR="00FA3B81" w:rsidRDefault="00BD3A7C" w:rsidP="007D4651">
    <w:pPr>
      <w:pStyle w:val="Encabezado"/>
      <w:jc w:val="right"/>
      <w:rPr>
        <w:rFonts w:ascii="Times New Roman" w:hAnsi="Times New Roman" w:cs="Times New Roman"/>
        <w:lang w:val="es-MX"/>
      </w:rPr>
    </w:pPr>
    <w:r>
      <w:rPr>
        <w:rFonts w:ascii="Times New Roman" w:hAnsi="Times New Roman" w:cs="Times New Roman"/>
        <w:noProof/>
        <w:color w:val="1F497D" w:themeColor="text2"/>
        <w:lang w:eastAsia="es-GT"/>
      </w:rPr>
      <mc:AlternateContent>
        <mc:Choice Requires="wps">
          <w:drawing>
            <wp:anchor distT="0" distB="0" distL="114300" distR="114300" simplePos="0" relativeHeight="251698176" behindDoc="0" locked="0" layoutInCell="1" allowOverlap="1" wp14:anchorId="09516523" wp14:editId="12A1B793">
              <wp:simplePos x="0" y="0"/>
              <wp:positionH relativeFrom="column">
                <wp:posOffset>1066165</wp:posOffset>
              </wp:positionH>
              <wp:positionV relativeFrom="paragraph">
                <wp:posOffset>72611</wp:posOffset>
              </wp:positionV>
              <wp:extent cx="5634990" cy="45085"/>
              <wp:effectExtent l="38100" t="38100" r="60960" b="88265"/>
              <wp:wrapNone/>
              <wp:docPr id="21" name="21 Rectángulo redondeado"/>
              <wp:cNvGraphicFramePr/>
              <a:graphic xmlns:a="http://schemas.openxmlformats.org/drawingml/2006/main">
                <a:graphicData uri="http://schemas.microsoft.com/office/word/2010/wordprocessingShape">
                  <wps:wsp>
                    <wps:cNvSpPr/>
                    <wps:spPr>
                      <a:xfrm flipV="1">
                        <a:off x="0" y="0"/>
                        <a:ext cx="5634990" cy="45085"/>
                      </a:xfrm>
                      <a:prstGeom prst="roundRect">
                        <a:avLst/>
                      </a:prstGeom>
                      <a:gradFill flip="none" rotWithShape="1">
                        <a:gsLst>
                          <a:gs pos="0">
                            <a:schemeClr val="accent1">
                              <a:tint val="66000"/>
                              <a:satMod val="160000"/>
                            </a:schemeClr>
                          </a:gs>
                          <a:gs pos="81000">
                            <a:srgbClr val="D2DDF1"/>
                          </a:gs>
                          <a:gs pos="14000">
                            <a:schemeClr val="accent1"/>
                          </a:gs>
                          <a:gs pos="67000">
                            <a:schemeClr val="accent1">
                              <a:tint val="44500"/>
                              <a:satMod val="160000"/>
                            </a:schemeClr>
                          </a:gs>
                          <a:gs pos="90000">
                            <a:srgbClr val="DAE3F3">
                              <a:alpha val="57000"/>
                            </a:srgbClr>
                          </a:gs>
                          <a:gs pos="98000">
                            <a:schemeClr val="accent3">
                              <a:lumMod val="60000"/>
                              <a:lumOff val="40000"/>
                            </a:schemeClr>
                          </a:gs>
                        </a:gsLst>
                        <a:lin ang="0" scaled="1"/>
                        <a:tileRect/>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21 Rectángulo redondeado" o:spid="_x0000_s1026" style="position:absolute;margin-left:83.95pt;margin-top:5.7pt;width:443.7pt;height:3.55pt;flip:y;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" fillcolor="#8aabd3 [2132]" stroked="f" strokeweight="2pt">
              <v:fill color2="#c2d69b [1942]" rotate="t" angle="90" colors="0 #9ab5e4;9175f #4f81bd;43909f #c2d1ed;53084f #d2ddf1;58982f #dae3f3;64225f #c3d69b" focus="100%" type="gradient"/>
              <v:shadow on="t" color="black" opacity="26214f" origin="-.5,-.5" offset=".74836mm,.74836mm"/>
            </v:roundrect>
          </w:pict>
        </mc:Fallback>
      </mc:AlternateContent>
    </w:r>
  </w:p>
  <w:p w:rsidR="00FA3B81" w:rsidRDefault="00BD3A7C" w:rsidP="00E16925">
    <w:pPr>
      <w:pStyle w:val="Encabezado"/>
      <w:rPr>
        <w:rFonts w:ascii="Times New Roman" w:hAnsi="Times New Roman" w:cs="Times New Roman"/>
        <w:lang w:val="es-MX"/>
      </w:rPr>
    </w:pPr>
    <w:r>
      <w:rPr>
        <w:rFonts w:ascii="Times New Roman" w:hAnsi="Times New Roman" w:cs="Times New Roman"/>
        <w:lang w:val="es-MX"/>
      </w:rPr>
      <w:t xml:space="preserve">                                           </w:t>
    </w:r>
    <w:r w:rsidR="009F164F" w:rsidRPr="009F164F">
      <w:rPr>
        <w:rFonts w:ascii="Times New Roman" w:hAnsi="Times New Roman" w:cs="Times New Roman"/>
        <w:b/>
        <w:color w:val="4F81BD" w:themeColor="accent1"/>
        <w:lang w:val="es-MX"/>
      </w:rPr>
      <w:t>Dirección de Análisis y Política Fiscal</w:t>
    </w:r>
  </w:p>
  <w:p w:rsidR="00FA3B81" w:rsidRPr="00E16925" w:rsidRDefault="00FA3B81" w:rsidP="00E16925">
    <w:pPr>
      <w:pStyle w:val="Encabezado"/>
      <w:rPr>
        <w:rFonts w:ascii="Times New Roman" w:hAnsi="Times New Roman" w:cs="Times New Roman"/>
        <w:lang w:val="es-MX"/>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491" w:rsidRPr="007D4651" w:rsidRDefault="00F76491" w:rsidP="007D4651">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674624" behindDoc="1" locked="0" layoutInCell="1" allowOverlap="1" wp14:anchorId="06AEE00F" wp14:editId="7DD658C4">
          <wp:simplePos x="0" y="0"/>
          <wp:positionH relativeFrom="column">
            <wp:posOffset>-89849</wp:posOffset>
          </wp:positionH>
          <wp:positionV relativeFrom="paragraph">
            <wp:posOffset>-163027</wp:posOffset>
          </wp:positionV>
          <wp:extent cx="1697990" cy="914400"/>
          <wp:effectExtent l="0" t="0" r="0" b="0"/>
          <wp:wrapNone/>
          <wp:docPr id="43" name="Imagen 43"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F76491" w:rsidRPr="007D4651" w:rsidRDefault="008501C7" w:rsidP="007D4651">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Marzo</w:t>
    </w:r>
    <w:r w:rsidR="006D7B6E">
      <w:rPr>
        <w:rFonts w:ascii="Times New Roman" w:hAnsi="Times New Roman" w:cs="Times New Roman"/>
        <w:color w:val="1F497D" w:themeColor="text2"/>
        <w:lang w:val="es-MX"/>
      </w:rPr>
      <w:t xml:space="preserve"> 2017</w:t>
    </w:r>
  </w:p>
  <w:p w:rsidR="00F76491" w:rsidRDefault="00F76491"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673600" behindDoc="0" locked="0" layoutInCell="1" allowOverlap="1" wp14:anchorId="231855AF" wp14:editId="779BE56D">
              <wp:simplePos x="0" y="0"/>
              <wp:positionH relativeFrom="column">
                <wp:posOffset>1710568</wp:posOffset>
              </wp:positionH>
              <wp:positionV relativeFrom="paragraph">
                <wp:posOffset>29118</wp:posOffset>
              </wp:positionV>
              <wp:extent cx="5155894" cy="45719"/>
              <wp:effectExtent l="38100" t="38100" r="64135" b="88265"/>
              <wp:wrapNone/>
              <wp:docPr id="22"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2 Rectángulo" o:spid="_x0000_s1026" style="position:absolute;margin-left:134.7pt;margin-top:2.3pt;width:406pt;height:3.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F76491" w:rsidRDefault="00F76491" w:rsidP="00E16925">
    <w:pPr>
      <w:pStyle w:val="Encabezado"/>
      <w:rPr>
        <w:rFonts w:ascii="Times New Roman" w:hAnsi="Times New Roman" w:cs="Times New Roman"/>
        <w:lang w:val="es-MX"/>
      </w:rPr>
    </w:pPr>
    <w:r>
      <w:rPr>
        <w:rFonts w:ascii="Times New Roman" w:hAnsi="Times New Roman" w:cs="Times New Roman"/>
        <w:lang w:val="es-MX"/>
      </w:rPr>
      <w:tab/>
    </w:r>
    <w:r w:rsidR="009F164F" w:rsidRPr="009F164F">
      <w:rPr>
        <w:rFonts w:ascii="Times New Roman" w:hAnsi="Times New Roman" w:cs="Times New Roman"/>
        <w:b/>
        <w:color w:val="4F81BD" w:themeColor="accent1"/>
        <w:lang w:val="es-MX"/>
      </w:rPr>
      <w:t>Dirección de Análisis y Política Fiscal</w:t>
    </w:r>
  </w:p>
  <w:p w:rsidR="00F76491" w:rsidRPr="00E16925" w:rsidRDefault="00F76491" w:rsidP="00E16925">
    <w:pPr>
      <w:pStyle w:val="Encabezado"/>
      <w:rPr>
        <w:rFonts w:ascii="Times New Roman" w:hAnsi="Times New Roman" w:cs="Times New Roman"/>
        <w:lang w:val="es-MX"/>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A7C" w:rsidRPr="007D4651" w:rsidRDefault="00BD3A7C" w:rsidP="00BD3A7C">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694080" behindDoc="1" locked="0" layoutInCell="1" allowOverlap="1" wp14:anchorId="4294B5BF" wp14:editId="5E0D3E32">
          <wp:simplePos x="0" y="0"/>
          <wp:positionH relativeFrom="column">
            <wp:posOffset>-432849</wp:posOffset>
          </wp:positionH>
          <wp:positionV relativeFrom="paragraph">
            <wp:posOffset>-4445</wp:posOffset>
          </wp:positionV>
          <wp:extent cx="1365775" cy="735496"/>
          <wp:effectExtent l="0" t="0" r="6350" b="7620"/>
          <wp:wrapNone/>
          <wp:docPr id="18" name="Imagen 18"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775" cy="7354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BD3A7C" w:rsidRDefault="008501C7"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Marzo</w:t>
    </w:r>
    <w:r w:rsidR="00BD3A7C">
      <w:rPr>
        <w:rFonts w:ascii="Times New Roman" w:hAnsi="Times New Roman" w:cs="Times New Roman"/>
        <w:color w:val="1F497D" w:themeColor="text2"/>
        <w:lang w:val="es-MX"/>
      </w:rPr>
      <w:t xml:space="preserve"> 2017</w:t>
    </w:r>
  </w:p>
  <w:p w:rsidR="00494D1D" w:rsidRPr="004A73AA" w:rsidRDefault="00BD3A7C" w:rsidP="007D4651">
    <w:pPr>
      <w:pStyle w:val="Encabezado"/>
      <w:jc w:val="right"/>
      <w:rPr>
        <w:rFonts w:ascii="Times New Roman" w:hAnsi="Times New Roman" w:cs="Times New Roman"/>
        <w:color w:val="1F497D" w:themeColor="text2"/>
        <w:lang w:val="es-MX"/>
      </w:rPr>
    </w:pPr>
    <w:r>
      <w:rPr>
        <w:rFonts w:ascii="Times New Roman" w:hAnsi="Times New Roman" w:cs="Times New Roman"/>
        <w:noProof/>
        <w:color w:val="1F497D" w:themeColor="text2"/>
        <w:lang w:eastAsia="es-GT"/>
      </w:rPr>
      <mc:AlternateContent>
        <mc:Choice Requires="wps">
          <w:drawing>
            <wp:anchor distT="0" distB="0" distL="114300" distR="114300" simplePos="0" relativeHeight="251700224" behindDoc="0" locked="0" layoutInCell="1" allowOverlap="1" wp14:anchorId="3D17EDE3" wp14:editId="5A0E029E">
              <wp:simplePos x="0" y="0"/>
              <wp:positionH relativeFrom="column">
                <wp:posOffset>1022626</wp:posOffset>
              </wp:positionH>
              <wp:positionV relativeFrom="paragraph">
                <wp:posOffset>45720</wp:posOffset>
              </wp:positionV>
              <wp:extent cx="5634990" cy="45085"/>
              <wp:effectExtent l="38100" t="38100" r="60960" b="88265"/>
              <wp:wrapNone/>
              <wp:docPr id="28" name="28 Rectángulo redondeado"/>
              <wp:cNvGraphicFramePr/>
              <a:graphic xmlns:a="http://schemas.openxmlformats.org/drawingml/2006/main">
                <a:graphicData uri="http://schemas.microsoft.com/office/word/2010/wordprocessingShape">
                  <wps:wsp>
                    <wps:cNvSpPr/>
                    <wps:spPr>
                      <a:xfrm flipV="1">
                        <a:off x="0" y="0"/>
                        <a:ext cx="5634990" cy="45085"/>
                      </a:xfrm>
                      <a:prstGeom prst="roundRect">
                        <a:avLst/>
                      </a:prstGeom>
                      <a:gradFill flip="none" rotWithShape="1">
                        <a:gsLst>
                          <a:gs pos="0">
                            <a:schemeClr val="accent1">
                              <a:tint val="66000"/>
                              <a:satMod val="160000"/>
                            </a:schemeClr>
                          </a:gs>
                          <a:gs pos="81000">
                            <a:srgbClr val="D2DDF1"/>
                          </a:gs>
                          <a:gs pos="14000">
                            <a:schemeClr val="accent1"/>
                          </a:gs>
                          <a:gs pos="67000">
                            <a:schemeClr val="accent1">
                              <a:tint val="44500"/>
                              <a:satMod val="160000"/>
                            </a:schemeClr>
                          </a:gs>
                          <a:gs pos="90000">
                            <a:srgbClr val="DAE3F3">
                              <a:alpha val="57000"/>
                            </a:srgbClr>
                          </a:gs>
                          <a:gs pos="98000">
                            <a:schemeClr val="accent3">
                              <a:lumMod val="60000"/>
                              <a:lumOff val="40000"/>
                            </a:schemeClr>
                          </a:gs>
                        </a:gsLst>
                        <a:lin ang="0" scaled="1"/>
                        <a:tileRect/>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28 Rectángulo redondeado" o:spid="_x0000_s1026" style="position:absolute;margin-left:80.5pt;margin-top:3.6pt;width:443.7pt;height:3.55pt;flip:y;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" fillcolor="#8aabd3 [2132]" stroked="f" strokeweight="2pt">
              <v:fill color2="#c2d69b [1942]" rotate="t" angle="90" colors="0 #9ab5e4;9175f #4f81bd;43909f #c2d1ed;53084f #d2ddf1;58982f #dae3f3;64225f #c3d69b" focus="100%" type="gradient"/>
              <v:shadow on="t" color="black" opacity="26214f" origin="-.5,-.5" offset=".74836mm,.74836mm"/>
            </v:roundrect>
          </w:pict>
        </mc:Fallback>
      </mc:AlternateContent>
    </w:r>
  </w:p>
  <w:p w:rsidR="00494D1D" w:rsidRPr="004A73AA" w:rsidRDefault="00BD3A7C" w:rsidP="00E16925">
    <w:pPr>
      <w:pStyle w:val="Encabezado"/>
      <w:rPr>
        <w:rFonts w:ascii="Times New Roman" w:hAnsi="Times New Roman" w:cs="Times New Roman"/>
        <w:color w:val="1F497D" w:themeColor="text2"/>
        <w:lang w:val="es-MX"/>
      </w:rPr>
    </w:pPr>
    <w:r>
      <w:rPr>
        <w:rFonts w:ascii="Times New Roman" w:hAnsi="Times New Roman" w:cs="Times New Roman"/>
        <w:color w:val="1F497D" w:themeColor="text2"/>
        <w:lang w:val="es-MX"/>
      </w:rPr>
      <w:t xml:space="preserve">                                           </w:t>
    </w:r>
    <w:r w:rsidR="009F164F" w:rsidRPr="004A73AA">
      <w:rPr>
        <w:rFonts w:ascii="Times New Roman" w:hAnsi="Times New Roman" w:cs="Times New Roman"/>
        <w:b/>
        <w:color w:val="1F497D" w:themeColor="text2"/>
        <w:lang w:val="es-MX"/>
      </w:rPr>
      <w:t>Dirección de Análisis y Política Fiscal</w:t>
    </w:r>
  </w:p>
  <w:p w:rsidR="00494D1D" w:rsidRPr="007452E2" w:rsidRDefault="00494D1D" w:rsidP="00E16925">
    <w:pPr>
      <w:pStyle w:val="Encabezado"/>
      <w:rPr>
        <w:rFonts w:ascii="Times New Roman" w:hAnsi="Times New Roman" w:cs="Times New Roman"/>
        <w:lang w:val="es-MX"/>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A5D" w:rsidRPr="007D4651" w:rsidRDefault="00343A5D" w:rsidP="007D4651">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03296" behindDoc="1" locked="0" layoutInCell="1" allowOverlap="1" wp14:anchorId="0FB31D5E" wp14:editId="657A6488">
          <wp:simplePos x="0" y="0"/>
          <wp:positionH relativeFrom="column">
            <wp:posOffset>-89849</wp:posOffset>
          </wp:positionH>
          <wp:positionV relativeFrom="paragraph">
            <wp:posOffset>-163027</wp:posOffset>
          </wp:positionV>
          <wp:extent cx="1697990" cy="914400"/>
          <wp:effectExtent l="0" t="0" r="0" b="0"/>
          <wp:wrapNone/>
          <wp:docPr id="25" name="Imagen 25"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343A5D" w:rsidRPr="007D4651" w:rsidRDefault="008501C7" w:rsidP="007D4651">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Marzo</w:t>
    </w:r>
    <w:r w:rsidR="00BC4F9E">
      <w:rPr>
        <w:rFonts w:ascii="Times New Roman" w:hAnsi="Times New Roman" w:cs="Times New Roman"/>
        <w:color w:val="1F497D" w:themeColor="text2"/>
        <w:lang w:val="es-MX"/>
      </w:rPr>
      <w:t xml:space="preserve"> 2017</w:t>
    </w:r>
  </w:p>
  <w:p w:rsidR="00343A5D" w:rsidRDefault="00343A5D"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02272" behindDoc="0" locked="0" layoutInCell="1" allowOverlap="1" wp14:anchorId="236F96E4" wp14:editId="0AFC685F">
              <wp:simplePos x="0" y="0"/>
              <wp:positionH relativeFrom="column">
                <wp:posOffset>1710568</wp:posOffset>
              </wp:positionH>
              <wp:positionV relativeFrom="paragraph">
                <wp:posOffset>29118</wp:posOffset>
              </wp:positionV>
              <wp:extent cx="5155894" cy="45719"/>
              <wp:effectExtent l="38100" t="38100" r="64135" b="88265"/>
              <wp:wrapNone/>
              <wp:docPr id="20" name="20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0 Rectángulo" o:spid="_x0000_s1026" style="position:absolute;margin-left:134.7pt;margin-top:2.3pt;width:406pt;height:3.6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343A5D" w:rsidRDefault="00343A5D"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343A5D" w:rsidRPr="00E16925" w:rsidRDefault="00343A5D" w:rsidP="00E16925">
    <w:pPr>
      <w:pStyle w:val="Encabezado"/>
      <w:rPr>
        <w:rFonts w:ascii="Times New Roman" w:hAnsi="Times New Roman" w:cs="Times New Roman"/>
        <w:lang w:val="es-MX"/>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D41" w:rsidRPr="007D4651" w:rsidRDefault="00416D41" w:rsidP="007D4651">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682816" behindDoc="1" locked="0" layoutInCell="1" allowOverlap="1" wp14:anchorId="61D7EEE6" wp14:editId="33F4E9F0">
          <wp:simplePos x="0" y="0"/>
          <wp:positionH relativeFrom="column">
            <wp:posOffset>-89849</wp:posOffset>
          </wp:positionH>
          <wp:positionV relativeFrom="paragraph">
            <wp:posOffset>-163027</wp:posOffset>
          </wp:positionV>
          <wp:extent cx="1697990" cy="914400"/>
          <wp:effectExtent l="0" t="0" r="0" b="0"/>
          <wp:wrapNone/>
          <wp:docPr id="47" name="Imagen 47"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416D41" w:rsidRPr="007D4651" w:rsidRDefault="004A73AA" w:rsidP="007D4651">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Octu</w:t>
    </w:r>
    <w:r w:rsidR="009F164F">
      <w:rPr>
        <w:rFonts w:ascii="Times New Roman" w:hAnsi="Times New Roman" w:cs="Times New Roman"/>
        <w:color w:val="1F497D" w:themeColor="text2"/>
        <w:lang w:val="es-MX"/>
      </w:rPr>
      <w:t>bre</w:t>
    </w:r>
    <w:r w:rsidR="00416D41" w:rsidRPr="007D4651">
      <w:rPr>
        <w:rFonts w:ascii="Times New Roman" w:hAnsi="Times New Roman" w:cs="Times New Roman"/>
        <w:color w:val="1F497D" w:themeColor="text2"/>
        <w:lang w:val="es-MX"/>
      </w:rPr>
      <w:t xml:space="preserve"> 2016</w:t>
    </w:r>
  </w:p>
  <w:p w:rsidR="00416D41" w:rsidRDefault="00416D41"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681792" behindDoc="0" locked="0" layoutInCell="1" allowOverlap="1" wp14:anchorId="55BF63BE" wp14:editId="2A625BC6">
              <wp:simplePos x="0" y="0"/>
              <wp:positionH relativeFrom="column">
                <wp:posOffset>1710568</wp:posOffset>
              </wp:positionH>
              <wp:positionV relativeFrom="paragraph">
                <wp:posOffset>29118</wp:posOffset>
              </wp:positionV>
              <wp:extent cx="5155894" cy="45719"/>
              <wp:effectExtent l="38100" t="38100" r="64135" b="88265"/>
              <wp:wrapNone/>
              <wp:docPr id="38" name="38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38 Rectángulo" o:spid="_x0000_s1026" style="position:absolute;margin-left:134.7pt;margin-top:2.3pt;width:406pt;height:3.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k2nT4j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416D41" w:rsidRDefault="00416D41" w:rsidP="00E16925">
    <w:pPr>
      <w:pStyle w:val="Encabezado"/>
      <w:rPr>
        <w:rFonts w:ascii="Times New Roman" w:hAnsi="Times New Roman" w:cs="Times New Roman"/>
        <w:lang w:val="es-MX"/>
      </w:rPr>
    </w:pPr>
    <w:r>
      <w:rPr>
        <w:rFonts w:ascii="Times New Roman" w:hAnsi="Times New Roman" w:cs="Times New Roman"/>
        <w:lang w:val="es-MX"/>
      </w:rPr>
      <w:tab/>
    </w:r>
    <w:r w:rsidR="009F164F" w:rsidRPr="009F164F">
      <w:rPr>
        <w:rFonts w:ascii="Times New Roman" w:hAnsi="Times New Roman" w:cs="Times New Roman"/>
        <w:b/>
        <w:color w:val="4F81BD" w:themeColor="accent1"/>
        <w:lang w:val="es-MX"/>
      </w:rPr>
      <w:t>Dirección de Análisis y Política Fiscal</w:t>
    </w:r>
  </w:p>
  <w:p w:rsidR="00416D41" w:rsidRPr="00E16925" w:rsidRDefault="00416D41" w:rsidP="00E16925">
    <w:pPr>
      <w:pStyle w:val="Encabezado"/>
      <w:rPr>
        <w:rFonts w:ascii="Times New Roman" w:hAnsi="Times New Roman" w:cs="Times New Roman"/>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641F5"/>
    <w:multiLevelType w:val="hybridMultilevel"/>
    <w:tmpl w:val="6C9AD4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nsid w:val="0FD5081C"/>
    <w:multiLevelType w:val="hybridMultilevel"/>
    <w:tmpl w:val="7A082B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nsid w:val="172228C2"/>
    <w:multiLevelType w:val="hybridMultilevel"/>
    <w:tmpl w:val="8B2A419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
    <w:nsid w:val="318C7F52"/>
    <w:multiLevelType w:val="hybridMultilevel"/>
    <w:tmpl w:val="8BEAF8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nsid w:val="335D3E9F"/>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
    <w:nsid w:val="4F1F1422"/>
    <w:multiLevelType w:val="hybridMultilevel"/>
    <w:tmpl w:val="ECB205F6"/>
    <w:lvl w:ilvl="0" w:tplc="100A000F">
      <w:start w:val="1"/>
      <w:numFmt w:val="decimal"/>
      <w:lvlText w:val="%1."/>
      <w:lvlJc w:val="left"/>
      <w:pPr>
        <w:ind w:left="360" w:hanging="360"/>
      </w:pPr>
      <w:rPr>
        <w:rFonts w:hint="default"/>
      </w:rPr>
    </w:lvl>
    <w:lvl w:ilvl="1" w:tplc="15DACC7C">
      <w:start w:val="1"/>
      <w:numFmt w:val="bullet"/>
      <w:lvlText w:val="-"/>
      <w:lvlJc w:val="left"/>
      <w:pPr>
        <w:ind w:left="1080" w:hanging="360"/>
      </w:pPr>
      <w:rPr>
        <w:rFonts w:ascii="Courier New" w:hAnsi="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
    <w:nsid w:val="5EB178D6"/>
    <w:multiLevelType w:val="hybridMultilevel"/>
    <w:tmpl w:val="8794A3C4"/>
    <w:lvl w:ilvl="0" w:tplc="06C04D0C">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nsid w:val="7A3757A3"/>
    <w:multiLevelType w:val="hybridMultilevel"/>
    <w:tmpl w:val="C638E6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nsid w:val="7F885ABE"/>
    <w:multiLevelType w:val="hybridMultilevel"/>
    <w:tmpl w:val="F0FA2C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0"/>
  </w:num>
  <w:num w:numId="5">
    <w:abstractNumId w:val="6"/>
  </w:num>
  <w:num w:numId="6">
    <w:abstractNumId w:val="8"/>
  </w:num>
  <w:num w:numId="7">
    <w:abstractNumId w:val="7"/>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651"/>
    <w:rsid w:val="00006489"/>
    <w:rsid w:val="00053517"/>
    <w:rsid w:val="000723B2"/>
    <w:rsid w:val="00076AD2"/>
    <w:rsid w:val="0008348D"/>
    <w:rsid w:val="00087ADE"/>
    <w:rsid w:val="000C1547"/>
    <w:rsid w:val="000D016D"/>
    <w:rsid w:val="000D2FA4"/>
    <w:rsid w:val="00102939"/>
    <w:rsid w:val="00111B77"/>
    <w:rsid w:val="001259BA"/>
    <w:rsid w:val="00126011"/>
    <w:rsid w:val="00133DBA"/>
    <w:rsid w:val="00157402"/>
    <w:rsid w:val="00160EAC"/>
    <w:rsid w:val="00185253"/>
    <w:rsid w:val="001C2FF5"/>
    <w:rsid w:val="001C3649"/>
    <w:rsid w:val="001D46C3"/>
    <w:rsid w:val="001D5A5B"/>
    <w:rsid w:val="001E0E10"/>
    <w:rsid w:val="001F7141"/>
    <w:rsid w:val="00200FB1"/>
    <w:rsid w:val="002101C9"/>
    <w:rsid w:val="00213C92"/>
    <w:rsid w:val="00240D86"/>
    <w:rsid w:val="00242202"/>
    <w:rsid w:val="00244AAA"/>
    <w:rsid w:val="002512EC"/>
    <w:rsid w:val="00264C3A"/>
    <w:rsid w:val="002672D5"/>
    <w:rsid w:val="00270CAB"/>
    <w:rsid w:val="00276250"/>
    <w:rsid w:val="00281439"/>
    <w:rsid w:val="00281FB7"/>
    <w:rsid w:val="0029321A"/>
    <w:rsid w:val="00296D57"/>
    <w:rsid w:val="002D54E6"/>
    <w:rsid w:val="002E3F4C"/>
    <w:rsid w:val="002F2A42"/>
    <w:rsid w:val="00302D40"/>
    <w:rsid w:val="00343A5D"/>
    <w:rsid w:val="00345216"/>
    <w:rsid w:val="0034700C"/>
    <w:rsid w:val="0035279B"/>
    <w:rsid w:val="003531E5"/>
    <w:rsid w:val="003551C3"/>
    <w:rsid w:val="00364DD6"/>
    <w:rsid w:val="00367E12"/>
    <w:rsid w:val="00374D44"/>
    <w:rsid w:val="00376802"/>
    <w:rsid w:val="00381A4F"/>
    <w:rsid w:val="00393E59"/>
    <w:rsid w:val="003968DB"/>
    <w:rsid w:val="003A3726"/>
    <w:rsid w:val="003B13B4"/>
    <w:rsid w:val="003C7085"/>
    <w:rsid w:val="003D05CE"/>
    <w:rsid w:val="003D38A7"/>
    <w:rsid w:val="003D60E4"/>
    <w:rsid w:val="0040361C"/>
    <w:rsid w:val="00416D41"/>
    <w:rsid w:val="0042387A"/>
    <w:rsid w:val="00443621"/>
    <w:rsid w:val="00450531"/>
    <w:rsid w:val="004575BA"/>
    <w:rsid w:val="004606FD"/>
    <w:rsid w:val="00464DB9"/>
    <w:rsid w:val="004650C5"/>
    <w:rsid w:val="004745C7"/>
    <w:rsid w:val="00474EC2"/>
    <w:rsid w:val="00494BC6"/>
    <w:rsid w:val="00494D1D"/>
    <w:rsid w:val="00495F43"/>
    <w:rsid w:val="004A5DAF"/>
    <w:rsid w:val="004A6705"/>
    <w:rsid w:val="004A73AA"/>
    <w:rsid w:val="004B336D"/>
    <w:rsid w:val="004B5B0F"/>
    <w:rsid w:val="004C208F"/>
    <w:rsid w:val="004C3B4E"/>
    <w:rsid w:val="004D1F76"/>
    <w:rsid w:val="004D7482"/>
    <w:rsid w:val="004E358C"/>
    <w:rsid w:val="004E4FDE"/>
    <w:rsid w:val="004F72F9"/>
    <w:rsid w:val="005004C9"/>
    <w:rsid w:val="005016F6"/>
    <w:rsid w:val="005077A5"/>
    <w:rsid w:val="005364DE"/>
    <w:rsid w:val="005428C6"/>
    <w:rsid w:val="00573AB0"/>
    <w:rsid w:val="005879A5"/>
    <w:rsid w:val="0059421A"/>
    <w:rsid w:val="005948F0"/>
    <w:rsid w:val="005979EB"/>
    <w:rsid w:val="005A03A9"/>
    <w:rsid w:val="005A1EFC"/>
    <w:rsid w:val="005A6ACE"/>
    <w:rsid w:val="005B1B53"/>
    <w:rsid w:val="005B6D05"/>
    <w:rsid w:val="005D2336"/>
    <w:rsid w:val="0060094A"/>
    <w:rsid w:val="00606D70"/>
    <w:rsid w:val="00610F84"/>
    <w:rsid w:val="00623EC9"/>
    <w:rsid w:val="00625AA5"/>
    <w:rsid w:val="00632EE6"/>
    <w:rsid w:val="00643FB6"/>
    <w:rsid w:val="00651522"/>
    <w:rsid w:val="006525C5"/>
    <w:rsid w:val="006553D6"/>
    <w:rsid w:val="00660888"/>
    <w:rsid w:val="006668D4"/>
    <w:rsid w:val="0066791B"/>
    <w:rsid w:val="00670F33"/>
    <w:rsid w:val="006A1473"/>
    <w:rsid w:val="006B0D82"/>
    <w:rsid w:val="006D1857"/>
    <w:rsid w:val="006D7B6E"/>
    <w:rsid w:val="006D7BB6"/>
    <w:rsid w:val="006E27A5"/>
    <w:rsid w:val="006F157C"/>
    <w:rsid w:val="006F20A4"/>
    <w:rsid w:val="00715D8F"/>
    <w:rsid w:val="00741591"/>
    <w:rsid w:val="00741F6B"/>
    <w:rsid w:val="007452E2"/>
    <w:rsid w:val="00747C79"/>
    <w:rsid w:val="00754057"/>
    <w:rsid w:val="0076667B"/>
    <w:rsid w:val="00784AF8"/>
    <w:rsid w:val="007A6523"/>
    <w:rsid w:val="007A7814"/>
    <w:rsid w:val="007B3D0C"/>
    <w:rsid w:val="007C0C8C"/>
    <w:rsid w:val="007C4E46"/>
    <w:rsid w:val="007D0566"/>
    <w:rsid w:val="007D38A9"/>
    <w:rsid w:val="007D4651"/>
    <w:rsid w:val="007D7CFE"/>
    <w:rsid w:val="007E314A"/>
    <w:rsid w:val="007F6F57"/>
    <w:rsid w:val="00804E1C"/>
    <w:rsid w:val="00810A4C"/>
    <w:rsid w:val="008501C7"/>
    <w:rsid w:val="00851B4B"/>
    <w:rsid w:val="00861640"/>
    <w:rsid w:val="00891B11"/>
    <w:rsid w:val="00892181"/>
    <w:rsid w:val="00892DE1"/>
    <w:rsid w:val="008E5C4F"/>
    <w:rsid w:val="008E7869"/>
    <w:rsid w:val="008F312E"/>
    <w:rsid w:val="008F5DBB"/>
    <w:rsid w:val="00910163"/>
    <w:rsid w:val="00916532"/>
    <w:rsid w:val="00942163"/>
    <w:rsid w:val="00950874"/>
    <w:rsid w:val="00965F44"/>
    <w:rsid w:val="00972FCF"/>
    <w:rsid w:val="00990C9B"/>
    <w:rsid w:val="00993857"/>
    <w:rsid w:val="00997A06"/>
    <w:rsid w:val="009A12F9"/>
    <w:rsid w:val="009A3187"/>
    <w:rsid w:val="009A47FE"/>
    <w:rsid w:val="009A5380"/>
    <w:rsid w:val="009B7148"/>
    <w:rsid w:val="009C0583"/>
    <w:rsid w:val="009C361A"/>
    <w:rsid w:val="009C4027"/>
    <w:rsid w:val="009D0D94"/>
    <w:rsid w:val="009D25F9"/>
    <w:rsid w:val="009D2C22"/>
    <w:rsid w:val="009F164F"/>
    <w:rsid w:val="009F628A"/>
    <w:rsid w:val="00A25906"/>
    <w:rsid w:val="00A26C76"/>
    <w:rsid w:val="00A64AE4"/>
    <w:rsid w:val="00A7383F"/>
    <w:rsid w:val="00A92D6E"/>
    <w:rsid w:val="00A970F8"/>
    <w:rsid w:val="00AA11B9"/>
    <w:rsid w:val="00AA19B3"/>
    <w:rsid w:val="00AA7DB0"/>
    <w:rsid w:val="00AE2039"/>
    <w:rsid w:val="00AF7ACE"/>
    <w:rsid w:val="00B136D6"/>
    <w:rsid w:val="00B21010"/>
    <w:rsid w:val="00B26014"/>
    <w:rsid w:val="00B2709E"/>
    <w:rsid w:val="00B5079C"/>
    <w:rsid w:val="00B57AAB"/>
    <w:rsid w:val="00B667BC"/>
    <w:rsid w:val="00B80E43"/>
    <w:rsid w:val="00B86812"/>
    <w:rsid w:val="00B9286A"/>
    <w:rsid w:val="00BC4F9E"/>
    <w:rsid w:val="00BC7539"/>
    <w:rsid w:val="00BC79C1"/>
    <w:rsid w:val="00BD3A7C"/>
    <w:rsid w:val="00C074EF"/>
    <w:rsid w:val="00C33674"/>
    <w:rsid w:val="00C41470"/>
    <w:rsid w:val="00C646C4"/>
    <w:rsid w:val="00C85696"/>
    <w:rsid w:val="00C935C2"/>
    <w:rsid w:val="00CA57D4"/>
    <w:rsid w:val="00CA6173"/>
    <w:rsid w:val="00CA65FF"/>
    <w:rsid w:val="00CB0938"/>
    <w:rsid w:val="00CC3420"/>
    <w:rsid w:val="00CC547C"/>
    <w:rsid w:val="00CC60FF"/>
    <w:rsid w:val="00CD7760"/>
    <w:rsid w:val="00CF0F94"/>
    <w:rsid w:val="00CF2D98"/>
    <w:rsid w:val="00CF73B4"/>
    <w:rsid w:val="00D01738"/>
    <w:rsid w:val="00D24DA4"/>
    <w:rsid w:val="00D26F28"/>
    <w:rsid w:val="00D30D15"/>
    <w:rsid w:val="00D32839"/>
    <w:rsid w:val="00D40769"/>
    <w:rsid w:val="00D4202F"/>
    <w:rsid w:val="00D43052"/>
    <w:rsid w:val="00D466D2"/>
    <w:rsid w:val="00D50ABF"/>
    <w:rsid w:val="00D532B4"/>
    <w:rsid w:val="00D616E2"/>
    <w:rsid w:val="00D63CFC"/>
    <w:rsid w:val="00D66D34"/>
    <w:rsid w:val="00D73D1A"/>
    <w:rsid w:val="00D75C74"/>
    <w:rsid w:val="00D858E5"/>
    <w:rsid w:val="00DA53C7"/>
    <w:rsid w:val="00DA5809"/>
    <w:rsid w:val="00DA7B48"/>
    <w:rsid w:val="00DC44CF"/>
    <w:rsid w:val="00DD01C5"/>
    <w:rsid w:val="00DD23C0"/>
    <w:rsid w:val="00DD4AB3"/>
    <w:rsid w:val="00DD4D5D"/>
    <w:rsid w:val="00DF71A8"/>
    <w:rsid w:val="00E02A24"/>
    <w:rsid w:val="00E16925"/>
    <w:rsid w:val="00E3382E"/>
    <w:rsid w:val="00E3492D"/>
    <w:rsid w:val="00E43BF3"/>
    <w:rsid w:val="00E47525"/>
    <w:rsid w:val="00E47F91"/>
    <w:rsid w:val="00E5126C"/>
    <w:rsid w:val="00E63798"/>
    <w:rsid w:val="00E85293"/>
    <w:rsid w:val="00E94F03"/>
    <w:rsid w:val="00EA37FC"/>
    <w:rsid w:val="00EB0687"/>
    <w:rsid w:val="00EB0FC5"/>
    <w:rsid w:val="00EB317F"/>
    <w:rsid w:val="00ED2C29"/>
    <w:rsid w:val="00EE72DB"/>
    <w:rsid w:val="00EF56F9"/>
    <w:rsid w:val="00F10A29"/>
    <w:rsid w:val="00F20D0D"/>
    <w:rsid w:val="00F229CE"/>
    <w:rsid w:val="00F644EA"/>
    <w:rsid w:val="00F75C84"/>
    <w:rsid w:val="00F76491"/>
    <w:rsid w:val="00FA3B81"/>
    <w:rsid w:val="00FA4840"/>
    <w:rsid w:val="00FA5DE4"/>
    <w:rsid w:val="00FB2C2F"/>
    <w:rsid w:val="00FD61B9"/>
    <w:rsid w:val="00FE56B8"/>
    <w:rsid w:val="00FE65DB"/>
    <w:rsid w:val="00FF58D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4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4651"/>
  </w:style>
  <w:style w:type="paragraph" w:styleId="Piedepgina">
    <w:name w:val="footer"/>
    <w:basedOn w:val="Normal"/>
    <w:link w:val="PiedepginaCar"/>
    <w:uiPriority w:val="99"/>
    <w:unhideWhenUsed/>
    <w:rsid w:val="007D4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4651"/>
  </w:style>
  <w:style w:type="paragraph" w:styleId="Sinespaciado">
    <w:name w:val="No Spacing"/>
    <w:link w:val="SinespaciadoCar"/>
    <w:uiPriority w:val="1"/>
    <w:qFormat/>
    <w:rsid w:val="007D4651"/>
    <w:pPr>
      <w:spacing w:after="0" w:line="240" w:lineRule="auto"/>
    </w:pPr>
  </w:style>
  <w:style w:type="character" w:customStyle="1" w:styleId="SinespaciadoCar">
    <w:name w:val="Sin espaciado Car"/>
    <w:basedOn w:val="Fuentedeprrafopredeter"/>
    <w:link w:val="Sinespaciado"/>
    <w:uiPriority w:val="1"/>
    <w:locked/>
    <w:rsid w:val="007D4651"/>
  </w:style>
  <w:style w:type="paragraph" w:styleId="Textonotapie">
    <w:name w:val="footnote text"/>
    <w:aliases w:val="Texto nota pie Car Car Car Car Car Car,Texto nota pie Car Car Car Car Car Car Car,Texto nota pie Car Car Car Car Car Car Ca"/>
    <w:basedOn w:val="Normal"/>
    <w:link w:val="TextonotapieCar"/>
    <w:uiPriority w:val="99"/>
    <w:unhideWhenUsed/>
    <w:rsid w:val="00FA3B81"/>
    <w:pPr>
      <w:spacing w:after="0" w:line="240" w:lineRule="auto"/>
    </w:pPr>
    <w:rPr>
      <w:sz w:val="20"/>
      <w:szCs w:val="20"/>
    </w:rPr>
  </w:style>
  <w:style w:type="character" w:customStyle="1" w:styleId="TextonotapieCar">
    <w:name w:val="Texto nota pie Car"/>
    <w:aliases w:val="Texto nota pie Car Car Car Car Car Car Car1,Texto nota pie Car Car Car Car Car Car Car Car,Texto nota pie Car Car Car Car Car Car Ca Car"/>
    <w:basedOn w:val="Fuentedeprrafopredeter"/>
    <w:link w:val="Textonotapie"/>
    <w:uiPriority w:val="99"/>
    <w:rsid w:val="00FA3B81"/>
    <w:rPr>
      <w:sz w:val="20"/>
      <w:szCs w:val="20"/>
    </w:rPr>
  </w:style>
  <w:style w:type="character" w:styleId="Refdenotaalpie">
    <w:name w:val="footnote reference"/>
    <w:basedOn w:val="Fuentedeprrafopredeter"/>
    <w:uiPriority w:val="99"/>
    <w:semiHidden/>
    <w:unhideWhenUsed/>
    <w:rsid w:val="00FA3B81"/>
    <w:rPr>
      <w:vertAlign w:val="superscript"/>
    </w:rPr>
  </w:style>
  <w:style w:type="table" w:styleId="Tablaconcuadrcula">
    <w:name w:val="Table Grid"/>
    <w:basedOn w:val="Tablanormal"/>
    <w:uiPriority w:val="59"/>
    <w:rsid w:val="00FA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D01C5"/>
    <w:pPr>
      <w:spacing w:after="0" w:line="240" w:lineRule="auto"/>
      <w:ind w:left="720"/>
      <w:contextualSpacing/>
    </w:pPr>
  </w:style>
  <w:style w:type="paragraph" w:styleId="NormalWeb">
    <w:name w:val="Normal (Web)"/>
    <w:basedOn w:val="Normal"/>
    <w:uiPriority w:val="99"/>
    <w:semiHidden/>
    <w:unhideWhenUsed/>
    <w:rsid w:val="00213C92"/>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customStyle="1" w:styleId="Default">
    <w:name w:val="Default"/>
    <w:rsid w:val="00EB317F"/>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4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4651"/>
  </w:style>
  <w:style w:type="paragraph" w:styleId="Piedepgina">
    <w:name w:val="footer"/>
    <w:basedOn w:val="Normal"/>
    <w:link w:val="PiedepginaCar"/>
    <w:uiPriority w:val="99"/>
    <w:unhideWhenUsed/>
    <w:rsid w:val="007D4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4651"/>
  </w:style>
  <w:style w:type="paragraph" w:styleId="Sinespaciado">
    <w:name w:val="No Spacing"/>
    <w:link w:val="SinespaciadoCar"/>
    <w:uiPriority w:val="1"/>
    <w:qFormat/>
    <w:rsid w:val="007D4651"/>
    <w:pPr>
      <w:spacing w:after="0" w:line="240" w:lineRule="auto"/>
    </w:pPr>
  </w:style>
  <w:style w:type="character" w:customStyle="1" w:styleId="SinespaciadoCar">
    <w:name w:val="Sin espaciado Car"/>
    <w:basedOn w:val="Fuentedeprrafopredeter"/>
    <w:link w:val="Sinespaciado"/>
    <w:uiPriority w:val="1"/>
    <w:locked/>
    <w:rsid w:val="007D4651"/>
  </w:style>
  <w:style w:type="paragraph" w:styleId="Textonotapie">
    <w:name w:val="footnote text"/>
    <w:aliases w:val="Texto nota pie Car Car Car Car Car Car,Texto nota pie Car Car Car Car Car Car Car,Texto nota pie Car Car Car Car Car Car Ca"/>
    <w:basedOn w:val="Normal"/>
    <w:link w:val="TextonotapieCar"/>
    <w:uiPriority w:val="99"/>
    <w:unhideWhenUsed/>
    <w:rsid w:val="00FA3B81"/>
    <w:pPr>
      <w:spacing w:after="0" w:line="240" w:lineRule="auto"/>
    </w:pPr>
    <w:rPr>
      <w:sz w:val="20"/>
      <w:szCs w:val="20"/>
    </w:rPr>
  </w:style>
  <w:style w:type="character" w:customStyle="1" w:styleId="TextonotapieCar">
    <w:name w:val="Texto nota pie Car"/>
    <w:aliases w:val="Texto nota pie Car Car Car Car Car Car Car1,Texto nota pie Car Car Car Car Car Car Car Car,Texto nota pie Car Car Car Car Car Car Ca Car"/>
    <w:basedOn w:val="Fuentedeprrafopredeter"/>
    <w:link w:val="Textonotapie"/>
    <w:uiPriority w:val="99"/>
    <w:rsid w:val="00FA3B81"/>
    <w:rPr>
      <w:sz w:val="20"/>
      <w:szCs w:val="20"/>
    </w:rPr>
  </w:style>
  <w:style w:type="character" w:styleId="Refdenotaalpie">
    <w:name w:val="footnote reference"/>
    <w:basedOn w:val="Fuentedeprrafopredeter"/>
    <w:uiPriority w:val="99"/>
    <w:semiHidden/>
    <w:unhideWhenUsed/>
    <w:rsid w:val="00FA3B81"/>
    <w:rPr>
      <w:vertAlign w:val="superscript"/>
    </w:rPr>
  </w:style>
  <w:style w:type="table" w:styleId="Tablaconcuadrcula">
    <w:name w:val="Table Grid"/>
    <w:basedOn w:val="Tablanormal"/>
    <w:uiPriority w:val="59"/>
    <w:rsid w:val="00FA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D01C5"/>
    <w:pPr>
      <w:spacing w:after="0" w:line="240" w:lineRule="auto"/>
      <w:ind w:left="720"/>
      <w:contextualSpacing/>
    </w:pPr>
  </w:style>
  <w:style w:type="paragraph" w:styleId="NormalWeb">
    <w:name w:val="Normal (Web)"/>
    <w:basedOn w:val="Normal"/>
    <w:uiPriority w:val="99"/>
    <w:semiHidden/>
    <w:unhideWhenUsed/>
    <w:rsid w:val="00213C92"/>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customStyle="1" w:styleId="Default">
    <w:name w:val="Default"/>
    <w:rsid w:val="00EB317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221259">
      <w:bodyDiv w:val="1"/>
      <w:marLeft w:val="0"/>
      <w:marRight w:val="0"/>
      <w:marTop w:val="0"/>
      <w:marBottom w:val="0"/>
      <w:divBdr>
        <w:top w:val="none" w:sz="0" w:space="0" w:color="auto"/>
        <w:left w:val="none" w:sz="0" w:space="0" w:color="auto"/>
        <w:bottom w:val="none" w:sz="0" w:space="0" w:color="auto"/>
        <w:right w:val="none" w:sz="0" w:space="0" w:color="auto"/>
      </w:divBdr>
    </w:div>
    <w:div w:id="124178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4.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4.xml"/><Relationship Id="rId32"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eader" Target="header4.xml"/><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image" Target="media/image6.emf"/><Relationship Id="rId27" Type="http://schemas.openxmlformats.org/officeDocument/2006/relationships/footer" Target="footer5.xml"/><Relationship Id="rId30"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59540206246034"/>
          <c:y val="3.7184594953519258E-2"/>
          <c:w val="0.88540021606210118"/>
          <c:h val="0.76669473154221623"/>
        </c:manualLayout>
      </c:layout>
      <c:lineChart>
        <c:grouping val="standard"/>
        <c:varyColors val="0"/>
        <c:ser>
          <c:idx val="0"/>
          <c:order val="0"/>
          <c:tx>
            <c:strRef>
              <c:f>Hoja1!$B$1</c:f>
              <c:strCache>
                <c:ptCount val="1"/>
                <c:pt idx="0">
                  <c:v>2016</c:v>
                </c:pt>
              </c:strCache>
            </c:strRef>
          </c:tx>
          <c:spPr>
            <a:ln w="15875">
              <a:prstDash val="sysDot"/>
            </a:ln>
          </c:spPr>
          <c:dLbls>
            <c:txPr>
              <a:bodyPr/>
              <a:lstStyle/>
              <a:p>
                <a:pPr>
                  <a:defRPr b="1">
                    <a:solidFill>
                      <a:srgbClr val="0070C0"/>
                    </a:solidFill>
                    <a:latin typeface="Times New Roman" panose="02020603050405020304" pitchFamily="18" charset="0"/>
                    <a:cs typeface="Times New Roman" panose="02020603050405020304" pitchFamily="18" charset="0"/>
                  </a:defRPr>
                </a:pPr>
                <a:endParaRPr lang="es-GT"/>
              </a:p>
            </c:txPr>
            <c:dLblPos val="t"/>
            <c:showLegendKey val="0"/>
            <c:showVal val="1"/>
            <c:showCatName val="0"/>
            <c:showSerName val="0"/>
            <c:showPercent val="0"/>
            <c:showBubbleSize val="0"/>
            <c:showLeaderLines val="0"/>
          </c:dLbls>
          <c:cat>
            <c:strRef>
              <c:f>Hoja1!$A$2:$A$4</c:f>
              <c:strCache>
                <c:ptCount val="3"/>
                <c:pt idx="0">
                  <c:v>Ene</c:v>
                </c:pt>
                <c:pt idx="1">
                  <c:v>Feb</c:v>
                </c:pt>
                <c:pt idx="2">
                  <c:v>Mar</c:v>
                </c:pt>
              </c:strCache>
            </c:strRef>
          </c:cat>
          <c:val>
            <c:numRef>
              <c:f>Hoja1!$B$2:$B$4</c:f>
              <c:numCache>
                <c:formatCode>0.0%</c:formatCode>
                <c:ptCount val="3"/>
                <c:pt idx="0">
                  <c:v>2.6818050354776579E-2</c:v>
                </c:pt>
                <c:pt idx="1">
                  <c:v>1.7037438450319575E-2</c:v>
                </c:pt>
                <c:pt idx="2">
                  <c:v>1.5090896491614769E-2</c:v>
                </c:pt>
              </c:numCache>
            </c:numRef>
          </c:val>
          <c:smooth val="0"/>
        </c:ser>
        <c:ser>
          <c:idx val="1"/>
          <c:order val="1"/>
          <c:tx>
            <c:strRef>
              <c:f>Hoja1!$C$1</c:f>
              <c:strCache>
                <c:ptCount val="1"/>
                <c:pt idx="0">
                  <c:v>2017</c:v>
                </c:pt>
              </c:strCache>
            </c:strRef>
          </c:tx>
          <c:spPr>
            <a:ln w="19050">
              <a:solidFill>
                <a:srgbClr val="FF0000"/>
              </a:solidFill>
              <a:prstDash val="sysDash"/>
            </a:ln>
          </c:spPr>
          <c:marker>
            <c:symbol val="circle"/>
            <c:size val="3"/>
            <c:spPr>
              <a:solidFill>
                <a:srgbClr val="FF0000"/>
              </a:solidFill>
            </c:spPr>
          </c:marker>
          <c:dLbls>
            <c:txPr>
              <a:bodyPr/>
              <a:lstStyle/>
              <a:p>
                <a:pPr>
                  <a:defRPr b="1">
                    <a:solidFill>
                      <a:srgbClr val="FF0000"/>
                    </a:solidFill>
                    <a:latin typeface="Times New Roman" panose="02020603050405020304" pitchFamily="18" charset="0"/>
                    <a:cs typeface="Times New Roman" panose="02020603050405020304" pitchFamily="18" charset="0"/>
                  </a:defRPr>
                </a:pPr>
                <a:endParaRPr lang="es-GT"/>
              </a:p>
            </c:txPr>
            <c:dLblPos val="t"/>
            <c:showLegendKey val="0"/>
            <c:showVal val="1"/>
            <c:showCatName val="0"/>
            <c:showSerName val="0"/>
            <c:showPercent val="0"/>
            <c:showBubbleSize val="0"/>
            <c:showLeaderLines val="0"/>
          </c:dLbls>
          <c:cat>
            <c:strRef>
              <c:f>Hoja1!$A$2:$A$4</c:f>
              <c:strCache>
                <c:ptCount val="3"/>
                <c:pt idx="0">
                  <c:v>Ene</c:v>
                </c:pt>
                <c:pt idx="1">
                  <c:v>Feb</c:v>
                </c:pt>
                <c:pt idx="2">
                  <c:v>Mar</c:v>
                </c:pt>
              </c:strCache>
            </c:strRef>
          </c:cat>
          <c:val>
            <c:numRef>
              <c:f>Hoja1!$C$2:$C$4</c:f>
              <c:numCache>
                <c:formatCode>0.0%</c:formatCode>
                <c:ptCount val="3"/>
                <c:pt idx="0">
                  <c:v>0.14699999999999999</c:v>
                </c:pt>
                <c:pt idx="1">
                  <c:v>0.14099999999999999</c:v>
                </c:pt>
                <c:pt idx="2">
                  <c:v>0.155</c:v>
                </c:pt>
              </c:numCache>
            </c:numRef>
          </c:val>
          <c:smooth val="0"/>
        </c:ser>
        <c:ser>
          <c:idx val="3"/>
          <c:order val="2"/>
          <c:tx>
            <c:strRef>
              <c:f>Hoja1!$E$1</c:f>
              <c:strCache>
                <c:ptCount val="1"/>
                <c:pt idx="0">
                  <c:v>Obs 2017</c:v>
                </c:pt>
              </c:strCache>
            </c:strRef>
          </c:tx>
          <c:spPr>
            <a:ln>
              <a:noFill/>
            </a:ln>
          </c:spPr>
          <c:marker>
            <c:symbol val="circle"/>
            <c:size val="7"/>
            <c:spPr>
              <a:solidFill>
                <a:srgbClr val="7030A0"/>
              </a:solidFill>
            </c:spPr>
          </c:marker>
          <c:dLbls>
            <c:dLbl>
              <c:idx val="0"/>
              <c:layout>
                <c:manualLayout>
                  <c:x val="-5.4794520547945202E-2"/>
                  <c:y val="4.7808764940239043E-2"/>
                </c:manualLayout>
              </c:layout>
              <c:showLegendKey val="0"/>
              <c:showVal val="1"/>
              <c:showCatName val="0"/>
              <c:showSerName val="0"/>
              <c:showPercent val="0"/>
              <c:showBubbleSize val="0"/>
            </c:dLbl>
            <c:dLbl>
              <c:idx val="1"/>
              <c:layout>
                <c:manualLayout>
                  <c:x val="-0.1050228310502283"/>
                  <c:y val="4.7808764940239043E-2"/>
                </c:manualLayout>
              </c:layout>
              <c:showLegendKey val="0"/>
              <c:showVal val="1"/>
              <c:showCatName val="0"/>
              <c:showSerName val="0"/>
              <c:showPercent val="0"/>
              <c:showBubbleSize val="0"/>
            </c:dLbl>
            <c:txPr>
              <a:bodyPr/>
              <a:lstStyle/>
              <a:p>
                <a:pPr>
                  <a:defRPr b="1">
                    <a:solidFill>
                      <a:srgbClr val="7030A0"/>
                    </a:solidFill>
                    <a:latin typeface="Times New Roman" panose="02020603050405020304" pitchFamily="18" charset="0"/>
                    <a:cs typeface="Times New Roman" panose="02020603050405020304" pitchFamily="18" charset="0"/>
                  </a:defRPr>
                </a:pPr>
                <a:endParaRPr lang="es-GT"/>
              </a:p>
            </c:txPr>
            <c:showLegendKey val="0"/>
            <c:showVal val="1"/>
            <c:showCatName val="0"/>
            <c:showSerName val="0"/>
            <c:showPercent val="0"/>
            <c:showBubbleSize val="0"/>
            <c:showLeaderLines val="0"/>
          </c:dLbls>
          <c:cat>
            <c:strRef>
              <c:f>Hoja1!$A$2:$A$4</c:f>
              <c:strCache>
                <c:ptCount val="3"/>
                <c:pt idx="0">
                  <c:v>Ene</c:v>
                </c:pt>
                <c:pt idx="1">
                  <c:v>Feb</c:v>
                </c:pt>
                <c:pt idx="2">
                  <c:v>Mar</c:v>
                </c:pt>
              </c:strCache>
            </c:strRef>
          </c:cat>
          <c:val>
            <c:numRef>
              <c:f>Hoja1!$E$2:$E$4</c:f>
              <c:numCache>
                <c:formatCode>0.0%</c:formatCode>
                <c:ptCount val="3"/>
                <c:pt idx="0">
                  <c:v>6.9479850691022582E-2</c:v>
                </c:pt>
                <c:pt idx="1">
                  <c:v>7.331170808422427E-2</c:v>
                </c:pt>
                <c:pt idx="2">
                  <c:v>0.10030568131059381</c:v>
                </c:pt>
              </c:numCache>
            </c:numRef>
          </c:val>
          <c:smooth val="0"/>
        </c:ser>
        <c:dLbls>
          <c:showLegendKey val="0"/>
          <c:showVal val="0"/>
          <c:showCatName val="0"/>
          <c:showSerName val="0"/>
          <c:showPercent val="0"/>
          <c:showBubbleSize val="0"/>
        </c:dLbls>
        <c:marker val="1"/>
        <c:smooth val="0"/>
        <c:axId val="143440128"/>
        <c:axId val="143912960"/>
      </c:lineChart>
      <c:catAx>
        <c:axId val="143440128"/>
        <c:scaling>
          <c:orientation val="minMax"/>
        </c:scaling>
        <c:delete val="0"/>
        <c:axPos val="b"/>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es-GT"/>
          </a:p>
        </c:txPr>
        <c:crossAx val="143912960"/>
        <c:crosses val="autoZero"/>
        <c:auto val="1"/>
        <c:lblAlgn val="ctr"/>
        <c:lblOffset val="100"/>
        <c:noMultiLvlLbl val="0"/>
      </c:catAx>
      <c:valAx>
        <c:axId val="143912960"/>
        <c:scaling>
          <c:orientation val="minMax"/>
        </c:scaling>
        <c:delete val="0"/>
        <c:axPos val="l"/>
        <c:numFmt formatCode="0%" sourceLinked="0"/>
        <c:majorTickMark val="out"/>
        <c:minorTickMark val="none"/>
        <c:tickLblPos val="nextTo"/>
        <c:txPr>
          <a:bodyPr/>
          <a:lstStyle/>
          <a:p>
            <a:pPr>
              <a:defRPr sz="800" b="1">
                <a:latin typeface="Times New Roman" panose="02020603050405020304" pitchFamily="18" charset="0"/>
                <a:cs typeface="Times New Roman" panose="02020603050405020304" pitchFamily="18" charset="0"/>
              </a:defRPr>
            </a:pPr>
            <a:endParaRPr lang="es-GT"/>
          </a:p>
        </c:txPr>
        <c:crossAx val="143440128"/>
        <c:crosses val="autoZero"/>
        <c:crossBetween val="between"/>
      </c:valAx>
    </c:plotArea>
    <c:legend>
      <c:legendPos val="b"/>
      <c:layout>
        <c:manualLayout>
          <c:xMode val="edge"/>
          <c:yMode val="edge"/>
          <c:x val="0"/>
          <c:y val="0.89877633821668701"/>
          <c:w val="1"/>
          <c:h val="9.8399472974244742E-2"/>
        </c:manualLayout>
      </c:layout>
      <c:overlay val="0"/>
      <c:txPr>
        <a:bodyPr/>
        <a:lstStyle/>
        <a:p>
          <a:pPr>
            <a:defRPr sz="700" b="1">
              <a:latin typeface="Times New Roman" panose="02020603050405020304" pitchFamily="18" charset="0"/>
              <a:cs typeface="Times New Roman" panose="02020603050405020304" pitchFamily="18" charset="0"/>
            </a:defRPr>
          </a:pPr>
          <a:endParaRPr lang="es-GT"/>
        </a:p>
      </c:txPr>
    </c:legend>
    <c:plotVisOnly val="1"/>
    <c:dispBlanksAs val="gap"/>
    <c:showDLblsOverMax val="0"/>
  </c:chart>
  <c:spPr>
    <a:ln>
      <a:noFill/>
    </a:ln>
  </c:spPr>
  <c:txPr>
    <a:bodyPr/>
    <a:lstStyle/>
    <a:p>
      <a:pPr>
        <a:defRPr sz="700"/>
      </a:pPr>
      <a:endParaRPr lang="es-G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181944969056"/>
          <c:y val="2.1275612153419093E-2"/>
          <c:w val="0.88581805503094402"/>
          <c:h val="0.8060978943052679"/>
        </c:manualLayout>
      </c:layout>
      <c:barChart>
        <c:barDir val="col"/>
        <c:grouping val="clustered"/>
        <c:varyColors val="0"/>
        <c:ser>
          <c:idx val="0"/>
          <c:order val="0"/>
          <c:tx>
            <c:strRef>
              <c:f>Hoja1!$B$1</c:f>
              <c:strCache>
                <c:ptCount val="1"/>
                <c:pt idx="0">
                  <c:v>2016</c:v>
                </c:pt>
              </c:strCache>
            </c:strRef>
          </c:tx>
          <c:invertIfNegative val="0"/>
          <c:dLbls>
            <c:txPr>
              <a:bodyPr rot="-5400000" vert="horz"/>
              <a:lstStyle/>
              <a:p>
                <a:pPr>
                  <a:defRPr b="1"/>
                </a:pPr>
                <a:endParaRPr lang="es-GT"/>
              </a:p>
            </c:txPr>
            <c:dLblPos val="inEnd"/>
            <c:showLegendKey val="0"/>
            <c:showVal val="1"/>
            <c:showCatName val="0"/>
            <c:showSerName val="0"/>
            <c:showPercent val="0"/>
            <c:showBubbleSize val="0"/>
            <c:showLeaderLines val="0"/>
          </c:dLbls>
          <c:cat>
            <c:strRef>
              <c:f>Hoja1!$A$2:$A$4</c:f>
              <c:strCache>
                <c:ptCount val="3"/>
                <c:pt idx="0">
                  <c:v>Ene</c:v>
                </c:pt>
                <c:pt idx="1">
                  <c:v>Feb</c:v>
                </c:pt>
                <c:pt idx="2">
                  <c:v>Mar</c:v>
                </c:pt>
              </c:strCache>
            </c:strRef>
          </c:cat>
          <c:val>
            <c:numRef>
              <c:f>Hoja1!$B$2:$B$4</c:f>
              <c:numCache>
                <c:formatCode>_(* #,##0.0_);_(* \(#,##0.0\);_(* "-"??_);_(@_)</c:formatCode>
                <c:ptCount val="3"/>
                <c:pt idx="0">
                  <c:v>2043.2844103</c:v>
                </c:pt>
                <c:pt idx="1">
                  <c:v>1825.3735969200002</c:v>
                </c:pt>
                <c:pt idx="2">
                  <c:v>1855.5848243999999</c:v>
                </c:pt>
              </c:numCache>
            </c:numRef>
          </c:val>
        </c:ser>
        <c:ser>
          <c:idx val="1"/>
          <c:order val="1"/>
          <c:tx>
            <c:strRef>
              <c:f>Hoja1!$C$1</c:f>
              <c:strCache>
                <c:ptCount val="1"/>
                <c:pt idx="0">
                  <c:v>2017</c:v>
                </c:pt>
              </c:strCache>
            </c:strRef>
          </c:tx>
          <c:invertIfNegative val="0"/>
          <c:dLbls>
            <c:txPr>
              <a:bodyPr rot="-5400000" vert="horz"/>
              <a:lstStyle/>
              <a:p>
                <a:pPr>
                  <a:defRPr b="1">
                    <a:solidFill>
                      <a:sysClr val="windowText" lastClr="000000"/>
                    </a:solidFill>
                  </a:defRPr>
                </a:pPr>
                <a:endParaRPr lang="es-GT"/>
              </a:p>
            </c:txPr>
            <c:dLblPos val="inBase"/>
            <c:showLegendKey val="0"/>
            <c:showVal val="1"/>
            <c:showCatName val="0"/>
            <c:showSerName val="0"/>
            <c:showPercent val="0"/>
            <c:showBubbleSize val="0"/>
            <c:showLeaderLines val="0"/>
          </c:dLbls>
          <c:cat>
            <c:strRef>
              <c:f>Hoja1!$A$2:$A$4</c:f>
              <c:strCache>
                <c:ptCount val="3"/>
                <c:pt idx="0">
                  <c:v>Ene</c:v>
                </c:pt>
                <c:pt idx="1">
                  <c:v>Feb</c:v>
                </c:pt>
                <c:pt idx="2">
                  <c:v>Mar</c:v>
                </c:pt>
              </c:strCache>
            </c:strRef>
          </c:cat>
          <c:val>
            <c:numRef>
              <c:f>Hoja1!$C$2:$C$4</c:f>
              <c:numCache>
                <c:formatCode>_(* #,##0.0_);_(* \(#,##0.0\);_(* "-"??_);_(@_)</c:formatCode>
                <c:ptCount val="3"/>
                <c:pt idx="0">
                  <c:v>2221.2669246199998</c:v>
                </c:pt>
                <c:pt idx="1">
                  <c:v>1952.1000423099999</c:v>
                </c:pt>
                <c:pt idx="2">
                  <c:v>2103.7231083300003</c:v>
                </c:pt>
              </c:numCache>
            </c:numRef>
          </c:val>
        </c:ser>
        <c:ser>
          <c:idx val="2"/>
          <c:order val="2"/>
          <c:tx>
            <c:strRef>
              <c:f>Hoja1!$D$1</c:f>
              <c:strCache>
                <c:ptCount val="1"/>
                <c:pt idx="0">
                  <c:v>Meta</c:v>
                </c:pt>
              </c:strCache>
            </c:strRef>
          </c:tx>
          <c:invertIfNegative val="0"/>
          <c:dLbls>
            <c:txPr>
              <a:bodyPr rot="-5400000" vert="horz"/>
              <a:lstStyle/>
              <a:p>
                <a:pPr>
                  <a:defRPr b="1"/>
                </a:pPr>
                <a:endParaRPr lang="es-GT"/>
              </a:p>
            </c:txPr>
            <c:dLblPos val="inEnd"/>
            <c:showLegendKey val="0"/>
            <c:showVal val="1"/>
            <c:showCatName val="0"/>
            <c:showSerName val="0"/>
            <c:showPercent val="0"/>
            <c:showBubbleSize val="0"/>
            <c:showLeaderLines val="0"/>
          </c:dLbls>
          <c:cat>
            <c:strRef>
              <c:f>Hoja1!$A$2:$A$4</c:f>
              <c:strCache>
                <c:ptCount val="3"/>
                <c:pt idx="0">
                  <c:v>Ene</c:v>
                </c:pt>
                <c:pt idx="1">
                  <c:v>Feb</c:v>
                </c:pt>
                <c:pt idx="2">
                  <c:v>Mar</c:v>
                </c:pt>
              </c:strCache>
            </c:strRef>
          </c:cat>
          <c:val>
            <c:numRef>
              <c:f>Hoja1!$D$2:$D$4</c:f>
              <c:numCache>
                <c:formatCode>_(* #,##0.0_);_(* \(#,##0.0\);_(* "-"??_);_(@_)</c:formatCode>
                <c:ptCount val="3"/>
                <c:pt idx="0">
                  <c:v>2398.9027422899999</c:v>
                </c:pt>
                <c:pt idx="1">
                  <c:v>2083.9048933399999</c:v>
                </c:pt>
                <c:pt idx="2">
                  <c:v>2238.75247416</c:v>
                </c:pt>
              </c:numCache>
            </c:numRef>
          </c:val>
        </c:ser>
        <c:dLbls>
          <c:showLegendKey val="0"/>
          <c:showVal val="0"/>
          <c:showCatName val="0"/>
          <c:showSerName val="0"/>
          <c:showPercent val="0"/>
          <c:showBubbleSize val="0"/>
        </c:dLbls>
        <c:gapWidth val="42"/>
        <c:axId val="147531264"/>
        <c:axId val="147532800"/>
      </c:barChart>
      <c:catAx>
        <c:axId val="147531264"/>
        <c:scaling>
          <c:orientation val="minMax"/>
        </c:scaling>
        <c:delete val="0"/>
        <c:axPos val="b"/>
        <c:majorTickMark val="out"/>
        <c:minorTickMark val="none"/>
        <c:tickLblPos val="nextTo"/>
        <c:txPr>
          <a:bodyPr/>
          <a:lstStyle/>
          <a:p>
            <a:pPr>
              <a:defRPr b="1"/>
            </a:pPr>
            <a:endParaRPr lang="es-GT"/>
          </a:p>
        </c:txPr>
        <c:crossAx val="147532800"/>
        <c:crosses val="autoZero"/>
        <c:auto val="1"/>
        <c:lblAlgn val="ctr"/>
        <c:lblOffset val="100"/>
        <c:noMultiLvlLbl val="0"/>
      </c:catAx>
      <c:valAx>
        <c:axId val="147532800"/>
        <c:scaling>
          <c:orientation val="minMax"/>
        </c:scaling>
        <c:delete val="0"/>
        <c:axPos val="l"/>
        <c:numFmt formatCode="#,##0" sourceLinked="0"/>
        <c:majorTickMark val="out"/>
        <c:minorTickMark val="none"/>
        <c:tickLblPos val="nextTo"/>
        <c:txPr>
          <a:bodyPr/>
          <a:lstStyle/>
          <a:p>
            <a:pPr>
              <a:defRPr b="1"/>
            </a:pPr>
            <a:endParaRPr lang="es-GT"/>
          </a:p>
        </c:txPr>
        <c:crossAx val="147531264"/>
        <c:crosses val="autoZero"/>
        <c:crossBetween val="between"/>
      </c:valAx>
    </c:plotArea>
    <c:legend>
      <c:legendPos val="b"/>
      <c:layout>
        <c:manualLayout>
          <c:xMode val="edge"/>
          <c:yMode val="edge"/>
          <c:x val="0.57876398291541975"/>
          <c:y val="0.92140803387230918"/>
          <c:w val="0.38068551394175359"/>
          <c:h val="7.5047902962746937E-2"/>
        </c:manualLayout>
      </c:layout>
      <c:overlay val="0"/>
      <c:txPr>
        <a:bodyPr/>
        <a:lstStyle/>
        <a:p>
          <a:pPr>
            <a:defRPr b="1"/>
          </a:pPr>
          <a:endParaRPr lang="es-GT"/>
        </a:p>
      </c:txPr>
    </c:legend>
    <c:plotVisOnly val="1"/>
    <c:dispBlanksAs val="gap"/>
    <c:showDLblsOverMax val="0"/>
  </c:chart>
  <c:spPr>
    <a:ln>
      <a:noFill/>
    </a:ln>
  </c:spPr>
  <c:txPr>
    <a:bodyPr/>
    <a:lstStyle/>
    <a:p>
      <a:pPr>
        <a:defRPr sz="700">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97005789438778"/>
          <c:y val="8.2776840394950618E-2"/>
          <c:w val="0.82432136918275767"/>
          <c:h val="0.72522320869442902"/>
        </c:manualLayout>
      </c:layout>
      <c:barChart>
        <c:barDir val="col"/>
        <c:grouping val="clustered"/>
        <c:varyColors val="0"/>
        <c:ser>
          <c:idx val="0"/>
          <c:order val="0"/>
          <c:tx>
            <c:strRef>
              <c:f>Hoja1!$B$1</c:f>
              <c:strCache>
                <c:ptCount val="1"/>
                <c:pt idx="0">
                  <c:v>Meta</c:v>
                </c:pt>
              </c:strCache>
            </c:strRef>
          </c:tx>
          <c:spPr>
            <a:solidFill>
              <a:srgbClr val="0070C0"/>
            </a:solidFill>
            <a:ln>
              <a:prstDash val="sysDash"/>
            </a:ln>
            <a:scene3d>
              <a:camera prst="orthographicFront"/>
              <a:lightRig rig="threePt" dir="t"/>
            </a:scene3d>
            <a:sp3d>
              <a:bevelT w="152400" h="50800" prst="softRound"/>
            </a:sp3d>
          </c:spPr>
          <c:invertIfNegative val="0"/>
          <c:dLbls>
            <c:txPr>
              <a:bodyPr rot="-5400000" vert="horz"/>
              <a:lstStyle/>
              <a:p>
                <a:pPr>
                  <a:defRPr sz="800" b="1">
                    <a:solidFill>
                      <a:schemeClr val="bg1"/>
                    </a:solidFill>
                  </a:defRPr>
                </a:pPr>
                <a:endParaRPr lang="es-GT"/>
              </a:p>
            </c:txPr>
            <c:dLblPos val="inBase"/>
            <c:showLegendKey val="0"/>
            <c:showVal val="1"/>
            <c:showCatName val="0"/>
            <c:showSerName val="0"/>
            <c:showPercent val="0"/>
            <c:showBubbleSize val="0"/>
            <c:showLeaderLines val="0"/>
          </c:dLbls>
          <c:cat>
            <c:strRef>
              <c:f>Hoja1!$A$2:$A$4</c:f>
              <c:strCache>
                <c:ptCount val="3"/>
                <c:pt idx="0">
                  <c:v>Ene</c:v>
                </c:pt>
                <c:pt idx="1">
                  <c:v>Feb</c:v>
                </c:pt>
                <c:pt idx="2">
                  <c:v>Mar</c:v>
                </c:pt>
              </c:strCache>
            </c:strRef>
          </c:cat>
          <c:val>
            <c:numRef>
              <c:f>Hoja1!$B$2:$B$4</c:f>
              <c:numCache>
                <c:formatCode>_(* #,##0.00_);_(* \(#,##0.00\);_(* "-"??_);_(@_)</c:formatCode>
                <c:ptCount val="3"/>
                <c:pt idx="0">
                  <c:v>1275.1803761900001</c:v>
                </c:pt>
                <c:pt idx="1">
                  <c:v>869.53083039000001</c:v>
                </c:pt>
                <c:pt idx="2">
                  <c:v>1854.7778474500001</c:v>
                </c:pt>
              </c:numCache>
            </c:numRef>
          </c:val>
        </c:ser>
        <c:ser>
          <c:idx val="1"/>
          <c:order val="1"/>
          <c:tx>
            <c:strRef>
              <c:f>Hoja1!$C$1</c:f>
              <c:strCache>
                <c:ptCount val="1"/>
                <c:pt idx="0">
                  <c:v>Obs</c:v>
                </c:pt>
              </c:strCache>
            </c:strRef>
          </c:tx>
          <c:spPr>
            <a:solidFill>
              <a:srgbClr val="C00000"/>
            </a:solidFill>
            <a:ln w="22225">
              <a:solidFill>
                <a:srgbClr val="FF0000"/>
              </a:solidFill>
            </a:ln>
          </c:spPr>
          <c:invertIfNegative val="0"/>
          <c:dLbls>
            <c:txPr>
              <a:bodyPr rot="-5400000" vert="horz"/>
              <a:lstStyle/>
              <a:p>
                <a:pPr>
                  <a:defRPr sz="800" b="1">
                    <a:solidFill>
                      <a:schemeClr val="bg1"/>
                    </a:solidFill>
                  </a:defRPr>
                </a:pPr>
                <a:endParaRPr lang="es-GT"/>
              </a:p>
            </c:txPr>
            <c:dLblPos val="inBase"/>
            <c:showLegendKey val="0"/>
            <c:showVal val="1"/>
            <c:showCatName val="0"/>
            <c:showSerName val="0"/>
            <c:showPercent val="0"/>
            <c:showBubbleSize val="0"/>
            <c:showLeaderLines val="0"/>
          </c:dLbls>
          <c:cat>
            <c:strRef>
              <c:f>Hoja1!$A$2:$A$4</c:f>
              <c:strCache>
                <c:ptCount val="3"/>
                <c:pt idx="0">
                  <c:v>Ene</c:v>
                </c:pt>
                <c:pt idx="1">
                  <c:v>Feb</c:v>
                </c:pt>
                <c:pt idx="2">
                  <c:v>Mar</c:v>
                </c:pt>
              </c:strCache>
            </c:strRef>
          </c:cat>
          <c:val>
            <c:numRef>
              <c:f>Hoja1!$C$2:$C$4</c:f>
              <c:numCache>
                <c:formatCode>_(* #,##0.00_);_(* \(#,##0.00\);_(* "-"??_);_(@_)</c:formatCode>
                <c:ptCount val="3"/>
                <c:pt idx="0">
                  <c:v>1307.04008548</c:v>
                </c:pt>
                <c:pt idx="1">
                  <c:v>903.55791557000009</c:v>
                </c:pt>
                <c:pt idx="2">
                  <c:v>1930.1381289599994</c:v>
                </c:pt>
              </c:numCache>
            </c:numRef>
          </c:val>
        </c:ser>
        <c:dLbls>
          <c:showLegendKey val="0"/>
          <c:showVal val="0"/>
          <c:showCatName val="0"/>
          <c:showSerName val="0"/>
          <c:showPercent val="0"/>
          <c:showBubbleSize val="0"/>
        </c:dLbls>
        <c:gapWidth val="46"/>
        <c:axId val="148038784"/>
        <c:axId val="148040704"/>
      </c:barChart>
      <c:catAx>
        <c:axId val="148038784"/>
        <c:scaling>
          <c:orientation val="minMax"/>
        </c:scaling>
        <c:delete val="0"/>
        <c:axPos val="b"/>
        <c:majorGridlines/>
        <c:numFmt formatCode="General" sourceLinked="1"/>
        <c:majorTickMark val="out"/>
        <c:minorTickMark val="none"/>
        <c:tickLblPos val="nextTo"/>
        <c:txPr>
          <a:bodyPr/>
          <a:lstStyle/>
          <a:p>
            <a:pPr>
              <a:defRPr sz="800" b="1"/>
            </a:pPr>
            <a:endParaRPr lang="es-GT"/>
          </a:p>
        </c:txPr>
        <c:crossAx val="148040704"/>
        <c:crosses val="autoZero"/>
        <c:auto val="1"/>
        <c:lblAlgn val="ctr"/>
        <c:lblOffset val="100"/>
        <c:noMultiLvlLbl val="0"/>
      </c:catAx>
      <c:valAx>
        <c:axId val="148040704"/>
        <c:scaling>
          <c:orientation val="minMax"/>
        </c:scaling>
        <c:delete val="0"/>
        <c:axPos val="l"/>
        <c:majorGridlines>
          <c:spPr>
            <a:ln>
              <a:solidFill>
                <a:srgbClr val="92D050"/>
              </a:solidFill>
              <a:prstDash val="sysDot"/>
            </a:ln>
          </c:spPr>
        </c:majorGridlines>
        <c:numFmt formatCode="_(* #,##0_);_(* \(#,##0\);_(* &quot;-&quot;_);_(@_)" sourceLinked="0"/>
        <c:majorTickMark val="cross"/>
        <c:minorTickMark val="none"/>
        <c:tickLblPos val="nextTo"/>
        <c:txPr>
          <a:bodyPr/>
          <a:lstStyle/>
          <a:p>
            <a:pPr>
              <a:defRPr sz="800" b="1"/>
            </a:pPr>
            <a:endParaRPr lang="es-GT"/>
          </a:p>
        </c:txPr>
        <c:crossAx val="148038784"/>
        <c:crosses val="autoZero"/>
        <c:crossBetween val="between"/>
      </c:valAx>
      <c:spPr>
        <a:noFill/>
        <a:ln w="25400">
          <a:noFill/>
        </a:ln>
      </c:spPr>
    </c:plotArea>
    <c:legend>
      <c:legendPos val="b"/>
      <c:layout>
        <c:manualLayout>
          <c:xMode val="edge"/>
          <c:yMode val="edge"/>
          <c:x val="0.3724343121369757"/>
          <c:y val="0.88848836643511164"/>
          <c:w val="0.30860456522357088"/>
          <c:h val="0.10576902887139107"/>
        </c:manualLayout>
      </c:layout>
      <c:overlay val="0"/>
      <c:txPr>
        <a:bodyPr/>
        <a:lstStyle/>
        <a:p>
          <a:pPr>
            <a:defRPr sz="700" b="1"/>
          </a:pPr>
          <a:endParaRPr lang="es-GT"/>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C67FD-FCA8-49EB-9213-BB70C577A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2487</Words>
  <Characters>13684</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 Enrique De León Meneses</dc:creator>
  <cp:lastModifiedBy>DAPF</cp:lastModifiedBy>
  <cp:revision>6</cp:revision>
  <dcterms:created xsi:type="dcterms:W3CDTF">2017-05-02T20:19:00Z</dcterms:created>
  <dcterms:modified xsi:type="dcterms:W3CDTF">2017-05-02T20:41:00Z</dcterms:modified>
</cp:coreProperties>
</file>