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51" w:rsidRPr="003B26F5" w:rsidRDefault="003B26F5" w:rsidP="003B26F5">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7D4651" w:rsidRPr="003B26F5" w:rsidSect="00754057">
          <w:headerReference w:type="default" r:id="rId8"/>
          <w:footerReference w:type="default" r:id="rId9"/>
          <w:pgSz w:w="12240" w:h="15840" w:code="1"/>
          <w:pgMar w:top="1418" w:right="1418" w:bottom="1418" w:left="1418" w:header="709" w:footer="709" w:gutter="0"/>
          <w:cols w:space="708"/>
          <w:docGrid w:linePitch="360"/>
        </w:sectPr>
      </w:pPr>
      <w:r w:rsidRPr="003B26F5">
        <w:rPr>
          <w:rFonts w:ascii="Times New Roman" w:hAnsi="Times New Roman" w:cs="Times New Roman"/>
          <w:b/>
          <w:lang w:val="es-MX"/>
        </w:rPr>
        <w:t xml:space="preserve">Junio cierra con déficit </w:t>
      </w:r>
      <w:r w:rsidR="00157402" w:rsidRPr="003B26F5">
        <w:rPr>
          <w:rFonts w:ascii="Times New Roman" w:hAnsi="Times New Roman" w:cs="Times New Roman"/>
          <w:b/>
          <w:lang w:val="es-MX"/>
        </w:rPr>
        <w:t>fiscal</w:t>
      </w:r>
    </w:p>
    <w:p w:rsidR="007D4651" w:rsidRPr="00EB5C44" w:rsidRDefault="007D4651" w:rsidP="007D4651">
      <w:pPr>
        <w:pStyle w:val="Sinespaciado"/>
        <w:rPr>
          <w:rFonts w:ascii="Times New Roman" w:hAnsi="Times New Roman" w:cs="Times New Roman"/>
          <w:b/>
          <w:color w:val="FF0000"/>
          <w:sz w:val="6"/>
          <w:lang w:val="es-MX"/>
        </w:rPr>
      </w:pPr>
    </w:p>
    <w:p w:rsidR="007D4651" w:rsidRPr="00EB5C44" w:rsidRDefault="007D4651" w:rsidP="007D4651">
      <w:pPr>
        <w:pStyle w:val="Sinespaciado"/>
        <w:jc w:val="center"/>
        <w:rPr>
          <w:rFonts w:ascii="Times New Roman" w:hAnsi="Times New Roman" w:cs="Times New Roman"/>
          <w:b/>
          <w:color w:val="FF0000"/>
          <w:sz w:val="16"/>
          <w:lang w:val="es-MX"/>
        </w:rPr>
      </w:pPr>
    </w:p>
    <w:p w:rsidR="009C4027" w:rsidRPr="00EB5C44" w:rsidRDefault="009C4027" w:rsidP="007D4651">
      <w:pPr>
        <w:pStyle w:val="Sinespaciado"/>
        <w:jc w:val="center"/>
        <w:rPr>
          <w:rFonts w:ascii="Times New Roman" w:hAnsi="Times New Roman" w:cs="Times New Roman"/>
          <w:b/>
          <w:color w:val="FF0000"/>
          <w:lang w:val="es-MX"/>
        </w:rPr>
        <w:sectPr w:rsidR="009C4027" w:rsidRPr="00EB5C44" w:rsidSect="004E358C">
          <w:type w:val="continuous"/>
          <w:pgSz w:w="12240" w:h="15840"/>
          <w:pgMar w:top="1417" w:right="1701" w:bottom="1417" w:left="1701" w:header="708" w:footer="708" w:gutter="0"/>
          <w:cols w:space="708"/>
          <w:docGrid w:linePitch="360"/>
        </w:sectPr>
      </w:pPr>
    </w:p>
    <w:p w:rsidR="007D4651" w:rsidRPr="00EB5C44" w:rsidRDefault="000F2621" w:rsidP="001B36BC">
      <w:pPr>
        <w:pStyle w:val="Sinespaciado"/>
        <w:jc w:val="both"/>
        <w:rPr>
          <w:rFonts w:ascii="Times New Roman" w:hAnsi="Times New Roman" w:cs="Times New Roman"/>
          <w:color w:val="FF0000"/>
          <w:lang w:val="es-MX"/>
        </w:rPr>
      </w:pPr>
      <w:r>
        <w:rPr>
          <w:rFonts w:ascii="Times New Roman" w:hAnsi="Times New Roman" w:cs="Times New Roman"/>
          <w:lang w:val="es-MX"/>
        </w:rPr>
        <w:lastRenderedPageBreak/>
        <w:t>E</w:t>
      </w:r>
      <w:r w:rsidRPr="00F92177">
        <w:rPr>
          <w:rFonts w:ascii="Times New Roman" w:hAnsi="Times New Roman" w:cs="Times New Roman"/>
          <w:lang w:val="es-MX"/>
        </w:rPr>
        <w:t>l resultado pr</w:t>
      </w:r>
      <w:r>
        <w:rPr>
          <w:rFonts w:ascii="Times New Roman" w:hAnsi="Times New Roman" w:cs="Times New Roman"/>
          <w:lang w:val="es-MX"/>
        </w:rPr>
        <w:t>esupuestario del gobierno muestra, muestra por primera vez en lo que va del año,</w:t>
      </w:r>
      <w:r w:rsidRPr="00F92177">
        <w:rPr>
          <w:rFonts w:ascii="Times New Roman" w:hAnsi="Times New Roman" w:cs="Times New Roman"/>
          <w:lang w:val="es-MX"/>
        </w:rPr>
        <w:t xml:space="preserve"> un </w:t>
      </w:r>
      <w:r>
        <w:rPr>
          <w:rFonts w:ascii="Times New Roman" w:hAnsi="Times New Roman" w:cs="Times New Roman"/>
          <w:lang w:val="es-MX"/>
        </w:rPr>
        <w:t>déficit</w:t>
      </w:r>
      <w:r w:rsidRPr="00F92177">
        <w:rPr>
          <w:rFonts w:ascii="Times New Roman" w:hAnsi="Times New Roman" w:cs="Times New Roman"/>
          <w:lang w:val="es-MX"/>
        </w:rPr>
        <w:t xml:space="preserve"> fiscal</w:t>
      </w:r>
      <w:r>
        <w:rPr>
          <w:rFonts w:ascii="Times New Roman" w:hAnsi="Times New Roman" w:cs="Times New Roman"/>
          <w:lang w:val="es-MX"/>
        </w:rPr>
        <w:t xml:space="preserve"> que se sitúa al 30 de junio de 2018 en</w:t>
      </w:r>
      <w:r w:rsidRPr="00F92177">
        <w:rPr>
          <w:rFonts w:ascii="Times New Roman" w:hAnsi="Times New Roman" w:cs="Times New Roman"/>
          <w:lang w:val="es-MX"/>
        </w:rPr>
        <w:t xml:space="preserve"> Q</w:t>
      </w:r>
      <w:r>
        <w:rPr>
          <w:rFonts w:ascii="Times New Roman" w:hAnsi="Times New Roman" w:cs="Times New Roman"/>
          <w:lang w:val="es-MX"/>
        </w:rPr>
        <w:t>659.0</w:t>
      </w:r>
      <w:r w:rsidRPr="00F92177">
        <w:rPr>
          <w:rFonts w:ascii="Times New Roman" w:hAnsi="Times New Roman" w:cs="Times New Roman"/>
          <w:lang w:val="es-MX"/>
        </w:rPr>
        <w:t xml:space="preserve"> millones</w:t>
      </w:r>
      <w:r>
        <w:rPr>
          <w:rFonts w:ascii="Times New Roman" w:hAnsi="Times New Roman" w:cs="Times New Roman"/>
          <w:lang w:val="es-MX"/>
        </w:rPr>
        <w:t xml:space="preserve">. </w:t>
      </w:r>
      <w:r w:rsidRPr="00F92177">
        <w:rPr>
          <w:rFonts w:ascii="Times New Roman" w:hAnsi="Times New Roman" w:cs="Times New Roman"/>
          <w:lang w:val="es-MX"/>
        </w:rPr>
        <w:t xml:space="preserve"> </w:t>
      </w:r>
      <w:r>
        <w:rPr>
          <w:rFonts w:ascii="Times New Roman" w:hAnsi="Times New Roman" w:cs="Times New Roman"/>
          <w:lang w:val="es-MX"/>
        </w:rPr>
        <w:t xml:space="preserve">Este déficit se generó por un aumento importante en el gasto público y por una recaudación tributaria que se comportó de manera moderada propia de un mes en la que no se tienen vencimientos importantes y no se observaron ingresos </w:t>
      </w:r>
      <w:r>
        <w:rPr>
          <w:rFonts w:ascii="Times New Roman" w:hAnsi="Times New Roman" w:cs="Times New Roman"/>
          <w:lang w:val="es-MX"/>
        </w:rPr>
        <w:lastRenderedPageBreak/>
        <w:t>extraordinarios como ocurrió en los dos últimos años (2016 adeudos y 2017).   Se espera que en el segundo semestre el gasto aumente y derivado de la reconstrucción por la Erupción del Volcán de Fuego, la ejecución adquiera un nuevo impulso y recupere la dinámica que se perdió en el primer cuatrimestre del año.</w:t>
      </w:r>
      <w:r w:rsidR="001B36BC" w:rsidRPr="00EB5C44">
        <w:rPr>
          <w:rFonts w:ascii="Times New Roman" w:hAnsi="Times New Roman" w:cs="Times New Roman"/>
          <w:color w:val="FF0000"/>
          <w:lang w:val="es-MX"/>
        </w:rPr>
        <w:t xml:space="preserve"> </w:t>
      </w:r>
    </w:p>
    <w:p w:rsidR="007D4651" w:rsidRPr="00EB5C44" w:rsidRDefault="007D4651" w:rsidP="007D4651">
      <w:pPr>
        <w:pStyle w:val="Sinespaciado"/>
        <w:jc w:val="center"/>
        <w:rPr>
          <w:rFonts w:ascii="Times New Roman" w:hAnsi="Times New Roman" w:cs="Times New Roman"/>
          <w:b/>
          <w:color w:val="FF0000"/>
          <w:lang w:val="es-MX"/>
        </w:rPr>
        <w:sectPr w:rsidR="007D4651" w:rsidRPr="00EB5C44" w:rsidSect="004E358C">
          <w:type w:val="continuous"/>
          <w:pgSz w:w="12240" w:h="15840"/>
          <w:pgMar w:top="1417" w:right="1701" w:bottom="1417" w:left="1701" w:header="708" w:footer="708" w:gutter="0"/>
          <w:cols w:num="2" w:space="708"/>
          <w:docGrid w:linePitch="360"/>
        </w:sectPr>
      </w:pPr>
    </w:p>
    <w:p w:rsidR="007D4651" w:rsidRPr="00EB5C44" w:rsidRDefault="007D4651" w:rsidP="00B9286A">
      <w:pPr>
        <w:pStyle w:val="Sinespaciado"/>
        <w:rPr>
          <w:rFonts w:ascii="Times New Roman" w:hAnsi="Times New Roman" w:cs="Times New Roman"/>
          <w:b/>
          <w:color w:val="FF0000"/>
          <w:sz w:val="4"/>
          <w:lang w:val="es-MX"/>
        </w:rPr>
      </w:pPr>
    </w:p>
    <w:p w:rsidR="009C4027" w:rsidRPr="00EB5C44" w:rsidRDefault="009C4027" w:rsidP="007D4651">
      <w:pPr>
        <w:pStyle w:val="Sinespaciado"/>
        <w:jc w:val="center"/>
        <w:rPr>
          <w:rFonts w:ascii="Times New Roman" w:hAnsi="Times New Roman" w:cs="Times New Roman"/>
          <w:b/>
          <w:color w:val="FF0000"/>
          <w:sz w:val="14"/>
          <w:lang w:val="es-MX"/>
        </w:rPr>
      </w:pPr>
    </w:p>
    <w:p w:rsidR="009C4027" w:rsidRPr="00EB5C44" w:rsidRDefault="009C4027" w:rsidP="007D4651">
      <w:pPr>
        <w:pStyle w:val="Sinespaciado"/>
        <w:jc w:val="center"/>
        <w:rPr>
          <w:rFonts w:ascii="Times New Roman" w:hAnsi="Times New Roman" w:cs="Times New Roman"/>
          <w:b/>
          <w:color w:val="FF0000"/>
          <w:lang w:val="es-MX"/>
        </w:rPr>
        <w:sectPr w:rsidR="009C4027" w:rsidRPr="00EB5C44" w:rsidSect="007D4651">
          <w:type w:val="continuous"/>
          <w:pgSz w:w="12240" w:h="15840" w:code="1"/>
          <w:pgMar w:top="1418" w:right="1418" w:bottom="1418" w:left="1418" w:header="709" w:footer="709" w:gutter="0"/>
          <w:cols w:num="2" w:space="708"/>
          <w:docGrid w:linePitch="360"/>
        </w:sectPr>
      </w:pPr>
    </w:p>
    <w:p w:rsidR="006F5EA0" w:rsidRPr="003B26F5" w:rsidRDefault="00950874" w:rsidP="006F5EA0">
      <w:pPr>
        <w:pStyle w:val="Sinespaciado"/>
        <w:jc w:val="center"/>
        <w:rPr>
          <w:rFonts w:ascii="Times New Roman" w:hAnsi="Times New Roman" w:cs="Times New Roman"/>
          <w:b/>
          <w:sz w:val="24"/>
          <w:lang w:val="es-MX"/>
        </w:rPr>
      </w:pPr>
      <w:r w:rsidRPr="003B26F5">
        <w:rPr>
          <w:rFonts w:ascii="Times New Roman" w:hAnsi="Times New Roman" w:cs="Times New Roman"/>
          <w:b/>
          <w:sz w:val="24"/>
          <w:lang w:val="es-MX"/>
        </w:rPr>
        <w:lastRenderedPageBreak/>
        <w:t>Resultado Presupuestario</w:t>
      </w:r>
    </w:p>
    <w:p w:rsidR="00950874" w:rsidRPr="003B26F5" w:rsidRDefault="006F5EA0" w:rsidP="006F5EA0">
      <w:pPr>
        <w:pStyle w:val="Sinespaciado"/>
        <w:jc w:val="center"/>
        <w:rPr>
          <w:rFonts w:ascii="Times New Roman" w:hAnsi="Times New Roman" w:cs="Times New Roman"/>
          <w:sz w:val="18"/>
          <w:lang w:val="es-MX"/>
        </w:rPr>
      </w:pPr>
      <w:r w:rsidRPr="003B26F5">
        <w:rPr>
          <w:rFonts w:ascii="Times New Roman" w:hAnsi="Times New Roman" w:cs="Times New Roman"/>
          <w:sz w:val="20"/>
          <w:lang w:val="es-MX"/>
        </w:rPr>
        <w:t xml:space="preserve">       </w:t>
      </w:r>
      <w:r w:rsidR="003B26F5" w:rsidRPr="003B26F5">
        <w:rPr>
          <w:rFonts w:ascii="Times New Roman" w:hAnsi="Times New Roman" w:cs="Times New Roman"/>
          <w:sz w:val="20"/>
          <w:lang w:val="es-MX"/>
        </w:rPr>
        <w:t>Al 30</w:t>
      </w:r>
      <w:r w:rsidRPr="003B26F5">
        <w:rPr>
          <w:rFonts w:ascii="Times New Roman" w:hAnsi="Times New Roman" w:cs="Times New Roman"/>
          <w:sz w:val="20"/>
          <w:lang w:val="es-MX"/>
        </w:rPr>
        <w:t xml:space="preserve"> de </w:t>
      </w:r>
      <w:r w:rsidR="003B26F5" w:rsidRPr="003B26F5">
        <w:rPr>
          <w:rFonts w:ascii="Times New Roman" w:hAnsi="Times New Roman" w:cs="Times New Roman"/>
          <w:sz w:val="20"/>
          <w:lang w:val="es-MX"/>
        </w:rPr>
        <w:t>junio</w:t>
      </w:r>
      <w:r w:rsidRPr="003B26F5">
        <w:rPr>
          <w:rFonts w:ascii="Times New Roman" w:hAnsi="Times New Roman" w:cs="Times New Roman"/>
          <w:sz w:val="20"/>
          <w:lang w:val="es-MX"/>
        </w:rPr>
        <w:t xml:space="preserve"> de cada año</w:t>
      </w:r>
      <w:r w:rsidR="00F27024" w:rsidRPr="003B26F5">
        <w:rPr>
          <w:rFonts w:ascii="Times New Roman" w:hAnsi="Times New Roman" w:cs="Times New Roman"/>
          <w:b/>
          <w:lang w:val="es-MX"/>
        </w:rPr>
        <w:tab/>
      </w:r>
    </w:p>
    <w:p w:rsidR="00AF68D3" w:rsidRPr="003B26F5" w:rsidRDefault="00950874" w:rsidP="00443336">
      <w:pPr>
        <w:pStyle w:val="Sinespaciado"/>
        <w:jc w:val="center"/>
        <w:rPr>
          <w:rFonts w:ascii="Times New Roman" w:hAnsi="Times New Roman" w:cs="Times New Roman"/>
          <w:sz w:val="18"/>
          <w:lang w:val="es-MX"/>
        </w:rPr>
      </w:pPr>
      <w:r w:rsidRPr="003B26F5">
        <w:rPr>
          <w:rFonts w:ascii="Times New Roman" w:hAnsi="Times New Roman" w:cs="Times New Roman"/>
          <w:sz w:val="18"/>
          <w:lang w:val="es-MX"/>
        </w:rPr>
        <w:t>Millones de quetzales</w:t>
      </w:r>
    </w:p>
    <w:p w:rsidR="001B36BC" w:rsidRPr="00EB5C44" w:rsidRDefault="000F2621" w:rsidP="001B36BC">
      <w:pPr>
        <w:pStyle w:val="Sinespaciado"/>
        <w:jc w:val="center"/>
        <w:rPr>
          <w:noProof/>
          <w:color w:val="FF0000"/>
          <w:lang w:eastAsia="es-GT"/>
        </w:rPr>
      </w:pPr>
      <w:r>
        <w:rPr>
          <w:rFonts w:ascii="Times New Roman" w:hAnsi="Times New Roman" w:cs="Times New Roman"/>
          <w:noProof/>
          <w:lang w:eastAsia="es-GT"/>
        </w:rPr>
        <w:drawing>
          <wp:inline distT="0" distB="0" distL="0" distR="0" wp14:anchorId="060F9CE7" wp14:editId="200305A3">
            <wp:extent cx="5219327" cy="2428875"/>
            <wp:effectExtent l="0" t="0" r="63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1107" cy="2439011"/>
                    </a:xfrm>
                    <a:prstGeom prst="rect">
                      <a:avLst/>
                    </a:prstGeom>
                    <a:noFill/>
                  </pic:spPr>
                </pic:pic>
              </a:graphicData>
            </a:graphic>
          </wp:inline>
        </w:drawing>
      </w:r>
    </w:p>
    <w:p w:rsidR="009C4027" w:rsidRPr="003B26F5" w:rsidRDefault="00614999" w:rsidP="00B917E5">
      <w:pPr>
        <w:pStyle w:val="Sinespaciado"/>
        <w:jc w:val="both"/>
        <w:rPr>
          <w:rFonts w:ascii="Times New Roman" w:hAnsi="Times New Roman" w:cs="Times New Roman"/>
          <w:sz w:val="16"/>
        </w:rPr>
      </w:pPr>
      <w:r w:rsidRPr="003B26F5">
        <w:rPr>
          <w:rFonts w:ascii="Times New Roman" w:hAnsi="Times New Roman" w:cs="Times New Roman"/>
          <w:sz w:val="16"/>
        </w:rPr>
        <w:t xml:space="preserve">           </w:t>
      </w:r>
      <w:r w:rsidR="003B26F5">
        <w:rPr>
          <w:rFonts w:ascii="Times New Roman" w:hAnsi="Times New Roman" w:cs="Times New Roman"/>
          <w:sz w:val="16"/>
        </w:rPr>
        <w:tab/>
      </w:r>
      <w:r w:rsidRPr="003B26F5">
        <w:rPr>
          <w:rFonts w:ascii="Times New Roman" w:hAnsi="Times New Roman" w:cs="Times New Roman"/>
          <w:sz w:val="16"/>
        </w:rPr>
        <w:t xml:space="preserve"> </w:t>
      </w:r>
      <w:r w:rsidR="007D4651" w:rsidRPr="003B26F5">
        <w:rPr>
          <w:rFonts w:ascii="Times New Roman" w:hAnsi="Times New Roman" w:cs="Times New Roman"/>
          <w:sz w:val="16"/>
        </w:rPr>
        <w:t>Fuente: Dirección de Análisis y Política fiscal</w:t>
      </w:r>
    </w:p>
    <w:p w:rsidR="009C4027" w:rsidRPr="00EB5C44" w:rsidRDefault="009C4027" w:rsidP="007D4651">
      <w:pPr>
        <w:spacing w:after="0" w:line="240" w:lineRule="auto"/>
        <w:rPr>
          <w:rFonts w:ascii="Times New Roman" w:hAnsi="Times New Roman" w:cs="Times New Roman"/>
          <w:color w:val="FF0000"/>
          <w:lang w:val="es-MX"/>
        </w:rPr>
      </w:pPr>
    </w:p>
    <w:p w:rsidR="00591D14" w:rsidRPr="00EB5C44" w:rsidRDefault="00591D14" w:rsidP="007D4651">
      <w:pPr>
        <w:spacing w:after="0" w:line="240" w:lineRule="auto"/>
        <w:rPr>
          <w:rFonts w:ascii="Times New Roman" w:hAnsi="Times New Roman" w:cs="Times New Roman"/>
          <w:color w:val="FF0000"/>
          <w:lang w:val="es-MX"/>
        </w:rPr>
        <w:sectPr w:rsidR="00591D14" w:rsidRPr="00EB5C44" w:rsidSect="007D4651">
          <w:type w:val="continuous"/>
          <w:pgSz w:w="12240" w:h="15840" w:code="1"/>
          <w:pgMar w:top="1418" w:right="1418" w:bottom="1418" w:left="1418" w:header="709" w:footer="709" w:gutter="0"/>
          <w:cols w:space="708"/>
          <w:docGrid w:linePitch="360"/>
        </w:sectPr>
      </w:pPr>
    </w:p>
    <w:p w:rsidR="00E16925" w:rsidRPr="00C12BC4" w:rsidRDefault="00E27247" w:rsidP="0085741B">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E16925" w:rsidRPr="00C12BC4" w:rsidSect="00E16925">
          <w:headerReference w:type="default" r:id="rId11"/>
          <w:footerReference w:type="default" r:id="rId12"/>
          <w:type w:val="continuous"/>
          <w:pgSz w:w="12240" w:h="15840" w:code="1"/>
          <w:pgMar w:top="1418" w:right="1418" w:bottom="1418" w:left="1418" w:header="709" w:footer="709" w:gutter="0"/>
          <w:cols w:space="708"/>
          <w:docGrid w:linePitch="360"/>
        </w:sectPr>
      </w:pPr>
      <w:r w:rsidRPr="00C12BC4">
        <w:rPr>
          <w:rFonts w:ascii="Times New Roman" w:hAnsi="Times New Roman" w:cs="Times New Roman"/>
          <w:b/>
          <w:lang w:val="es-MX"/>
        </w:rPr>
        <w:lastRenderedPageBreak/>
        <w:t>La</w:t>
      </w:r>
      <w:r w:rsidR="00C12BC4" w:rsidRPr="00C12BC4">
        <w:rPr>
          <w:rFonts w:ascii="Times New Roman" w:hAnsi="Times New Roman" w:cs="Times New Roman"/>
          <w:b/>
          <w:lang w:val="es-MX"/>
        </w:rPr>
        <w:t>s meta de junio se alcanz</w:t>
      </w:r>
      <w:r w:rsidR="00212A2C" w:rsidRPr="00C12BC4">
        <w:rPr>
          <w:rFonts w:ascii="Times New Roman" w:hAnsi="Times New Roman" w:cs="Times New Roman"/>
          <w:b/>
          <w:lang w:val="es-MX"/>
        </w:rPr>
        <w:t>ó</w:t>
      </w:r>
    </w:p>
    <w:p w:rsidR="00E16925" w:rsidRPr="00EB5C44" w:rsidRDefault="00E16925" w:rsidP="00E16925">
      <w:pPr>
        <w:pStyle w:val="Sinespaciado"/>
        <w:rPr>
          <w:rFonts w:ascii="Times New Roman" w:hAnsi="Times New Roman" w:cs="Times New Roman"/>
          <w:b/>
          <w:color w:val="FF0000"/>
          <w:sz w:val="8"/>
          <w:lang w:val="es-MX"/>
        </w:rPr>
      </w:pPr>
    </w:p>
    <w:p w:rsidR="00E16925" w:rsidRPr="00EB5C44" w:rsidRDefault="00E16925" w:rsidP="00E16925">
      <w:pPr>
        <w:pStyle w:val="Sinespaciado"/>
        <w:jc w:val="center"/>
        <w:rPr>
          <w:rFonts w:ascii="Times New Roman" w:hAnsi="Times New Roman" w:cs="Times New Roman"/>
          <w:b/>
          <w:color w:val="FF0000"/>
          <w:sz w:val="10"/>
          <w:lang w:val="es-MX"/>
        </w:rPr>
      </w:pPr>
    </w:p>
    <w:p w:rsidR="00343A5D" w:rsidRPr="00EB5C44" w:rsidRDefault="00343A5D" w:rsidP="00E16925">
      <w:pPr>
        <w:pStyle w:val="Sinespaciado"/>
        <w:jc w:val="center"/>
        <w:rPr>
          <w:rFonts w:ascii="Times New Roman" w:hAnsi="Times New Roman" w:cs="Times New Roman"/>
          <w:b/>
          <w:color w:val="FF0000"/>
          <w:sz w:val="20"/>
          <w:lang w:val="es-MX"/>
        </w:rPr>
        <w:sectPr w:rsidR="00343A5D" w:rsidRPr="00EB5C44" w:rsidSect="004E358C">
          <w:type w:val="continuous"/>
          <w:pgSz w:w="12240" w:h="15840"/>
          <w:pgMar w:top="1417" w:right="1701" w:bottom="1417" w:left="1701" w:header="708" w:footer="708" w:gutter="0"/>
          <w:cols w:space="708"/>
          <w:docGrid w:linePitch="360"/>
        </w:sectPr>
      </w:pPr>
    </w:p>
    <w:p w:rsidR="00EB5C44" w:rsidRDefault="00EB5C44" w:rsidP="00822C6B">
      <w:pPr>
        <w:spacing w:after="0" w:line="240" w:lineRule="auto"/>
        <w:jc w:val="both"/>
        <w:rPr>
          <w:rFonts w:ascii="Times New Roman" w:hAnsi="Times New Roman" w:cs="Times New Roman"/>
          <w:color w:val="FF0000"/>
          <w:lang w:val="es-MX"/>
        </w:rPr>
      </w:pPr>
      <w:r w:rsidRPr="00EB5C44">
        <w:rPr>
          <w:rFonts w:ascii="Times New Roman" w:hAnsi="Times New Roman" w:cs="Times New Roman"/>
          <w:lang w:val="es-MX"/>
        </w:rPr>
        <w:lastRenderedPageBreak/>
        <w:t>Cifras preliminares de junio</w:t>
      </w:r>
      <w:r w:rsidR="00C3128B" w:rsidRPr="00EB5C44">
        <w:rPr>
          <w:rFonts w:ascii="Times New Roman" w:hAnsi="Times New Roman" w:cs="Times New Roman"/>
          <w:lang w:val="es-MX"/>
        </w:rPr>
        <w:t xml:space="preserve"> generaron una brecha positiv</w:t>
      </w:r>
      <w:r w:rsidRPr="00EB5C44">
        <w:rPr>
          <w:rFonts w:ascii="Times New Roman" w:hAnsi="Times New Roman" w:cs="Times New Roman"/>
          <w:lang w:val="es-MX"/>
        </w:rPr>
        <w:t>a de recaudación mensual de Q31.9</w:t>
      </w:r>
      <w:r w:rsidR="00C3128B" w:rsidRPr="00EB5C44">
        <w:rPr>
          <w:rFonts w:ascii="Times New Roman" w:hAnsi="Times New Roman" w:cs="Times New Roman"/>
          <w:lang w:val="es-MX"/>
        </w:rPr>
        <w:t xml:space="preserve"> millones respecto a la meta de presupuesto, </w:t>
      </w:r>
      <w:r w:rsidRPr="00EB5C44">
        <w:rPr>
          <w:rFonts w:ascii="Times New Roman" w:hAnsi="Times New Roman" w:cs="Times New Roman"/>
          <w:lang w:val="es-MX"/>
        </w:rPr>
        <w:t>dicho</w:t>
      </w:r>
      <w:r>
        <w:rPr>
          <w:rFonts w:ascii="Times New Roman" w:hAnsi="Times New Roman" w:cs="Times New Roman"/>
          <w:lang w:val="es-MX"/>
        </w:rPr>
        <w:t xml:space="preserve"> monto fue menor al observado en e</w:t>
      </w:r>
      <w:r w:rsidRPr="00EB5C44">
        <w:rPr>
          <w:rFonts w:ascii="Times New Roman" w:hAnsi="Times New Roman" w:cs="Times New Roman"/>
          <w:lang w:val="es-MX"/>
        </w:rPr>
        <w:t xml:space="preserve">l mes de mayo, </w:t>
      </w:r>
      <w:r w:rsidR="00C3128B" w:rsidRPr="00EB5C44">
        <w:rPr>
          <w:rFonts w:ascii="Times New Roman" w:hAnsi="Times New Roman" w:cs="Times New Roman"/>
          <w:lang w:val="es-MX"/>
        </w:rPr>
        <w:t xml:space="preserve">aspectos positivos a considerar en este resultado son los observados en </w:t>
      </w:r>
      <w:r>
        <w:rPr>
          <w:rFonts w:ascii="Times New Roman" w:hAnsi="Times New Roman" w:cs="Times New Roman"/>
          <w:lang w:val="es-MX"/>
        </w:rPr>
        <w:t>el ISR, el ISO, el IVA de importaciones, el de timbres, cemento y las regalías e hidrocarburos compartibles que en conjunto sumaron Q133.1 millones.</w:t>
      </w:r>
    </w:p>
    <w:p w:rsidR="00C3128B" w:rsidRPr="00EB5C44" w:rsidRDefault="00C3128B" w:rsidP="00822C6B">
      <w:pPr>
        <w:spacing w:after="0" w:line="240" w:lineRule="auto"/>
        <w:jc w:val="both"/>
        <w:rPr>
          <w:rFonts w:ascii="Times New Roman" w:hAnsi="Times New Roman" w:cs="Times New Roman"/>
          <w:color w:val="FF0000"/>
          <w:lang w:val="es-MX"/>
        </w:rPr>
      </w:pPr>
    </w:p>
    <w:p w:rsidR="00051060" w:rsidRPr="00051060" w:rsidRDefault="00C3128B" w:rsidP="00822C6B">
      <w:pPr>
        <w:spacing w:after="0" w:line="240" w:lineRule="auto"/>
        <w:jc w:val="both"/>
        <w:rPr>
          <w:rFonts w:ascii="Times New Roman" w:hAnsi="Times New Roman" w:cs="Times New Roman"/>
          <w:lang w:val="es-MX"/>
        </w:rPr>
      </w:pPr>
      <w:r w:rsidRPr="00051060">
        <w:rPr>
          <w:rFonts w:ascii="Times New Roman" w:hAnsi="Times New Roman" w:cs="Times New Roman"/>
          <w:lang w:val="es-MX"/>
        </w:rPr>
        <w:lastRenderedPageBreak/>
        <w:t>La recaud</w:t>
      </w:r>
      <w:r w:rsidR="00051060" w:rsidRPr="00051060">
        <w:rPr>
          <w:rFonts w:ascii="Times New Roman" w:hAnsi="Times New Roman" w:cs="Times New Roman"/>
          <w:lang w:val="es-MX"/>
        </w:rPr>
        <w:t>ación de junio</w:t>
      </w:r>
      <w:r w:rsidRPr="00051060">
        <w:rPr>
          <w:rFonts w:ascii="Times New Roman" w:hAnsi="Times New Roman" w:cs="Times New Roman"/>
          <w:lang w:val="es-MX"/>
        </w:rPr>
        <w:t xml:space="preserve"> comparada con la del a</w:t>
      </w:r>
      <w:r w:rsidR="00051060" w:rsidRPr="00051060">
        <w:rPr>
          <w:rFonts w:ascii="Times New Roman" w:hAnsi="Times New Roman" w:cs="Times New Roman"/>
          <w:lang w:val="es-MX"/>
        </w:rPr>
        <w:t>ño anterior tiene una caída de 8.9% (Q413.3</w:t>
      </w:r>
      <w:r w:rsidRPr="00051060">
        <w:rPr>
          <w:rFonts w:ascii="Times New Roman" w:hAnsi="Times New Roman" w:cs="Times New Roman"/>
          <w:lang w:val="es-MX"/>
        </w:rPr>
        <w:t xml:space="preserve"> millones), factores que contribuyeron con este resultado son una</w:t>
      </w:r>
      <w:r w:rsidR="00051060">
        <w:rPr>
          <w:rFonts w:ascii="Times New Roman" w:hAnsi="Times New Roman" w:cs="Times New Roman"/>
          <w:lang w:val="es-MX"/>
        </w:rPr>
        <w:t xml:space="preserve"> caída en el ISR, ISO y el IVA doméstico entre otros, esta caída respecto al año anterior puede estar enmarcada a la recaudación extraordinaria de 2017 que a finales de junio era de Q845.61 millones por concepto del Acuerdo Gubernativos 82-2017 y por adeudos tributarios de ejercicios de años anteriores.</w:t>
      </w:r>
    </w:p>
    <w:p w:rsidR="00051060" w:rsidRPr="00EB5C44" w:rsidRDefault="00051060" w:rsidP="00822C6B">
      <w:pPr>
        <w:spacing w:after="0" w:line="240" w:lineRule="auto"/>
        <w:jc w:val="both"/>
        <w:rPr>
          <w:rFonts w:ascii="Times New Roman" w:hAnsi="Times New Roman" w:cs="Times New Roman"/>
          <w:color w:val="FF0000"/>
          <w:lang w:val="es-MX"/>
        </w:rPr>
      </w:pPr>
    </w:p>
    <w:p w:rsidR="00C3128B" w:rsidRPr="00C4589E" w:rsidRDefault="00C3128B" w:rsidP="00822C6B">
      <w:pPr>
        <w:spacing w:after="0" w:line="240" w:lineRule="auto"/>
        <w:jc w:val="center"/>
        <w:rPr>
          <w:rFonts w:ascii="Times New Roman" w:hAnsi="Times New Roman" w:cs="Times New Roman"/>
          <w:b/>
          <w:lang w:val="es-MX"/>
        </w:rPr>
      </w:pPr>
      <w:r w:rsidRPr="00C4589E">
        <w:rPr>
          <w:rFonts w:ascii="Times New Roman" w:hAnsi="Times New Roman" w:cs="Times New Roman"/>
          <w:b/>
          <w:lang w:val="es-MX"/>
        </w:rPr>
        <w:lastRenderedPageBreak/>
        <w:t>Recaudación tributaria acumulada</w:t>
      </w:r>
    </w:p>
    <w:p w:rsidR="00C3128B" w:rsidRPr="00C4589E" w:rsidRDefault="00C3128B" w:rsidP="00822C6B">
      <w:pPr>
        <w:spacing w:after="0" w:line="240" w:lineRule="auto"/>
        <w:jc w:val="center"/>
        <w:rPr>
          <w:rFonts w:ascii="Times New Roman" w:hAnsi="Times New Roman" w:cs="Times New Roman"/>
          <w:sz w:val="18"/>
          <w:lang w:val="es-MX"/>
        </w:rPr>
      </w:pPr>
      <w:r w:rsidRPr="00C4589E">
        <w:rPr>
          <w:rFonts w:ascii="Times New Roman" w:hAnsi="Times New Roman" w:cs="Times New Roman"/>
          <w:sz w:val="18"/>
          <w:lang w:val="es-MX"/>
        </w:rPr>
        <w:t>Millones de quetzales</w:t>
      </w:r>
    </w:p>
    <w:p w:rsidR="00C3128B" w:rsidRPr="00EB5C44" w:rsidRDefault="00C3128B" w:rsidP="00822C6B">
      <w:pPr>
        <w:spacing w:after="0" w:line="240" w:lineRule="auto"/>
        <w:jc w:val="both"/>
        <w:rPr>
          <w:rFonts w:ascii="Times New Roman" w:hAnsi="Times New Roman" w:cs="Times New Roman"/>
          <w:color w:val="FF0000"/>
          <w:lang w:val="es-MX"/>
        </w:rPr>
      </w:pPr>
      <w:r w:rsidRPr="00EB5C44">
        <w:rPr>
          <w:rFonts w:ascii="Times New Roman" w:hAnsi="Times New Roman" w:cs="Times New Roman"/>
          <w:noProof/>
          <w:color w:val="FF0000"/>
          <w:lang w:eastAsia="es-GT"/>
        </w:rPr>
        <w:drawing>
          <wp:inline distT="0" distB="0" distL="0" distR="0" wp14:anchorId="4ADAC18B" wp14:editId="453FC3EB">
            <wp:extent cx="2762250" cy="2600325"/>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128B" w:rsidRPr="00EB5C44" w:rsidRDefault="00C3128B" w:rsidP="00822C6B">
      <w:pPr>
        <w:spacing w:after="0" w:line="240" w:lineRule="auto"/>
        <w:jc w:val="both"/>
        <w:rPr>
          <w:rFonts w:ascii="Times New Roman" w:hAnsi="Times New Roman" w:cs="Times New Roman"/>
          <w:color w:val="FF0000"/>
          <w:sz w:val="16"/>
          <w:lang w:val="es-MX"/>
        </w:rPr>
      </w:pPr>
      <w:r w:rsidRPr="00C4589E">
        <w:rPr>
          <w:rFonts w:ascii="Times New Roman" w:hAnsi="Times New Roman" w:cs="Times New Roman"/>
          <w:sz w:val="16"/>
          <w:lang w:val="es-MX"/>
        </w:rPr>
        <w:t>Fuente: Dirección de Análisis y Política Fiscal</w:t>
      </w:r>
    </w:p>
    <w:p w:rsidR="00C3128B" w:rsidRPr="00EB5C44" w:rsidRDefault="00C3128B" w:rsidP="00822C6B">
      <w:pPr>
        <w:spacing w:after="0" w:line="240" w:lineRule="auto"/>
        <w:jc w:val="both"/>
        <w:rPr>
          <w:rFonts w:ascii="Times New Roman" w:hAnsi="Times New Roman" w:cs="Times New Roman"/>
          <w:color w:val="FF0000"/>
          <w:lang w:val="es-MX"/>
        </w:rPr>
      </w:pPr>
    </w:p>
    <w:p w:rsidR="00C3128B" w:rsidRDefault="00C3128B" w:rsidP="00822C6B">
      <w:pPr>
        <w:spacing w:after="0" w:line="240" w:lineRule="auto"/>
        <w:jc w:val="both"/>
        <w:rPr>
          <w:rFonts w:ascii="Times New Roman" w:hAnsi="Times New Roman" w:cs="Times New Roman"/>
          <w:lang w:val="es-MX"/>
        </w:rPr>
      </w:pPr>
      <w:r w:rsidRPr="008579A8">
        <w:rPr>
          <w:rFonts w:ascii="Times New Roman" w:hAnsi="Times New Roman" w:cs="Times New Roman"/>
          <w:lang w:val="es-MX"/>
        </w:rPr>
        <w:t xml:space="preserve">De manera acumulada se observa una recuperación en los ingresos totales que contrario a lo observado en el primer trimestre ahora generan una brecha positiva de </w:t>
      </w:r>
      <w:r w:rsidR="008579A8" w:rsidRPr="008579A8">
        <w:rPr>
          <w:rFonts w:ascii="Times New Roman" w:hAnsi="Times New Roman" w:cs="Times New Roman"/>
          <w:lang w:val="es-MX"/>
        </w:rPr>
        <w:t>Q491.4</w:t>
      </w:r>
      <w:r w:rsidRPr="008579A8">
        <w:rPr>
          <w:rFonts w:ascii="Times New Roman" w:hAnsi="Times New Roman" w:cs="Times New Roman"/>
          <w:lang w:val="es-MX"/>
        </w:rPr>
        <w:t xml:space="preserve"> millones, impuestos que sobresalen en este impulso son el ISR el IVA total,</w:t>
      </w:r>
      <w:r w:rsidR="008579A8" w:rsidRPr="008579A8">
        <w:rPr>
          <w:rFonts w:ascii="Times New Roman" w:hAnsi="Times New Roman" w:cs="Times New Roman"/>
          <w:lang w:val="es-MX"/>
        </w:rPr>
        <w:t xml:space="preserve"> timbres,</w:t>
      </w:r>
      <w:r w:rsidRPr="008579A8">
        <w:rPr>
          <w:rFonts w:ascii="Times New Roman" w:hAnsi="Times New Roman" w:cs="Times New Roman"/>
          <w:lang w:val="es-MX"/>
        </w:rPr>
        <w:t xml:space="preserve"> cemento y el de regalías e hidrocarburos compartibles, el resto tienen rendimiento negativo.</w:t>
      </w:r>
    </w:p>
    <w:p w:rsidR="00C3128B" w:rsidRPr="00EB5C44" w:rsidRDefault="00C3128B" w:rsidP="00822C6B">
      <w:pPr>
        <w:spacing w:after="0" w:line="240" w:lineRule="auto"/>
        <w:jc w:val="both"/>
        <w:rPr>
          <w:rFonts w:ascii="Times New Roman" w:hAnsi="Times New Roman" w:cs="Times New Roman"/>
          <w:color w:val="FF0000"/>
          <w:lang w:val="es-MX"/>
        </w:rPr>
      </w:pPr>
    </w:p>
    <w:p w:rsidR="00C3128B" w:rsidRPr="00CB29F8" w:rsidRDefault="00C3128B" w:rsidP="00822C6B">
      <w:pPr>
        <w:spacing w:after="0" w:line="240" w:lineRule="auto"/>
        <w:jc w:val="both"/>
        <w:rPr>
          <w:rFonts w:ascii="Times New Roman" w:hAnsi="Times New Roman" w:cs="Times New Roman"/>
          <w:b/>
          <w:lang w:val="es-MX"/>
        </w:rPr>
      </w:pPr>
      <w:r w:rsidRPr="00CB29F8">
        <w:rPr>
          <w:rFonts w:ascii="Times New Roman" w:hAnsi="Times New Roman" w:cs="Times New Roman"/>
          <w:b/>
          <w:lang w:val="es-MX"/>
        </w:rPr>
        <w:t>El IVA total</w:t>
      </w:r>
    </w:p>
    <w:p w:rsidR="00C3128B" w:rsidRPr="00CB29F8" w:rsidRDefault="00C3128B" w:rsidP="00822C6B">
      <w:pPr>
        <w:spacing w:after="0" w:line="240" w:lineRule="auto"/>
        <w:jc w:val="both"/>
        <w:rPr>
          <w:rFonts w:ascii="Times New Roman" w:hAnsi="Times New Roman" w:cs="Times New Roman"/>
          <w:lang w:val="es-MX"/>
        </w:rPr>
      </w:pPr>
    </w:p>
    <w:p w:rsidR="00614999" w:rsidRPr="00EB5C44" w:rsidRDefault="00C3128B" w:rsidP="00822C6B">
      <w:pPr>
        <w:spacing w:after="0" w:line="240" w:lineRule="auto"/>
        <w:jc w:val="both"/>
        <w:rPr>
          <w:rFonts w:ascii="Times New Roman" w:hAnsi="Times New Roman" w:cs="Times New Roman"/>
          <w:color w:val="FF0000"/>
          <w:lang w:val="es-MX"/>
        </w:rPr>
      </w:pPr>
      <w:r w:rsidRPr="00CB29F8">
        <w:rPr>
          <w:rFonts w:ascii="Times New Roman" w:hAnsi="Times New Roman" w:cs="Times New Roman"/>
          <w:lang w:val="es-MX"/>
        </w:rPr>
        <w:t>De manera acumulada</w:t>
      </w:r>
      <w:r w:rsidR="00CB29F8">
        <w:rPr>
          <w:rFonts w:ascii="Times New Roman" w:hAnsi="Times New Roman" w:cs="Times New Roman"/>
          <w:lang w:val="es-MX"/>
        </w:rPr>
        <w:t xml:space="preserve"> contrario a lo observado en mayo cuando este impuesto tenía un crecimiento de 8.1%, a junio se observa un menor crecimiento en este impuesto (5.9%) respecto a lo observado en 2017 un factor que explica esta caída en el crecimiento puede estar explicada por la recaudación extraordinaria que se generó en 2017 por un monto de Q252.7 millones, al restar dicha recaudación a lo observado se tiene un crecimiento de 8%. </w:t>
      </w:r>
    </w:p>
    <w:p w:rsidR="00614999" w:rsidRDefault="00614999" w:rsidP="00822C6B">
      <w:pPr>
        <w:spacing w:after="0" w:line="240" w:lineRule="auto"/>
        <w:jc w:val="both"/>
        <w:rPr>
          <w:rFonts w:ascii="Times New Roman" w:hAnsi="Times New Roman" w:cs="Times New Roman"/>
          <w:color w:val="FF0000"/>
          <w:lang w:val="es-MX"/>
        </w:rPr>
      </w:pPr>
    </w:p>
    <w:p w:rsidR="00A34EBC" w:rsidRDefault="00A34EBC" w:rsidP="00822C6B">
      <w:pPr>
        <w:spacing w:after="0" w:line="240" w:lineRule="auto"/>
        <w:jc w:val="both"/>
        <w:rPr>
          <w:rFonts w:ascii="Times New Roman" w:hAnsi="Times New Roman" w:cs="Times New Roman"/>
          <w:color w:val="FF0000"/>
          <w:lang w:val="es-MX"/>
        </w:rPr>
      </w:pPr>
    </w:p>
    <w:p w:rsidR="00A34EBC" w:rsidRPr="00EB5C44" w:rsidRDefault="00A34EBC" w:rsidP="00822C6B">
      <w:pPr>
        <w:spacing w:after="0" w:line="240" w:lineRule="auto"/>
        <w:jc w:val="both"/>
        <w:rPr>
          <w:rFonts w:ascii="Times New Roman" w:hAnsi="Times New Roman" w:cs="Times New Roman"/>
          <w:color w:val="FF0000"/>
          <w:lang w:val="es-MX"/>
        </w:rPr>
      </w:pPr>
    </w:p>
    <w:p w:rsidR="00C3128B" w:rsidRPr="00712E01" w:rsidRDefault="00C3128B" w:rsidP="00822C6B">
      <w:pPr>
        <w:spacing w:after="0" w:line="240" w:lineRule="auto"/>
        <w:jc w:val="center"/>
        <w:rPr>
          <w:rFonts w:ascii="Times New Roman" w:hAnsi="Times New Roman" w:cs="Times New Roman"/>
          <w:b/>
          <w:lang w:val="es-MX"/>
        </w:rPr>
      </w:pPr>
      <w:r w:rsidRPr="00712E01">
        <w:rPr>
          <w:rFonts w:ascii="Times New Roman" w:hAnsi="Times New Roman" w:cs="Times New Roman"/>
          <w:b/>
          <w:lang w:val="es-MX"/>
        </w:rPr>
        <w:lastRenderedPageBreak/>
        <w:t xml:space="preserve">Recaudación aduanera </w:t>
      </w:r>
      <w:r w:rsidRPr="00712E01">
        <w:rPr>
          <w:rFonts w:ascii="Times New Roman" w:hAnsi="Times New Roman" w:cs="Times New Roman"/>
          <w:b/>
          <w:i/>
          <w:lang w:val="es-MX"/>
        </w:rPr>
        <w:t xml:space="preserve">(DAI e IVA importaciones) </w:t>
      </w:r>
      <w:r w:rsidRPr="00712E01">
        <w:rPr>
          <w:rFonts w:ascii="Times New Roman" w:hAnsi="Times New Roman" w:cs="Times New Roman"/>
          <w:b/>
          <w:lang w:val="es-MX"/>
        </w:rPr>
        <w:t>acumulada</w:t>
      </w:r>
    </w:p>
    <w:p w:rsidR="00C3128B" w:rsidRPr="00712E01" w:rsidRDefault="00C3128B" w:rsidP="00822C6B">
      <w:pPr>
        <w:spacing w:after="0" w:line="240" w:lineRule="auto"/>
        <w:jc w:val="center"/>
        <w:rPr>
          <w:rFonts w:ascii="Times New Roman" w:hAnsi="Times New Roman" w:cs="Times New Roman"/>
          <w:sz w:val="18"/>
          <w:lang w:val="es-MX"/>
        </w:rPr>
      </w:pPr>
      <w:r w:rsidRPr="00712E01">
        <w:rPr>
          <w:rFonts w:ascii="Times New Roman" w:hAnsi="Times New Roman" w:cs="Times New Roman"/>
          <w:sz w:val="18"/>
          <w:lang w:val="es-MX"/>
        </w:rPr>
        <w:t>Millones de quetzales</w:t>
      </w:r>
    </w:p>
    <w:p w:rsidR="00C3128B" w:rsidRPr="00EB5C44" w:rsidRDefault="00C3128B" w:rsidP="00822C6B">
      <w:pPr>
        <w:spacing w:after="0" w:line="240" w:lineRule="auto"/>
        <w:jc w:val="both"/>
        <w:rPr>
          <w:rFonts w:ascii="Times New Roman" w:hAnsi="Times New Roman" w:cs="Times New Roman"/>
          <w:color w:val="FF0000"/>
          <w:lang w:val="es-MX"/>
        </w:rPr>
      </w:pPr>
      <w:r w:rsidRPr="00EB5C44">
        <w:rPr>
          <w:rFonts w:ascii="Times New Roman" w:hAnsi="Times New Roman" w:cs="Times New Roman"/>
          <w:noProof/>
          <w:color w:val="FF0000"/>
          <w:lang w:eastAsia="es-GT"/>
        </w:rPr>
        <w:drawing>
          <wp:inline distT="0" distB="0" distL="0" distR="0" wp14:anchorId="3A4BE0B8" wp14:editId="0BF8BE3A">
            <wp:extent cx="2700020" cy="2209800"/>
            <wp:effectExtent l="0" t="0" r="508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3128B" w:rsidRPr="00712E01" w:rsidRDefault="00C3128B" w:rsidP="00822C6B">
      <w:pPr>
        <w:spacing w:after="0" w:line="240" w:lineRule="auto"/>
        <w:jc w:val="both"/>
        <w:rPr>
          <w:rFonts w:ascii="Times New Roman" w:hAnsi="Times New Roman" w:cs="Times New Roman"/>
          <w:sz w:val="16"/>
          <w:lang w:val="es-MX"/>
        </w:rPr>
      </w:pPr>
      <w:r w:rsidRPr="00712E01">
        <w:rPr>
          <w:rFonts w:ascii="Times New Roman" w:hAnsi="Times New Roman" w:cs="Times New Roman"/>
          <w:sz w:val="16"/>
          <w:lang w:val="es-MX"/>
        </w:rPr>
        <w:t>Fuente: Dirección de Análisis y Política Fiscal</w:t>
      </w:r>
    </w:p>
    <w:p w:rsidR="00C3128B" w:rsidRPr="00EB5C44" w:rsidRDefault="00C3128B" w:rsidP="00822C6B">
      <w:pPr>
        <w:spacing w:after="0" w:line="240" w:lineRule="auto"/>
        <w:jc w:val="both"/>
        <w:rPr>
          <w:rFonts w:ascii="Times New Roman" w:hAnsi="Times New Roman" w:cs="Times New Roman"/>
          <w:color w:val="FF0000"/>
          <w:lang w:val="es-MX"/>
        </w:rPr>
      </w:pPr>
    </w:p>
    <w:p w:rsidR="009F0AB1" w:rsidRDefault="009F0AB1" w:rsidP="00822C6B">
      <w:pPr>
        <w:spacing w:after="0" w:line="240" w:lineRule="auto"/>
        <w:jc w:val="both"/>
        <w:rPr>
          <w:rFonts w:ascii="Times New Roman" w:hAnsi="Times New Roman" w:cs="Times New Roman"/>
          <w:color w:val="FF0000"/>
          <w:lang w:val="es-MX"/>
        </w:rPr>
      </w:pPr>
      <w:r w:rsidRPr="009F0AB1">
        <w:rPr>
          <w:rFonts w:ascii="Times New Roman" w:hAnsi="Times New Roman" w:cs="Times New Roman"/>
          <w:lang w:val="es-MX"/>
        </w:rPr>
        <w:t>Para</w:t>
      </w:r>
      <w:r w:rsidR="00C3128B" w:rsidRPr="009F0AB1">
        <w:rPr>
          <w:rFonts w:ascii="Times New Roman" w:hAnsi="Times New Roman" w:cs="Times New Roman"/>
          <w:lang w:val="es-MX"/>
        </w:rPr>
        <w:t xml:space="preserve"> el caso</w:t>
      </w:r>
      <w:r>
        <w:rPr>
          <w:rFonts w:ascii="Times New Roman" w:hAnsi="Times New Roman" w:cs="Times New Roman"/>
          <w:lang w:val="es-MX"/>
        </w:rPr>
        <w:t xml:space="preserve"> de los impuestos asociados al comercio exterior es preciso indicar que en los meses de mayo y junio han superado la meta mensual, y de manera acumulada tienen un crecimiento de 9.1% respecto a lo observado en 2017, con relación a la meta de presupuesto estos impuestos crecen en 1.4% y con relación al cierre de SAT tiene una caída de 0.6%.</w:t>
      </w:r>
    </w:p>
    <w:p w:rsidR="00C3128B" w:rsidRPr="00EB5C44" w:rsidRDefault="00C3128B" w:rsidP="00822C6B">
      <w:pPr>
        <w:spacing w:after="0" w:line="240" w:lineRule="auto"/>
        <w:jc w:val="both"/>
        <w:rPr>
          <w:rFonts w:ascii="Times New Roman" w:hAnsi="Times New Roman" w:cs="Times New Roman"/>
          <w:color w:val="FF0000"/>
          <w:sz w:val="20"/>
          <w:lang w:val="es-MX"/>
        </w:rPr>
      </w:pPr>
    </w:p>
    <w:p w:rsidR="00C3128B" w:rsidRPr="009F0AB1" w:rsidRDefault="00C3128B" w:rsidP="00822C6B">
      <w:pPr>
        <w:spacing w:after="0" w:line="240" w:lineRule="auto"/>
        <w:jc w:val="both"/>
        <w:rPr>
          <w:rFonts w:ascii="Times New Roman" w:hAnsi="Times New Roman" w:cs="Times New Roman"/>
          <w:b/>
          <w:lang w:val="es-MX"/>
        </w:rPr>
      </w:pPr>
      <w:r w:rsidRPr="009F0AB1">
        <w:rPr>
          <w:rFonts w:ascii="Times New Roman" w:hAnsi="Times New Roman" w:cs="Times New Roman"/>
          <w:b/>
          <w:lang w:val="es-MX"/>
        </w:rPr>
        <w:t>ISR</w:t>
      </w:r>
    </w:p>
    <w:p w:rsidR="00C3128B" w:rsidRPr="009F0AB1" w:rsidRDefault="00C3128B" w:rsidP="00822C6B">
      <w:pPr>
        <w:spacing w:after="0" w:line="240" w:lineRule="auto"/>
        <w:jc w:val="both"/>
        <w:rPr>
          <w:rFonts w:ascii="Times New Roman" w:hAnsi="Times New Roman" w:cs="Times New Roman"/>
          <w:lang w:val="es-MX"/>
        </w:rPr>
      </w:pPr>
    </w:p>
    <w:p w:rsidR="00C3128B" w:rsidRDefault="00C3128B" w:rsidP="00822C6B">
      <w:pPr>
        <w:spacing w:after="0" w:line="240" w:lineRule="auto"/>
        <w:jc w:val="both"/>
        <w:rPr>
          <w:rFonts w:ascii="Times New Roman" w:hAnsi="Times New Roman" w:cs="Times New Roman"/>
          <w:lang w:val="es-MX"/>
        </w:rPr>
      </w:pPr>
      <w:r w:rsidRPr="009F0AB1">
        <w:rPr>
          <w:rFonts w:ascii="Times New Roman" w:hAnsi="Times New Roman" w:cs="Times New Roman"/>
          <w:lang w:val="es-MX"/>
        </w:rPr>
        <w:t xml:space="preserve">De este impuesto podemos acotar que ha cumplido con las metas mensuales de presupuesto generando una brecha positiva </w:t>
      </w:r>
      <w:r w:rsidR="009F0AB1" w:rsidRPr="009F0AB1">
        <w:rPr>
          <w:rFonts w:ascii="Times New Roman" w:hAnsi="Times New Roman" w:cs="Times New Roman"/>
          <w:lang w:val="es-MX"/>
        </w:rPr>
        <w:t>al 30 de junio de Q388.7</w:t>
      </w:r>
      <w:r w:rsidRPr="009F0AB1">
        <w:rPr>
          <w:rFonts w:ascii="Times New Roman" w:hAnsi="Times New Roman" w:cs="Times New Roman"/>
          <w:lang w:val="es-MX"/>
        </w:rPr>
        <w:t xml:space="preserve"> millones</w:t>
      </w:r>
      <w:r w:rsidR="009F0AB1" w:rsidRPr="009F0AB1">
        <w:rPr>
          <w:rFonts w:ascii="Times New Roman" w:hAnsi="Times New Roman" w:cs="Times New Roman"/>
          <w:lang w:val="es-MX"/>
        </w:rPr>
        <w:t xml:space="preserve"> (crecimiento de 4.9%) respecto a presupuesto, de manera interanual se tiene una caída de 2% la cual se explica por la recaudación extraordinaria (Q461.3 millones) que se generó en 2017 por concepto de adeudos tributarios y la vigencia del Acuerdo Gubernativo 82-2017 descontando esta recaudación en 2017 se tiene un crecimiento de 3.6%.</w:t>
      </w:r>
    </w:p>
    <w:p w:rsidR="00A34EBC" w:rsidRDefault="00A34EBC" w:rsidP="00822C6B">
      <w:pPr>
        <w:spacing w:after="0" w:line="240" w:lineRule="auto"/>
        <w:jc w:val="both"/>
        <w:rPr>
          <w:rFonts w:ascii="Times New Roman" w:hAnsi="Times New Roman" w:cs="Times New Roman"/>
          <w:lang w:val="es-MX"/>
        </w:rPr>
      </w:pPr>
    </w:p>
    <w:p w:rsidR="00A34EBC" w:rsidRDefault="00A34EBC" w:rsidP="00822C6B">
      <w:pPr>
        <w:spacing w:after="0" w:line="240" w:lineRule="auto"/>
        <w:jc w:val="both"/>
        <w:rPr>
          <w:rFonts w:ascii="Times New Roman" w:hAnsi="Times New Roman" w:cs="Times New Roman"/>
          <w:lang w:val="es-MX"/>
        </w:rPr>
      </w:pPr>
    </w:p>
    <w:p w:rsidR="00A34EBC" w:rsidRDefault="00A34EBC" w:rsidP="00822C6B">
      <w:pPr>
        <w:spacing w:after="0" w:line="240" w:lineRule="auto"/>
        <w:jc w:val="both"/>
        <w:rPr>
          <w:rFonts w:ascii="Times New Roman" w:hAnsi="Times New Roman" w:cs="Times New Roman"/>
          <w:lang w:val="es-MX"/>
        </w:rPr>
      </w:pPr>
    </w:p>
    <w:p w:rsidR="00A34EBC" w:rsidRPr="009F0AB1" w:rsidRDefault="00A34EBC" w:rsidP="00822C6B">
      <w:pPr>
        <w:spacing w:after="0" w:line="240" w:lineRule="auto"/>
        <w:jc w:val="both"/>
        <w:rPr>
          <w:rFonts w:ascii="Times New Roman" w:hAnsi="Times New Roman" w:cs="Times New Roman"/>
          <w:lang w:val="es-MX"/>
        </w:rPr>
      </w:pPr>
      <w:bookmarkStart w:id="0" w:name="_GoBack"/>
      <w:bookmarkEnd w:id="0"/>
    </w:p>
    <w:p w:rsidR="00C3128B" w:rsidRPr="009F0AB1" w:rsidRDefault="00C3128B" w:rsidP="00822C6B">
      <w:pPr>
        <w:spacing w:after="0" w:line="240" w:lineRule="auto"/>
        <w:jc w:val="both"/>
        <w:rPr>
          <w:rFonts w:ascii="Times New Roman" w:hAnsi="Times New Roman" w:cs="Times New Roman"/>
          <w:b/>
          <w:lang w:val="es-MX"/>
        </w:rPr>
      </w:pPr>
      <w:r w:rsidRPr="009F0AB1">
        <w:rPr>
          <w:rFonts w:ascii="Times New Roman" w:hAnsi="Times New Roman" w:cs="Times New Roman"/>
          <w:b/>
          <w:lang w:val="es-MX"/>
        </w:rPr>
        <w:lastRenderedPageBreak/>
        <w:t>El resto de los impuestos</w:t>
      </w:r>
    </w:p>
    <w:p w:rsidR="00C3128B" w:rsidRPr="00EB5C44" w:rsidRDefault="00C3128B" w:rsidP="00822C6B">
      <w:pPr>
        <w:spacing w:after="0" w:line="240" w:lineRule="auto"/>
        <w:jc w:val="both"/>
        <w:rPr>
          <w:rFonts w:ascii="Times New Roman" w:hAnsi="Times New Roman" w:cs="Times New Roman"/>
          <w:color w:val="FF0000"/>
          <w:lang w:val="es-MX"/>
        </w:rPr>
      </w:pPr>
    </w:p>
    <w:p w:rsidR="00C3128B" w:rsidRPr="009F0AB1" w:rsidRDefault="00C3128B" w:rsidP="00822C6B">
      <w:pPr>
        <w:spacing w:after="0" w:line="240" w:lineRule="auto"/>
        <w:jc w:val="both"/>
        <w:rPr>
          <w:rFonts w:ascii="Times New Roman" w:hAnsi="Times New Roman" w:cs="Times New Roman"/>
          <w:lang w:val="es-MX"/>
        </w:rPr>
      </w:pPr>
      <w:r w:rsidRPr="009F0AB1">
        <w:rPr>
          <w:rFonts w:ascii="Times New Roman" w:hAnsi="Times New Roman" w:cs="Times New Roman"/>
          <w:lang w:val="es-MX"/>
        </w:rPr>
        <w:t>Impuestos asociados a los productos industriales (bebidas, tabacos y cemento) d</w:t>
      </w:r>
      <w:r w:rsidR="009F0AB1" w:rsidRPr="009F0AB1">
        <w:rPr>
          <w:rFonts w:ascii="Times New Roman" w:hAnsi="Times New Roman" w:cs="Times New Roman"/>
          <w:lang w:val="es-MX"/>
        </w:rPr>
        <w:t>an cuenta de una ejecución de 95.3</w:t>
      </w:r>
      <w:r w:rsidRPr="009F0AB1">
        <w:rPr>
          <w:rFonts w:ascii="Times New Roman" w:hAnsi="Times New Roman" w:cs="Times New Roman"/>
          <w:lang w:val="es-MX"/>
        </w:rPr>
        <w:t xml:space="preserve">% respecto a la meta de </w:t>
      </w:r>
      <w:r w:rsidRPr="009F0AB1">
        <w:rPr>
          <w:rFonts w:ascii="Times New Roman" w:hAnsi="Times New Roman" w:cs="Times New Roman"/>
          <w:lang w:val="es-MX"/>
        </w:rPr>
        <w:lastRenderedPageBreak/>
        <w:t xml:space="preserve">presupuesto, con relación al año anterior </w:t>
      </w:r>
      <w:r w:rsidR="009F0AB1" w:rsidRPr="009F0AB1">
        <w:rPr>
          <w:rFonts w:ascii="Times New Roman" w:hAnsi="Times New Roman" w:cs="Times New Roman"/>
          <w:lang w:val="es-MX"/>
        </w:rPr>
        <w:t>se observa una ejecución del 102.8</w:t>
      </w:r>
      <w:r w:rsidRPr="009F0AB1">
        <w:rPr>
          <w:rFonts w:ascii="Times New Roman" w:hAnsi="Times New Roman" w:cs="Times New Roman"/>
          <w:lang w:val="es-MX"/>
        </w:rPr>
        <w:t>%, el incumplimiento en la meta de presupuesto está influenciada por el desempeño negativo en el impuesto a las bebidas y el tabaco.</w:t>
      </w:r>
    </w:p>
    <w:p w:rsidR="00EB1910" w:rsidRPr="00EB5C44" w:rsidRDefault="00EB1910" w:rsidP="00614999">
      <w:pPr>
        <w:spacing w:after="0" w:line="240" w:lineRule="auto"/>
        <w:jc w:val="both"/>
        <w:rPr>
          <w:rFonts w:ascii="Times New Roman" w:hAnsi="Times New Roman" w:cs="Times New Roman"/>
          <w:color w:val="FF0000"/>
          <w:sz w:val="16"/>
          <w:lang w:val="es-MX"/>
        </w:rPr>
        <w:sectPr w:rsidR="00EB1910" w:rsidRPr="00EB5C44" w:rsidSect="00374D44">
          <w:headerReference w:type="default" r:id="rId15"/>
          <w:footerReference w:type="default" r:id="rId16"/>
          <w:type w:val="continuous"/>
          <w:pgSz w:w="12240" w:h="15840" w:code="1"/>
          <w:pgMar w:top="1418" w:right="1418" w:bottom="1418" w:left="1701" w:header="709" w:footer="709" w:gutter="0"/>
          <w:cols w:num="2" w:space="708"/>
          <w:docGrid w:linePitch="360"/>
        </w:sectPr>
      </w:pPr>
    </w:p>
    <w:p w:rsidR="00674EAE" w:rsidRPr="00EB5C44" w:rsidRDefault="00674EAE" w:rsidP="00674EAE">
      <w:pPr>
        <w:pStyle w:val="Sinespaciado"/>
        <w:jc w:val="both"/>
        <w:rPr>
          <w:rFonts w:ascii="Times New Roman" w:hAnsi="Times New Roman" w:cs="Times New Roman"/>
          <w:color w:val="FF0000"/>
          <w:szCs w:val="18"/>
          <w:lang w:val="es-MX"/>
        </w:rPr>
        <w:sectPr w:rsidR="00674EAE" w:rsidRPr="00EB5C44" w:rsidSect="005A03A9">
          <w:type w:val="continuous"/>
          <w:pgSz w:w="12240" w:h="15840"/>
          <w:pgMar w:top="1417" w:right="1701" w:bottom="1417" w:left="1701" w:header="708" w:footer="708" w:gutter="0"/>
          <w:cols w:num="2" w:space="708"/>
          <w:docGrid w:linePitch="360"/>
        </w:sectPr>
      </w:pPr>
    </w:p>
    <w:p w:rsidR="00FA3B81" w:rsidRPr="003B26F5" w:rsidRDefault="003B26F5"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A3B81" w:rsidRPr="003B26F5" w:rsidSect="00FA3B81">
          <w:headerReference w:type="default" r:id="rId17"/>
          <w:footerReference w:type="default" r:id="rId18"/>
          <w:type w:val="continuous"/>
          <w:pgSz w:w="12240" w:h="15840" w:code="1"/>
          <w:pgMar w:top="1418" w:right="1418" w:bottom="1418" w:left="1418" w:header="709" w:footer="709" w:gutter="0"/>
          <w:cols w:space="708"/>
          <w:docGrid w:linePitch="360"/>
        </w:sectPr>
      </w:pPr>
      <w:r w:rsidRPr="003B26F5">
        <w:rPr>
          <w:rFonts w:ascii="Times New Roman" w:hAnsi="Times New Roman" w:cs="Times New Roman"/>
          <w:b/>
          <w:lang w:val="es-MX"/>
        </w:rPr>
        <w:lastRenderedPageBreak/>
        <w:t>Repunte en la ejecución del</w:t>
      </w:r>
      <w:r w:rsidR="00CE75B5" w:rsidRPr="003B26F5">
        <w:rPr>
          <w:rFonts w:ascii="Times New Roman" w:hAnsi="Times New Roman" w:cs="Times New Roman"/>
          <w:b/>
          <w:lang w:val="es-MX"/>
        </w:rPr>
        <w:t xml:space="preserve"> gasto</w:t>
      </w:r>
      <w:r w:rsidR="005E6BD0" w:rsidRPr="003B26F5">
        <w:rPr>
          <w:rFonts w:ascii="Times New Roman" w:hAnsi="Times New Roman" w:cs="Times New Roman"/>
          <w:b/>
          <w:lang w:val="es-MX"/>
        </w:rPr>
        <w:t xml:space="preserve"> público</w:t>
      </w:r>
    </w:p>
    <w:p w:rsidR="00FA3B81" w:rsidRPr="00EB5C44" w:rsidRDefault="00FA3B81" w:rsidP="00FA3B81">
      <w:pPr>
        <w:pStyle w:val="Sinespaciado"/>
        <w:rPr>
          <w:rFonts w:ascii="Times New Roman" w:hAnsi="Times New Roman" w:cs="Times New Roman"/>
          <w:b/>
          <w:color w:val="FF0000"/>
          <w:sz w:val="18"/>
          <w:lang w:val="es-MX"/>
        </w:rPr>
      </w:pPr>
    </w:p>
    <w:p w:rsidR="00FA3B81" w:rsidRPr="00EB5C44" w:rsidRDefault="00FA3B81" w:rsidP="00FA3B81">
      <w:pPr>
        <w:pStyle w:val="Sinespaciado"/>
        <w:jc w:val="center"/>
        <w:rPr>
          <w:rFonts w:ascii="Times New Roman" w:hAnsi="Times New Roman" w:cs="Times New Roman"/>
          <w:b/>
          <w:color w:val="FF0000"/>
          <w:lang w:val="es-MX"/>
        </w:rPr>
        <w:sectPr w:rsidR="00FA3B81" w:rsidRPr="00EB5C44" w:rsidSect="004E358C">
          <w:type w:val="continuous"/>
          <w:pgSz w:w="12240" w:h="15840"/>
          <w:pgMar w:top="1417" w:right="1701" w:bottom="1417" w:left="1701" w:header="708" w:footer="708" w:gutter="0"/>
          <w:cols w:space="708"/>
          <w:docGrid w:linePitch="360"/>
        </w:sectPr>
      </w:pPr>
    </w:p>
    <w:p w:rsidR="003B26F5" w:rsidRDefault="003B26F5" w:rsidP="003B26F5">
      <w:pPr>
        <w:pStyle w:val="Sinespaciado"/>
        <w:jc w:val="both"/>
        <w:rPr>
          <w:rFonts w:ascii="Times New Roman" w:hAnsi="Times New Roman" w:cs="Times New Roman"/>
          <w:lang w:val="es-MX"/>
        </w:rPr>
      </w:pPr>
      <w:r>
        <w:rPr>
          <w:rFonts w:ascii="Times New Roman" w:hAnsi="Times New Roman" w:cs="Times New Roman"/>
          <w:lang w:val="es-MX"/>
        </w:rPr>
        <w:lastRenderedPageBreak/>
        <w:t>En junio el gasto mostró un comportamiento mucho más dinámico con respecto a lo observado en los últimos meses y también de manera interanual, lo cual es parte de la dinámica del gasto que en la medida en que pasa el tiempo en un año las entidades tienden a elevar su ejecución, de esa cuenta el último trimestre del año la ejecución es mucho mayor.  Además, en este mes ocurrió el fenómeno de la Erupción del Volcán de Fuego que afectó severamente a varios municipios de los departamentos de Escuintla, Sacatepéquez y Chimaltenango, al punto que destruyó comunidades enteras en donde se perdieron muchas vidas humanas y quedó una gran cantidad de personas damnificadas, las cuales fueron afectadas por la pérdida de vivienda y servicios básicos.  Asimismo, se dañó considerablemente la infraestructura vial y los servicios públicos.   De esa cuenta se realizaron gasto de emergencia en los primeros de ocurrido el desastre, sin embargo, aún no se tiene un registro preciso de estos gastos principalmente porque fueron cubiertos por los programas regulares de ministerios como defensa, gobernación, salud pública, entre otros.  Sin embargo, si provocó un mayor gasto principalmente en el rubro de bienes y servicios.</w:t>
      </w:r>
    </w:p>
    <w:p w:rsidR="003B26F5" w:rsidRDefault="003B26F5" w:rsidP="003B26F5">
      <w:pPr>
        <w:pStyle w:val="Sinespaciado"/>
        <w:jc w:val="both"/>
        <w:rPr>
          <w:rFonts w:ascii="Times New Roman" w:hAnsi="Times New Roman" w:cs="Times New Roman"/>
          <w:lang w:val="es-MX"/>
        </w:rPr>
      </w:pPr>
    </w:p>
    <w:p w:rsidR="003B26F5" w:rsidRDefault="003B26F5" w:rsidP="003B26F5">
      <w:pPr>
        <w:pStyle w:val="Sinespaciado"/>
        <w:jc w:val="both"/>
        <w:rPr>
          <w:rFonts w:ascii="Times New Roman" w:hAnsi="Times New Roman" w:cs="Times New Roman"/>
          <w:lang w:val="es-MX"/>
        </w:rPr>
      </w:pPr>
      <w:r>
        <w:rPr>
          <w:rFonts w:ascii="Times New Roman" w:hAnsi="Times New Roman" w:cs="Times New Roman"/>
          <w:lang w:val="es-MX"/>
        </w:rPr>
        <w:t xml:space="preserve">En ese sentido, la ejecución al 30 </w:t>
      </w:r>
      <w:r w:rsidRPr="00F92177">
        <w:rPr>
          <w:rFonts w:ascii="Times New Roman" w:hAnsi="Times New Roman" w:cs="Times New Roman"/>
          <w:lang w:val="es-MX"/>
        </w:rPr>
        <w:t xml:space="preserve">de </w:t>
      </w:r>
      <w:r>
        <w:rPr>
          <w:rFonts w:ascii="Times New Roman" w:hAnsi="Times New Roman" w:cs="Times New Roman"/>
          <w:lang w:val="es-MX"/>
        </w:rPr>
        <w:t>junio de 2018, se situó en Q31,277.8 millones (no incluye amortizaciones de deuda pública)</w:t>
      </w:r>
      <w:r w:rsidRPr="00F92177">
        <w:rPr>
          <w:rFonts w:ascii="Times New Roman" w:hAnsi="Times New Roman" w:cs="Times New Roman"/>
          <w:lang w:val="es-MX"/>
        </w:rPr>
        <w:t xml:space="preserve">, </w:t>
      </w:r>
      <w:r>
        <w:rPr>
          <w:rFonts w:ascii="Times New Roman" w:hAnsi="Times New Roman" w:cs="Times New Roman"/>
          <w:lang w:val="es-MX"/>
        </w:rPr>
        <w:t>mostrando un</w:t>
      </w:r>
      <w:r w:rsidRPr="00F92177">
        <w:rPr>
          <w:rFonts w:ascii="Times New Roman" w:hAnsi="Times New Roman" w:cs="Times New Roman"/>
          <w:lang w:val="es-MX"/>
        </w:rPr>
        <w:t xml:space="preserve"> crecimiento interanual </w:t>
      </w:r>
      <w:r>
        <w:rPr>
          <w:rFonts w:ascii="Times New Roman" w:hAnsi="Times New Roman" w:cs="Times New Roman"/>
          <w:lang w:val="es-MX"/>
        </w:rPr>
        <w:t>del 6.1</w:t>
      </w:r>
      <w:r w:rsidRPr="00F92177">
        <w:rPr>
          <w:rFonts w:ascii="Times New Roman" w:hAnsi="Times New Roman" w:cs="Times New Roman"/>
          <w:lang w:val="es-MX"/>
        </w:rPr>
        <w:t>%</w:t>
      </w:r>
      <w:r>
        <w:rPr>
          <w:rFonts w:ascii="Times New Roman" w:hAnsi="Times New Roman" w:cs="Times New Roman"/>
          <w:lang w:val="es-MX"/>
        </w:rPr>
        <w:t xml:space="preserve"> con</w:t>
      </w:r>
      <w:r w:rsidRPr="00F92177">
        <w:rPr>
          <w:rFonts w:ascii="Times New Roman" w:hAnsi="Times New Roman" w:cs="Times New Roman"/>
          <w:lang w:val="es-MX"/>
        </w:rPr>
        <w:t xml:space="preserve"> respecto </w:t>
      </w:r>
      <w:r>
        <w:rPr>
          <w:rFonts w:ascii="Times New Roman" w:hAnsi="Times New Roman" w:cs="Times New Roman"/>
          <w:lang w:val="es-MX"/>
        </w:rPr>
        <w:t xml:space="preserve">al mismo período de 2017.  En donde el gasto de capital está más dinámico cuya variación relativa es de 10.5%, mientras </w:t>
      </w:r>
      <w:r>
        <w:rPr>
          <w:rFonts w:ascii="Times New Roman" w:hAnsi="Times New Roman" w:cs="Times New Roman"/>
          <w:lang w:val="es-MX"/>
        </w:rPr>
        <w:lastRenderedPageBreak/>
        <w:t>que el crecimiento del gasto corriente se ubicó en 6.5%.</w:t>
      </w:r>
    </w:p>
    <w:p w:rsidR="003B26F5" w:rsidRDefault="003B26F5" w:rsidP="003B26F5">
      <w:pPr>
        <w:pStyle w:val="Sinespaciado"/>
        <w:jc w:val="both"/>
        <w:rPr>
          <w:rFonts w:ascii="Times New Roman" w:hAnsi="Times New Roman" w:cs="Times New Roman"/>
          <w:lang w:val="es-MX"/>
        </w:rPr>
      </w:pPr>
    </w:p>
    <w:p w:rsidR="003B26F5" w:rsidRPr="009D459C" w:rsidRDefault="003B26F5" w:rsidP="003B26F5">
      <w:pPr>
        <w:pStyle w:val="Sinespaciado"/>
        <w:jc w:val="center"/>
        <w:rPr>
          <w:rFonts w:ascii="Times New Roman" w:hAnsi="Times New Roman" w:cs="Times New Roman"/>
          <w:b/>
          <w:lang w:val="es-MX"/>
        </w:rPr>
      </w:pPr>
      <w:r w:rsidRPr="009D459C">
        <w:rPr>
          <w:rFonts w:ascii="Times New Roman" w:hAnsi="Times New Roman" w:cs="Times New Roman"/>
          <w:b/>
          <w:lang w:val="es-MX"/>
        </w:rPr>
        <w:t>Ritmo de Ejecución del Gasto</w:t>
      </w:r>
    </w:p>
    <w:p w:rsidR="003B26F5" w:rsidRDefault="003B26F5" w:rsidP="003B26F5">
      <w:pPr>
        <w:pStyle w:val="Sinespaciado"/>
        <w:jc w:val="center"/>
        <w:rPr>
          <w:noProof/>
          <w:lang w:eastAsia="es-GT"/>
        </w:rPr>
      </w:pPr>
      <w:r w:rsidRPr="009D459C">
        <w:rPr>
          <w:rFonts w:ascii="Times New Roman" w:hAnsi="Times New Roman" w:cs="Times New Roman"/>
          <w:sz w:val="18"/>
          <w:lang w:val="es-MX"/>
        </w:rPr>
        <w:t>Variación Interanual</w:t>
      </w:r>
    </w:p>
    <w:p w:rsidR="003B26F5" w:rsidRDefault="003B26F5" w:rsidP="003B26F5">
      <w:pPr>
        <w:pStyle w:val="Sinespaciado"/>
        <w:jc w:val="center"/>
        <w:rPr>
          <w:rFonts w:ascii="Times New Roman" w:hAnsi="Times New Roman" w:cs="Times New Roman"/>
          <w:lang w:val="es-MX"/>
        </w:rPr>
      </w:pPr>
      <w:r>
        <w:rPr>
          <w:rFonts w:ascii="Times New Roman" w:hAnsi="Times New Roman" w:cs="Times New Roman"/>
          <w:noProof/>
          <w:lang w:eastAsia="es-GT"/>
        </w:rPr>
        <w:drawing>
          <wp:inline distT="0" distB="0" distL="0" distR="0" wp14:anchorId="78564E13" wp14:editId="21FE1D20">
            <wp:extent cx="2708639" cy="218122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b="4211"/>
                    <a:stretch/>
                  </pic:blipFill>
                  <pic:spPr bwMode="auto">
                    <a:xfrm>
                      <a:off x="0" y="0"/>
                      <a:ext cx="2719157" cy="2189695"/>
                    </a:xfrm>
                    <a:prstGeom prst="rect">
                      <a:avLst/>
                    </a:prstGeom>
                    <a:noFill/>
                    <a:ln>
                      <a:noFill/>
                    </a:ln>
                    <a:extLst>
                      <a:ext uri="{53640926-AAD7-44D8-BBD7-CCE9431645EC}">
                        <a14:shadowObscured xmlns:a14="http://schemas.microsoft.com/office/drawing/2010/main"/>
                      </a:ext>
                    </a:extLst>
                  </pic:spPr>
                </pic:pic>
              </a:graphicData>
            </a:graphic>
          </wp:inline>
        </w:drawing>
      </w:r>
    </w:p>
    <w:p w:rsidR="003B26F5" w:rsidRDefault="003B26F5" w:rsidP="003B26F5">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3B26F5" w:rsidRPr="009D459C" w:rsidRDefault="003B26F5" w:rsidP="003B26F5">
      <w:pPr>
        <w:pStyle w:val="Sinespaciado"/>
        <w:jc w:val="both"/>
        <w:rPr>
          <w:rFonts w:ascii="Times New Roman" w:hAnsi="Times New Roman" w:cs="Times New Roman"/>
        </w:rPr>
      </w:pPr>
    </w:p>
    <w:p w:rsidR="003B26F5" w:rsidRDefault="003B26F5" w:rsidP="003B26F5">
      <w:pPr>
        <w:pStyle w:val="Sinespaciado"/>
        <w:jc w:val="both"/>
        <w:rPr>
          <w:rFonts w:ascii="Times New Roman" w:hAnsi="Times New Roman" w:cs="Times New Roman"/>
          <w:lang w:val="es-MX"/>
        </w:rPr>
      </w:pPr>
      <w:r>
        <w:rPr>
          <w:rFonts w:ascii="Times New Roman" w:hAnsi="Times New Roman" w:cs="Times New Roman"/>
          <w:lang w:val="es-MX"/>
        </w:rPr>
        <w:t xml:space="preserve">Como se ha observado en los meses anteriores, los rubros que mostraron un mejor desempeño en la ejecución están las bienes y servicios, y la inversión real directa.  A este respecto, es importante indicar que el comportamiento en estos rubros se debe entre otros aspectos al aumento que tuvieron las adjudicaciones de contratos en 2017.  Por su parte las prestaciones a la seguridad social también muestran un importante aumento como resultado de la mejora económica que se otorgó a las pensiones que fueran menor al salario mínimo, el cual se otorgó en mayo de 2017.  </w:t>
      </w:r>
    </w:p>
    <w:p w:rsidR="003B26F5" w:rsidRDefault="003B26F5" w:rsidP="003B26F5">
      <w:pPr>
        <w:pStyle w:val="Sinespaciado"/>
        <w:jc w:val="both"/>
        <w:rPr>
          <w:rFonts w:ascii="Times New Roman" w:hAnsi="Times New Roman" w:cs="Times New Roman"/>
          <w:lang w:val="es-MX"/>
        </w:rPr>
      </w:pPr>
    </w:p>
    <w:p w:rsidR="003B26F5" w:rsidRDefault="003B26F5" w:rsidP="003B26F5">
      <w:pPr>
        <w:pStyle w:val="Sinespaciado"/>
        <w:jc w:val="both"/>
        <w:rPr>
          <w:rFonts w:ascii="Times New Roman" w:hAnsi="Times New Roman" w:cs="Times New Roman"/>
          <w:lang w:val="es-MX"/>
        </w:rPr>
      </w:pPr>
      <w:r>
        <w:rPr>
          <w:rFonts w:ascii="Times New Roman" w:hAnsi="Times New Roman" w:cs="Times New Roman"/>
          <w:lang w:val="es-MX"/>
        </w:rPr>
        <w:t xml:space="preserve">El único rubro de gasto que muestran una menor ejecución con respecto a lo observado en junio de 2017, son las transferencias de capital en </w:t>
      </w:r>
      <w:r>
        <w:rPr>
          <w:rFonts w:ascii="Times New Roman" w:hAnsi="Times New Roman" w:cs="Times New Roman"/>
          <w:lang w:val="es-MX"/>
        </w:rPr>
        <w:lastRenderedPageBreak/>
        <w:t xml:space="preserve">buena medida asociado a la reducción en los aportes a los Consejos Departamentales de Desarrollo. </w:t>
      </w:r>
    </w:p>
    <w:p w:rsidR="003B26F5" w:rsidRDefault="003B26F5" w:rsidP="003B26F5">
      <w:pPr>
        <w:pStyle w:val="Sinespaciado"/>
        <w:jc w:val="both"/>
        <w:rPr>
          <w:rFonts w:ascii="Times New Roman" w:hAnsi="Times New Roman" w:cs="Times New Roman"/>
          <w:lang w:val="es-MX"/>
        </w:rPr>
      </w:pPr>
    </w:p>
    <w:p w:rsidR="003B26F5" w:rsidRPr="003C0B21" w:rsidRDefault="003B26F5" w:rsidP="003B26F5">
      <w:pPr>
        <w:pStyle w:val="Sinespaciado"/>
        <w:jc w:val="center"/>
        <w:rPr>
          <w:rFonts w:ascii="Times New Roman" w:hAnsi="Times New Roman" w:cs="Times New Roman"/>
          <w:b/>
          <w:lang w:val="es-MX"/>
        </w:rPr>
      </w:pPr>
      <w:r w:rsidRPr="003C0B21">
        <w:rPr>
          <w:rFonts w:ascii="Times New Roman" w:hAnsi="Times New Roman" w:cs="Times New Roman"/>
          <w:b/>
          <w:lang w:val="es-MX"/>
        </w:rPr>
        <w:t>Variación Nominal del Gasto Económico</w:t>
      </w:r>
    </w:p>
    <w:p w:rsidR="003B26F5" w:rsidRPr="003C0B21" w:rsidRDefault="003B26F5" w:rsidP="003B26F5">
      <w:pPr>
        <w:pStyle w:val="Sinespaciado"/>
        <w:jc w:val="center"/>
        <w:rPr>
          <w:rFonts w:ascii="Times New Roman" w:hAnsi="Times New Roman" w:cs="Times New Roman"/>
          <w:sz w:val="18"/>
          <w:lang w:val="es-MX"/>
        </w:rPr>
      </w:pPr>
      <w:r w:rsidRPr="003C0B21">
        <w:rPr>
          <w:rFonts w:ascii="Times New Roman" w:hAnsi="Times New Roman" w:cs="Times New Roman"/>
          <w:sz w:val="18"/>
          <w:lang w:val="es-MX"/>
        </w:rPr>
        <w:t>Millones de quetzales</w:t>
      </w:r>
    </w:p>
    <w:p w:rsidR="003B26F5" w:rsidRDefault="003B26F5" w:rsidP="003B26F5">
      <w:pPr>
        <w:pStyle w:val="Sinespaciad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2CB00F98" wp14:editId="7953122E">
            <wp:extent cx="2647950" cy="2173644"/>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84938" cy="2204007"/>
                    </a:xfrm>
                    <a:prstGeom prst="rect">
                      <a:avLst/>
                    </a:prstGeom>
                    <a:noFill/>
                  </pic:spPr>
                </pic:pic>
              </a:graphicData>
            </a:graphic>
          </wp:inline>
        </w:drawing>
      </w:r>
    </w:p>
    <w:p w:rsidR="003B26F5" w:rsidRDefault="003B26F5" w:rsidP="003B26F5">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Dirección de Análisi</w:t>
      </w:r>
      <w:r>
        <w:rPr>
          <w:rFonts w:ascii="Times New Roman" w:hAnsi="Times New Roman" w:cs="Times New Roman"/>
          <w:sz w:val="16"/>
        </w:rPr>
        <w:t>s y Política fiscal</w:t>
      </w:r>
    </w:p>
    <w:p w:rsidR="003B26F5" w:rsidRDefault="003B26F5" w:rsidP="003B26F5">
      <w:pPr>
        <w:pStyle w:val="Sinespaciado"/>
        <w:jc w:val="both"/>
        <w:rPr>
          <w:rFonts w:ascii="Times New Roman" w:hAnsi="Times New Roman" w:cs="Times New Roman"/>
          <w:lang w:val="es-MX"/>
        </w:rPr>
      </w:pPr>
    </w:p>
    <w:p w:rsidR="003B26F5" w:rsidRDefault="003B26F5" w:rsidP="003B26F5">
      <w:pPr>
        <w:pStyle w:val="Sinespaciado"/>
        <w:jc w:val="both"/>
        <w:rPr>
          <w:rFonts w:ascii="Times New Roman" w:hAnsi="Times New Roman" w:cs="Times New Roman"/>
          <w:lang w:val="es-MX"/>
        </w:rPr>
      </w:pPr>
      <w:r>
        <w:rPr>
          <w:rFonts w:ascii="Times New Roman" w:hAnsi="Times New Roman" w:cs="Times New Roman"/>
        </w:rPr>
        <w:t xml:space="preserve">La ejecución de gasto incluyendo las amortizaciones de la deuda pública, al 30 de junio de 2018, se ubicó en Q35,503.7 millones. </w:t>
      </w:r>
      <w:r>
        <w:rPr>
          <w:rFonts w:ascii="Times New Roman" w:hAnsi="Times New Roman" w:cs="Times New Roman"/>
          <w:lang w:val="es-MX"/>
        </w:rPr>
        <w:t xml:space="preserve">Lo anterior permitió que el grado de ejecución presupuestaria, se ubicara al cierre de junio de 2018 en 42.1%, por encima de lo observado en 2017 (39.6) y por arriba del promedio de los años (2013-2017) que fue de 41.4%, </w:t>
      </w:r>
    </w:p>
    <w:p w:rsidR="003B26F5" w:rsidRDefault="003B26F5" w:rsidP="003B26F5">
      <w:pPr>
        <w:pStyle w:val="Sinespaciado"/>
        <w:jc w:val="center"/>
        <w:rPr>
          <w:rFonts w:ascii="Times New Roman" w:hAnsi="Times New Roman" w:cs="Times New Roman"/>
          <w:b/>
          <w:lang w:val="es-MX"/>
        </w:rPr>
      </w:pPr>
    </w:p>
    <w:p w:rsidR="003B26F5" w:rsidRPr="002A1B95" w:rsidRDefault="003B26F5" w:rsidP="003B26F5">
      <w:pPr>
        <w:pStyle w:val="Sinespaciado"/>
        <w:jc w:val="center"/>
        <w:rPr>
          <w:rFonts w:ascii="Times New Roman" w:hAnsi="Times New Roman" w:cs="Times New Roman"/>
          <w:b/>
          <w:lang w:val="es-MX"/>
        </w:rPr>
      </w:pPr>
      <w:r>
        <w:rPr>
          <w:rFonts w:ascii="Times New Roman" w:hAnsi="Times New Roman" w:cs="Times New Roman"/>
          <w:b/>
          <w:lang w:val="es-MX"/>
        </w:rPr>
        <w:t xml:space="preserve">Grado de </w:t>
      </w:r>
      <w:r w:rsidRPr="002A1B95">
        <w:rPr>
          <w:rFonts w:ascii="Times New Roman" w:hAnsi="Times New Roman" w:cs="Times New Roman"/>
          <w:b/>
          <w:lang w:val="es-MX"/>
        </w:rPr>
        <w:t xml:space="preserve">Ejecución </w:t>
      </w:r>
      <w:r>
        <w:rPr>
          <w:rFonts w:ascii="Times New Roman" w:hAnsi="Times New Roman" w:cs="Times New Roman"/>
          <w:b/>
          <w:lang w:val="es-MX"/>
        </w:rPr>
        <w:t>Presupuestaria</w:t>
      </w:r>
    </w:p>
    <w:p w:rsidR="003B26F5" w:rsidRPr="009D459C" w:rsidRDefault="003B26F5" w:rsidP="003B26F5">
      <w:pPr>
        <w:pStyle w:val="Sinespaciado"/>
        <w:jc w:val="center"/>
        <w:rPr>
          <w:rFonts w:ascii="Times New Roman" w:hAnsi="Times New Roman" w:cs="Times New Roman"/>
          <w:sz w:val="18"/>
          <w:szCs w:val="18"/>
          <w:lang w:val="es-MX"/>
        </w:rPr>
      </w:pPr>
      <w:r>
        <w:rPr>
          <w:rFonts w:ascii="Times New Roman" w:hAnsi="Times New Roman" w:cs="Times New Roman"/>
          <w:sz w:val="18"/>
          <w:szCs w:val="18"/>
          <w:lang w:val="es-MX"/>
        </w:rPr>
        <w:t>Al 30 de junio de 2018</w:t>
      </w:r>
    </w:p>
    <w:p w:rsidR="003B26F5" w:rsidRPr="009D459C" w:rsidRDefault="003B26F5" w:rsidP="003B26F5">
      <w:pPr>
        <w:pStyle w:val="Sinespaciado"/>
        <w:jc w:val="center"/>
        <w:rPr>
          <w:rFonts w:ascii="Times New Roman" w:hAnsi="Times New Roman" w:cs="Times New Roman"/>
          <w:sz w:val="18"/>
          <w:szCs w:val="18"/>
          <w:lang w:val="es-MX"/>
        </w:rPr>
      </w:pPr>
      <w:r>
        <w:rPr>
          <w:rFonts w:ascii="Times New Roman" w:hAnsi="Times New Roman" w:cs="Times New Roman"/>
          <w:sz w:val="18"/>
          <w:szCs w:val="18"/>
          <w:lang w:val="es-MX"/>
        </w:rPr>
        <w:t>Porcentajes</w:t>
      </w:r>
    </w:p>
    <w:p w:rsidR="003B26F5" w:rsidRDefault="003B26F5" w:rsidP="003B26F5">
      <w:pPr>
        <w:pStyle w:val="Sinespaciad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02ED785C" wp14:editId="6B2F0875">
            <wp:extent cx="2647950" cy="1923755"/>
            <wp:effectExtent l="0" t="0" r="0" b="6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80090" cy="1947105"/>
                    </a:xfrm>
                    <a:prstGeom prst="rect">
                      <a:avLst/>
                    </a:prstGeom>
                    <a:noFill/>
                  </pic:spPr>
                </pic:pic>
              </a:graphicData>
            </a:graphic>
          </wp:inline>
        </w:drawing>
      </w:r>
    </w:p>
    <w:p w:rsidR="003B26F5" w:rsidRDefault="003B26F5" w:rsidP="003B26F5">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Dirección de Análisi</w:t>
      </w:r>
      <w:r>
        <w:rPr>
          <w:rFonts w:ascii="Times New Roman" w:hAnsi="Times New Roman" w:cs="Times New Roman"/>
          <w:sz w:val="16"/>
        </w:rPr>
        <w:t>s y Política fiscal</w:t>
      </w:r>
    </w:p>
    <w:p w:rsidR="003B26F5" w:rsidRDefault="003B26F5" w:rsidP="003B26F5">
      <w:pPr>
        <w:pStyle w:val="Sinespaciado"/>
        <w:jc w:val="both"/>
        <w:rPr>
          <w:rFonts w:ascii="Times New Roman" w:hAnsi="Times New Roman" w:cs="Times New Roman"/>
        </w:rPr>
      </w:pPr>
      <w:r>
        <w:rPr>
          <w:rFonts w:ascii="Times New Roman" w:hAnsi="Times New Roman" w:cs="Times New Roman"/>
        </w:rPr>
        <w:lastRenderedPageBreak/>
        <w:t xml:space="preserve">Al observar este indicador por entidad institucional, se puede apreciar que las entidades como presidencia, trabajo, defensa, educación, obligaciones y deuda pública están </w:t>
      </w:r>
      <w:r>
        <w:rPr>
          <w:rFonts w:ascii="Times New Roman" w:hAnsi="Times New Roman" w:cs="Times New Roman"/>
        </w:rPr>
        <w:t>iguales</w:t>
      </w:r>
      <w:r>
        <w:rPr>
          <w:rFonts w:ascii="Times New Roman" w:hAnsi="Times New Roman" w:cs="Times New Roman"/>
        </w:rPr>
        <w:t xml:space="preserve"> o por arriba del promedio institucional (2013-2015).  Por su parte, hay otras entidades como </w:t>
      </w:r>
      <w:proofErr w:type="spellStart"/>
      <w:r>
        <w:rPr>
          <w:rFonts w:ascii="Times New Roman" w:hAnsi="Times New Roman" w:cs="Times New Roman"/>
        </w:rPr>
        <w:t>Minrex</w:t>
      </w:r>
      <w:proofErr w:type="spellEnd"/>
      <w:r>
        <w:rPr>
          <w:rFonts w:ascii="Times New Roman" w:hAnsi="Times New Roman" w:cs="Times New Roman"/>
        </w:rPr>
        <w:t>, gobernación, salud pública, ambiente están por debajo del promedio y muy por debajo del promedio están comunicaciones y cultura.</w:t>
      </w:r>
    </w:p>
    <w:p w:rsidR="003B26F5" w:rsidRDefault="003B26F5" w:rsidP="003B26F5">
      <w:pPr>
        <w:pStyle w:val="Sinespaciado"/>
        <w:jc w:val="both"/>
        <w:rPr>
          <w:rFonts w:ascii="Times New Roman" w:hAnsi="Times New Roman" w:cs="Times New Roman"/>
        </w:rPr>
      </w:pPr>
    </w:p>
    <w:p w:rsidR="003B26F5" w:rsidRPr="002A1B95" w:rsidRDefault="003B26F5" w:rsidP="003B26F5">
      <w:pPr>
        <w:pStyle w:val="Sinespaciado"/>
        <w:jc w:val="center"/>
        <w:rPr>
          <w:rFonts w:ascii="Times New Roman" w:hAnsi="Times New Roman" w:cs="Times New Roman"/>
          <w:b/>
          <w:lang w:val="es-MX"/>
        </w:rPr>
      </w:pPr>
      <w:r>
        <w:rPr>
          <w:rFonts w:ascii="Times New Roman" w:hAnsi="Times New Roman" w:cs="Times New Roman"/>
          <w:b/>
          <w:lang w:val="es-MX"/>
        </w:rPr>
        <w:t xml:space="preserve">Grado de </w:t>
      </w:r>
      <w:r w:rsidRPr="002A1B95">
        <w:rPr>
          <w:rFonts w:ascii="Times New Roman" w:hAnsi="Times New Roman" w:cs="Times New Roman"/>
          <w:b/>
          <w:lang w:val="es-MX"/>
        </w:rPr>
        <w:t>Ejecución por Entidad</w:t>
      </w:r>
    </w:p>
    <w:p w:rsidR="003B26F5" w:rsidRPr="009D459C" w:rsidRDefault="003B26F5" w:rsidP="003B26F5">
      <w:pPr>
        <w:pStyle w:val="Sinespaciado"/>
        <w:jc w:val="center"/>
        <w:rPr>
          <w:rFonts w:ascii="Times New Roman" w:hAnsi="Times New Roman" w:cs="Times New Roman"/>
          <w:sz w:val="18"/>
          <w:szCs w:val="18"/>
          <w:lang w:val="es-MX"/>
        </w:rPr>
      </w:pPr>
      <w:r>
        <w:rPr>
          <w:rFonts w:ascii="Times New Roman" w:hAnsi="Times New Roman" w:cs="Times New Roman"/>
          <w:sz w:val="18"/>
          <w:szCs w:val="18"/>
          <w:lang w:val="es-MX"/>
        </w:rPr>
        <w:t>Al 30 de junio de 2018</w:t>
      </w:r>
    </w:p>
    <w:p w:rsidR="003B26F5" w:rsidRPr="009D459C" w:rsidRDefault="003B26F5" w:rsidP="003B26F5">
      <w:pPr>
        <w:pStyle w:val="Sinespaciado"/>
        <w:jc w:val="center"/>
        <w:rPr>
          <w:rFonts w:ascii="Times New Roman" w:hAnsi="Times New Roman" w:cs="Times New Roman"/>
          <w:sz w:val="18"/>
          <w:szCs w:val="18"/>
          <w:lang w:val="es-MX"/>
        </w:rPr>
      </w:pPr>
      <w:r w:rsidRPr="009D459C">
        <w:rPr>
          <w:rFonts w:ascii="Times New Roman" w:hAnsi="Times New Roman" w:cs="Times New Roman"/>
          <w:sz w:val="18"/>
          <w:szCs w:val="18"/>
          <w:lang w:val="es-MX"/>
        </w:rPr>
        <w:t>Millones de quetzales</w:t>
      </w:r>
    </w:p>
    <w:p w:rsidR="003B26F5" w:rsidRDefault="003B26F5" w:rsidP="003B26F5">
      <w:pPr>
        <w:pStyle w:val="Sinespaciado"/>
        <w:jc w:val="both"/>
        <w:rPr>
          <w:rFonts w:ascii="Times New Roman" w:hAnsi="Times New Roman" w:cs="Times New Roman"/>
        </w:rPr>
      </w:pPr>
      <w:r>
        <w:rPr>
          <w:rFonts w:ascii="Times New Roman" w:hAnsi="Times New Roman" w:cs="Times New Roman"/>
          <w:noProof/>
          <w:lang w:eastAsia="es-GT"/>
        </w:rPr>
        <w:drawing>
          <wp:inline distT="0" distB="0" distL="0" distR="0" wp14:anchorId="066462B3" wp14:editId="542B30B0">
            <wp:extent cx="2964508" cy="2924175"/>
            <wp:effectExtent l="0" t="0" r="762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96027" cy="2955266"/>
                    </a:xfrm>
                    <a:prstGeom prst="rect">
                      <a:avLst/>
                    </a:prstGeom>
                    <a:noFill/>
                  </pic:spPr>
                </pic:pic>
              </a:graphicData>
            </a:graphic>
          </wp:inline>
        </w:drawing>
      </w:r>
    </w:p>
    <w:p w:rsidR="003B26F5" w:rsidRDefault="003B26F5" w:rsidP="003B26F5">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Dirección de Análisi</w:t>
      </w:r>
      <w:r>
        <w:rPr>
          <w:rFonts w:ascii="Times New Roman" w:hAnsi="Times New Roman" w:cs="Times New Roman"/>
          <w:sz w:val="16"/>
        </w:rPr>
        <w:t>s y Política fiscal</w:t>
      </w:r>
    </w:p>
    <w:p w:rsidR="003B26F5" w:rsidRDefault="003B26F5" w:rsidP="003B26F5">
      <w:pPr>
        <w:pStyle w:val="Sinespaciado"/>
        <w:jc w:val="both"/>
        <w:rPr>
          <w:rFonts w:ascii="Times New Roman" w:hAnsi="Times New Roman" w:cs="Times New Roman"/>
        </w:rPr>
      </w:pPr>
    </w:p>
    <w:p w:rsidR="00922DD5" w:rsidRDefault="003B26F5" w:rsidP="003B26F5">
      <w:pPr>
        <w:pStyle w:val="Sinespaciado"/>
        <w:jc w:val="both"/>
        <w:rPr>
          <w:rFonts w:ascii="Times New Roman" w:hAnsi="Times New Roman" w:cs="Times New Roman"/>
        </w:rPr>
      </w:pPr>
      <w:r>
        <w:rPr>
          <w:rFonts w:ascii="Times New Roman" w:hAnsi="Times New Roman" w:cs="Times New Roman"/>
        </w:rPr>
        <w:t xml:space="preserve">Es importante indicar que, en concepto de gastos de emergencia, rehabilitación y reconstrucción derivado de la Erupción del Volcán de Fuego, no se tiene una cifra exacta de lo ejecutado a junio, ya que la mayoría de instituciones realizaron intervenciones a cuenta de su propio presupuesto para el caso de la emergencia.  </w:t>
      </w:r>
    </w:p>
    <w:p w:rsidR="00922DD5" w:rsidRDefault="00922DD5" w:rsidP="003B26F5">
      <w:pPr>
        <w:pStyle w:val="Sinespaciado"/>
        <w:jc w:val="both"/>
        <w:rPr>
          <w:rFonts w:ascii="Times New Roman" w:hAnsi="Times New Roman" w:cs="Times New Roman"/>
        </w:rPr>
      </w:pPr>
    </w:p>
    <w:p w:rsidR="003B26F5" w:rsidRDefault="003B26F5" w:rsidP="003B26F5">
      <w:pPr>
        <w:pStyle w:val="Sinespaciado"/>
        <w:jc w:val="both"/>
        <w:rPr>
          <w:rFonts w:ascii="Times New Roman" w:hAnsi="Times New Roman" w:cs="Times New Roman"/>
        </w:rPr>
      </w:pPr>
      <w:r>
        <w:rPr>
          <w:rFonts w:ascii="Times New Roman" w:hAnsi="Times New Roman" w:cs="Times New Roman"/>
        </w:rPr>
        <w:t xml:space="preserve">Posteriormente el Ministerio de Finanzas Creó un programa para que las instituciones que lo considerarán oportuno, programaran todo lo relacionado con la reconstrucción derivada de este fenómeno en un programa específico </w:t>
      </w:r>
      <w:r>
        <w:rPr>
          <w:rFonts w:ascii="Times New Roman" w:hAnsi="Times New Roman" w:cs="Times New Roman"/>
        </w:rPr>
        <w:lastRenderedPageBreak/>
        <w:t>denominado “</w:t>
      </w:r>
      <w:r w:rsidRPr="00016D19">
        <w:rPr>
          <w:rFonts w:ascii="Times New Roman" w:hAnsi="Times New Roman" w:cs="Times New Roman"/>
        </w:rPr>
        <w:t>Atención por Desastres Naturales y Calamidades Públicas</w:t>
      </w:r>
      <w:r>
        <w:rPr>
          <w:rFonts w:ascii="Times New Roman" w:hAnsi="Times New Roman" w:cs="Times New Roman"/>
        </w:rPr>
        <w:t>”</w:t>
      </w:r>
      <w:r w:rsidRPr="00016D19">
        <w:rPr>
          <w:rFonts w:ascii="Times New Roman" w:hAnsi="Times New Roman" w:cs="Times New Roman"/>
        </w:rPr>
        <w:t xml:space="preserve"> </w:t>
      </w:r>
      <w:r>
        <w:rPr>
          <w:rFonts w:ascii="Times New Roman" w:hAnsi="Times New Roman" w:cs="Times New Roman"/>
        </w:rPr>
        <w:t>(programa 94) y las entidades han programado al 30 de junio Q388.1 millones, monto que podría seguir aumentando en las próximas semanas.</w:t>
      </w:r>
    </w:p>
    <w:p w:rsidR="003B26F5" w:rsidRDefault="003B26F5" w:rsidP="003B26F5">
      <w:pPr>
        <w:pStyle w:val="Sinespaciado"/>
        <w:jc w:val="both"/>
        <w:rPr>
          <w:rFonts w:ascii="Times New Roman" w:hAnsi="Times New Roman" w:cs="Times New Roman"/>
        </w:rPr>
      </w:pPr>
    </w:p>
    <w:p w:rsidR="00922DD5" w:rsidRDefault="00922DD5" w:rsidP="003B26F5">
      <w:pPr>
        <w:pStyle w:val="Sinespaciado"/>
        <w:jc w:val="both"/>
        <w:rPr>
          <w:rFonts w:ascii="Times New Roman" w:hAnsi="Times New Roman" w:cs="Times New Roman"/>
        </w:rPr>
      </w:pPr>
    </w:p>
    <w:p w:rsidR="00922DD5" w:rsidRDefault="00922DD5" w:rsidP="003B26F5">
      <w:pPr>
        <w:pStyle w:val="Sinespaciado"/>
        <w:jc w:val="both"/>
        <w:rPr>
          <w:rFonts w:ascii="Times New Roman" w:hAnsi="Times New Roman" w:cs="Times New Roman"/>
        </w:rPr>
      </w:pPr>
    </w:p>
    <w:p w:rsidR="00922DD5" w:rsidRDefault="00922DD5" w:rsidP="003B26F5">
      <w:pPr>
        <w:pStyle w:val="Sinespaciado"/>
        <w:jc w:val="both"/>
        <w:rPr>
          <w:rFonts w:ascii="Times New Roman" w:hAnsi="Times New Roman" w:cs="Times New Roman"/>
        </w:rPr>
      </w:pPr>
    </w:p>
    <w:p w:rsidR="00922DD5" w:rsidRDefault="00922DD5" w:rsidP="003B26F5">
      <w:pPr>
        <w:pStyle w:val="Sinespaciado"/>
        <w:jc w:val="both"/>
        <w:rPr>
          <w:rFonts w:ascii="Times New Roman" w:hAnsi="Times New Roman" w:cs="Times New Roman"/>
        </w:rPr>
      </w:pPr>
    </w:p>
    <w:p w:rsidR="00922DD5" w:rsidRDefault="00922DD5" w:rsidP="003B26F5">
      <w:pPr>
        <w:pStyle w:val="Sinespaciado"/>
        <w:jc w:val="both"/>
        <w:rPr>
          <w:rFonts w:ascii="Times New Roman" w:hAnsi="Times New Roman" w:cs="Times New Roman"/>
        </w:rPr>
      </w:pPr>
    </w:p>
    <w:p w:rsidR="00922DD5" w:rsidRDefault="00922DD5" w:rsidP="003B26F5">
      <w:pPr>
        <w:pStyle w:val="Sinespaciado"/>
        <w:jc w:val="both"/>
        <w:rPr>
          <w:rFonts w:ascii="Times New Roman" w:hAnsi="Times New Roman" w:cs="Times New Roman"/>
        </w:rPr>
      </w:pPr>
    </w:p>
    <w:p w:rsidR="00922DD5" w:rsidRDefault="00922DD5" w:rsidP="003B26F5">
      <w:pPr>
        <w:pStyle w:val="Sinespaciado"/>
        <w:jc w:val="both"/>
        <w:rPr>
          <w:rFonts w:ascii="Times New Roman" w:hAnsi="Times New Roman" w:cs="Times New Roman"/>
        </w:rPr>
      </w:pPr>
    </w:p>
    <w:p w:rsidR="00922DD5" w:rsidRDefault="00922DD5" w:rsidP="003B26F5">
      <w:pPr>
        <w:pStyle w:val="Sinespaciado"/>
        <w:jc w:val="both"/>
        <w:rPr>
          <w:rFonts w:ascii="Times New Roman" w:hAnsi="Times New Roman" w:cs="Times New Roman"/>
        </w:rPr>
      </w:pPr>
    </w:p>
    <w:p w:rsidR="00922DD5" w:rsidRDefault="00922DD5" w:rsidP="003B26F5">
      <w:pPr>
        <w:pStyle w:val="Sinespaciado"/>
        <w:jc w:val="both"/>
        <w:rPr>
          <w:rFonts w:ascii="Times New Roman" w:hAnsi="Times New Roman" w:cs="Times New Roman"/>
        </w:rPr>
      </w:pPr>
    </w:p>
    <w:p w:rsidR="00922DD5" w:rsidRDefault="00922DD5" w:rsidP="003B26F5">
      <w:pPr>
        <w:pStyle w:val="Sinespaciado"/>
        <w:jc w:val="both"/>
        <w:rPr>
          <w:rFonts w:ascii="Times New Roman" w:hAnsi="Times New Roman" w:cs="Times New Roman"/>
        </w:rPr>
      </w:pPr>
    </w:p>
    <w:p w:rsidR="00922DD5" w:rsidRDefault="00922DD5" w:rsidP="003B26F5">
      <w:pPr>
        <w:pStyle w:val="Sinespaciado"/>
        <w:jc w:val="both"/>
        <w:rPr>
          <w:rFonts w:ascii="Times New Roman" w:hAnsi="Times New Roman" w:cs="Times New Roman"/>
        </w:rPr>
      </w:pPr>
    </w:p>
    <w:p w:rsidR="003B26F5" w:rsidRPr="00A8640D" w:rsidRDefault="003B26F5" w:rsidP="003B26F5">
      <w:pPr>
        <w:pStyle w:val="Sinespaciado"/>
        <w:jc w:val="center"/>
        <w:rPr>
          <w:rFonts w:ascii="Times New Roman" w:hAnsi="Times New Roman" w:cs="Times New Roman"/>
          <w:b/>
        </w:rPr>
      </w:pPr>
      <w:r w:rsidRPr="00A8640D">
        <w:rPr>
          <w:rFonts w:ascii="Times New Roman" w:hAnsi="Times New Roman" w:cs="Times New Roman"/>
          <w:b/>
        </w:rPr>
        <w:lastRenderedPageBreak/>
        <w:t>Presupuesto Vigente de Programa 94</w:t>
      </w:r>
    </w:p>
    <w:p w:rsidR="003B26F5" w:rsidRPr="00A8640D" w:rsidRDefault="003B26F5" w:rsidP="003B26F5">
      <w:pPr>
        <w:pStyle w:val="Sinespaciado"/>
        <w:jc w:val="center"/>
        <w:rPr>
          <w:rFonts w:ascii="Times New Roman" w:hAnsi="Times New Roman" w:cs="Times New Roman"/>
          <w:sz w:val="18"/>
        </w:rPr>
      </w:pPr>
      <w:r w:rsidRPr="00A8640D">
        <w:rPr>
          <w:rFonts w:ascii="Times New Roman" w:hAnsi="Times New Roman" w:cs="Times New Roman"/>
          <w:sz w:val="18"/>
        </w:rPr>
        <w:t>Cifras en que</w:t>
      </w:r>
      <w:r>
        <w:rPr>
          <w:rFonts w:ascii="Times New Roman" w:hAnsi="Times New Roman" w:cs="Times New Roman"/>
          <w:sz w:val="18"/>
        </w:rPr>
        <w:t>tz</w:t>
      </w:r>
      <w:r w:rsidRPr="00A8640D">
        <w:rPr>
          <w:rFonts w:ascii="Times New Roman" w:hAnsi="Times New Roman" w:cs="Times New Roman"/>
          <w:sz w:val="18"/>
        </w:rPr>
        <w:t>ales</w:t>
      </w:r>
    </w:p>
    <w:p w:rsidR="003B26F5" w:rsidRDefault="003B26F5" w:rsidP="003B26F5">
      <w:pPr>
        <w:pStyle w:val="Sinespaciado"/>
        <w:jc w:val="both"/>
        <w:rPr>
          <w:rFonts w:ascii="Times New Roman" w:hAnsi="Times New Roman" w:cs="Times New Roman"/>
          <w:noProof/>
          <w:lang w:eastAsia="es-GT"/>
        </w:rPr>
      </w:pPr>
      <w:r>
        <w:rPr>
          <w:rFonts w:ascii="Times New Roman" w:hAnsi="Times New Roman" w:cs="Times New Roman"/>
          <w:noProof/>
          <w:lang w:eastAsia="es-GT"/>
        </w:rPr>
        <w:object w:dxaOrig="11625" w:dyaOrig="7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71.75pt" o:ole="">
            <v:imagedata r:id="rId23" o:title=""/>
          </v:shape>
          <o:OLEObject Type="Embed" ProgID="PBrush" ShapeID="_x0000_i1025" DrawAspect="Content" ObjectID="_1594793743" r:id="rId24"/>
        </w:object>
      </w:r>
    </w:p>
    <w:p w:rsidR="008C079A" w:rsidRPr="00922DD5" w:rsidRDefault="003B26F5" w:rsidP="00922DD5">
      <w:pPr>
        <w:pStyle w:val="Sinespaciado"/>
        <w:jc w:val="both"/>
        <w:rPr>
          <w:rFonts w:ascii="Times New Roman" w:hAnsi="Times New Roman" w:cs="Times New Roman"/>
          <w:b/>
          <w:sz w:val="14"/>
        </w:rPr>
      </w:pPr>
      <w:r w:rsidRPr="00B850BD">
        <w:rPr>
          <w:rFonts w:ascii="Times New Roman" w:hAnsi="Times New Roman" w:cs="Times New Roman"/>
          <w:b/>
          <w:noProof/>
          <w:sz w:val="14"/>
          <w:lang w:eastAsia="es-GT"/>
        </w:rPr>
        <w:t>Fuente: SICOIN</w:t>
      </w:r>
    </w:p>
    <w:p w:rsidR="00922DD5" w:rsidRDefault="00922DD5" w:rsidP="00E570ED">
      <w:pPr>
        <w:pStyle w:val="Sinespaciado"/>
        <w:jc w:val="both"/>
        <w:rPr>
          <w:rFonts w:ascii="Times New Roman" w:hAnsi="Times New Roman" w:cs="Times New Roman"/>
          <w:color w:val="FF0000"/>
          <w:sz w:val="16"/>
        </w:rPr>
      </w:pPr>
    </w:p>
    <w:p w:rsidR="00922DD5" w:rsidRPr="00EB5C44" w:rsidRDefault="00922DD5" w:rsidP="00E570ED">
      <w:pPr>
        <w:pStyle w:val="Sinespaciado"/>
        <w:jc w:val="both"/>
        <w:rPr>
          <w:rFonts w:ascii="Times New Roman" w:hAnsi="Times New Roman" w:cs="Times New Roman"/>
          <w:color w:val="FF0000"/>
          <w:sz w:val="12"/>
        </w:rPr>
        <w:sectPr w:rsidR="00922DD5" w:rsidRPr="00EB5C44" w:rsidSect="00040C99">
          <w:headerReference w:type="default" r:id="rId25"/>
          <w:footerReference w:type="default" r:id="rId26"/>
          <w:type w:val="continuous"/>
          <w:pgSz w:w="12240" w:h="15840" w:code="1"/>
          <w:pgMar w:top="1418" w:right="1418" w:bottom="1418" w:left="1701" w:header="709" w:footer="709" w:gutter="0"/>
          <w:cols w:num="2" w:space="708"/>
          <w:docGrid w:linePitch="360"/>
        </w:sectPr>
      </w:pPr>
    </w:p>
    <w:p w:rsidR="001E4CD2" w:rsidRPr="00EB5C44" w:rsidRDefault="001E4CD2" w:rsidP="00216605">
      <w:pPr>
        <w:pStyle w:val="Sinespaciado"/>
        <w:jc w:val="both"/>
        <w:rPr>
          <w:rFonts w:ascii="Times New Roman" w:hAnsi="Times New Roman" w:cs="Times New Roman"/>
          <w:color w:val="FF0000"/>
          <w:sz w:val="4"/>
          <w:lang w:val="es-MX"/>
        </w:rPr>
      </w:pPr>
    </w:p>
    <w:p w:rsidR="00216605" w:rsidRPr="003B26F5" w:rsidRDefault="003B26F5" w:rsidP="00216605">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216605" w:rsidRPr="003B26F5" w:rsidSect="00FA3B81">
          <w:type w:val="continuous"/>
          <w:pgSz w:w="12240" w:h="15840" w:code="1"/>
          <w:pgMar w:top="1418" w:right="1418" w:bottom="1418" w:left="1418" w:header="709" w:footer="709" w:gutter="0"/>
          <w:cols w:space="708"/>
          <w:docGrid w:linePitch="360"/>
        </w:sectPr>
      </w:pPr>
      <w:r w:rsidRPr="003B26F5">
        <w:rPr>
          <w:rFonts w:ascii="Times New Roman" w:hAnsi="Times New Roman" w:cs="Times New Roman"/>
          <w:b/>
          <w:lang w:val="es-MX"/>
        </w:rPr>
        <w:t>S</w:t>
      </w:r>
      <w:r w:rsidR="00622F43" w:rsidRPr="003B26F5">
        <w:rPr>
          <w:rFonts w:ascii="Times New Roman" w:hAnsi="Times New Roman" w:cs="Times New Roman"/>
          <w:b/>
          <w:lang w:val="es-MX"/>
        </w:rPr>
        <w:t xml:space="preserve">e ha colocado </w:t>
      </w:r>
      <w:r w:rsidRPr="003B26F5">
        <w:rPr>
          <w:rFonts w:ascii="Times New Roman" w:hAnsi="Times New Roman" w:cs="Times New Roman"/>
          <w:b/>
          <w:lang w:val="es-MX"/>
        </w:rPr>
        <w:t>el 38% de la</w:t>
      </w:r>
      <w:r w:rsidR="00622F43" w:rsidRPr="003B26F5">
        <w:rPr>
          <w:rFonts w:ascii="Times New Roman" w:hAnsi="Times New Roman" w:cs="Times New Roman"/>
          <w:b/>
          <w:lang w:val="es-MX"/>
        </w:rPr>
        <w:t xml:space="preserve"> emisión </w:t>
      </w:r>
      <w:r w:rsidRPr="003B26F5">
        <w:rPr>
          <w:rFonts w:ascii="Times New Roman" w:hAnsi="Times New Roman" w:cs="Times New Roman"/>
          <w:b/>
          <w:lang w:val="es-MX"/>
        </w:rPr>
        <w:t>de Bonos del Tesoro</w:t>
      </w:r>
    </w:p>
    <w:p w:rsidR="00216605" w:rsidRPr="00EB5C44" w:rsidRDefault="00216605" w:rsidP="00216605">
      <w:pPr>
        <w:pStyle w:val="Sinespaciado"/>
        <w:rPr>
          <w:rFonts w:ascii="Times New Roman" w:hAnsi="Times New Roman" w:cs="Times New Roman"/>
          <w:b/>
          <w:color w:val="FF0000"/>
          <w:sz w:val="24"/>
          <w:lang w:val="es-MX"/>
        </w:rPr>
      </w:pPr>
    </w:p>
    <w:p w:rsidR="00216605" w:rsidRPr="00EB5C44" w:rsidRDefault="00216605" w:rsidP="00216605">
      <w:pPr>
        <w:pStyle w:val="Sinespaciado"/>
        <w:rPr>
          <w:rFonts w:ascii="Times New Roman" w:hAnsi="Times New Roman" w:cs="Times New Roman"/>
          <w:b/>
          <w:color w:val="FF0000"/>
          <w:lang w:val="es-MX"/>
        </w:rPr>
        <w:sectPr w:rsidR="00216605" w:rsidRPr="00EB5C44" w:rsidSect="004E358C">
          <w:type w:val="continuous"/>
          <w:pgSz w:w="12240" w:h="15840"/>
          <w:pgMar w:top="1417" w:right="1701" w:bottom="1417" w:left="1701" w:header="708" w:footer="708" w:gutter="0"/>
          <w:cols w:space="708"/>
          <w:docGrid w:linePitch="360"/>
        </w:sectPr>
      </w:pPr>
    </w:p>
    <w:p w:rsidR="003B26F5" w:rsidRDefault="003B26F5" w:rsidP="003B26F5">
      <w:pPr>
        <w:pStyle w:val="Sinespaciado"/>
        <w:jc w:val="both"/>
        <w:rPr>
          <w:rFonts w:ascii="Times New Roman" w:hAnsi="Times New Roman" w:cs="Times New Roman"/>
        </w:rPr>
      </w:pPr>
      <w:r>
        <w:rPr>
          <w:rFonts w:ascii="Times New Roman" w:hAnsi="Times New Roman" w:cs="Times New Roman"/>
        </w:rPr>
        <w:lastRenderedPageBreak/>
        <w:t>En cuanto al financiamiento del déficit de presupuesto, al cierre de junio 2018 se obtuvo un flujo negativo en el endeudamiento de préstamos externos neto por el equivalente a Q705.0 millones, a pesar que en lo que va del año ha mejorado el nivel de desembolsos de préstamos externos, con respecto a lo observado en 2017 en donde apenas se ha recibido desembolsos por Q87.7 millones y en lo que va del año estos ascienden a Q502.4 millones.</w:t>
      </w:r>
    </w:p>
    <w:p w:rsidR="003B26F5" w:rsidRDefault="003B26F5" w:rsidP="003B26F5">
      <w:pPr>
        <w:pStyle w:val="Sinespaciado"/>
        <w:jc w:val="both"/>
        <w:rPr>
          <w:rFonts w:ascii="Times New Roman" w:hAnsi="Times New Roman" w:cs="Times New Roman"/>
        </w:rPr>
      </w:pPr>
    </w:p>
    <w:p w:rsidR="003B26F5" w:rsidRDefault="003B26F5" w:rsidP="003B26F5">
      <w:pPr>
        <w:pStyle w:val="Sinespaciado"/>
        <w:jc w:val="both"/>
        <w:rPr>
          <w:rFonts w:ascii="Times New Roman" w:hAnsi="Times New Roman" w:cs="Times New Roman"/>
        </w:rPr>
      </w:pPr>
      <w:r>
        <w:rPr>
          <w:rFonts w:ascii="Times New Roman" w:hAnsi="Times New Roman" w:cs="Times New Roman"/>
        </w:rPr>
        <w:t xml:space="preserve">Asimismo, se han realizado varios eventos de colocación de Bonos del Tesoro los cuales muestran una demanda acumulada de Q21,283.7 de los cuales se adjudicaron Q5,194.0 millones en el mercado interno en moneda nacional. </w:t>
      </w:r>
    </w:p>
    <w:p w:rsidR="003B26F5" w:rsidRDefault="003B26F5" w:rsidP="003B26F5">
      <w:pPr>
        <w:pStyle w:val="Sinespaciado"/>
        <w:jc w:val="both"/>
        <w:rPr>
          <w:rFonts w:ascii="Times New Roman" w:hAnsi="Times New Roman" w:cs="Times New Roman"/>
        </w:rPr>
      </w:pPr>
    </w:p>
    <w:p w:rsidR="003B26F5" w:rsidRPr="00EB5C44" w:rsidRDefault="003B26F5" w:rsidP="003B26F5">
      <w:pPr>
        <w:pStyle w:val="Sinespaciado"/>
        <w:jc w:val="both"/>
        <w:rPr>
          <w:rFonts w:ascii="Times New Roman" w:hAnsi="Times New Roman" w:cs="Times New Roman"/>
          <w:color w:val="FF0000"/>
        </w:rPr>
      </w:pPr>
      <w:r>
        <w:rPr>
          <w:rFonts w:ascii="Times New Roman" w:hAnsi="Times New Roman" w:cs="Times New Roman"/>
        </w:rPr>
        <w:t xml:space="preserve">Derivado de lo anterior, la colocación de Bonos del Tesoro pendiente de realizar es de </w:t>
      </w:r>
      <w:r>
        <w:rPr>
          <w:rFonts w:ascii="Times New Roman" w:hAnsi="Times New Roman" w:cs="Times New Roman"/>
        </w:rPr>
        <w:lastRenderedPageBreak/>
        <w:t>Q8,555.1 millones, equivalente al 62.2% del total de la emisión autorizada por el Congreso de la República.</w:t>
      </w:r>
    </w:p>
    <w:p w:rsidR="00614999" w:rsidRPr="00EB5C44" w:rsidRDefault="00614999" w:rsidP="00614999">
      <w:pPr>
        <w:pStyle w:val="Sinespaciado"/>
        <w:jc w:val="both"/>
        <w:rPr>
          <w:rFonts w:ascii="Times New Roman" w:hAnsi="Times New Roman" w:cs="Times New Roman"/>
          <w:color w:val="FF0000"/>
        </w:rPr>
      </w:pPr>
    </w:p>
    <w:p w:rsidR="00614999" w:rsidRPr="00EB5C44" w:rsidRDefault="00614999" w:rsidP="00614999">
      <w:pPr>
        <w:pStyle w:val="Sinespaciado"/>
        <w:jc w:val="both"/>
        <w:rPr>
          <w:rFonts w:ascii="Times New Roman" w:hAnsi="Times New Roman" w:cs="Times New Roman"/>
          <w:color w:val="FF0000"/>
        </w:rPr>
      </w:pPr>
    </w:p>
    <w:p w:rsidR="00614999" w:rsidRPr="003B26F5" w:rsidRDefault="00614999" w:rsidP="00614999">
      <w:pPr>
        <w:pStyle w:val="Sinespaciado"/>
        <w:jc w:val="center"/>
        <w:rPr>
          <w:rFonts w:ascii="Times New Roman" w:hAnsi="Times New Roman" w:cs="Times New Roman"/>
          <w:b/>
        </w:rPr>
      </w:pPr>
      <w:r w:rsidRPr="003B26F5">
        <w:rPr>
          <w:rFonts w:ascii="Times New Roman" w:hAnsi="Times New Roman" w:cs="Times New Roman"/>
          <w:b/>
        </w:rPr>
        <w:t>Colocación de Bonos del Tesoro 2018</w:t>
      </w:r>
    </w:p>
    <w:p w:rsidR="00614999" w:rsidRPr="003B26F5" w:rsidRDefault="00614999" w:rsidP="00614999">
      <w:pPr>
        <w:pStyle w:val="Sinespaciado"/>
        <w:jc w:val="center"/>
        <w:rPr>
          <w:rFonts w:ascii="Times New Roman" w:hAnsi="Times New Roman" w:cs="Times New Roman"/>
          <w:sz w:val="18"/>
        </w:rPr>
      </w:pPr>
      <w:r w:rsidRPr="003B26F5">
        <w:rPr>
          <w:rFonts w:ascii="Times New Roman" w:hAnsi="Times New Roman" w:cs="Times New Roman"/>
          <w:sz w:val="18"/>
        </w:rPr>
        <w:t>Millones de quetzales y Porcentajes</w:t>
      </w:r>
    </w:p>
    <w:p w:rsidR="003B26F5" w:rsidRPr="003B26F5" w:rsidRDefault="003B26F5" w:rsidP="00614999">
      <w:pPr>
        <w:pStyle w:val="Sinespaciado"/>
        <w:jc w:val="center"/>
        <w:rPr>
          <w:rFonts w:ascii="Times New Roman" w:hAnsi="Times New Roman" w:cs="Times New Roman"/>
          <w:sz w:val="18"/>
        </w:rPr>
      </w:pPr>
      <w:r w:rsidRPr="003B26F5">
        <w:rPr>
          <w:rFonts w:ascii="Times New Roman" w:hAnsi="Times New Roman" w:cs="Times New Roman"/>
          <w:noProof/>
          <w:lang w:eastAsia="es-GT"/>
        </w:rPr>
        <w:drawing>
          <wp:inline distT="0" distB="0" distL="0" distR="0" wp14:anchorId="64A07B5C" wp14:editId="7BA95B2D">
            <wp:extent cx="2783587" cy="19812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5702" cy="1982706"/>
                    </a:xfrm>
                    <a:prstGeom prst="rect">
                      <a:avLst/>
                    </a:prstGeom>
                    <a:noFill/>
                  </pic:spPr>
                </pic:pic>
              </a:graphicData>
            </a:graphic>
          </wp:inline>
        </w:drawing>
      </w:r>
    </w:p>
    <w:p w:rsidR="00614999" w:rsidRPr="003B26F5" w:rsidRDefault="00614999" w:rsidP="00614999">
      <w:pPr>
        <w:pStyle w:val="Sinespaciado"/>
        <w:rPr>
          <w:rFonts w:ascii="Times New Roman" w:hAnsi="Times New Roman" w:cs="Times New Roman"/>
          <w:sz w:val="16"/>
        </w:rPr>
      </w:pPr>
      <w:r w:rsidRPr="003B26F5">
        <w:rPr>
          <w:rFonts w:ascii="Times New Roman" w:hAnsi="Times New Roman" w:cs="Times New Roman"/>
          <w:sz w:val="16"/>
        </w:rPr>
        <w:t>Fuente: Dirección de Análisis y Política Fiscal</w:t>
      </w:r>
    </w:p>
    <w:p w:rsidR="001E4CD2" w:rsidRPr="00EB5C44" w:rsidRDefault="001E4CD2" w:rsidP="00BC7539">
      <w:pPr>
        <w:pStyle w:val="Sinespaciado"/>
        <w:jc w:val="both"/>
        <w:rPr>
          <w:rFonts w:ascii="Times New Roman" w:hAnsi="Times New Roman" w:cs="Times New Roman"/>
          <w:color w:val="FF0000"/>
          <w:sz w:val="14"/>
        </w:rPr>
      </w:pPr>
    </w:p>
    <w:p w:rsidR="00CE75B5" w:rsidRDefault="00CE75B5" w:rsidP="00CE75B5">
      <w:pPr>
        <w:pStyle w:val="Sinespaciado"/>
        <w:jc w:val="both"/>
        <w:rPr>
          <w:rFonts w:ascii="Times New Roman" w:hAnsi="Times New Roman" w:cs="Times New Roman"/>
          <w:color w:val="FF0000"/>
          <w:lang w:val="es-MX"/>
        </w:rPr>
      </w:pPr>
    </w:p>
    <w:p w:rsidR="00922DD5" w:rsidRPr="00EB5C44" w:rsidRDefault="00922DD5" w:rsidP="00CE75B5">
      <w:pPr>
        <w:pStyle w:val="Sinespaciado"/>
        <w:jc w:val="both"/>
        <w:rPr>
          <w:rFonts w:ascii="Times New Roman" w:hAnsi="Times New Roman" w:cs="Times New Roman"/>
          <w:color w:val="FF0000"/>
          <w:lang w:val="es-MX"/>
        </w:rPr>
        <w:sectPr w:rsidR="00922DD5" w:rsidRPr="00EB5C44" w:rsidSect="00D554B2">
          <w:headerReference w:type="default" r:id="rId28"/>
          <w:footerReference w:type="default" r:id="rId29"/>
          <w:type w:val="continuous"/>
          <w:pgSz w:w="12240" w:h="15840"/>
          <w:pgMar w:top="1417" w:right="1701" w:bottom="1417" w:left="1701" w:header="708" w:footer="708" w:gutter="0"/>
          <w:cols w:num="2" w:space="708"/>
          <w:docGrid w:linePitch="360"/>
        </w:sectPr>
      </w:pPr>
    </w:p>
    <w:p w:rsidR="00B96036" w:rsidRDefault="00B96036" w:rsidP="00D4202F">
      <w:pPr>
        <w:spacing w:after="0"/>
        <w:rPr>
          <w:rFonts w:ascii="Times New Roman" w:hAnsi="Times New Roman" w:cs="Times New Roman"/>
          <w:color w:val="FF0000"/>
          <w:lang w:val="es-MX"/>
        </w:rPr>
      </w:pPr>
    </w:p>
    <w:p w:rsidR="00922DD5" w:rsidRDefault="00922DD5" w:rsidP="00D4202F">
      <w:pPr>
        <w:spacing w:after="0"/>
        <w:rPr>
          <w:rFonts w:ascii="Times New Roman" w:hAnsi="Times New Roman" w:cs="Times New Roman"/>
          <w:color w:val="FF0000"/>
          <w:lang w:val="es-MX"/>
        </w:rPr>
      </w:pPr>
    </w:p>
    <w:p w:rsidR="00922DD5" w:rsidRDefault="00922DD5" w:rsidP="00D4202F">
      <w:pPr>
        <w:spacing w:after="0"/>
        <w:rPr>
          <w:rFonts w:ascii="Times New Roman" w:hAnsi="Times New Roman" w:cs="Times New Roman"/>
          <w:color w:val="FF0000"/>
          <w:lang w:val="es-MX"/>
        </w:rPr>
      </w:pPr>
    </w:p>
    <w:p w:rsidR="00922DD5" w:rsidRDefault="00922DD5" w:rsidP="00D4202F">
      <w:pPr>
        <w:spacing w:after="0"/>
        <w:rPr>
          <w:rFonts w:ascii="Times New Roman" w:hAnsi="Times New Roman" w:cs="Times New Roman"/>
          <w:color w:val="FF0000"/>
          <w:lang w:val="es-MX"/>
        </w:rPr>
      </w:pPr>
    </w:p>
    <w:p w:rsidR="00922DD5" w:rsidRDefault="00922DD5" w:rsidP="00D4202F">
      <w:pPr>
        <w:spacing w:after="0"/>
        <w:rPr>
          <w:rFonts w:ascii="Times New Roman" w:hAnsi="Times New Roman" w:cs="Times New Roman"/>
          <w:color w:val="FF0000"/>
          <w:lang w:val="es-MX"/>
        </w:rPr>
      </w:pPr>
    </w:p>
    <w:p w:rsidR="00922DD5" w:rsidRDefault="00922DD5" w:rsidP="00D4202F">
      <w:pPr>
        <w:spacing w:after="0"/>
        <w:rPr>
          <w:rFonts w:ascii="Times New Roman" w:hAnsi="Times New Roman" w:cs="Times New Roman"/>
          <w:color w:val="FF0000"/>
          <w:lang w:val="es-MX"/>
        </w:rPr>
      </w:pPr>
    </w:p>
    <w:p w:rsidR="00922DD5" w:rsidRDefault="00922DD5" w:rsidP="00D4202F">
      <w:pPr>
        <w:spacing w:after="0"/>
        <w:rPr>
          <w:rFonts w:ascii="Times New Roman" w:hAnsi="Times New Roman" w:cs="Times New Roman"/>
          <w:color w:val="FF0000"/>
          <w:lang w:val="es-MX"/>
        </w:rPr>
      </w:pPr>
    </w:p>
    <w:p w:rsidR="00922DD5" w:rsidRPr="00EB5C44" w:rsidRDefault="00922DD5" w:rsidP="00D4202F">
      <w:pPr>
        <w:spacing w:after="0"/>
        <w:rPr>
          <w:rFonts w:ascii="Times New Roman" w:hAnsi="Times New Roman" w:cs="Times New Roman"/>
          <w:color w:val="FF0000"/>
          <w:lang w:val="es-MX"/>
        </w:rPr>
        <w:sectPr w:rsidR="00922DD5" w:rsidRPr="00EB5C44" w:rsidSect="004E358C">
          <w:type w:val="continuous"/>
          <w:pgSz w:w="12240" w:h="15840"/>
          <w:pgMar w:top="1417" w:right="1701" w:bottom="1417" w:left="1701" w:header="708" w:footer="708" w:gutter="0"/>
          <w:cols w:num="2" w:space="708"/>
          <w:docGrid w:linePitch="360"/>
        </w:sectPr>
      </w:pPr>
    </w:p>
    <w:p w:rsidR="00494D1D" w:rsidRPr="00845D64" w:rsidRDefault="0042387A" w:rsidP="00BB4C28">
      <w:pPr>
        <w:pBdr>
          <w:top w:val="single" w:sz="4" w:space="0"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494D1D" w:rsidRPr="00845D64" w:rsidSect="00FA3B81">
          <w:headerReference w:type="default" r:id="rId30"/>
          <w:footerReference w:type="default" r:id="rId31"/>
          <w:type w:val="continuous"/>
          <w:pgSz w:w="12240" w:h="15840" w:code="1"/>
          <w:pgMar w:top="1418" w:right="1418" w:bottom="1418" w:left="1418" w:header="709" w:footer="709" w:gutter="0"/>
          <w:cols w:space="708"/>
          <w:docGrid w:linePitch="360"/>
        </w:sectPr>
      </w:pPr>
      <w:r w:rsidRPr="00845D64">
        <w:rPr>
          <w:rFonts w:ascii="Times New Roman" w:hAnsi="Times New Roman" w:cs="Times New Roman"/>
          <w:b/>
          <w:lang w:val="es-MX"/>
        </w:rPr>
        <w:lastRenderedPageBreak/>
        <w:t>Ambientes macroeconómicos (externo e interno)</w:t>
      </w:r>
    </w:p>
    <w:p w:rsidR="00494D1D" w:rsidRPr="00EB5C44" w:rsidRDefault="00494D1D" w:rsidP="00494D1D">
      <w:pPr>
        <w:pStyle w:val="Sinespaciado"/>
        <w:rPr>
          <w:rFonts w:ascii="Times New Roman" w:hAnsi="Times New Roman" w:cs="Times New Roman"/>
          <w:b/>
          <w:color w:val="FF0000"/>
          <w:sz w:val="18"/>
          <w:lang w:val="es-MX"/>
        </w:rPr>
      </w:pPr>
    </w:p>
    <w:p w:rsidR="00494D1D" w:rsidRPr="00EB5C44" w:rsidRDefault="00494D1D" w:rsidP="00494D1D">
      <w:pPr>
        <w:pStyle w:val="Sinespaciado"/>
        <w:rPr>
          <w:rFonts w:ascii="Times New Roman" w:hAnsi="Times New Roman" w:cs="Times New Roman"/>
          <w:b/>
          <w:color w:val="FF0000"/>
          <w:sz w:val="28"/>
          <w:lang w:val="es-MX"/>
        </w:rPr>
        <w:sectPr w:rsidR="00494D1D" w:rsidRPr="00EB5C44" w:rsidSect="004E358C">
          <w:type w:val="continuous"/>
          <w:pgSz w:w="12240" w:h="15840"/>
          <w:pgMar w:top="1417" w:right="1701" w:bottom="1417" w:left="1701" w:header="708" w:footer="708" w:gutter="0"/>
          <w:cols w:space="708"/>
          <w:docGrid w:linePitch="360"/>
        </w:sectPr>
      </w:pPr>
    </w:p>
    <w:p w:rsidR="00DC1048" w:rsidRPr="00EB5C44" w:rsidRDefault="003B26F5" w:rsidP="001B3EEE">
      <w:pPr>
        <w:spacing w:after="0" w:line="240" w:lineRule="auto"/>
        <w:jc w:val="both"/>
        <w:rPr>
          <w:rFonts w:ascii="Times New Roman" w:hAnsi="Times New Roman" w:cs="Times New Roman"/>
          <w:color w:val="FF0000"/>
          <w:lang w:val="es-MX"/>
        </w:rPr>
      </w:pPr>
      <w:r w:rsidRPr="003B26F5">
        <w:rPr>
          <w:rFonts w:ascii="Times New Roman" w:hAnsi="Times New Roman" w:cs="Times New Roman"/>
          <w:lang w:val="es-MX"/>
        </w:rPr>
        <w:lastRenderedPageBreak/>
        <w:t>El Banco Mundial ha advertido sobre los efectos de una guerra arancelaria, siendo uno de los principales la reducción del comercio a los niveles observados durante la crisis financiera. El proteccionismo lleva a más proteccionismo, creando una espiral económica perversa, fue el mensaje del organismo antes de la cumbre del G7 en junio. Las consecuencias las sentirán particularmente los países en desarrollo y emergentes, como los de América Latina. La probabilidad de un frenazo abrupto del crecimiento crece y es precisamente el comercio uno de los factores que permite que la expansión global se mantenga robusta a un ritmo del 3,1% este año y del 3% el que viene, conforme la actividad se normaliza.</w:t>
      </w:r>
    </w:p>
    <w:p w:rsidR="00B468EF" w:rsidRPr="00EB5C44" w:rsidRDefault="00B468EF" w:rsidP="00B468EF">
      <w:pPr>
        <w:spacing w:after="0" w:line="240" w:lineRule="auto"/>
        <w:jc w:val="both"/>
        <w:rPr>
          <w:rFonts w:ascii="Times New Roman" w:hAnsi="Times New Roman" w:cs="Times New Roman"/>
          <w:color w:val="FF0000"/>
          <w:lang w:val="es-MX"/>
        </w:rPr>
      </w:pPr>
    </w:p>
    <w:p w:rsidR="00D436D4" w:rsidRPr="00EB5C44" w:rsidRDefault="00845D64" w:rsidP="00B468EF">
      <w:pPr>
        <w:spacing w:after="0" w:line="240" w:lineRule="auto"/>
        <w:jc w:val="both"/>
        <w:rPr>
          <w:rFonts w:ascii="Times New Roman" w:hAnsi="Times New Roman" w:cs="Times New Roman"/>
          <w:color w:val="FF0000"/>
          <w:lang w:val="es-MX"/>
        </w:rPr>
      </w:pPr>
      <w:r>
        <w:rPr>
          <w:rFonts w:ascii="Times New Roman" w:eastAsia="Times New Roman" w:hAnsi="Times New Roman"/>
        </w:rPr>
        <w:t>En China más de 800 productos por valor de 34.000 millones reciben nuevos gravámenes de Washington y Pekín contraataca con medidas similares. Las negociaciones mantenidas entre ambas potencias los últimos meses han fracasado. Las promesas de apertura del régimen chino no han convencido en Washington y El Ministerio de Comercio chino acusa a la administración estadounidense de poner en riesgo la cadena de valor global.</w:t>
      </w:r>
    </w:p>
    <w:p w:rsidR="00B468EF" w:rsidRPr="00EB5C44" w:rsidRDefault="00B468EF" w:rsidP="00B468EF">
      <w:pPr>
        <w:spacing w:after="0" w:line="240" w:lineRule="auto"/>
        <w:jc w:val="both"/>
        <w:rPr>
          <w:rFonts w:ascii="Times New Roman" w:hAnsi="Times New Roman" w:cs="Times New Roman"/>
          <w:color w:val="FF0000"/>
          <w:lang w:val="es-MX"/>
        </w:rPr>
      </w:pPr>
    </w:p>
    <w:p w:rsidR="001B3EEE" w:rsidRPr="00EB5C44" w:rsidRDefault="00845D64" w:rsidP="00B468EF">
      <w:pPr>
        <w:spacing w:after="0" w:line="240" w:lineRule="auto"/>
        <w:jc w:val="both"/>
        <w:rPr>
          <w:rFonts w:ascii="Times New Roman" w:hAnsi="Times New Roman" w:cs="Times New Roman"/>
          <w:color w:val="FF0000"/>
          <w:lang w:val="es-MX"/>
        </w:rPr>
      </w:pPr>
      <w:r>
        <w:rPr>
          <w:rFonts w:ascii="Times New Roman" w:eastAsia="Times New Roman" w:hAnsi="Times New Roman"/>
        </w:rPr>
        <w:t>Las actas de la Reserva Federal correspondientes a su reunión de junio, ya reflejan las primeras reacciones negativas. Los miembros de la FED no ocultaron su preocupación por la incertidumbre generada a raíz de política comercial de la administración del presidente Trump, misma que puede tener efectos negativos en el sentimiento empresarial y la inversión. La FED planea mantener el rumbo en la elevación gradual de las tasas de interés este año a medida que el desempleo declina y la inflación se mantiene en el nivel proyectado.</w:t>
      </w:r>
      <w:r w:rsidR="001B3EEE" w:rsidRPr="00EB5C44">
        <w:rPr>
          <w:rFonts w:ascii="Times New Roman" w:hAnsi="Times New Roman" w:cs="Times New Roman"/>
          <w:color w:val="FF0000"/>
          <w:lang w:val="es-MX"/>
        </w:rPr>
        <w:t xml:space="preserve"> </w:t>
      </w:r>
    </w:p>
    <w:p w:rsidR="00B468EF" w:rsidRPr="00EB5C44" w:rsidRDefault="00B468EF" w:rsidP="00B468EF">
      <w:pPr>
        <w:spacing w:after="0" w:line="240" w:lineRule="auto"/>
        <w:jc w:val="both"/>
        <w:rPr>
          <w:rFonts w:ascii="Times New Roman" w:hAnsi="Times New Roman" w:cs="Times New Roman"/>
          <w:color w:val="FF0000"/>
          <w:lang w:val="es-MX"/>
        </w:rPr>
      </w:pPr>
    </w:p>
    <w:p w:rsidR="00845D64" w:rsidRDefault="00845D64" w:rsidP="00845D64">
      <w:pPr>
        <w:spacing w:line="238" w:lineRule="auto"/>
        <w:ind w:right="20"/>
        <w:jc w:val="both"/>
        <w:rPr>
          <w:rFonts w:ascii="Times New Roman" w:eastAsia="Times New Roman" w:hAnsi="Times New Roman"/>
        </w:rPr>
      </w:pPr>
      <w:r>
        <w:rPr>
          <w:rFonts w:ascii="Times New Roman" w:eastAsia="Times New Roman" w:hAnsi="Times New Roman"/>
        </w:rPr>
        <w:lastRenderedPageBreak/>
        <w:t>El riesgo económico que emana el proteccionismo es alto para América Latina. La proyección de crecimiento hecha por el Banco Mundial para América Latina es del 1,7% en 2018, casi un punto más que el año pasado, y llegaría al 2,5% en 2020. Se adiciona la recuperación cíclica en marcha en Brasil, que crecerá un 2,4% este año, y la mejora de las condiciones en Chile, Colombia, México y</w:t>
      </w:r>
      <w:r>
        <w:rPr>
          <w:rFonts w:ascii="Times New Roman" w:eastAsia="Times New Roman" w:hAnsi="Times New Roman"/>
        </w:rPr>
        <w:t xml:space="preserve"> </w:t>
      </w:r>
      <w:r w:rsidRPr="00845D64">
        <w:rPr>
          <w:rFonts w:ascii="Times New Roman" w:eastAsia="Times New Roman" w:hAnsi="Times New Roman"/>
        </w:rPr>
        <w:t>Perú. Venezuela provoca, por el contrario, que la proyección para América Latina se revise a la baja tres décimas. En su caso se contraerá un 14,3% este año.</w:t>
      </w:r>
    </w:p>
    <w:p w:rsidR="003A1300" w:rsidRPr="00845D64" w:rsidRDefault="00845D64" w:rsidP="00845D64">
      <w:pPr>
        <w:spacing w:after="0" w:line="240" w:lineRule="auto"/>
        <w:jc w:val="both"/>
        <w:rPr>
          <w:rFonts w:ascii="Times New Roman" w:hAnsi="Times New Roman" w:cs="Times New Roman"/>
          <w:lang w:val="es-MX"/>
        </w:rPr>
      </w:pPr>
      <w:r w:rsidRPr="00845D64">
        <w:rPr>
          <w:rFonts w:ascii="Times New Roman" w:hAnsi="Times New Roman" w:cs="Times New Roman"/>
          <w:lang w:val="es-MX"/>
        </w:rPr>
        <w:t>En un estudio dado a conocer por la CEPAL muestra que en 2017 se profundizaron algunas tendencias en el escenario económico mundial que han generado un clima de incertidumbre para las inversiones transfronterizas. En particular, se confirmaron anuncios de posibles restricciones comerciales y presiones para relocalizar la producción en los países desarrollados. Al mismo tiempo, las autoridades de China han tomado medidas para restringir las salidas de inversión extranjera directa (IED), a fin de ajustarlas al plan estratégico del país. En este contexto internacional, las corrientes de IED en América Latina y el Car</w:t>
      </w:r>
      <w:r w:rsidRPr="00845D64">
        <w:rPr>
          <w:rFonts w:ascii="Times New Roman" w:hAnsi="Times New Roman" w:cs="Times New Roman"/>
          <w:lang w:val="es-MX"/>
        </w:rPr>
        <w:t xml:space="preserve">ibe se redujeron por tercer año </w:t>
      </w:r>
      <w:r w:rsidRPr="00845D64">
        <w:rPr>
          <w:rFonts w:ascii="Times New Roman" w:hAnsi="Times New Roman" w:cs="Times New Roman"/>
          <w:lang w:val="es-MX"/>
        </w:rPr>
        <w:t>consecutivo en 2017, hasta los 161.673 millones de dólares, cifra un 3,6% menos que la registrada el año anterior y un 20% por debajo de lo recibido en 2011 cuando tocó su pico máximo.</w:t>
      </w:r>
    </w:p>
    <w:p w:rsidR="003A1300" w:rsidRPr="00EB5C44" w:rsidRDefault="003A1300" w:rsidP="003A1300">
      <w:pPr>
        <w:spacing w:after="0" w:line="240" w:lineRule="auto"/>
        <w:jc w:val="both"/>
        <w:rPr>
          <w:rFonts w:ascii="Times New Roman" w:hAnsi="Times New Roman" w:cs="Times New Roman"/>
          <w:color w:val="FF0000"/>
          <w:lang w:val="es-MX"/>
        </w:rPr>
      </w:pPr>
    </w:p>
    <w:p w:rsidR="003A1300" w:rsidRPr="00845D64" w:rsidRDefault="00845D64" w:rsidP="003A1300">
      <w:pPr>
        <w:spacing w:after="0" w:line="240" w:lineRule="auto"/>
        <w:jc w:val="both"/>
        <w:rPr>
          <w:rFonts w:ascii="Times New Roman" w:hAnsi="Times New Roman" w:cs="Times New Roman"/>
        </w:rPr>
      </w:pPr>
      <w:r w:rsidRPr="00845D64">
        <w:rPr>
          <w:rFonts w:ascii="Times New Roman" w:hAnsi="Times New Roman" w:cs="Times New Roman"/>
        </w:rPr>
        <w:t xml:space="preserve">En la actividad económica nacional medida por la estimación del Producto Interno Bruto (PIB) real, se registró un crecimiento de 2.0% en el primer trimestre del 2018, inferior al registrado en el mismo trimestre de los años previos cuando fue de 3.2% en 2017 y 3.0% en 2016. Este nivel de crecimiento estuvo impulsado, principalmente, por la progresión observada en todos los componentes de la demanda interna. La actividad económica muestra una inflexión y </w:t>
      </w:r>
      <w:r w:rsidRPr="00845D64">
        <w:rPr>
          <w:rFonts w:ascii="Times New Roman" w:hAnsi="Times New Roman" w:cs="Times New Roman"/>
        </w:rPr>
        <w:lastRenderedPageBreak/>
        <w:t>la senda de recuperación económica da cuenta de un ritmo menor al previsto, sesgando el crecimiento económico hacia el escenario bajo previsto por el Banco de Guatemala.</w:t>
      </w:r>
      <w:r w:rsidR="00222598" w:rsidRPr="00845D64">
        <w:rPr>
          <w:rFonts w:ascii="Times New Roman" w:hAnsi="Times New Roman" w:cs="Times New Roman"/>
        </w:rPr>
        <w:t xml:space="preserve"> </w:t>
      </w:r>
    </w:p>
    <w:p w:rsidR="003A1300" w:rsidRPr="00EB5C44" w:rsidRDefault="003A1300" w:rsidP="003A1300">
      <w:pPr>
        <w:spacing w:after="0" w:line="240" w:lineRule="auto"/>
        <w:jc w:val="both"/>
        <w:rPr>
          <w:rFonts w:ascii="Times New Roman" w:hAnsi="Times New Roman" w:cs="Times New Roman"/>
          <w:color w:val="FF0000"/>
        </w:rPr>
      </w:pPr>
    </w:p>
    <w:p w:rsidR="003A1300" w:rsidRPr="00845D64" w:rsidRDefault="00845D64" w:rsidP="00845D64">
      <w:pPr>
        <w:spacing w:after="0" w:line="240" w:lineRule="auto"/>
        <w:jc w:val="both"/>
        <w:rPr>
          <w:rFonts w:ascii="Times New Roman" w:hAnsi="Times New Roman" w:cs="Times New Roman"/>
        </w:rPr>
      </w:pPr>
      <w:r w:rsidRPr="00845D64">
        <w:rPr>
          <w:rFonts w:ascii="Times New Roman" w:hAnsi="Times New Roman" w:cs="Times New Roman"/>
          <w:lang w:val="es-MX"/>
        </w:rPr>
        <w:t xml:space="preserve">El Banco de Guatemala publicó la encuesta mensual de junio sobre las expectativas económicas del panel de analistas privados, con el fin de conocer la trayectoria futura de algunas variables macroeconómicas relevantes. El Panel estima que el Producto Interno Bruto (PIB) registrará un crecimiento de 3.0% en 2018, </w:t>
      </w:r>
      <w:r w:rsidRPr="00845D64">
        <w:rPr>
          <w:rFonts w:ascii="Times New Roman" w:hAnsi="Times New Roman" w:cs="Times New Roman"/>
          <w:lang w:val="es-MX"/>
        </w:rPr>
        <w:lastRenderedPageBreak/>
        <w:t>ubicándose en el límite inferior de la proyección que se encuentra entre 3.0% - 3.8%. Respecto a la confianza en la actividad económica por parte del panel, el nivel del índice se situó en 32.14 puntos, superior en 2.85% con respecto a lo registrado en mayo (31.25 puntos) pero inferior en 35.72% a lo observado en junio de 2017 (50 puntos). El resultado obtenido se aleja de la zona de expansión económica que se encuentra fijada en 50 puntos.</w:t>
      </w:r>
      <w:r w:rsidR="00C95BFB" w:rsidRPr="00845D64">
        <w:rPr>
          <w:rFonts w:ascii="Times New Roman" w:hAnsi="Times New Roman" w:cs="Times New Roman"/>
        </w:rPr>
        <w:t xml:space="preserve"> </w:t>
      </w:r>
    </w:p>
    <w:p w:rsidR="003A1300" w:rsidRPr="00EB5C44" w:rsidRDefault="003A1300" w:rsidP="003A1300">
      <w:pPr>
        <w:pStyle w:val="Sinespaciado"/>
        <w:jc w:val="both"/>
        <w:rPr>
          <w:rFonts w:ascii="Times New Roman" w:hAnsi="Times New Roman" w:cs="Times New Roman"/>
          <w:color w:val="FF0000"/>
        </w:rPr>
      </w:pPr>
    </w:p>
    <w:p w:rsidR="00751CCA" w:rsidRPr="00EB5C44" w:rsidRDefault="00751CCA" w:rsidP="00D00E78">
      <w:pPr>
        <w:pStyle w:val="Sinespaciado"/>
        <w:ind w:right="-188"/>
        <w:jc w:val="both"/>
        <w:rPr>
          <w:rFonts w:ascii="Times New Roman" w:hAnsi="Times New Roman" w:cs="Times New Roman"/>
          <w:color w:val="FF0000"/>
          <w:sz w:val="16"/>
        </w:rPr>
      </w:pPr>
    </w:p>
    <w:p w:rsidR="00751CCA" w:rsidRPr="00EB5C44" w:rsidRDefault="00751CCA" w:rsidP="00D00E78">
      <w:pPr>
        <w:pStyle w:val="Sinespaciado"/>
        <w:ind w:right="-188"/>
        <w:jc w:val="both"/>
        <w:rPr>
          <w:rFonts w:ascii="Times New Roman" w:hAnsi="Times New Roman" w:cs="Times New Roman"/>
          <w:color w:val="FF0000"/>
          <w:sz w:val="16"/>
        </w:rPr>
        <w:sectPr w:rsidR="00751CCA" w:rsidRPr="00EB5C44" w:rsidSect="00040C99">
          <w:headerReference w:type="default" r:id="rId32"/>
          <w:footerReference w:type="default" r:id="rId33"/>
          <w:type w:val="continuous"/>
          <w:pgSz w:w="12240" w:h="15840" w:code="1"/>
          <w:pgMar w:top="1418" w:right="1467" w:bottom="1418" w:left="1560" w:header="709" w:footer="709" w:gutter="0"/>
          <w:cols w:num="2" w:space="802"/>
          <w:docGrid w:linePitch="360"/>
        </w:sectPr>
      </w:pPr>
    </w:p>
    <w:p w:rsidR="001F34AD" w:rsidRPr="00EB5C44" w:rsidRDefault="001F34AD" w:rsidP="00AD5816">
      <w:pPr>
        <w:spacing w:after="0" w:line="240" w:lineRule="auto"/>
        <w:rPr>
          <w:rFonts w:ascii="Times New Roman" w:hAnsi="Times New Roman" w:cs="Times New Roman"/>
          <w:noProof/>
          <w:color w:val="FF0000"/>
          <w:sz w:val="16"/>
          <w:lang w:eastAsia="es-GT"/>
        </w:rPr>
      </w:pPr>
    </w:p>
    <w:p w:rsidR="00751CCA" w:rsidRPr="00EB5C44" w:rsidRDefault="00751CCA" w:rsidP="00AD5816">
      <w:pPr>
        <w:spacing w:after="0" w:line="240" w:lineRule="auto"/>
        <w:rPr>
          <w:rFonts w:ascii="Times New Roman" w:hAnsi="Times New Roman" w:cs="Times New Roman"/>
          <w:noProof/>
          <w:color w:val="FF0000"/>
          <w:sz w:val="16"/>
          <w:lang w:eastAsia="es-GT"/>
        </w:rPr>
      </w:pPr>
    </w:p>
    <w:p w:rsidR="00751CCA" w:rsidRPr="00EB5C44" w:rsidRDefault="00751CCA" w:rsidP="00AD5816">
      <w:pPr>
        <w:spacing w:after="0" w:line="240" w:lineRule="auto"/>
        <w:rPr>
          <w:rFonts w:ascii="Times New Roman" w:hAnsi="Times New Roman" w:cs="Times New Roman"/>
          <w:noProof/>
          <w:color w:val="FF0000"/>
          <w:sz w:val="16"/>
          <w:lang w:eastAsia="es-GT"/>
        </w:rPr>
      </w:pPr>
    </w:p>
    <w:p w:rsidR="00751CCA" w:rsidRPr="00EB5C44" w:rsidRDefault="00751CCA" w:rsidP="00AD5816">
      <w:pPr>
        <w:spacing w:after="0" w:line="240" w:lineRule="auto"/>
        <w:rPr>
          <w:rFonts w:ascii="Times New Roman" w:hAnsi="Times New Roman" w:cs="Times New Roman"/>
          <w:noProof/>
          <w:color w:val="FF0000"/>
          <w:sz w:val="16"/>
          <w:lang w:eastAsia="es-GT"/>
        </w:rPr>
      </w:pPr>
    </w:p>
    <w:p w:rsidR="000C65AB" w:rsidRPr="00EB5C44" w:rsidRDefault="000C65AB" w:rsidP="00AD5816">
      <w:pPr>
        <w:spacing w:after="0" w:line="240" w:lineRule="auto"/>
        <w:rPr>
          <w:rFonts w:ascii="Times New Roman" w:hAnsi="Times New Roman" w:cs="Times New Roman"/>
          <w:noProof/>
          <w:color w:val="FF0000"/>
          <w:sz w:val="16"/>
          <w:lang w:eastAsia="es-GT"/>
        </w:rPr>
      </w:pPr>
    </w:p>
    <w:p w:rsidR="00751CCA" w:rsidRDefault="00751CCA"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Default="00922DD5" w:rsidP="00AD5816">
      <w:pPr>
        <w:spacing w:after="0" w:line="240" w:lineRule="auto"/>
        <w:rPr>
          <w:rFonts w:ascii="Times New Roman" w:hAnsi="Times New Roman" w:cs="Times New Roman"/>
          <w:noProof/>
          <w:color w:val="FF0000"/>
          <w:sz w:val="16"/>
          <w:lang w:eastAsia="es-GT"/>
        </w:rPr>
      </w:pPr>
    </w:p>
    <w:p w:rsidR="00922DD5" w:rsidRPr="00EB5C44" w:rsidRDefault="00922DD5" w:rsidP="00AD5816">
      <w:pPr>
        <w:spacing w:after="0" w:line="240" w:lineRule="auto"/>
        <w:rPr>
          <w:rFonts w:ascii="Times New Roman" w:hAnsi="Times New Roman" w:cs="Times New Roman"/>
          <w:noProof/>
          <w:color w:val="FF0000"/>
          <w:sz w:val="16"/>
          <w:lang w:eastAsia="es-GT"/>
        </w:rPr>
      </w:pPr>
    </w:p>
    <w:p w:rsidR="001F5581" w:rsidRPr="00922DD5" w:rsidRDefault="001F5581" w:rsidP="001F558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1F5581" w:rsidRPr="00922DD5" w:rsidSect="00FA3B81">
          <w:headerReference w:type="default" r:id="rId34"/>
          <w:footerReference w:type="default" r:id="rId35"/>
          <w:type w:val="continuous"/>
          <w:pgSz w:w="12240" w:h="15840" w:code="1"/>
          <w:pgMar w:top="1418" w:right="1418" w:bottom="1418" w:left="1418" w:header="709" w:footer="709" w:gutter="0"/>
          <w:cols w:space="708"/>
          <w:docGrid w:linePitch="360"/>
        </w:sectPr>
      </w:pPr>
      <w:r w:rsidRPr="00922DD5">
        <w:rPr>
          <w:rFonts w:ascii="Times New Roman" w:hAnsi="Times New Roman" w:cs="Times New Roman"/>
          <w:b/>
          <w:lang w:val="es-MX"/>
        </w:rPr>
        <w:t>Anexo</w:t>
      </w:r>
    </w:p>
    <w:p w:rsidR="001F5581" w:rsidRPr="00EB5C44" w:rsidRDefault="001F5581" w:rsidP="001F5581">
      <w:pPr>
        <w:pStyle w:val="Sinespaciado"/>
        <w:rPr>
          <w:rFonts w:ascii="Times New Roman" w:hAnsi="Times New Roman" w:cs="Times New Roman"/>
          <w:b/>
          <w:color w:val="FF0000"/>
          <w:sz w:val="18"/>
          <w:lang w:val="es-MX"/>
        </w:rPr>
      </w:pPr>
    </w:p>
    <w:p w:rsidR="001F5581" w:rsidRPr="00EB5C44" w:rsidRDefault="001F5581" w:rsidP="00AD5816">
      <w:pPr>
        <w:spacing w:after="0" w:line="240" w:lineRule="auto"/>
        <w:rPr>
          <w:rFonts w:ascii="Times New Roman" w:hAnsi="Times New Roman" w:cs="Times New Roman"/>
          <w:noProof/>
          <w:color w:val="FF0000"/>
          <w:sz w:val="16"/>
          <w:lang w:val="es-MX" w:eastAsia="es-GT"/>
        </w:rPr>
      </w:pPr>
    </w:p>
    <w:p w:rsidR="001F5581" w:rsidRPr="00EB5C44" w:rsidRDefault="001F5581" w:rsidP="00AD5816">
      <w:pPr>
        <w:spacing w:after="0" w:line="240" w:lineRule="auto"/>
        <w:rPr>
          <w:rFonts w:ascii="Times New Roman" w:hAnsi="Times New Roman" w:cs="Times New Roman"/>
          <w:noProof/>
          <w:color w:val="FF0000"/>
          <w:sz w:val="16"/>
          <w:lang w:val="es-MX" w:eastAsia="es-GT"/>
        </w:rPr>
        <w:sectPr w:rsidR="001F5581" w:rsidRPr="00EB5C44" w:rsidSect="00986297">
          <w:headerReference w:type="default" r:id="rId36"/>
          <w:footerReference w:type="default" r:id="rId37"/>
          <w:type w:val="continuous"/>
          <w:pgSz w:w="12240" w:h="15840" w:code="1"/>
          <w:pgMar w:top="1418" w:right="1418" w:bottom="1418" w:left="1418" w:header="709" w:footer="709" w:gutter="0"/>
          <w:cols w:num="2" w:space="708"/>
          <w:docGrid w:linePitch="360"/>
        </w:sectPr>
      </w:pPr>
    </w:p>
    <w:p w:rsidR="001F5581" w:rsidRPr="00EB5C44" w:rsidRDefault="001F5581" w:rsidP="001F5581">
      <w:pPr>
        <w:spacing w:after="0" w:line="240" w:lineRule="auto"/>
        <w:jc w:val="center"/>
        <w:rPr>
          <w:rFonts w:ascii="Times New Roman" w:hAnsi="Times New Roman" w:cs="Times New Roman"/>
          <w:noProof/>
          <w:color w:val="FF0000"/>
          <w:sz w:val="16"/>
          <w:lang w:val="es-MX" w:eastAsia="es-GT"/>
        </w:rPr>
        <w:sectPr w:rsidR="001F5581" w:rsidRPr="00EB5C44" w:rsidSect="001F5581">
          <w:type w:val="continuous"/>
          <w:pgSz w:w="12240" w:h="15840" w:code="1"/>
          <w:pgMar w:top="1418" w:right="1418" w:bottom="1418" w:left="1418" w:header="709" w:footer="709" w:gutter="0"/>
          <w:cols w:space="708"/>
          <w:docGrid w:linePitch="360"/>
        </w:sectPr>
      </w:pPr>
    </w:p>
    <w:p w:rsidR="00AD5816" w:rsidRPr="00EB5C44" w:rsidRDefault="00AD5816" w:rsidP="00AD5816">
      <w:pPr>
        <w:spacing w:after="0" w:line="240" w:lineRule="auto"/>
        <w:rPr>
          <w:rFonts w:ascii="Times New Roman" w:hAnsi="Times New Roman" w:cs="Times New Roman"/>
          <w:noProof/>
          <w:color w:val="FF0000"/>
          <w:sz w:val="16"/>
          <w:lang w:val="es-MX" w:eastAsia="es-GT"/>
        </w:rPr>
      </w:pPr>
    </w:p>
    <w:p w:rsidR="00D00E78" w:rsidRPr="00EB5C44" w:rsidRDefault="003B26F5" w:rsidP="00AD5816">
      <w:pPr>
        <w:spacing w:after="0" w:line="240" w:lineRule="auto"/>
        <w:rPr>
          <w:rFonts w:ascii="Times New Roman" w:hAnsi="Times New Roman" w:cs="Times New Roman"/>
          <w:noProof/>
          <w:color w:val="FF0000"/>
          <w:sz w:val="16"/>
          <w:lang w:eastAsia="es-GT"/>
        </w:rPr>
        <w:sectPr w:rsidR="00D00E78" w:rsidRPr="00EB5C44" w:rsidSect="00D00E78">
          <w:type w:val="continuous"/>
          <w:pgSz w:w="12240" w:h="15840" w:code="1"/>
          <w:pgMar w:top="1418" w:right="1418" w:bottom="1418" w:left="1418" w:header="709" w:footer="709" w:gutter="0"/>
          <w:cols w:space="708"/>
          <w:docGrid w:linePitch="360"/>
        </w:sectPr>
      </w:pPr>
      <w:r w:rsidRPr="00D306AD">
        <w:rPr>
          <w:noProof/>
          <w:lang w:eastAsia="es-GT"/>
        </w:rPr>
        <w:drawing>
          <wp:inline distT="0" distB="0" distL="0" distR="0" wp14:anchorId="027556EA" wp14:editId="6A93F332">
            <wp:extent cx="6017394" cy="550545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023646" cy="5511170"/>
                    </a:xfrm>
                    <a:prstGeom prst="rect">
                      <a:avLst/>
                    </a:prstGeom>
                    <a:noFill/>
                    <a:ln>
                      <a:noFill/>
                    </a:ln>
                  </pic:spPr>
                </pic:pic>
              </a:graphicData>
            </a:graphic>
          </wp:inline>
        </w:drawing>
      </w:r>
    </w:p>
    <w:p w:rsidR="00AD5816" w:rsidRPr="00EB5C44" w:rsidRDefault="00AD5816" w:rsidP="00AD5816">
      <w:pPr>
        <w:spacing w:after="0" w:line="240" w:lineRule="auto"/>
        <w:rPr>
          <w:rFonts w:ascii="Times New Roman" w:hAnsi="Times New Roman" w:cs="Times New Roman"/>
          <w:noProof/>
          <w:color w:val="FF0000"/>
          <w:sz w:val="16"/>
          <w:lang w:eastAsia="es-GT"/>
        </w:rPr>
      </w:pPr>
    </w:p>
    <w:p w:rsidR="00AD5816" w:rsidRPr="00EB5C44" w:rsidRDefault="00AD5816" w:rsidP="00AD5816">
      <w:pPr>
        <w:spacing w:after="0" w:line="240" w:lineRule="auto"/>
        <w:rPr>
          <w:rFonts w:ascii="Times New Roman" w:hAnsi="Times New Roman" w:cs="Times New Roman"/>
          <w:noProof/>
          <w:color w:val="FF0000"/>
          <w:sz w:val="16"/>
          <w:lang w:eastAsia="es-GT"/>
        </w:rPr>
      </w:pPr>
    </w:p>
    <w:p w:rsidR="007703A2" w:rsidRPr="00EB5C44" w:rsidRDefault="007703A2" w:rsidP="00986297">
      <w:pPr>
        <w:pStyle w:val="Sinespaciado"/>
        <w:jc w:val="both"/>
        <w:rPr>
          <w:rFonts w:ascii="Times New Roman" w:hAnsi="Times New Roman" w:cs="Times New Roman"/>
          <w:color w:val="FF0000"/>
        </w:rPr>
      </w:pPr>
    </w:p>
    <w:sectPr w:rsidR="007703A2" w:rsidRPr="00EB5C44" w:rsidSect="00986297">
      <w:type w:val="continuous"/>
      <w:pgSz w:w="12240" w:h="15840" w:code="1"/>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602" w:rsidRDefault="007B0602" w:rsidP="007D4651">
      <w:pPr>
        <w:spacing w:after="0" w:line="240" w:lineRule="auto"/>
      </w:pPr>
      <w:r>
        <w:separator/>
      </w:r>
    </w:p>
  </w:endnote>
  <w:endnote w:type="continuationSeparator" w:id="0">
    <w:p w:rsidR="007B0602" w:rsidRDefault="007B0602" w:rsidP="007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523403932"/>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3360" behindDoc="0" locked="0" layoutInCell="1" allowOverlap="1" wp14:anchorId="76EC0AC3" wp14:editId="5865D8F1">
                  <wp:simplePos x="0" y="0"/>
                  <wp:positionH relativeFrom="column">
                    <wp:posOffset>1755792</wp:posOffset>
                  </wp:positionH>
                  <wp:positionV relativeFrom="paragraph">
                    <wp:posOffset>70485</wp:posOffset>
                  </wp:positionV>
                  <wp:extent cx="5155565" cy="45719"/>
                  <wp:effectExtent l="38100" t="38100" r="64135" b="88265"/>
                  <wp:wrapNone/>
                  <wp:docPr id="3" name="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4376B7" id="3 Rectángulo" o:spid="_x0000_s1026" style="position:absolute;margin-left:138.25pt;margin-top:5.55pt;width:405.9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tYPAMAAKU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34EBC" w:rsidRPr="00A34EBC">
          <w:rPr>
            <w:rFonts w:ascii="Times New Roman" w:hAnsi="Times New Roman" w:cs="Times New Roman"/>
            <w:b/>
            <w:noProof/>
            <w:color w:val="1F497D" w:themeColor="text2"/>
            <w:lang w:val="es-ES"/>
          </w:rPr>
          <w:t>1</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487236705"/>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83840" behindDoc="0" locked="0" layoutInCell="1" allowOverlap="1" wp14:anchorId="05FEA3B7" wp14:editId="14DB5BC1">
                  <wp:simplePos x="0" y="0"/>
                  <wp:positionH relativeFrom="column">
                    <wp:posOffset>1776669</wp:posOffset>
                  </wp:positionH>
                  <wp:positionV relativeFrom="paragraph">
                    <wp:posOffset>70516</wp:posOffset>
                  </wp:positionV>
                  <wp:extent cx="5155565" cy="45719"/>
                  <wp:effectExtent l="38100" t="38100" r="64135" b="88265"/>
                  <wp:wrapNone/>
                  <wp:docPr id="39" name="39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DF196B" id="39 Rectángulo" o:spid="_x0000_s1026" style="position:absolute;margin-left:139.9pt;margin-top:5.55pt;width:405.95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2T2Oz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34EBC" w:rsidRPr="00A34EBC">
          <w:rPr>
            <w:rFonts w:ascii="Times New Roman" w:hAnsi="Times New Roman" w:cs="Times New Roman"/>
            <w:b/>
            <w:noProof/>
            <w:color w:val="1F497D" w:themeColor="text2"/>
            <w:lang w:val="es-ES"/>
          </w:rPr>
          <w:t>8</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329748143"/>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7456" behindDoc="0" locked="0" layoutInCell="1" allowOverlap="1" wp14:anchorId="486F582D" wp14:editId="72969AF9">
                  <wp:simplePos x="0" y="0"/>
                  <wp:positionH relativeFrom="column">
                    <wp:posOffset>1776669</wp:posOffset>
                  </wp:positionH>
                  <wp:positionV relativeFrom="paragraph">
                    <wp:posOffset>70516</wp:posOffset>
                  </wp:positionV>
                  <wp:extent cx="5155565" cy="45719"/>
                  <wp:effectExtent l="38100" t="38100" r="64135" b="88265"/>
                  <wp:wrapNone/>
                  <wp:docPr id="8" name="8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2CCD15" id="8 Rectángulo" o:spid="_x0000_s1026" style="position:absolute;margin-left:139.9pt;margin-top:5.55pt;width:405.9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GekpWQ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1B36BC" w:rsidRPr="001B36BC">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498739790"/>
      <w:docPartObj>
        <w:docPartGallery w:val="Page Numbers (Bottom of Page)"/>
        <w:docPartUnique/>
      </w:docPartObj>
    </w:sdtPr>
    <w:sdtEndPr/>
    <w:sdtContent>
      <w:p w:rsidR="00EB1910" w:rsidRDefault="00EB1910">
        <w:pPr>
          <w:pStyle w:val="Piedepgina"/>
          <w:jc w:val="right"/>
          <w:rPr>
            <w:lang w:val="es-ES"/>
          </w:rPr>
        </w:pPr>
      </w:p>
      <w:p w:rsidR="00EB1910" w:rsidRDefault="00EB1910"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08416" behindDoc="0" locked="0" layoutInCell="1" allowOverlap="1" wp14:anchorId="75610B60" wp14:editId="26FE5A49">
                  <wp:simplePos x="0" y="0"/>
                  <wp:positionH relativeFrom="column">
                    <wp:posOffset>1759602</wp:posOffset>
                  </wp:positionH>
                  <wp:positionV relativeFrom="paragraph">
                    <wp:posOffset>70485</wp:posOffset>
                  </wp:positionV>
                  <wp:extent cx="5155565" cy="45719"/>
                  <wp:effectExtent l="38100" t="38100" r="64135" b="88265"/>
                  <wp:wrapNone/>
                  <wp:docPr id="32" name="32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D10AC3" id="32 Rectángulo" o:spid="_x0000_s1026" style="position:absolute;margin-left:138.55pt;margin-top:5.55pt;width:405.95pt;height:3.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tG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STFSJAWcjRJ0Q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A9YC0Y+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EB1910" w:rsidRDefault="00EB1910">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34EBC" w:rsidRPr="00A34EBC">
          <w:rPr>
            <w:rFonts w:ascii="Times New Roman" w:hAnsi="Times New Roman" w:cs="Times New Roman"/>
            <w:b/>
            <w:noProof/>
            <w:color w:val="1F497D" w:themeColor="text2"/>
            <w:lang w:val="es-ES"/>
          </w:rPr>
          <w:t>3</w:t>
        </w:r>
        <w:r w:rsidRPr="007D4651">
          <w:rPr>
            <w:rFonts w:ascii="Times New Roman" w:hAnsi="Times New Roman" w:cs="Times New Roman"/>
            <w:b/>
            <w:color w:val="1F497D" w:themeColor="text2"/>
          </w:rPr>
          <w:fldChar w:fldCharType="end"/>
        </w:r>
        <w:r>
          <w:rPr>
            <w:lang w:val="es-ES"/>
          </w:rPr>
          <w:t xml:space="preserve"> </w:t>
        </w:r>
      </w:p>
    </w:sdtContent>
  </w:sdt>
  <w:p w:rsidR="00EB1910" w:rsidRDefault="00EB1910" w:rsidP="007D4651">
    <w:pPr>
      <w:pStyle w:val="Piedepgina"/>
      <w:tabs>
        <w:tab w:val="clear" w:pos="4419"/>
        <w:tab w:val="clear" w:pos="8838"/>
        <w:tab w:val="left" w:pos="5777"/>
      </w:tabs>
    </w:pPr>
  </w:p>
  <w:p w:rsidR="00EB1910" w:rsidRDefault="00EB191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782992078"/>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1552" behindDoc="0" locked="0" layoutInCell="1" allowOverlap="1" wp14:anchorId="21911A9F" wp14:editId="56B70F0A">
                  <wp:simplePos x="0" y="0"/>
                  <wp:positionH relativeFrom="column">
                    <wp:posOffset>1776669</wp:posOffset>
                  </wp:positionH>
                  <wp:positionV relativeFrom="paragraph">
                    <wp:posOffset>70516</wp:posOffset>
                  </wp:positionV>
                  <wp:extent cx="5155565" cy="45719"/>
                  <wp:effectExtent l="38100" t="38100" r="64135" b="88265"/>
                  <wp:wrapNone/>
                  <wp:docPr id="16" name="1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F52E76" id="16 Rectángulo" o:spid="_x0000_s1026" style="position:absolute;margin-left:139.9pt;margin-top:5.55pt;width:405.9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&#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DkCE3GPQMAAKc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C4589E" w:rsidRPr="00C4589E">
          <w:rPr>
            <w:rFonts w:ascii="Times New Roman" w:hAnsi="Times New Roman" w:cs="Times New Roman"/>
            <w:b/>
            <w:noProof/>
            <w:color w:val="1F497D" w:themeColor="text2"/>
            <w:lang w:val="es-ES"/>
          </w:rPr>
          <w:t>3</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747533645"/>
      <w:docPartObj>
        <w:docPartGallery w:val="Page Numbers (Bottom of Page)"/>
        <w:docPartUnique/>
      </w:docPartObj>
    </w:sdtPr>
    <w:sdtEndPr/>
    <w:sdtContent>
      <w:p w:rsidR="00216605" w:rsidRDefault="00216605">
        <w:pPr>
          <w:pStyle w:val="Piedepgina"/>
          <w:jc w:val="right"/>
          <w:rPr>
            <w:lang w:val="es-ES"/>
          </w:rPr>
        </w:pPr>
      </w:p>
      <w:p w:rsidR="00216605" w:rsidRDefault="00216605"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28896" behindDoc="0" locked="0" layoutInCell="1" allowOverlap="1" wp14:anchorId="347D97C0" wp14:editId="51336A4F">
                  <wp:simplePos x="0" y="0"/>
                  <wp:positionH relativeFrom="column">
                    <wp:posOffset>1751347</wp:posOffset>
                  </wp:positionH>
                  <wp:positionV relativeFrom="paragraph">
                    <wp:posOffset>72390</wp:posOffset>
                  </wp:positionV>
                  <wp:extent cx="5155565" cy="45719"/>
                  <wp:effectExtent l="38100" t="38100" r="64135" b="88265"/>
                  <wp:wrapNone/>
                  <wp:docPr id="55"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55086B" id="23 Rectángulo" o:spid="_x0000_s1026" style="position:absolute;margin-left:137.9pt;margin-top:5.7pt;width:405.95pt;height:3.6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216605" w:rsidRDefault="00216605">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34EBC" w:rsidRPr="00A34EBC">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216605" w:rsidRDefault="00216605" w:rsidP="007D4651">
    <w:pPr>
      <w:pStyle w:val="Piedepgina"/>
      <w:tabs>
        <w:tab w:val="clear" w:pos="4419"/>
        <w:tab w:val="clear" w:pos="8838"/>
        <w:tab w:val="left" w:pos="5777"/>
      </w:tabs>
    </w:pPr>
  </w:p>
  <w:p w:rsidR="00216605" w:rsidRDefault="0021660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62041822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5648" behindDoc="0" locked="0" layoutInCell="1" allowOverlap="1" wp14:anchorId="128D454B" wp14:editId="50A81008">
                  <wp:simplePos x="0" y="0"/>
                  <wp:positionH relativeFrom="column">
                    <wp:posOffset>1751347</wp:posOffset>
                  </wp:positionH>
                  <wp:positionV relativeFrom="paragraph">
                    <wp:posOffset>72390</wp:posOffset>
                  </wp:positionV>
                  <wp:extent cx="5155565" cy="45719"/>
                  <wp:effectExtent l="38100" t="38100" r="64135" b="88265"/>
                  <wp:wrapNone/>
                  <wp:docPr id="23"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863166" id="23 Rectángulo" o:spid="_x0000_s1026" style="position:absolute;margin-left:137.9pt;margin-top:5.7pt;width:405.9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e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cTrBSJAWcpRO0A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34EBC" w:rsidRPr="00A34EBC">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56733824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9744" behindDoc="0" locked="0" layoutInCell="1" allowOverlap="1" wp14:anchorId="13335468" wp14:editId="3339E0E4">
                  <wp:simplePos x="0" y="0"/>
                  <wp:positionH relativeFrom="column">
                    <wp:posOffset>1759602</wp:posOffset>
                  </wp:positionH>
                  <wp:positionV relativeFrom="paragraph">
                    <wp:posOffset>70485</wp:posOffset>
                  </wp:positionV>
                  <wp:extent cx="5155565" cy="45719"/>
                  <wp:effectExtent l="38100" t="38100" r="64135" b="88265"/>
                  <wp:wrapNone/>
                  <wp:docPr id="26"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BD53A2" id="26 Rectángulo" o:spid="_x0000_s1026" style="position:absolute;margin-left:138.55pt;margin-top:5.55pt;width:405.9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C4DNAA+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34EBC" w:rsidRPr="00A34EBC">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247607362"/>
      <w:docPartObj>
        <w:docPartGallery w:val="Page Numbers (Bottom of Page)"/>
        <w:docPartUnique/>
      </w:docPartObj>
    </w:sdtPr>
    <w:sdtEndPr/>
    <w:sdtContent>
      <w:p w:rsidR="00AD5816" w:rsidRDefault="00AD5816">
        <w:pPr>
          <w:pStyle w:val="Piedepgina"/>
          <w:jc w:val="right"/>
          <w:rPr>
            <w:lang w:val="es-ES"/>
          </w:rPr>
        </w:pPr>
      </w:p>
      <w:p w:rsidR="00AD5816" w:rsidRDefault="00AD5816" w:rsidP="00AF4290">
        <w:pPr>
          <w:pStyle w:val="Piedepgina"/>
          <w:tabs>
            <w:tab w:val="left" w:pos="2694"/>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24800" behindDoc="0" locked="0" layoutInCell="1" allowOverlap="1" wp14:anchorId="1A1FEC99" wp14:editId="55C45C28">
                  <wp:simplePos x="0" y="0"/>
                  <wp:positionH relativeFrom="column">
                    <wp:posOffset>1776669</wp:posOffset>
                  </wp:positionH>
                  <wp:positionV relativeFrom="paragraph">
                    <wp:posOffset>70516</wp:posOffset>
                  </wp:positionV>
                  <wp:extent cx="5155565" cy="45719"/>
                  <wp:effectExtent l="38100" t="38100" r="64135" b="88265"/>
                  <wp:wrapNone/>
                  <wp:docPr id="7" name="24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04EA3C" id="24 Rectángulo" o:spid="_x0000_s1026" style="position:absolute;margin-left:139.9pt;margin-top:5.55pt;width:405.95pt;height:3.6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&#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CTfsNYPQMAAKY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D5816" w:rsidRDefault="00AD5816">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34EBC" w:rsidRPr="00A34EBC">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AD5816" w:rsidRDefault="00AD5816" w:rsidP="007D4651">
    <w:pPr>
      <w:pStyle w:val="Piedepgina"/>
      <w:tabs>
        <w:tab w:val="clear" w:pos="4419"/>
        <w:tab w:val="clear" w:pos="8838"/>
        <w:tab w:val="left" w:pos="5777"/>
      </w:tabs>
    </w:pPr>
  </w:p>
  <w:p w:rsidR="00AD5816" w:rsidRDefault="00AD5816"/>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711402051"/>
      <w:docPartObj>
        <w:docPartGallery w:val="Page Numbers (Bottom of Page)"/>
        <w:docPartUnique/>
      </w:docPartObj>
    </w:sdtPr>
    <w:sdtEndPr/>
    <w:sdtContent>
      <w:p w:rsidR="001F5581" w:rsidRDefault="001F5581">
        <w:pPr>
          <w:pStyle w:val="Piedepgina"/>
          <w:jc w:val="right"/>
          <w:rPr>
            <w:lang w:val="es-ES"/>
          </w:rPr>
        </w:pPr>
      </w:p>
      <w:p w:rsidR="001F5581" w:rsidRDefault="001F558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30944" behindDoc="0" locked="0" layoutInCell="1" allowOverlap="1" wp14:anchorId="22E3FD04" wp14:editId="1F6E4CDC">
                  <wp:simplePos x="0" y="0"/>
                  <wp:positionH relativeFrom="column">
                    <wp:posOffset>1759602</wp:posOffset>
                  </wp:positionH>
                  <wp:positionV relativeFrom="paragraph">
                    <wp:posOffset>70485</wp:posOffset>
                  </wp:positionV>
                  <wp:extent cx="5155565" cy="45719"/>
                  <wp:effectExtent l="38100" t="38100" r="64135" b="88265"/>
                  <wp:wrapNone/>
                  <wp:docPr id="48"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4D50C4" id="26 Rectángulo" o:spid="_x0000_s1026" style="position:absolute;margin-left:138.55pt;margin-top:5.55pt;width:405.95pt;height:3.6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HYBxbo+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1F5581" w:rsidRDefault="001F558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34EBC" w:rsidRPr="00A34EBC">
          <w:rPr>
            <w:rFonts w:ascii="Times New Roman" w:hAnsi="Times New Roman" w:cs="Times New Roman"/>
            <w:b/>
            <w:noProof/>
            <w:color w:val="1F497D" w:themeColor="text2"/>
            <w:lang w:val="es-ES"/>
          </w:rPr>
          <w:t>8</w:t>
        </w:r>
        <w:r w:rsidRPr="007D4651">
          <w:rPr>
            <w:rFonts w:ascii="Times New Roman" w:hAnsi="Times New Roman" w:cs="Times New Roman"/>
            <w:b/>
            <w:color w:val="1F497D" w:themeColor="text2"/>
          </w:rPr>
          <w:fldChar w:fldCharType="end"/>
        </w:r>
        <w:r>
          <w:rPr>
            <w:lang w:val="es-ES"/>
          </w:rPr>
          <w:t xml:space="preserve"> </w:t>
        </w:r>
      </w:p>
    </w:sdtContent>
  </w:sdt>
  <w:p w:rsidR="001F5581" w:rsidRDefault="001F5581" w:rsidP="007D4651">
    <w:pPr>
      <w:pStyle w:val="Piedepgina"/>
      <w:tabs>
        <w:tab w:val="clear" w:pos="4419"/>
        <w:tab w:val="clear" w:pos="8838"/>
        <w:tab w:val="left" w:pos="5777"/>
      </w:tabs>
    </w:pPr>
  </w:p>
  <w:p w:rsidR="001F5581" w:rsidRDefault="001F558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602" w:rsidRDefault="007B0602" w:rsidP="007D4651">
      <w:pPr>
        <w:spacing w:after="0" w:line="240" w:lineRule="auto"/>
      </w:pPr>
      <w:r>
        <w:separator/>
      </w:r>
    </w:p>
  </w:footnote>
  <w:footnote w:type="continuationSeparator" w:id="0">
    <w:p w:rsidR="007B0602" w:rsidRDefault="007B0602" w:rsidP="007D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16608" behindDoc="1" locked="0" layoutInCell="1" allowOverlap="1" wp14:anchorId="658EE4A6" wp14:editId="35E69A22">
          <wp:simplePos x="0" y="0"/>
          <wp:positionH relativeFrom="column">
            <wp:posOffset>-86360</wp:posOffset>
          </wp:positionH>
          <wp:positionV relativeFrom="paragraph">
            <wp:posOffset>-165718</wp:posOffset>
          </wp:positionV>
          <wp:extent cx="1697990" cy="914400"/>
          <wp:effectExtent l="0" t="0" r="0" b="0"/>
          <wp:wrapNone/>
          <wp:docPr id="50" name="Imagen 50"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EB5C44"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Junio</w:t>
    </w:r>
    <w:r w:rsidR="0073581B">
      <w:rPr>
        <w:rFonts w:ascii="Times New Roman" w:hAnsi="Times New Roman" w:cs="Times New Roman"/>
        <w:color w:val="1F497D" w:themeColor="text2"/>
        <w:lang w:val="es-MX"/>
      </w:rPr>
      <w:t xml:space="preserve"> 2018</w:t>
    </w:r>
  </w:p>
  <w:p w:rsidR="00AF68D3" w:rsidRDefault="00AF429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14560" behindDoc="0" locked="0" layoutInCell="1" allowOverlap="1" wp14:anchorId="6AB3DE6B" wp14:editId="1168A76F">
              <wp:simplePos x="0" y="0"/>
              <wp:positionH relativeFrom="column">
                <wp:posOffset>1720884</wp:posOffset>
              </wp:positionH>
              <wp:positionV relativeFrom="paragraph">
                <wp:posOffset>7980</wp:posOffset>
              </wp:positionV>
              <wp:extent cx="5155894" cy="45719"/>
              <wp:effectExtent l="38100" t="38100" r="64135" b="88265"/>
              <wp:wrapNone/>
              <wp:docPr id="11" name="1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F70B63" id="11 Rectángulo" o:spid="_x0000_s1026" style="position:absolute;margin-left:135.5pt;margin-top:.65pt;width:406pt;height:3.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73581B" w:rsidRDefault="00AF68D3" w:rsidP="00E16925">
    <w:pPr>
      <w:pStyle w:val="Encabezado"/>
      <w:rPr>
        <w:rFonts w:ascii="Times New Roman" w:hAnsi="Times New Roman" w:cs="Times New Roman"/>
        <w:b/>
        <w:lang w:val="es-MX"/>
      </w:rPr>
    </w:pPr>
    <w:r>
      <w:rPr>
        <w:rFonts w:ascii="Times New Roman" w:hAnsi="Times New Roman" w:cs="Times New Roman"/>
        <w:lang w:val="es-MX"/>
      </w:rPr>
      <w:tab/>
    </w:r>
    <w:r w:rsidRPr="0073581B">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2816" behindDoc="1" locked="0" layoutInCell="1" allowOverlap="1" wp14:anchorId="6587558F" wp14:editId="13EA2D49">
          <wp:simplePos x="0" y="0"/>
          <wp:positionH relativeFrom="column">
            <wp:posOffset>-89849</wp:posOffset>
          </wp:positionH>
          <wp:positionV relativeFrom="paragraph">
            <wp:posOffset>-163027</wp:posOffset>
          </wp:positionV>
          <wp:extent cx="1697990" cy="914400"/>
          <wp:effectExtent l="0" t="0" r="0" b="0"/>
          <wp:wrapNone/>
          <wp:docPr id="69" name="Imagen 69"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F68D3" w:rsidRPr="007D4651" w:rsidRDefault="00CE75B5"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Marzo 2018</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81792" behindDoc="0" locked="0" layoutInCell="1" allowOverlap="1" wp14:anchorId="19D8174C" wp14:editId="120286EB">
              <wp:simplePos x="0" y="0"/>
              <wp:positionH relativeFrom="column">
                <wp:posOffset>1710568</wp:posOffset>
              </wp:positionH>
              <wp:positionV relativeFrom="paragraph">
                <wp:posOffset>29118</wp:posOffset>
              </wp:positionV>
              <wp:extent cx="5155894" cy="45719"/>
              <wp:effectExtent l="38100" t="38100" r="64135" b="88265"/>
              <wp:wrapNone/>
              <wp:docPr id="38" name="38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9B3EFB" id="38 Rectángulo" o:spid="_x0000_s1026" style="position:absolute;margin-left:134.7pt;margin-top:2.3pt;width:406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k2nT4j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9984" behindDoc="1" locked="0" layoutInCell="1" allowOverlap="1" wp14:anchorId="56408A5D" wp14:editId="0508F272">
          <wp:simplePos x="0" y="0"/>
          <wp:positionH relativeFrom="column">
            <wp:posOffset>-434119</wp:posOffset>
          </wp:positionH>
          <wp:positionV relativeFrom="paragraph">
            <wp:posOffset>-5080</wp:posOffset>
          </wp:positionV>
          <wp:extent cx="1365775" cy="735496"/>
          <wp:effectExtent l="0" t="0" r="6350" b="7620"/>
          <wp:wrapNone/>
          <wp:docPr id="30" name="Imagen 30"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AF68D3" w:rsidRDefault="00BC2768"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AF68D3">
      <w:rPr>
        <w:rFonts w:ascii="Times New Roman" w:hAnsi="Times New Roman" w:cs="Times New Roman"/>
        <w:color w:val="1F497D" w:themeColor="text2"/>
        <w:lang w:val="es-MX"/>
      </w:rPr>
      <w:t xml:space="preserve"> 2017</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color w:val="1F497D" w:themeColor="text2"/>
        <w:lang w:eastAsia="es-GT"/>
      </w:rPr>
      <mc:AlternateContent>
        <mc:Choice Requires="wps">
          <w:drawing>
            <wp:anchor distT="0" distB="0" distL="114300" distR="114300" simplePos="0" relativeHeight="251696128" behindDoc="0" locked="0" layoutInCell="1" allowOverlap="1" wp14:anchorId="4349BF07" wp14:editId="7F32518C">
              <wp:simplePos x="0" y="0"/>
              <wp:positionH relativeFrom="column">
                <wp:posOffset>1065751</wp:posOffset>
              </wp:positionH>
              <wp:positionV relativeFrom="paragraph">
                <wp:posOffset>26670</wp:posOffset>
              </wp:positionV>
              <wp:extent cx="5634990" cy="45085"/>
              <wp:effectExtent l="38100" t="38100" r="60960" b="88265"/>
              <wp:wrapNone/>
              <wp:docPr id="19" name="19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6DE2C8" id="19 Rectángulo redondeado" o:spid="_x0000_s1026" style="position:absolute;margin-left:83.9pt;margin-top:2.1pt;width:443.7pt;height:3.55pt;flip:y;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10" w:rsidRPr="007D4651" w:rsidRDefault="00EB1910"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07392" behindDoc="1" locked="0" layoutInCell="1" allowOverlap="1" wp14:anchorId="16C4407D" wp14:editId="01EAC2F9">
          <wp:simplePos x="0" y="0"/>
          <wp:positionH relativeFrom="column">
            <wp:posOffset>-89849</wp:posOffset>
          </wp:positionH>
          <wp:positionV relativeFrom="paragraph">
            <wp:posOffset>-163027</wp:posOffset>
          </wp:positionV>
          <wp:extent cx="1697990" cy="914400"/>
          <wp:effectExtent l="0" t="0" r="0" b="0"/>
          <wp:wrapNone/>
          <wp:docPr id="52" name="Imagen 5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B1910" w:rsidRPr="007D4651" w:rsidRDefault="00EB5C44"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Junio</w:t>
    </w:r>
    <w:r w:rsidR="0073581B">
      <w:rPr>
        <w:rFonts w:ascii="Times New Roman" w:hAnsi="Times New Roman" w:cs="Times New Roman"/>
        <w:color w:val="1F497D" w:themeColor="text2"/>
        <w:lang w:val="es-MX"/>
      </w:rPr>
      <w:t xml:space="preserve"> 2018</w:t>
    </w:r>
  </w:p>
  <w:p w:rsidR="00EB1910" w:rsidRDefault="00EB191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06368" behindDoc="0" locked="0" layoutInCell="1" allowOverlap="1" wp14:anchorId="2646697B" wp14:editId="76494ECD">
              <wp:simplePos x="0" y="0"/>
              <wp:positionH relativeFrom="column">
                <wp:posOffset>1710568</wp:posOffset>
              </wp:positionH>
              <wp:positionV relativeFrom="paragraph">
                <wp:posOffset>29118</wp:posOffset>
              </wp:positionV>
              <wp:extent cx="5155894" cy="45719"/>
              <wp:effectExtent l="38100" t="38100" r="64135" b="88265"/>
              <wp:wrapNone/>
              <wp:docPr id="31" name="3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EE2BB6" id="31 Rectángulo" o:spid="_x0000_s1026" style="position:absolute;margin-left:134.7pt;margin-top:2.3pt;width:406pt;height:3.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dAedcD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EB1910" w:rsidRDefault="00EB1910"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EB1910" w:rsidRPr="00E16925" w:rsidRDefault="00EB1910" w:rsidP="00E16925">
    <w:pPr>
      <w:pStyle w:val="Encabezado"/>
      <w:rPr>
        <w:rFonts w:ascii="Times New Roman" w:hAnsi="Times New Roman" w:cs="Times New Roman"/>
        <w:lang w:val="es-MX"/>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18656" behindDoc="1" locked="0" layoutInCell="1" allowOverlap="1" wp14:anchorId="06DA7877" wp14:editId="064C2DD3">
          <wp:simplePos x="0" y="0"/>
          <wp:positionH relativeFrom="column">
            <wp:posOffset>-58403</wp:posOffset>
          </wp:positionH>
          <wp:positionV relativeFrom="paragraph">
            <wp:posOffset>-162560</wp:posOffset>
          </wp:positionV>
          <wp:extent cx="1697990" cy="914400"/>
          <wp:effectExtent l="0" t="0" r="0" b="0"/>
          <wp:wrapNone/>
          <wp:docPr id="56" name="Imagen 1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EB5C44"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Junio</w:t>
    </w:r>
    <w:r w:rsidR="00A73E45">
      <w:rPr>
        <w:rFonts w:ascii="Times New Roman" w:hAnsi="Times New Roman" w:cs="Times New Roman"/>
        <w:color w:val="1F497D" w:themeColor="text2"/>
        <w:lang w:val="es-MX"/>
      </w:rPr>
      <w:t xml:space="preserve"> 2018</w:t>
    </w:r>
  </w:p>
  <w:p w:rsidR="00AF68D3" w:rsidRDefault="00AF429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12512" behindDoc="0" locked="0" layoutInCell="1" allowOverlap="1" wp14:anchorId="33869ACB" wp14:editId="4DED3EDA">
              <wp:simplePos x="0" y="0"/>
              <wp:positionH relativeFrom="column">
                <wp:posOffset>1736708</wp:posOffset>
              </wp:positionH>
              <wp:positionV relativeFrom="paragraph">
                <wp:posOffset>32385</wp:posOffset>
              </wp:positionV>
              <wp:extent cx="5155894" cy="45719"/>
              <wp:effectExtent l="38100" t="38100" r="64135" b="88265"/>
              <wp:wrapNone/>
              <wp:docPr id="6" name="6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00308F" id="6 Rectángulo" o:spid="_x0000_s1026" style="position:absolute;margin-left:136.75pt;margin-top:2.55pt;width:406pt;height:3.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00AF4290">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05" w:rsidRPr="007D4651" w:rsidRDefault="00216605"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7872" behindDoc="1" locked="0" layoutInCell="1" allowOverlap="1" wp14:anchorId="47C8E533" wp14:editId="010DA4F5">
          <wp:simplePos x="0" y="0"/>
          <wp:positionH relativeFrom="column">
            <wp:posOffset>-89849</wp:posOffset>
          </wp:positionH>
          <wp:positionV relativeFrom="paragraph">
            <wp:posOffset>-163027</wp:posOffset>
          </wp:positionV>
          <wp:extent cx="1697990" cy="914400"/>
          <wp:effectExtent l="0" t="0" r="0" b="0"/>
          <wp:wrapNone/>
          <wp:docPr id="29"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216605" w:rsidRPr="007D4651" w:rsidRDefault="00EB5C44"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Junio</w:t>
    </w:r>
    <w:r w:rsidR="0073581B">
      <w:rPr>
        <w:rFonts w:ascii="Times New Roman" w:hAnsi="Times New Roman" w:cs="Times New Roman"/>
        <w:color w:val="1F497D" w:themeColor="text2"/>
        <w:lang w:val="es-MX"/>
      </w:rPr>
      <w:t xml:space="preserve"> 2018</w:t>
    </w:r>
  </w:p>
  <w:p w:rsidR="00216605" w:rsidRDefault="00216605"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26848" behindDoc="0" locked="0" layoutInCell="1" allowOverlap="1" wp14:anchorId="037DECCD" wp14:editId="10F224E1">
              <wp:simplePos x="0" y="0"/>
              <wp:positionH relativeFrom="column">
                <wp:posOffset>1710568</wp:posOffset>
              </wp:positionH>
              <wp:positionV relativeFrom="paragraph">
                <wp:posOffset>29118</wp:posOffset>
              </wp:positionV>
              <wp:extent cx="5155894" cy="45719"/>
              <wp:effectExtent l="38100" t="38100" r="64135" b="88265"/>
              <wp:wrapNone/>
              <wp:docPr id="54"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B6938B" id="22 Rectángulo" o:spid="_x0000_s1026" style="position:absolute;margin-left:134.7pt;margin-top:2.3pt;width:406pt;height:3.6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OW/Rgk9AwAApw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216605" w:rsidRDefault="00216605"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216605" w:rsidRPr="00E16925" w:rsidRDefault="00216605" w:rsidP="00E16925">
    <w:pPr>
      <w:pStyle w:val="Encabezado"/>
      <w:rPr>
        <w:rFonts w:ascii="Times New Roman" w:hAnsi="Times New Roman" w:cs="Times New Roman"/>
        <w:lang w:val="es-MX"/>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4624" behindDoc="1" locked="0" layoutInCell="1" allowOverlap="1" wp14:anchorId="3C8248A5" wp14:editId="6D29A3A7">
          <wp:simplePos x="0" y="0"/>
          <wp:positionH relativeFrom="column">
            <wp:posOffset>-89849</wp:posOffset>
          </wp:positionH>
          <wp:positionV relativeFrom="paragraph">
            <wp:posOffset>-163027</wp:posOffset>
          </wp:positionV>
          <wp:extent cx="1697990" cy="914400"/>
          <wp:effectExtent l="0" t="0" r="0" b="0"/>
          <wp:wrapNone/>
          <wp:docPr id="43"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F68D3" w:rsidRPr="007D4651" w:rsidRDefault="00CB220A"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73581B">
      <w:rPr>
        <w:rFonts w:ascii="Times New Roman" w:hAnsi="Times New Roman" w:cs="Times New Roman"/>
        <w:color w:val="1F497D" w:themeColor="text2"/>
        <w:lang w:val="es-MX"/>
      </w:rPr>
      <w:t xml:space="preserve"> 2018</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3600" behindDoc="0" locked="0" layoutInCell="1" allowOverlap="1" wp14:anchorId="717822F8" wp14:editId="28E2741D">
              <wp:simplePos x="0" y="0"/>
              <wp:positionH relativeFrom="column">
                <wp:posOffset>1710568</wp:posOffset>
              </wp:positionH>
              <wp:positionV relativeFrom="paragraph">
                <wp:posOffset>29118</wp:posOffset>
              </wp:positionV>
              <wp:extent cx="5155894" cy="45719"/>
              <wp:effectExtent l="38100" t="38100" r="64135" b="88265"/>
              <wp:wrapNone/>
              <wp:docPr id="22"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877FD9" id="22 Rectángulo" o:spid="_x0000_s1026" style="position:absolute;margin-left:134.7pt;margin-top:2.3pt;width:406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HPgMAAKc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&#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IhmdH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0704" behindDoc="1" locked="0" layoutInCell="1" allowOverlap="1" wp14:anchorId="5A7BEF2D" wp14:editId="5F937D3E">
          <wp:simplePos x="0" y="0"/>
          <wp:positionH relativeFrom="column">
            <wp:posOffset>-93997</wp:posOffset>
          </wp:positionH>
          <wp:positionV relativeFrom="paragraph">
            <wp:posOffset>-177800</wp:posOffset>
          </wp:positionV>
          <wp:extent cx="1697990" cy="914400"/>
          <wp:effectExtent l="0" t="0" r="0" b="0"/>
          <wp:wrapNone/>
          <wp:docPr id="66" name="Imagen 66"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922DD5"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Junio 2018</w:t>
    </w:r>
  </w:p>
  <w:p w:rsidR="00AF68D3" w:rsidRPr="004A73AA" w:rsidRDefault="00AF4290"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lang w:eastAsia="es-GT"/>
      </w:rPr>
      <mc:AlternateContent>
        <mc:Choice Requires="wps">
          <w:drawing>
            <wp:anchor distT="0" distB="0" distL="114300" distR="114300" simplePos="0" relativeHeight="251710464" behindDoc="0" locked="0" layoutInCell="1" allowOverlap="1" wp14:anchorId="3838A2F1" wp14:editId="6FCFD535">
              <wp:simplePos x="0" y="0"/>
              <wp:positionH relativeFrom="column">
                <wp:posOffset>1711308</wp:posOffset>
              </wp:positionH>
              <wp:positionV relativeFrom="paragraph">
                <wp:posOffset>12065</wp:posOffset>
              </wp:positionV>
              <wp:extent cx="5155894" cy="45719"/>
              <wp:effectExtent l="38100" t="38100" r="64135" b="88265"/>
              <wp:wrapNone/>
              <wp:docPr id="1"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D18F7D" id="1 Rectángulo" o:spid="_x0000_s1026" style="position:absolute;margin-left:134.75pt;margin-top:.95pt;width:406pt;height:3.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4A73AA" w:rsidRDefault="00AF68D3"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00AF4290">
      <w:rPr>
        <w:rFonts w:ascii="Times New Roman" w:hAnsi="Times New Roman" w:cs="Times New Roman"/>
        <w:color w:val="1F497D" w:themeColor="text2"/>
        <w:lang w:val="es-MX"/>
      </w:rPr>
      <w:t xml:space="preserve">      </w:t>
    </w:r>
    <w:r w:rsidR="00AF4290" w:rsidRPr="009F164F">
      <w:rPr>
        <w:rFonts w:ascii="Times New Roman" w:hAnsi="Times New Roman" w:cs="Times New Roman"/>
        <w:b/>
        <w:color w:val="4F81BD" w:themeColor="accent1"/>
        <w:lang w:val="es-MX"/>
      </w:rPr>
      <w:t>Dirección de Análisis y Política Fiscal</w:t>
    </w:r>
  </w:p>
  <w:p w:rsidR="00AF68D3" w:rsidRPr="007452E2" w:rsidRDefault="00AF68D3" w:rsidP="00E16925">
    <w:pPr>
      <w:pStyle w:val="Encabezado"/>
      <w:rPr>
        <w:rFonts w:ascii="Times New Roman" w:hAnsi="Times New Roman" w:cs="Times New Roman"/>
        <w:lang w:val="es-MX"/>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16" w:rsidRPr="007D4651" w:rsidRDefault="00AD5816"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3776" behindDoc="1" locked="0" layoutInCell="1" allowOverlap="1" wp14:anchorId="4E754CC4" wp14:editId="050ECF0D">
          <wp:simplePos x="0" y="0"/>
          <wp:positionH relativeFrom="column">
            <wp:posOffset>-89849</wp:posOffset>
          </wp:positionH>
          <wp:positionV relativeFrom="paragraph">
            <wp:posOffset>-163027</wp:posOffset>
          </wp:positionV>
          <wp:extent cx="1697990" cy="914400"/>
          <wp:effectExtent l="0" t="0" r="0" b="0"/>
          <wp:wrapNone/>
          <wp:docPr id="49" name="Imagen 49"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D5816" w:rsidRPr="007D4651" w:rsidRDefault="00EB5C44"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Junio</w:t>
    </w:r>
    <w:r w:rsidR="0073581B">
      <w:rPr>
        <w:rFonts w:ascii="Times New Roman" w:hAnsi="Times New Roman" w:cs="Times New Roman"/>
        <w:color w:val="1F497D" w:themeColor="text2"/>
        <w:lang w:val="es-MX"/>
      </w:rPr>
      <w:t xml:space="preserve"> 2018</w:t>
    </w:r>
  </w:p>
  <w:p w:rsidR="00AD5816" w:rsidRDefault="00AD5816"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22752" behindDoc="0" locked="0" layoutInCell="1" allowOverlap="1" wp14:anchorId="2429E304" wp14:editId="75F6DA41">
              <wp:simplePos x="0" y="0"/>
              <wp:positionH relativeFrom="column">
                <wp:posOffset>1710568</wp:posOffset>
              </wp:positionH>
              <wp:positionV relativeFrom="paragraph">
                <wp:posOffset>29118</wp:posOffset>
              </wp:positionV>
              <wp:extent cx="5155894" cy="45719"/>
              <wp:effectExtent l="38100" t="38100" r="64135" b="88265"/>
              <wp:wrapNone/>
              <wp:docPr id="20" name="20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515217" id="20 Rectángulo" o:spid="_x0000_s1026" style="position:absolute;margin-left:134.7pt;margin-top:2.3pt;width:406pt;height:3.6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&#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b1NSo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D5816" w:rsidRDefault="00AD5816" w:rsidP="00E16925">
    <w:pPr>
      <w:pStyle w:val="Encabezado"/>
      <w:rPr>
        <w:rFonts w:ascii="Times New Roman" w:hAnsi="Times New Roman" w:cs="Times New Roman"/>
        <w:lang w:val="es-MX"/>
      </w:rPr>
    </w:pPr>
    <w:r>
      <w:rPr>
        <w:rFonts w:ascii="Times New Roman" w:hAnsi="Times New Roman" w:cs="Times New Roman"/>
        <w:lang w:val="es-MX"/>
      </w:rPr>
      <w:tab/>
      <w:t xml:space="preserve"> </w:t>
    </w:r>
    <w:r w:rsidRPr="009F164F">
      <w:rPr>
        <w:rFonts w:ascii="Times New Roman" w:hAnsi="Times New Roman" w:cs="Times New Roman"/>
        <w:b/>
        <w:color w:val="4F81BD" w:themeColor="accent1"/>
        <w:lang w:val="es-MX"/>
      </w:rPr>
      <w:t>Dirección de Análisis y Política Fiscal</w:t>
    </w:r>
  </w:p>
  <w:p w:rsidR="00AD5816" w:rsidRPr="00E16925" w:rsidRDefault="00AD5816" w:rsidP="00E16925">
    <w:pPr>
      <w:pStyle w:val="Encabezado"/>
      <w:rPr>
        <w:rFonts w:ascii="Times New Roman" w:hAnsi="Times New Roman" w:cs="Times New Roman"/>
        <w:lang w:val="es-MX"/>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81" w:rsidRPr="007D4651" w:rsidRDefault="001F5581"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32992" behindDoc="1" locked="0" layoutInCell="1" allowOverlap="1" wp14:anchorId="69105BAC" wp14:editId="3399B9F7">
          <wp:simplePos x="0" y="0"/>
          <wp:positionH relativeFrom="column">
            <wp:posOffset>-93997</wp:posOffset>
          </wp:positionH>
          <wp:positionV relativeFrom="paragraph">
            <wp:posOffset>-177800</wp:posOffset>
          </wp:positionV>
          <wp:extent cx="1697990" cy="914400"/>
          <wp:effectExtent l="0" t="0" r="0" b="0"/>
          <wp:wrapNone/>
          <wp:docPr id="68" name="Imagen 2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1F5581" w:rsidRDefault="00EB5C44"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Junio</w:t>
    </w:r>
    <w:r w:rsidR="0073581B">
      <w:rPr>
        <w:rFonts w:ascii="Times New Roman" w:hAnsi="Times New Roman" w:cs="Times New Roman"/>
        <w:color w:val="1F497D" w:themeColor="text2"/>
        <w:lang w:val="es-MX"/>
      </w:rPr>
      <w:t xml:space="preserve"> 2018</w:t>
    </w:r>
  </w:p>
  <w:p w:rsidR="001F5581" w:rsidRPr="004A73AA" w:rsidRDefault="001F5581"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lang w:eastAsia="es-GT"/>
      </w:rPr>
      <mc:AlternateContent>
        <mc:Choice Requires="wps">
          <w:drawing>
            <wp:anchor distT="0" distB="0" distL="114300" distR="114300" simplePos="0" relativeHeight="251731968" behindDoc="0" locked="0" layoutInCell="1" allowOverlap="1" wp14:anchorId="2B800276" wp14:editId="68EB3884">
              <wp:simplePos x="0" y="0"/>
              <wp:positionH relativeFrom="column">
                <wp:posOffset>1711308</wp:posOffset>
              </wp:positionH>
              <wp:positionV relativeFrom="paragraph">
                <wp:posOffset>12065</wp:posOffset>
              </wp:positionV>
              <wp:extent cx="5155894" cy="45719"/>
              <wp:effectExtent l="38100" t="38100" r="64135" b="88265"/>
              <wp:wrapNone/>
              <wp:docPr id="46"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F19121" id="1 Rectángulo" o:spid="_x0000_s1026" style="position:absolute;margin-left:134.75pt;margin-top:.95pt;width:406pt;height:3.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1F5581" w:rsidRPr="004A73AA" w:rsidRDefault="001F5581"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Pr="009F164F">
      <w:rPr>
        <w:rFonts w:ascii="Times New Roman" w:hAnsi="Times New Roman" w:cs="Times New Roman"/>
        <w:b/>
        <w:color w:val="4F81BD" w:themeColor="accent1"/>
        <w:lang w:val="es-MX"/>
      </w:rPr>
      <w:t>Dirección de Análisis y Política Fiscal</w:t>
    </w:r>
  </w:p>
  <w:p w:rsidR="001F5581" w:rsidRPr="007452E2" w:rsidRDefault="001F5581" w:rsidP="00E16925">
    <w:pPr>
      <w:pStyle w:val="Encabezado"/>
      <w:rPr>
        <w:rFonts w:ascii="Times New Roman" w:hAnsi="Times New Roman" w:cs="Times New Roman"/>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41F5"/>
    <w:multiLevelType w:val="hybridMultilevel"/>
    <w:tmpl w:val="6C9AD4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FD5081C"/>
    <w:multiLevelType w:val="hybridMultilevel"/>
    <w:tmpl w:val="7A082B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172228C2"/>
    <w:multiLevelType w:val="hybridMultilevel"/>
    <w:tmpl w:val="8B2A41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15:restartNumberingAfterBreak="0">
    <w:nsid w:val="2DA43097"/>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 w15:restartNumberingAfterBreak="0">
    <w:nsid w:val="318C7F52"/>
    <w:multiLevelType w:val="hybridMultilevel"/>
    <w:tmpl w:val="8BEAF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32216C57"/>
    <w:multiLevelType w:val="hybridMultilevel"/>
    <w:tmpl w:val="4C9095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335D3E9F"/>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15:restartNumberingAfterBreak="0">
    <w:nsid w:val="4F1F1422"/>
    <w:multiLevelType w:val="hybridMultilevel"/>
    <w:tmpl w:val="ECB205F6"/>
    <w:lvl w:ilvl="0" w:tplc="100A000F">
      <w:start w:val="1"/>
      <w:numFmt w:val="decimal"/>
      <w:lvlText w:val="%1."/>
      <w:lvlJc w:val="left"/>
      <w:pPr>
        <w:ind w:left="360" w:hanging="360"/>
      </w:pPr>
      <w:rPr>
        <w:rFonts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8" w15:restartNumberingAfterBreak="0">
    <w:nsid w:val="5EB178D6"/>
    <w:multiLevelType w:val="hybridMultilevel"/>
    <w:tmpl w:val="8794A3C4"/>
    <w:lvl w:ilvl="0" w:tplc="06C04D0C">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7A3757A3"/>
    <w:multiLevelType w:val="hybridMultilevel"/>
    <w:tmpl w:val="C638E6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7F885ABE"/>
    <w:multiLevelType w:val="hybridMultilevel"/>
    <w:tmpl w:val="F0FA2C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8"/>
  </w:num>
  <w:num w:numId="6">
    <w:abstractNumId w:val="10"/>
  </w:num>
  <w:num w:numId="7">
    <w:abstractNumId w:val="9"/>
  </w:num>
  <w:num w:numId="8">
    <w:abstractNumId w:val="1"/>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51"/>
    <w:rsid w:val="000053A7"/>
    <w:rsid w:val="00006489"/>
    <w:rsid w:val="000064C3"/>
    <w:rsid w:val="00013A7F"/>
    <w:rsid w:val="00013C63"/>
    <w:rsid w:val="00020E23"/>
    <w:rsid w:val="00022E98"/>
    <w:rsid w:val="00025788"/>
    <w:rsid w:val="000378CF"/>
    <w:rsid w:val="00040C99"/>
    <w:rsid w:val="00042B27"/>
    <w:rsid w:val="00045D14"/>
    <w:rsid w:val="00051060"/>
    <w:rsid w:val="00051A92"/>
    <w:rsid w:val="00053517"/>
    <w:rsid w:val="000723B2"/>
    <w:rsid w:val="00072EEB"/>
    <w:rsid w:val="00074BC6"/>
    <w:rsid w:val="00076AB4"/>
    <w:rsid w:val="00076AD2"/>
    <w:rsid w:val="0008348D"/>
    <w:rsid w:val="00087ADE"/>
    <w:rsid w:val="000A0A4F"/>
    <w:rsid w:val="000A6E8E"/>
    <w:rsid w:val="000C1547"/>
    <w:rsid w:val="000C65AB"/>
    <w:rsid w:val="000D016D"/>
    <w:rsid w:val="000D2FA4"/>
    <w:rsid w:val="000D489E"/>
    <w:rsid w:val="000F1314"/>
    <w:rsid w:val="000F2621"/>
    <w:rsid w:val="000F5F87"/>
    <w:rsid w:val="000F68EB"/>
    <w:rsid w:val="00102939"/>
    <w:rsid w:val="00103DA9"/>
    <w:rsid w:val="001045CE"/>
    <w:rsid w:val="00111B77"/>
    <w:rsid w:val="001178B6"/>
    <w:rsid w:val="001259BA"/>
    <w:rsid w:val="001339A4"/>
    <w:rsid w:val="00133DBA"/>
    <w:rsid w:val="00136D08"/>
    <w:rsid w:val="00142BF3"/>
    <w:rsid w:val="00143620"/>
    <w:rsid w:val="00145313"/>
    <w:rsid w:val="00152798"/>
    <w:rsid w:val="001549AB"/>
    <w:rsid w:val="00157402"/>
    <w:rsid w:val="00160EAC"/>
    <w:rsid w:val="00171909"/>
    <w:rsid w:val="001735EE"/>
    <w:rsid w:val="0017454D"/>
    <w:rsid w:val="00185253"/>
    <w:rsid w:val="001863CC"/>
    <w:rsid w:val="001913A4"/>
    <w:rsid w:val="00196A44"/>
    <w:rsid w:val="001A3185"/>
    <w:rsid w:val="001A79F4"/>
    <w:rsid w:val="001B36BC"/>
    <w:rsid w:val="001B3EEE"/>
    <w:rsid w:val="001C2FF5"/>
    <w:rsid w:val="001C3649"/>
    <w:rsid w:val="001D0065"/>
    <w:rsid w:val="001D46C3"/>
    <w:rsid w:val="001D4C8E"/>
    <w:rsid w:val="001D5A5B"/>
    <w:rsid w:val="001E0E10"/>
    <w:rsid w:val="001E0F86"/>
    <w:rsid w:val="001E3B99"/>
    <w:rsid w:val="001E4CD2"/>
    <w:rsid w:val="001F34AD"/>
    <w:rsid w:val="001F4EE1"/>
    <w:rsid w:val="001F4F78"/>
    <w:rsid w:val="001F5240"/>
    <w:rsid w:val="001F5581"/>
    <w:rsid w:val="001F7141"/>
    <w:rsid w:val="00200FB1"/>
    <w:rsid w:val="00202594"/>
    <w:rsid w:val="0020377F"/>
    <w:rsid w:val="002101C9"/>
    <w:rsid w:val="00212A2C"/>
    <w:rsid w:val="00213C92"/>
    <w:rsid w:val="00216605"/>
    <w:rsid w:val="0021693D"/>
    <w:rsid w:val="00216DA8"/>
    <w:rsid w:val="00222598"/>
    <w:rsid w:val="002302ED"/>
    <w:rsid w:val="002335EE"/>
    <w:rsid w:val="0023642A"/>
    <w:rsid w:val="00240D86"/>
    <w:rsid w:val="00242202"/>
    <w:rsid w:val="00244AAA"/>
    <w:rsid w:val="002512EC"/>
    <w:rsid w:val="00256F02"/>
    <w:rsid w:val="00262E76"/>
    <w:rsid w:val="00263007"/>
    <w:rsid w:val="00264C3A"/>
    <w:rsid w:val="00264FC5"/>
    <w:rsid w:val="002672D5"/>
    <w:rsid w:val="00270CAB"/>
    <w:rsid w:val="00273E2C"/>
    <w:rsid w:val="00276250"/>
    <w:rsid w:val="00276A28"/>
    <w:rsid w:val="00281439"/>
    <w:rsid w:val="00281FB7"/>
    <w:rsid w:val="0028212F"/>
    <w:rsid w:val="0029321A"/>
    <w:rsid w:val="00296D57"/>
    <w:rsid w:val="002977ED"/>
    <w:rsid w:val="002B7644"/>
    <w:rsid w:val="002C2547"/>
    <w:rsid w:val="002C482A"/>
    <w:rsid w:val="002C6478"/>
    <w:rsid w:val="002C68B8"/>
    <w:rsid w:val="002C7F2B"/>
    <w:rsid w:val="002D3469"/>
    <w:rsid w:val="002D54E6"/>
    <w:rsid w:val="002E3F4C"/>
    <w:rsid w:val="002F29DE"/>
    <w:rsid w:val="002F2A42"/>
    <w:rsid w:val="002F7E08"/>
    <w:rsid w:val="00302D40"/>
    <w:rsid w:val="0030695C"/>
    <w:rsid w:val="00321745"/>
    <w:rsid w:val="0032198D"/>
    <w:rsid w:val="00322ECC"/>
    <w:rsid w:val="00330A9D"/>
    <w:rsid w:val="00334324"/>
    <w:rsid w:val="00343A5D"/>
    <w:rsid w:val="00345216"/>
    <w:rsid w:val="0034700C"/>
    <w:rsid w:val="0035279B"/>
    <w:rsid w:val="003531E5"/>
    <w:rsid w:val="003551C3"/>
    <w:rsid w:val="003649D9"/>
    <w:rsid w:val="00364DD6"/>
    <w:rsid w:val="00366770"/>
    <w:rsid w:val="00367E12"/>
    <w:rsid w:val="00374D44"/>
    <w:rsid w:val="00376802"/>
    <w:rsid w:val="00376FE9"/>
    <w:rsid w:val="0038008D"/>
    <w:rsid w:val="00381A4F"/>
    <w:rsid w:val="0038488D"/>
    <w:rsid w:val="00385BA8"/>
    <w:rsid w:val="00393E59"/>
    <w:rsid w:val="0039499F"/>
    <w:rsid w:val="003968DB"/>
    <w:rsid w:val="003A1300"/>
    <w:rsid w:val="003A3726"/>
    <w:rsid w:val="003A72C9"/>
    <w:rsid w:val="003B00D2"/>
    <w:rsid w:val="003B13B4"/>
    <w:rsid w:val="003B1A93"/>
    <w:rsid w:val="003B26F5"/>
    <w:rsid w:val="003C3922"/>
    <w:rsid w:val="003C7085"/>
    <w:rsid w:val="003D05CE"/>
    <w:rsid w:val="003D38A7"/>
    <w:rsid w:val="003D60E4"/>
    <w:rsid w:val="003D72D3"/>
    <w:rsid w:val="003E28F4"/>
    <w:rsid w:val="003E591D"/>
    <w:rsid w:val="003F0660"/>
    <w:rsid w:val="003F4609"/>
    <w:rsid w:val="0040361C"/>
    <w:rsid w:val="00413FBE"/>
    <w:rsid w:val="00416D41"/>
    <w:rsid w:val="0042387A"/>
    <w:rsid w:val="00426F4F"/>
    <w:rsid w:val="00443336"/>
    <w:rsid w:val="00443385"/>
    <w:rsid w:val="00443621"/>
    <w:rsid w:val="00447F4F"/>
    <w:rsid w:val="00450531"/>
    <w:rsid w:val="00452A5A"/>
    <w:rsid w:val="004575BA"/>
    <w:rsid w:val="004606FD"/>
    <w:rsid w:val="00464DB9"/>
    <w:rsid w:val="004650C5"/>
    <w:rsid w:val="00474EC2"/>
    <w:rsid w:val="00480824"/>
    <w:rsid w:val="004830FD"/>
    <w:rsid w:val="004835C8"/>
    <w:rsid w:val="00483632"/>
    <w:rsid w:val="0048385B"/>
    <w:rsid w:val="00494BC6"/>
    <w:rsid w:val="00494D1D"/>
    <w:rsid w:val="00495F43"/>
    <w:rsid w:val="004A3D32"/>
    <w:rsid w:val="004A6705"/>
    <w:rsid w:val="004A73AA"/>
    <w:rsid w:val="004B336D"/>
    <w:rsid w:val="004B4B9F"/>
    <w:rsid w:val="004B5B0F"/>
    <w:rsid w:val="004C1D68"/>
    <w:rsid w:val="004C208F"/>
    <w:rsid w:val="004C3B4E"/>
    <w:rsid w:val="004D1F76"/>
    <w:rsid w:val="004D7482"/>
    <w:rsid w:val="004E358C"/>
    <w:rsid w:val="004E4FDE"/>
    <w:rsid w:val="004E54B7"/>
    <w:rsid w:val="004F02B2"/>
    <w:rsid w:val="004F4F4D"/>
    <w:rsid w:val="004F72F9"/>
    <w:rsid w:val="005004C9"/>
    <w:rsid w:val="005016F6"/>
    <w:rsid w:val="005077A5"/>
    <w:rsid w:val="005104DC"/>
    <w:rsid w:val="005364DE"/>
    <w:rsid w:val="005428C6"/>
    <w:rsid w:val="00544E9A"/>
    <w:rsid w:val="00546650"/>
    <w:rsid w:val="005537D0"/>
    <w:rsid w:val="00573AB0"/>
    <w:rsid w:val="005755E9"/>
    <w:rsid w:val="00582F9F"/>
    <w:rsid w:val="00586745"/>
    <w:rsid w:val="005879A5"/>
    <w:rsid w:val="00591D14"/>
    <w:rsid w:val="005925BD"/>
    <w:rsid w:val="00592D6E"/>
    <w:rsid w:val="0059421A"/>
    <w:rsid w:val="005948F0"/>
    <w:rsid w:val="005979EB"/>
    <w:rsid w:val="005A03A9"/>
    <w:rsid w:val="005A1EFC"/>
    <w:rsid w:val="005A6ACE"/>
    <w:rsid w:val="005B0E84"/>
    <w:rsid w:val="005B1B53"/>
    <w:rsid w:val="005B4E4C"/>
    <w:rsid w:val="005B6D05"/>
    <w:rsid w:val="005C103A"/>
    <w:rsid w:val="005D2336"/>
    <w:rsid w:val="005D51CA"/>
    <w:rsid w:val="005E6BD0"/>
    <w:rsid w:val="005E7E89"/>
    <w:rsid w:val="0060094A"/>
    <w:rsid w:val="006014EC"/>
    <w:rsid w:val="00603743"/>
    <w:rsid w:val="00606D70"/>
    <w:rsid w:val="00610F84"/>
    <w:rsid w:val="00614999"/>
    <w:rsid w:val="0061637C"/>
    <w:rsid w:val="00622F43"/>
    <w:rsid w:val="00623EC9"/>
    <w:rsid w:val="00625AA5"/>
    <w:rsid w:val="00632EE6"/>
    <w:rsid w:val="00633616"/>
    <w:rsid w:val="00637AC9"/>
    <w:rsid w:val="00640B12"/>
    <w:rsid w:val="0064258A"/>
    <w:rsid w:val="00643685"/>
    <w:rsid w:val="00643FB6"/>
    <w:rsid w:val="00651522"/>
    <w:rsid w:val="006525C5"/>
    <w:rsid w:val="00654855"/>
    <w:rsid w:val="006553D6"/>
    <w:rsid w:val="00660888"/>
    <w:rsid w:val="006630B2"/>
    <w:rsid w:val="00663EB3"/>
    <w:rsid w:val="00665BB7"/>
    <w:rsid w:val="00666477"/>
    <w:rsid w:val="006668D4"/>
    <w:rsid w:val="0066791B"/>
    <w:rsid w:val="00670F33"/>
    <w:rsid w:val="0067132B"/>
    <w:rsid w:val="00674EAE"/>
    <w:rsid w:val="00676765"/>
    <w:rsid w:val="00685A33"/>
    <w:rsid w:val="00685C3A"/>
    <w:rsid w:val="006A1473"/>
    <w:rsid w:val="006B0D82"/>
    <w:rsid w:val="006D1857"/>
    <w:rsid w:val="006D7B6E"/>
    <w:rsid w:val="006D7BB6"/>
    <w:rsid w:val="006E1D11"/>
    <w:rsid w:val="006E27A5"/>
    <w:rsid w:val="006E4937"/>
    <w:rsid w:val="006E63F3"/>
    <w:rsid w:val="006E6A13"/>
    <w:rsid w:val="006F157C"/>
    <w:rsid w:val="006F202E"/>
    <w:rsid w:val="006F20A4"/>
    <w:rsid w:val="006F3FF3"/>
    <w:rsid w:val="006F5EA0"/>
    <w:rsid w:val="006F7575"/>
    <w:rsid w:val="00712E01"/>
    <w:rsid w:val="00714E40"/>
    <w:rsid w:val="00715C88"/>
    <w:rsid w:val="00715D8F"/>
    <w:rsid w:val="00725F93"/>
    <w:rsid w:val="0073367E"/>
    <w:rsid w:val="0073437F"/>
    <w:rsid w:val="0073581B"/>
    <w:rsid w:val="00741591"/>
    <w:rsid w:val="00741F6B"/>
    <w:rsid w:val="00742D2D"/>
    <w:rsid w:val="007452E2"/>
    <w:rsid w:val="00747C79"/>
    <w:rsid w:val="00751CCA"/>
    <w:rsid w:val="00754057"/>
    <w:rsid w:val="0075770C"/>
    <w:rsid w:val="0076028F"/>
    <w:rsid w:val="00762722"/>
    <w:rsid w:val="00762FE3"/>
    <w:rsid w:val="0076667B"/>
    <w:rsid w:val="00767573"/>
    <w:rsid w:val="007703A2"/>
    <w:rsid w:val="007814D6"/>
    <w:rsid w:val="007846C7"/>
    <w:rsid w:val="00784AF8"/>
    <w:rsid w:val="007859CD"/>
    <w:rsid w:val="007A6523"/>
    <w:rsid w:val="007A7272"/>
    <w:rsid w:val="007A7814"/>
    <w:rsid w:val="007B0602"/>
    <w:rsid w:val="007B26CD"/>
    <w:rsid w:val="007B3D0C"/>
    <w:rsid w:val="007B5BA5"/>
    <w:rsid w:val="007B720C"/>
    <w:rsid w:val="007C0C8C"/>
    <w:rsid w:val="007C4E46"/>
    <w:rsid w:val="007C6F35"/>
    <w:rsid w:val="007D0566"/>
    <w:rsid w:val="007D268B"/>
    <w:rsid w:val="007D38A9"/>
    <w:rsid w:val="007D4651"/>
    <w:rsid w:val="007D7CFE"/>
    <w:rsid w:val="007E314A"/>
    <w:rsid w:val="007E5841"/>
    <w:rsid w:val="007E6F28"/>
    <w:rsid w:val="007F4528"/>
    <w:rsid w:val="007F6F57"/>
    <w:rsid w:val="008010A6"/>
    <w:rsid w:val="00804E1C"/>
    <w:rsid w:val="00810A4C"/>
    <w:rsid w:val="00813E3C"/>
    <w:rsid w:val="0081609E"/>
    <w:rsid w:val="00822C6B"/>
    <w:rsid w:val="00826AEC"/>
    <w:rsid w:val="00826D9D"/>
    <w:rsid w:val="008277A9"/>
    <w:rsid w:val="00842FFE"/>
    <w:rsid w:val="00845D64"/>
    <w:rsid w:val="008501C7"/>
    <w:rsid w:val="00851B4B"/>
    <w:rsid w:val="0085741B"/>
    <w:rsid w:val="008579A8"/>
    <w:rsid w:val="00861640"/>
    <w:rsid w:val="008718E5"/>
    <w:rsid w:val="008844B1"/>
    <w:rsid w:val="00891B11"/>
    <w:rsid w:val="00892181"/>
    <w:rsid w:val="00892DE1"/>
    <w:rsid w:val="00895722"/>
    <w:rsid w:val="008A2427"/>
    <w:rsid w:val="008B110A"/>
    <w:rsid w:val="008C079A"/>
    <w:rsid w:val="008D5E9E"/>
    <w:rsid w:val="008E0F73"/>
    <w:rsid w:val="008E5C4F"/>
    <w:rsid w:val="008E7869"/>
    <w:rsid w:val="008E7927"/>
    <w:rsid w:val="008F312E"/>
    <w:rsid w:val="008F4BCE"/>
    <w:rsid w:val="008F5DBB"/>
    <w:rsid w:val="00910163"/>
    <w:rsid w:val="009121F7"/>
    <w:rsid w:val="00916532"/>
    <w:rsid w:val="00922DD5"/>
    <w:rsid w:val="00924E88"/>
    <w:rsid w:val="0093522C"/>
    <w:rsid w:val="00935D14"/>
    <w:rsid w:val="00942163"/>
    <w:rsid w:val="0094219B"/>
    <w:rsid w:val="00950874"/>
    <w:rsid w:val="00951347"/>
    <w:rsid w:val="00956270"/>
    <w:rsid w:val="00964466"/>
    <w:rsid w:val="00965F44"/>
    <w:rsid w:val="00972FCF"/>
    <w:rsid w:val="00981FB0"/>
    <w:rsid w:val="00986297"/>
    <w:rsid w:val="0099341E"/>
    <w:rsid w:val="00993857"/>
    <w:rsid w:val="00995540"/>
    <w:rsid w:val="00997A06"/>
    <w:rsid w:val="009A12F9"/>
    <w:rsid w:val="009A1EA3"/>
    <w:rsid w:val="009A3187"/>
    <w:rsid w:val="009A47FE"/>
    <w:rsid w:val="009A5380"/>
    <w:rsid w:val="009A7441"/>
    <w:rsid w:val="009B7148"/>
    <w:rsid w:val="009B7429"/>
    <w:rsid w:val="009C0583"/>
    <w:rsid w:val="009C0B93"/>
    <w:rsid w:val="009C361A"/>
    <w:rsid w:val="009C3938"/>
    <w:rsid w:val="009C4027"/>
    <w:rsid w:val="009D0D94"/>
    <w:rsid w:val="009D1232"/>
    <w:rsid w:val="009D25F9"/>
    <w:rsid w:val="009D2C22"/>
    <w:rsid w:val="009D72CF"/>
    <w:rsid w:val="009F0AB1"/>
    <w:rsid w:val="009F164F"/>
    <w:rsid w:val="009F1C62"/>
    <w:rsid w:val="009F530C"/>
    <w:rsid w:val="009F628A"/>
    <w:rsid w:val="00A0113A"/>
    <w:rsid w:val="00A15244"/>
    <w:rsid w:val="00A159B6"/>
    <w:rsid w:val="00A2151F"/>
    <w:rsid w:val="00A21A6A"/>
    <w:rsid w:val="00A25906"/>
    <w:rsid w:val="00A26C76"/>
    <w:rsid w:val="00A305E5"/>
    <w:rsid w:val="00A32AA1"/>
    <w:rsid w:val="00A34EBC"/>
    <w:rsid w:val="00A446DB"/>
    <w:rsid w:val="00A46630"/>
    <w:rsid w:val="00A53877"/>
    <w:rsid w:val="00A54CC2"/>
    <w:rsid w:val="00A64AE4"/>
    <w:rsid w:val="00A706A2"/>
    <w:rsid w:val="00A7383F"/>
    <w:rsid w:val="00A73E45"/>
    <w:rsid w:val="00A74F16"/>
    <w:rsid w:val="00A75E19"/>
    <w:rsid w:val="00A775C6"/>
    <w:rsid w:val="00A875EE"/>
    <w:rsid w:val="00A900E8"/>
    <w:rsid w:val="00A92D6E"/>
    <w:rsid w:val="00A970F8"/>
    <w:rsid w:val="00AA11B9"/>
    <w:rsid w:val="00AA54A5"/>
    <w:rsid w:val="00AA6C6B"/>
    <w:rsid w:val="00AA7DB0"/>
    <w:rsid w:val="00AB2522"/>
    <w:rsid w:val="00AB52BE"/>
    <w:rsid w:val="00AC7961"/>
    <w:rsid w:val="00AD5816"/>
    <w:rsid w:val="00AE2039"/>
    <w:rsid w:val="00AE50A8"/>
    <w:rsid w:val="00AF073D"/>
    <w:rsid w:val="00AF4290"/>
    <w:rsid w:val="00AF68D3"/>
    <w:rsid w:val="00AF7ACE"/>
    <w:rsid w:val="00B00205"/>
    <w:rsid w:val="00B04D97"/>
    <w:rsid w:val="00B05AC1"/>
    <w:rsid w:val="00B136D6"/>
    <w:rsid w:val="00B21010"/>
    <w:rsid w:val="00B26014"/>
    <w:rsid w:val="00B2709E"/>
    <w:rsid w:val="00B35FDC"/>
    <w:rsid w:val="00B43892"/>
    <w:rsid w:val="00B468EF"/>
    <w:rsid w:val="00B5017E"/>
    <w:rsid w:val="00B5079C"/>
    <w:rsid w:val="00B579BB"/>
    <w:rsid w:val="00B57AAB"/>
    <w:rsid w:val="00B57CED"/>
    <w:rsid w:val="00B606D0"/>
    <w:rsid w:val="00B632B3"/>
    <w:rsid w:val="00B667BC"/>
    <w:rsid w:val="00B7136E"/>
    <w:rsid w:val="00B83CAC"/>
    <w:rsid w:val="00B84995"/>
    <w:rsid w:val="00B86812"/>
    <w:rsid w:val="00B917E5"/>
    <w:rsid w:val="00B9286A"/>
    <w:rsid w:val="00B95BBF"/>
    <w:rsid w:val="00B96036"/>
    <w:rsid w:val="00BA3920"/>
    <w:rsid w:val="00BB1AAC"/>
    <w:rsid w:val="00BB4C28"/>
    <w:rsid w:val="00BB5426"/>
    <w:rsid w:val="00BC2768"/>
    <w:rsid w:val="00BC4F9E"/>
    <w:rsid w:val="00BC647C"/>
    <w:rsid w:val="00BC7539"/>
    <w:rsid w:val="00BC79C1"/>
    <w:rsid w:val="00BD1088"/>
    <w:rsid w:val="00BD3A7C"/>
    <w:rsid w:val="00BD4961"/>
    <w:rsid w:val="00BF1481"/>
    <w:rsid w:val="00BF2610"/>
    <w:rsid w:val="00C02FE1"/>
    <w:rsid w:val="00C069B8"/>
    <w:rsid w:val="00C074EF"/>
    <w:rsid w:val="00C12720"/>
    <w:rsid w:val="00C12BC4"/>
    <w:rsid w:val="00C15432"/>
    <w:rsid w:val="00C15AC4"/>
    <w:rsid w:val="00C2773E"/>
    <w:rsid w:val="00C3128B"/>
    <w:rsid w:val="00C33674"/>
    <w:rsid w:val="00C3385B"/>
    <w:rsid w:val="00C41470"/>
    <w:rsid w:val="00C41FF2"/>
    <w:rsid w:val="00C4589E"/>
    <w:rsid w:val="00C54747"/>
    <w:rsid w:val="00C56C98"/>
    <w:rsid w:val="00C6254D"/>
    <w:rsid w:val="00C646C4"/>
    <w:rsid w:val="00C76463"/>
    <w:rsid w:val="00C85696"/>
    <w:rsid w:val="00C9002C"/>
    <w:rsid w:val="00C91204"/>
    <w:rsid w:val="00C922D7"/>
    <w:rsid w:val="00C935C2"/>
    <w:rsid w:val="00C93727"/>
    <w:rsid w:val="00C95BFB"/>
    <w:rsid w:val="00CA19F5"/>
    <w:rsid w:val="00CA57D4"/>
    <w:rsid w:val="00CA6173"/>
    <w:rsid w:val="00CA65FF"/>
    <w:rsid w:val="00CB0938"/>
    <w:rsid w:val="00CB220A"/>
    <w:rsid w:val="00CB29F8"/>
    <w:rsid w:val="00CC2800"/>
    <w:rsid w:val="00CC3420"/>
    <w:rsid w:val="00CC3BC7"/>
    <w:rsid w:val="00CC547C"/>
    <w:rsid w:val="00CC60FF"/>
    <w:rsid w:val="00CD7760"/>
    <w:rsid w:val="00CE0468"/>
    <w:rsid w:val="00CE123C"/>
    <w:rsid w:val="00CE13DA"/>
    <w:rsid w:val="00CE3C39"/>
    <w:rsid w:val="00CE75B5"/>
    <w:rsid w:val="00CF0F94"/>
    <w:rsid w:val="00CF2D98"/>
    <w:rsid w:val="00CF5AB1"/>
    <w:rsid w:val="00CF73B4"/>
    <w:rsid w:val="00D00E78"/>
    <w:rsid w:val="00D01738"/>
    <w:rsid w:val="00D1383A"/>
    <w:rsid w:val="00D24DA4"/>
    <w:rsid w:val="00D26F28"/>
    <w:rsid w:val="00D30D15"/>
    <w:rsid w:val="00D32839"/>
    <w:rsid w:val="00D33EE3"/>
    <w:rsid w:val="00D343EC"/>
    <w:rsid w:val="00D36EA4"/>
    <w:rsid w:val="00D40769"/>
    <w:rsid w:val="00D4202F"/>
    <w:rsid w:val="00D43052"/>
    <w:rsid w:val="00D436D4"/>
    <w:rsid w:val="00D466D2"/>
    <w:rsid w:val="00D50ABF"/>
    <w:rsid w:val="00D51EBD"/>
    <w:rsid w:val="00D532B4"/>
    <w:rsid w:val="00D616E2"/>
    <w:rsid w:val="00D63CFC"/>
    <w:rsid w:val="00D66D34"/>
    <w:rsid w:val="00D716E4"/>
    <w:rsid w:val="00D73D1A"/>
    <w:rsid w:val="00D7427C"/>
    <w:rsid w:val="00D75C74"/>
    <w:rsid w:val="00D858E5"/>
    <w:rsid w:val="00DA53C7"/>
    <w:rsid w:val="00DA5809"/>
    <w:rsid w:val="00DA7B48"/>
    <w:rsid w:val="00DA7C18"/>
    <w:rsid w:val="00DB2350"/>
    <w:rsid w:val="00DB4551"/>
    <w:rsid w:val="00DC1048"/>
    <w:rsid w:val="00DC44CF"/>
    <w:rsid w:val="00DC6DE1"/>
    <w:rsid w:val="00DD01C5"/>
    <w:rsid w:val="00DD23C0"/>
    <w:rsid w:val="00DD4AB3"/>
    <w:rsid w:val="00DD4D5D"/>
    <w:rsid w:val="00DE4D85"/>
    <w:rsid w:val="00DE6D9A"/>
    <w:rsid w:val="00DE6DD3"/>
    <w:rsid w:val="00DF18B6"/>
    <w:rsid w:val="00DF317F"/>
    <w:rsid w:val="00DF3C7A"/>
    <w:rsid w:val="00DF70C1"/>
    <w:rsid w:val="00DF71A8"/>
    <w:rsid w:val="00E027B0"/>
    <w:rsid w:val="00E02A24"/>
    <w:rsid w:val="00E11403"/>
    <w:rsid w:val="00E16925"/>
    <w:rsid w:val="00E27247"/>
    <w:rsid w:val="00E31CA5"/>
    <w:rsid w:val="00E3382E"/>
    <w:rsid w:val="00E3492D"/>
    <w:rsid w:val="00E3753A"/>
    <w:rsid w:val="00E42E28"/>
    <w:rsid w:val="00E43BF3"/>
    <w:rsid w:val="00E45C4B"/>
    <w:rsid w:val="00E47525"/>
    <w:rsid w:val="00E47720"/>
    <w:rsid w:val="00E47F91"/>
    <w:rsid w:val="00E5126C"/>
    <w:rsid w:val="00E545F1"/>
    <w:rsid w:val="00E570ED"/>
    <w:rsid w:val="00E627ED"/>
    <w:rsid w:val="00E63798"/>
    <w:rsid w:val="00E6619D"/>
    <w:rsid w:val="00E7442E"/>
    <w:rsid w:val="00E82188"/>
    <w:rsid w:val="00E825A1"/>
    <w:rsid w:val="00E85293"/>
    <w:rsid w:val="00E94F03"/>
    <w:rsid w:val="00EA37FC"/>
    <w:rsid w:val="00EA68DF"/>
    <w:rsid w:val="00EB0687"/>
    <w:rsid w:val="00EB0FC5"/>
    <w:rsid w:val="00EB1910"/>
    <w:rsid w:val="00EB317F"/>
    <w:rsid w:val="00EB335D"/>
    <w:rsid w:val="00EB5C44"/>
    <w:rsid w:val="00EB62F2"/>
    <w:rsid w:val="00ED2C29"/>
    <w:rsid w:val="00ED3624"/>
    <w:rsid w:val="00ED7253"/>
    <w:rsid w:val="00EE02F0"/>
    <w:rsid w:val="00EE2F16"/>
    <w:rsid w:val="00EE72DB"/>
    <w:rsid w:val="00EF56F9"/>
    <w:rsid w:val="00F03418"/>
    <w:rsid w:val="00F0775B"/>
    <w:rsid w:val="00F10A29"/>
    <w:rsid w:val="00F10ACE"/>
    <w:rsid w:val="00F16658"/>
    <w:rsid w:val="00F16692"/>
    <w:rsid w:val="00F20D0D"/>
    <w:rsid w:val="00F229CE"/>
    <w:rsid w:val="00F23065"/>
    <w:rsid w:val="00F26087"/>
    <w:rsid w:val="00F27024"/>
    <w:rsid w:val="00F341FB"/>
    <w:rsid w:val="00F37AD2"/>
    <w:rsid w:val="00F4680E"/>
    <w:rsid w:val="00F46EBB"/>
    <w:rsid w:val="00F47088"/>
    <w:rsid w:val="00F51B37"/>
    <w:rsid w:val="00F641E1"/>
    <w:rsid w:val="00F644EA"/>
    <w:rsid w:val="00F70871"/>
    <w:rsid w:val="00F75C84"/>
    <w:rsid w:val="00F762E5"/>
    <w:rsid w:val="00F76491"/>
    <w:rsid w:val="00FA3B81"/>
    <w:rsid w:val="00FA5DE4"/>
    <w:rsid w:val="00FA5E7B"/>
    <w:rsid w:val="00FB2C2F"/>
    <w:rsid w:val="00FB5F5C"/>
    <w:rsid w:val="00FC3884"/>
    <w:rsid w:val="00FC5617"/>
    <w:rsid w:val="00FD61B9"/>
    <w:rsid w:val="00FE56B8"/>
    <w:rsid w:val="00FE65DB"/>
    <w:rsid w:val="00FE6FD3"/>
    <w:rsid w:val="00FF0C96"/>
    <w:rsid w:val="00FF58D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44646"/>
  <w15:docId w15:val="{1AA4A7E8-964A-4F29-B8D4-C4D20D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AF42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1055">
      <w:bodyDiv w:val="1"/>
      <w:marLeft w:val="0"/>
      <w:marRight w:val="0"/>
      <w:marTop w:val="0"/>
      <w:marBottom w:val="0"/>
      <w:divBdr>
        <w:top w:val="none" w:sz="0" w:space="0" w:color="auto"/>
        <w:left w:val="none" w:sz="0" w:space="0" w:color="auto"/>
        <w:bottom w:val="none" w:sz="0" w:space="0" w:color="auto"/>
        <w:right w:val="none" w:sz="0" w:space="0" w:color="auto"/>
      </w:divBdr>
    </w:div>
    <w:div w:id="528221259">
      <w:bodyDiv w:val="1"/>
      <w:marLeft w:val="0"/>
      <w:marRight w:val="0"/>
      <w:marTop w:val="0"/>
      <w:marBottom w:val="0"/>
      <w:divBdr>
        <w:top w:val="none" w:sz="0" w:space="0" w:color="auto"/>
        <w:left w:val="none" w:sz="0" w:space="0" w:color="auto"/>
        <w:bottom w:val="none" w:sz="0" w:space="0" w:color="auto"/>
        <w:right w:val="none" w:sz="0" w:space="0" w:color="auto"/>
      </w:divBdr>
    </w:div>
    <w:div w:id="1241788255">
      <w:bodyDiv w:val="1"/>
      <w:marLeft w:val="0"/>
      <w:marRight w:val="0"/>
      <w:marTop w:val="0"/>
      <w:marBottom w:val="0"/>
      <w:divBdr>
        <w:top w:val="none" w:sz="0" w:space="0" w:color="auto"/>
        <w:left w:val="none" w:sz="0" w:space="0" w:color="auto"/>
        <w:bottom w:val="none" w:sz="0" w:space="0" w:color="auto"/>
        <w:right w:val="none" w:sz="0" w:space="0" w:color="auto"/>
      </w:divBdr>
    </w:div>
    <w:div w:id="1562714576">
      <w:bodyDiv w:val="1"/>
      <w:marLeft w:val="0"/>
      <w:marRight w:val="0"/>
      <w:marTop w:val="0"/>
      <w:marBottom w:val="0"/>
      <w:divBdr>
        <w:top w:val="none" w:sz="0" w:space="0" w:color="auto"/>
        <w:left w:val="none" w:sz="0" w:space="0" w:color="auto"/>
        <w:bottom w:val="none" w:sz="0" w:space="0" w:color="auto"/>
        <w:right w:val="none" w:sz="0" w:space="0" w:color="auto"/>
      </w:divBdr>
      <w:divsChild>
        <w:div w:id="330841121">
          <w:marLeft w:val="150"/>
          <w:marRight w:val="0"/>
          <w:marTop w:val="90"/>
          <w:marBottom w:val="0"/>
          <w:divBdr>
            <w:top w:val="none" w:sz="0" w:space="0" w:color="auto"/>
            <w:left w:val="none" w:sz="0" w:space="0" w:color="auto"/>
            <w:bottom w:val="none" w:sz="0" w:space="0" w:color="auto"/>
            <w:right w:val="none" w:sz="0" w:space="0" w:color="auto"/>
          </w:divBdr>
        </w:div>
        <w:div w:id="1742369145">
          <w:marLeft w:val="0"/>
          <w:marRight w:val="0"/>
          <w:marTop w:val="0"/>
          <w:marBottom w:val="0"/>
          <w:divBdr>
            <w:top w:val="none" w:sz="0" w:space="0" w:color="auto"/>
            <w:left w:val="none" w:sz="0" w:space="0" w:color="auto"/>
            <w:bottom w:val="none" w:sz="0" w:space="0" w:color="auto"/>
            <w:right w:val="none" w:sz="0" w:space="0" w:color="auto"/>
          </w:divBdr>
        </w:div>
      </w:divsChild>
    </w:div>
    <w:div w:id="19895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footer" Target="footer4.xml"/><Relationship Id="rId26" Type="http://schemas.openxmlformats.org/officeDocument/2006/relationships/footer" Target="footer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5.xml"/><Relationship Id="rId33" Type="http://schemas.openxmlformats.org/officeDocument/2006/relationships/footer" Target="footer8.xml"/><Relationship Id="rId38"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header" Target="header8.xml"/><Relationship Id="rId37" Type="http://schemas.openxmlformats.org/officeDocument/2006/relationships/footer" Target="footer1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image" Target="media/image2.png"/><Relationship Id="rId19" Type="http://schemas.openxmlformats.org/officeDocument/2006/relationships/image" Target="media/image3.png"/><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image" Target="media/image6.png"/><Relationship Id="rId27" Type="http://schemas.openxmlformats.org/officeDocument/2006/relationships/image" Target="media/image8.png"/><Relationship Id="rId30" Type="http://schemas.openxmlformats.org/officeDocument/2006/relationships/header" Target="header7.xml"/><Relationship Id="rId35"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39498225939067"/>
          <c:y val="5.5791123124534804E-2"/>
          <c:w val="0.83391271175769066"/>
          <c:h val="0.80126062600383918"/>
        </c:manualLayout>
      </c:layout>
      <c:barChart>
        <c:barDir val="col"/>
        <c:grouping val="clustered"/>
        <c:varyColors val="0"/>
        <c:ser>
          <c:idx val="0"/>
          <c:order val="0"/>
          <c:tx>
            <c:strRef>
              <c:f>Hoja1!$B$1</c:f>
              <c:strCache>
                <c:ptCount val="1"/>
                <c:pt idx="0">
                  <c:v>Meta </c:v>
                </c:pt>
              </c:strCache>
            </c:strRef>
          </c:tx>
          <c:spPr>
            <a:solidFill>
              <a:schemeClr val="accent1"/>
            </a:solidFill>
            <a:ln w="19050">
              <a:noFill/>
            </a:ln>
            <a:effectLst/>
          </c:spPr>
          <c:invertIfNegative val="0"/>
          <c:dLbls>
            <c:dLbl>
              <c:idx val="0"/>
              <c:layout>
                <c:manualLayout>
                  <c:x val="-2.155823324029726E-17"/>
                  <c:y val="0.15406482235697549"/>
                </c:manualLayout>
              </c:layout>
              <c:numFmt formatCode="#,##0.0" sourceLinked="0"/>
              <c:spPr>
                <a:noFill/>
                <a:ln>
                  <a:noFill/>
                </a:ln>
                <a:effectLst/>
              </c:spPr>
              <c:txPr>
                <a:bodyPr rot="-5400000" spcFirstLastPara="1" vertOverflow="ellipsis" wrap="square" lIns="38100" tIns="19050" rIns="38100" bIns="19050" anchor="ctr" anchorCtr="1">
                  <a:spAutoFit/>
                </a:bodyPr>
                <a:lstStyle/>
                <a:p>
                  <a:pPr>
                    <a:defRPr sz="8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GT"/>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6B4-4111-834D-FA870A7C8B81}"/>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GT"/>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Hoja1!$A$2:$A$7</c:f>
              <c:strCache>
                <c:ptCount val="6"/>
                <c:pt idx="0">
                  <c:v>Ene</c:v>
                </c:pt>
                <c:pt idx="1">
                  <c:v>Feb</c:v>
                </c:pt>
                <c:pt idx="2">
                  <c:v>Mar</c:v>
                </c:pt>
                <c:pt idx="3">
                  <c:v>Abr</c:v>
                </c:pt>
                <c:pt idx="4">
                  <c:v>Mayo</c:v>
                </c:pt>
                <c:pt idx="5">
                  <c:v>Junio</c:v>
                </c:pt>
              </c:strCache>
            </c:strRef>
          </c:cat>
          <c:val>
            <c:numRef>
              <c:f>Hoja1!$B$2:$B$7</c:f>
              <c:numCache>
                <c:formatCode>General</c:formatCode>
                <c:ptCount val="6"/>
                <c:pt idx="0">
                  <c:v>5627.4079276378061</c:v>
                </c:pt>
                <c:pt idx="1">
                  <c:v>9420.3649598502616</c:v>
                </c:pt>
                <c:pt idx="2">
                  <c:v>14443.607339051541</c:v>
                </c:pt>
                <c:pt idx="3" formatCode="#,##0.0">
                  <c:v>20153.724834818382</c:v>
                </c:pt>
                <c:pt idx="4">
                  <c:v>24224.79805819508</c:v>
                </c:pt>
                <c:pt idx="5">
                  <c:v>28418.3</c:v>
                </c:pt>
              </c:numCache>
            </c:numRef>
          </c:val>
          <c:extLst>
            <c:ext xmlns:c16="http://schemas.microsoft.com/office/drawing/2014/chart" uri="{C3380CC4-5D6E-409C-BE32-E72D297353CC}">
              <c16:uniqueId val="{00000000-7D77-45B9-B875-2A4D6B3024AF}"/>
            </c:ext>
          </c:extLst>
        </c:ser>
        <c:ser>
          <c:idx val="1"/>
          <c:order val="1"/>
          <c:tx>
            <c:strRef>
              <c:f>Hoja1!$C$1</c:f>
              <c:strCache>
                <c:ptCount val="1"/>
                <c:pt idx="0">
                  <c:v>Obs</c:v>
                </c:pt>
              </c:strCache>
            </c:strRef>
          </c:tx>
          <c:spPr>
            <a:solidFill>
              <a:srgbClr val="C00000"/>
            </a:solidFill>
            <a:ln w="19050">
              <a:noFill/>
            </a:ln>
            <a:effectLst/>
          </c:spPr>
          <c:invertIfNegative val="0"/>
          <c:dLbls>
            <c:dLbl>
              <c:idx val="0"/>
              <c:layout>
                <c:manualLayout>
                  <c:x val="-4.7036688617121784E-3"/>
                  <c:y val="0.15696583904023492"/>
                </c:manualLayout>
              </c:layout>
              <c:numFmt formatCode="#,##0.0" sourceLinked="0"/>
              <c:spPr>
                <a:noFill/>
                <a:ln>
                  <a:noFill/>
                </a:ln>
                <a:effectLst/>
              </c:spPr>
              <c:txPr>
                <a:bodyPr rot="-5400000" spcFirstLastPara="1" vertOverflow="ellipsis" wrap="square" lIns="38100" tIns="19050" rIns="38100" bIns="19050" anchor="ctr" anchorCtr="1">
                  <a:spAutoFit/>
                </a:bodyPr>
                <a:lstStyle/>
                <a:p>
                  <a:pPr>
                    <a:defRPr sz="8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GT"/>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6B4-4111-834D-FA870A7C8B81}"/>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G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Hoja1!$A$2:$A$7</c:f>
              <c:strCache>
                <c:ptCount val="6"/>
                <c:pt idx="0">
                  <c:v>Ene</c:v>
                </c:pt>
                <c:pt idx="1">
                  <c:v>Feb</c:v>
                </c:pt>
                <c:pt idx="2">
                  <c:v>Mar</c:v>
                </c:pt>
                <c:pt idx="3">
                  <c:v>Abr</c:v>
                </c:pt>
                <c:pt idx="4">
                  <c:v>Mayo</c:v>
                </c:pt>
                <c:pt idx="5">
                  <c:v>Junio</c:v>
                </c:pt>
              </c:strCache>
            </c:strRef>
          </c:cat>
          <c:val>
            <c:numRef>
              <c:f>Hoja1!$C$2:$C$7</c:f>
              <c:numCache>
                <c:formatCode>General</c:formatCode>
                <c:ptCount val="6"/>
                <c:pt idx="0">
                  <c:v>5745.0720704000005</c:v>
                </c:pt>
                <c:pt idx="1">
                  <c:v>9531.9678450500014</c:v>
                </c:pt>
                <c:pt idx="2">
                  <c:v>14323.354197380002</c:v>
                </c:pt>
                <c:pt idx="3" formatCode="#,##0.0">
                  <c:v>20384.614494810005</c:v>
                </c:pt>
                <c:pt idx="4">
                  <c:v>24684.786471670002</c:v>
                </c:pt>
                <c:pt idx="5">
                  <c:v>28909.8</c:v>
                </c:pt>
              </c:numCache>
            </c:numRef>
          </c:val>
          <c:extLst>
            <c:ext xmlns:c16="http://schemas.microsoft.com/office/drawing/2014/chart" uri="{C3380CC4-5D6E-409C-BE32-E72D297353CC}">
              <c16:uniqueId val="{00000001-7D77-45B9-B875-2A4D6B3024AF}"/>
            </c:ext>
          </c:extLst>
        </c:ser>
        <c:dLbls>
          <c:showLegendKey val="0"/>
          <c:showVal val="0"/>
          <c:showCatName val="0"/>
          <c:showSerName val="0"/>
          <c:showPercent val="0"/>
          <c:showBubbleSize val="0"/>
        </c:dLbls>
        <c:gapWidth val="40"/>
        <c:overlap val="-13"/>
        <c:axId val="332721440"/>
        <c:axId val="332722616"/>
      </c:barChart>
      <c:catAx>
        <c:axId val="332721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332722616"/>
        <c:crosses val="autoZero"/>
        <c:auto val="1"/>
        <c:lblAlgn val="ctr"/>
        <c:lblOffset val="100"/>
        <c:noMultiLvlLbl val="0"/>
      </c:catAx>
      <c:valAx>
        <c:axId val="332722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332721440"/>
        <c:crosses val="autoZero"/>
        <c:crossBetween val="between"/>
        <c:majorUnit val="2500"/>
      </c:valAx>
      <c:spPr>
        <a:noFill/>
        <a:ln>
          <a:noFill/>
        </a:ln>
        <a:effectLst/>
      </c:spPr>
    </c:plotArea>
    <c:legend>
      <c:legendPos val="b"/>
      <c:layout>
        <c:manualLayout>
          <c:xMode val="edge"/>
          <c:yMode val="edge"/>
          <c:x val="0.29094969666891357"/>
          <c:y val="0.92076468053433624"/>
          <c:w val="0.31426433878267568"/>
          <c:h val="7.8932111098053037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39498225939067"/>
          <c:y val="2.5242165242165243E-2"/>
          <c:w val="0.83391271175769066"/>
          <c:h val="0.8983188639881553"/>
        </c:manualLayout>
      </c:layout>
      <c:barChart>
        <c:barDir val="col"/>
        <c:grouping val="clustered"/>
        <c:varyColors val="0"/>
        <c:ser>
          <c:idx val="0"/>
          <c:order val="0"/>
          <c:tx>
            <c:strRef>
              <c:f>Hoja1!$B$1</c:f>
              <c:strCache>
                <c:ptCount val="1"/>
                <c:pt idx="0">
                  <c:v>Aduanas</c:v>
                </c:pt>
              </c:strCache>
            </c:strRef>
          </c:tx>
          <c:spPr>
            <a:solidFill>
              <a:schemeClr val="accent1"/>
            </a:solidFill>
            <a:ln w="19050">
              <a:noFill/>
            </a:ln>
            <a:effectLst/>
          </c:spPr>
          <c:invertIfNegative val="0"/>
          <c:dPt>
            <c:idx val="0"/>
            <c:invertIfNegative val="0"/>
            <c:bubble3D val="0"/>
            <c:spPr>
              <a:solidFill>
                <a:schemeClr val="accent5">
                  <a:lumMod val="20000"/>
                  <a:lumOff val="80000"/>
                </a:schemeClr>
              </a:solidFill>
              <a:ln w="19050">
                <a:noFill/>
              </a:ln>
              <a:effectLst/>
            </c:spPr>
            <c:extLst>
              <c:ext xmlns:c16="http://schemas.microsoft.com/office/drawing/2014/chart" uri="{C3380CC4-5D6E-409C-BE32-E72D297353CC}">
                <c16:uniqueId val="{00000001-898E-4800-BC5F-F6265E882CC7}"/>
              </c:ext>
            </c:extLst>
          </c:dPt>
          <c:dPt>
            <c:idx val="1"/>
            <c:invertIfNegative val="0"/>
            <c:bubble3D val="0"/>
            <c:spPr>
              <a:solidFill>
                <a:schemeClr val="accent5">
                  <a:lumMod val="20000"/>
                  <a:lumOff val="80000"/>
                </a:schemeClr>
              </a:solidFill>
              <a:ln w="19050">
                <a:noFill/>
              </a:ln>
              <a:effectLst/>
            </c:spPr>
            <c:extLst>
              <c:ext xmlns:c16="http://schemas.microsoft.com/office/drawing/2014/chart" uri="{C3380CC4-5D6E-409C-BE32-E72D297353CC}">
                <c16:uniqueId val="{00000003-898E-4800-BC5F-F6265E882CC7}"/>
              </c:ext>
            </c:extLst>
          </c:dPt>
          <c:dPt>
            <c:idx val="3"/>
            <c:invertIfNegative val="0"/>
            <c:bubble3D val="0"/>
            <c:spPr>
              <a:solidFill>
                <a:srgbClr val="00B050"/>
              </a:solidFill>
              <a:ln w="19050">
                <a:noFill/>
              </a:ln>
              <a:effectLst/>
            </c:spPr>
            <c:extLst>
              <c:ext xmlns:c16="http://schemas.microsoft.com/office/drawing/2014/chart" uri="{C3380CC4-5D6E-409C-BE32-E72D297353CC}">
                <c16:uniqueId val="{00000005-898E-4800-BC5F-F6265E882CC7}"/>
              </c:ext>
            </c:extLst>
          </c:dPt>
          <c:dPt>
            <c:idx val="4"/>
            <c:invertIfNegative val="0"/>
            <c:bubble3D val="0"/>
            <c:spPr>
              <a:solidFill>
                <a:srgbClr val="FF0000"/>
              </a:solidFill>
              <a:ln w="19050">
                <a:noFill/>
              </a:ln>
              <a:effectLst/>
            </c:spPr>
            <c:extLst>
              <c:ext xmlns:c16="http://schemas.microsoft.com/office/drawing/2014/chart" uri="{C3380CC4-5D6E-409C-BE32-E72D297353CC}">
                <c16:uniqueId val="{00000007-898E-4800-BC5F-F6265E882CC7}"/>
              </c:ext>
            </c:extLst>
          </c:dPt>
          <c:dLbls>
            <c:dLbl>
              <c:idx val="0"/>
              <c:numFmt formatCode="#,##0.0" sourceLinked="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dLblPos val="inBase"/>
              <c:showLegendKey val="0"/>
              <c:showVal val="1"/>
              <c:showCatName val="0"/>
              <c:showSerName val="0"/>
              <c:showPercent val="0"/>
              <c:showBubbleSize val="0"/>
              <c:extLst>
                <c:ext xmlns:c16="http://schemas.microsoft.com/office/drawing/2014/chart" uri="{C3380CC4-5D6E-409C-BE32-E72D297353CC}">
                  <c16:uniqueId val="{00000001-898E-4800-BC5F-F6265E882CC7}"/>
                </c:ext>
              </c:extLst>
            </c:dLbl>
            <c:dLbl>
              <c:idx val="1"/>
              <c:numFmt formatCode="#,##0.0" sourceLinked="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dLblPos val="inBase"/>
              <c:showLegendKey val="0"/>
              <c:showVal val="1"/>
              <c:showCatName val="0"/>
              <c:showSerName val="0"/>
              <c:showPercent val="0"/>
              <c:showBubbleSize val="0"/>
              <c:extLst>
                <c:ext xmlns:c16="http://schemas.microsoft.com/office/drawing/2014/chart" uri="{C3380CC4-5D6E-409C-BE32-E72D297353CC}">
                  <c16:uniqueId val="{00000003-898E-4800-BC5F-F6265E882CC7}"/>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GT"/>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Hoja1!$A$2:$A$6</c:f>
              <c:strCache>
                <c:ptCount val="5"/>
                <c:pt idx="0">
                  <c:v>2016</c:v>
                </c:pt>
                <c:pt idx="1">
                  <c:v>2017</c:v>
                </c:pt>
                <c:pt idx="2">
                  <c:v>2018</c:v>
                </c:pt>
                <c:pt idx="3">
                  <c:v>Pres</c:v>
                </c:pt>
                <c:pt idx="4">
                  <c:v>Cierre SAT</c:v>
                </c:pt>
              </c:strCache>
            </c:strRef>
          </c:cat>
          <c:val>
            <c:numRef>
              <c:f>Hoja1!$B$2:$B$6</c:f>
              <c:numCache>
                <c:formatCode>General</c:formatCode>
                <c:ptCount val="5"/>
                <c:pt idx="0">
                  <c:v>7042.7</c:v>
                </c:pt>
                <c:pt idx="1">
                  <c:v>7321.8</c:v>
                </c:pt>
                <c:pt idx="2">
                  <c:v>7986.5</c:v>
                </c:pt>
                <c:pt idx="3">
                  <c:v>7802.7</c:v>
                </c:pt>
                <c:pt idx="4">
                  <c:v>8182.4</c:v>
                </c:pt>
              </c:numCache>
            </c:numRef>
          </c:val>
          <c:extLst>
            <c:ext xmlns:c16="http://schemas.microsoft.com/office/drawing/2014/chart" uri="{C3380CC4-5D6E-409C-BE32-E72D297353CC}">
              <c16:uniqueId val="{00000008-898E-4800-BC5F-F6265E882CC7}"/>
            </c:ext>
          </c:extLst>
        </c:ser>
        <c:dLbls>
          <c:showLegendKey val="0"/>
          <c:showVal val="0"/>
          <c:showCatName val="0"/>
          <c:showSerName val="0"/>
          <c:showPercent val="0"/>
          <c:showBubbleSize val="0"/>
        </c:dLbls>
        <c:gapWidth val="40"/>
        <c:overlap val="-13"/>
        <c:axId val="332728888"/>
        <c:axId val="332729280"/>
      </c:barChart>
      <c:catAx>
        <c:axId val="332728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332729280"/>
        <c:crosses val="autoZero"/>
        <c:auto val="1"/>
        <c:lblAlgn val="ctr"/>
        <c:lblOffset val="100"/>
        <c:noMultiLvlLbl val="0"/>
      </c:catAx>
      <c:valAx>
        <c:axId val="332729280"/>
        <c:scaling>
          <c:orientation val="minMax"/>
          <c:min val="3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3327288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A7610-ED2D-4584-8957-9DAB1FE8D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2182</Words>
  <Characters>12003</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Enrique De León Meneses</dc:creator>
  <cp:lastModifiedBy>Saul Enrique De León Meneses</cp:lastModifiedBy>
  <cp:revision>14</cp:revision>
  <dcterms:created xsi:type="dcterms:W3CDTF">2018-08-03T14:37:00Z</dcterms:created>
  <dcterms:modified xsi:type="dcterms:W3CDTF">2018-08-03T15:29:00Z</dcterms:modified>
</cp:coreProperties>
</file>