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198F" w:rsidRPr="00124AD6" w:rsidRDefault="009B198F" w:rsidP="009B198F">
      <w:pPr>
        <w:rPr>
          <w:b/>
        </w:rPr>
      </w:pPr>
    </w:p>
    <w:p w:rsidR="008B5887" w:rsidRPr="00124AD6" w:rsidRDefault="008B5887" w:rsidP="009B198F">
      <w:pPr>
        <w:jc w:val="center"/>
        <w:rPr>
          <w:b/>
        </w:rPr>
      </w:pPr>
    </w:p>
    <w:p w:rsidR="008B5887" w:rsidRPr="00124AD6" w:rsidRDefault="008B5887" w:rsidP="009B198F">
      <w:pPr>
        <w:jc w:val="center"/>
        <w:rPr>
          <w:b/>
        </w:rPr>
      </w:pPr>
    </w:p>
    <w:p w:rsidR="00840F09" w:rsidRPr="00124AD6" w:rsidRDefault="00840F09" w:rsidP="009B198F">
      <w:pPr>
        <w:jc w:val="center"/>
        <w:rPr>
          <w:b/>
        </w:rPr>
      </w:pPr>
    </w:p>
    <w:p w:rsidR="005A7D3A" w:rsidRPr="00124AD6" w:rsidRDefault="005A7D3A" w:rsidP="009B198F">
      <w:pPr>
        <w:jc w:val="center"/>
        <w:rPr>
          <w:b/>
        </w:rPr>
      </w:pPr>
    </w:p>
    <w:p w:rsidR="005A7D3A" w:rsidRPr="00124AD6" w:rsidRDefault="005A7D3A" w:rsidP="009B198F">
      <w:pPr>
        <w:jc w:val="center"/>
        <w:rPr>
          <w:b/>
        </w:rPr>
      </w:pPr>
    </w:p>
    <w:p w:rsidR="005A7D3A" w:rsidRPr="00124AD6" w:rsidRDefault="005A7D3A" w:rsidP="009B198F">
      <w:pPr>
        <w:jc w:val="center"/>
        <w:rPr>
          <w:b/>
        </w:rPr>
      </w:pPr>
    </w:p>
    <w:p w:rsidR="000B2527" w:rsidRPr="00124AD6" w:rsidRDefault="000B2527" w:rsidP="009B198F">
      <w:pPr>
        <w:jc w:val="center"/>
        <w:rPr>
          <w:b/>
        </w:rPr>
      </w:pPr>
    </w:p>
    <w:p w:rsidR="000B2527" w:rsidRPr="00124AD6" w:rsidRDefault="000B2527" w:rsidP="009B198F">
      <w:pPr>
        <w:jc w:val="center"/>
        <w:rPr>
          <w:b/>
        </w:rPr>
      </w:pPr>
    </w:p>
    <w:p w:rsidR="000B2527" w:rsidRPr="00124AD6" w:rsidRDefault="000B2527" w:rsidP="009B198F">
      <w:pPr>
        <w:jc w:val="center"/>
        <w:rPr>
          <w:b/>
        </w:rPr>
      </w:pPr>
    </w:p>
    <w:p w:rsidR="009B198F" w:rsidRPr="00124AD6" w:rsidRDefault="009B198F" w:rsidP="009B198F">
      <w:pPr>
        <w:jc w:val="center"/>
        <w:rPr>
          <w:b/>
        </w:rPr>
      </w:pPr>
    </w:p>
    <w:p w:rsidR="00DE6251" w:rsidRPr="00124AD6" w:rsidRDefault="00DE6251" w:rsidP="009B198F">
      <w:pPr>
        <w:jc w:val="center"/>
        <w:rPr>
          <w:b/>
        </w:rPr>
      </w:pPr>
    </w:p>
    <w:p w:rsidR="000F4303" w:rsidRPr="00124AD6" w:rsidRDefault="000F4303" w:rsidP="009B198F">
      <w:pPr>
        <w:jc w:val="center"/>
        <w:rPr>
          <w:b/>
        </w:rPr>
      </w:pPr>
    </w:p>
    <w:p w:rsidR="000F4303" w:rsidRPr="00124AD6" w:rsidRDefault="000F4303" w:rsidP="009B198F">
      <w:pPr>
        <w:jc w:val="center"/>
        <w:rPr>
          <w:b/>
        </w:rPr>
      </w:pPr>
    </w:p>
    <w:p w:rsidR="00DE6251" w:rsidRDefault="00DE6251" w:rsidP="009B198F">
      <w:pPr>
        <w:jc w:val="center"/>
        <w:rPr>
          <w:b/>
        </w:rPr>
      </w:pPr>
    </w:p>
    <w:p w:rsidR="00A816E4" w:rsidRPr="00124AD6" w:rsidRDefault="00A816E4" w:rsidP="009B198F">
      <w:pPr>
        <w:jc w:val="center"/>
        <w:rPr>
          <w:b/>
        </w:rPr>
      </w:pPr>
    </w:p>
    <w:p w:rsidR="00DE6251" w:rsidRPr="00124AD6" w:rsidRDefault="00DE6251" w:rsidP="009B198F">
      <w:pPr>
        <w:jc w:val="center"/>
        <w:rPr>
          <w:b/>
        </w:rPr>
      </w:pPr>
    </w:p>
    <w:p w:rsidR="009F4BF5" w:rsidRPr="00124AD6" w:rsidRDefault="009F4BF5" w:rsidP="009B198F">
      <w:pPr>
        <w:jc w:val="center"/>
        <w:rPr>
          <w:b/>
        </w:rPr>
      </w:pPr>
    </w:p>
    <w:p w:rsidR="009B198F" w:rsidRPr="00124AD6" w:rsidRDefault="009B198F" w:rsidP="009B198F">
      <w:pPr>
        <w:jc w:val="center"/>
        <w:rPr>
          <w:b/>
        </w:rPr>
      </w:pPr>
    </w:p>
    <w:p w:rsidR="000912DD" w:rsidRDefault="000912DD" w:rsidP="000912DD">
      <w:pPr>
        <w:jc w:val="center"/>
        <w:rPr>
          <w:b/>
          <w:sz w:val="36"/>
        </w:rPr>
      </w:pPr>
      <w:r>
        <w:rPr>
          <w:b/>
          <w:sz w:val="36"/>
        </w:rPr>
        <w:t>ÍNDICE DE PRESUPUESTO ABIERTO</w:t>
      </w:r>
    </w:p>
    <w:p w:rsidR="00612210" w:rsidRPr="004C0853" w:rsidRDefault="000912DD" w:rsidP="000912DD">
      <w:pPr>
        <w:jc w:val="center"/>
        <w:rPr>
          <w:b/>
          <w:sz w:val="36"/>
        </w:rPr>
      </w:pPr>
      <w:r>
        <w:rPr>
          <w:b/>
          <w:sz w:val="36"/>
        </w:rPr>
        <w:t>INFORME</w:t>
      </w:r>
      <w:r w:rsidR="0097754B">
        <w:rPr>
          <w:b/>
          <w:sz w:val="36"/>
        </w:rPr>
        <w:t xml:space="preserve"> </w:t>
      </w:r>
      <w:r>
        <w:rPr>
          <w:b/>
          <w:sz w:val="36"/>
        </w:rPr>
        <w:t>DE FIN DE AÑO</w:t>
      </w:r>
    </w:p>
    <w:p w:rsidR="009C0920" w:rsidRPr="004C0853" w:rsidRDefault="002E3253" w:rsidP="009C0920">
      <w:pPr>
        <w:jc w:val="center"/>
        <w:rPr>
          <w:b/>
          <w:sz w:val="36"/>
        </w:rPr>
      </w:pPr>
      <w:r w:rsidRPr="004C0853">
        <w:rPr>
          <w:b/>
          <w:sz w:val="36"/>
        </w:rPr>
        <w:t>REPÚ</w:t>
      </w:r>
      <w:r w:rsidR="009C0920" w:rsidRPr="004C0853">
        <w:rPr>
          <w:b/>
          <w:sz w:val="36"/>
        </w:rPr>
        <w:t>BLICA DE GUATEMALA</w:t>
      </w:r>
    </w:p>
    <w:p w:rsidR="009B198F" w:rsidRPr="004C0853" w:rsidRDefault="00D92F84" w:rsidP="009B198F">
      <w:pPr>
        <w:jc w:val="center"/>
        <w:rPr>
          <w:b/>
          <w:sz w:val="36"/>
        </w:rPr>
      </w:pPr>
      <w:r w:rsidRPr="004C0853">
        <w:rPr>
          <w:b/>
          <w:sz w:val="36"/>
        </w:rPr>
        <w:t>AL 31 DE DICIEMBRE DE 20</w:t>
      </w:r>
      <w:r w:rsidR="00144479">
        <w:rPr>
          <w:b/>
          <w:sz w:val="36"/>
        </w:rPr>
        <w:t>20</w:t>
      </w:r>
    </w:p>
    <w:p w:rsidR="009B198F" w:rsidRPr="00124AD6" w:rsidRDefault="009B198F" w:rsidP="008B2C6D">
      <w:pPr>
        <w:tabs>
          <w:tab w:val="left" w:pos="142"/>
        </w:tabs>
        <w:jc w:val="center"/>
        <w:rPr>
          <w:b/>
        </w:rPr>
      </w:pPr>
    </w:p>
    <w:p w:rsidR="009B198F" w:rsidRPr="00124AD6" w:rsidRDefault="009B198F" w:rsidP="009B198F">
      <w:pPr>
        <w:jc w:val="center"/>
        <w:rPr>
          <w:b/>
        </w:rPr>
      </w:pPr>
    </w:p>
    <w:p w:rsidR="009B198F" w:rsidRPr="00124AD6" w:rsidRDefault="009B198F" w:rsidP="009B198F">
      <w:pPr>
        <w:jc w:val="center"/>
        <w:rPr>
          <w:b/>
        </w:rPr>
      </w:pPr>
    </w:p>
    <w:p w:rsidR="008C03DC" w:rsidRPr="00124AD6" w:rsidRDefault="008C03DC" w:rsidP="009B198F">
      <w:pPr>
        <w:jc w:val="center"/>
        <w:rPr>
          <w:b/>
        </w:rPr>
      </w:pPr>
    </w:p>
    <w:p w:rsidR="009B198F" w:rsidRPr="00124AD6" w:rsidRDefault="009B198F" w:rsidP="009B198F">
      <w:pPr>
        <w:jc w:val="center"/>
        <w:rPr>
          <w:b/>
        </w:rPr>
      </w:pPr>
    </w:p>
    <w:p w:rsidR="009B198F" w:rsidRDefault="009B198F" w:rsidP="009B198F">
      <w:pPr>
        <w:jc w:val="center"/>
        <w:rPr>
          <w:b/>
        </w:rPr>
      </w:pPr>
    </w:p>
    <w:p w:rsidR="00C6402E" w:rsidRDefault="00C6402E" w:rsidP="009B198F">
      <w:pPr>
        <w:jc w:val="center"/>
        <w:rPr>
          <w:b/>
        </w:rPr>
      </w:pPr>
    </w:p>
    <w:p w:rsidR="00C6402E" w:rsidRDefault="00C6402E" w:rsidP="009B198F">
      <w:pPr>
        <w:jc w:val="center"/>
        <w:rPr>
          <w:b/>
        </w:rPr>
      </w:pPr>
    </w:p>
    <w:p w:rsidR="00C6402E" w:rsidRDefault="00C6402E" w:rsidP="009B198F">
      <w:pPr>
        <w:jc w:val="center"/>
        <w:rPr>
          <w:b/>
        </w:rPr>
      </w:pPr>
    </w:p>
    <w:p w:rsidR="00C6402E" w:rsidRPr="00124AD6" w:rsidRDefault="00C6402E" w:rsidP="009B198F">
      <w:pPr>
        <w:jc w:val="center"/>
        <w:rPr>
          <w:b/>
        </w:rPr>
      </w:pPr>
    </w:p>
    <w:p w:rsidR="009B198F" w:rsidRPr="00124AD6" w:rsidRDefault="009B198F" w:rsidP="009B198F">
      <w:pPr>
        <w:jc w:val="center"/>
        <w:rPr>
          <w:b/>
        </w:rPr>
      </w:pPr>
    </w:p>
    <w:p w:rsidR="009B198F" w:rsidRPr="00124AD6" w:rsidRDefault="009B198F" w:rsidP="009B198F">
      <w:pPr>
        <w:jc w:val="center"/>
        <w:rPr>
          <w:b/>
        </w:rPr>
      </w:pPr>
    </w:p>
    <w:p w:rsidR="009B198F" w:rsidRPr="00124AD6" w:rsidRDefault="009B198F" w:rsidP="009B198F">
      <w:pPr>
        <w:rPr>
          <w:b/>
        </w:rPr>
      </w:pPr>
    </w:p>
    <w:p w:rsidR="009B198F" w:rsidRPr="00124AD6" w:rsidRDefault="009B198F" w:rsidP="009B198F">
      <w:pPr>
        <w:jc w:val="center"/>
        <w:rPr>
          <w:b/>
        </w:rPr>
      </w:pPr>
    </w:p>
    <w:p w:rsidR="009B198F" w:rsidRPr="00124AD6" w:rsidRDefault="009B198F" w:rsidP="009B198F">
      <w:pPr>
        <w:rPr>
          <w:b/>
        </w:rPr>
      </w:pPr>
    </w:p>
    <w:p w:rsidR="009B198F" w:rsidRPr="00124AD6" w:rsidRDefault="009B198F" w:rsidP="009B198F">
      <w:pPr>
        <w:rPr>
          <w:b/>
        </w:rPr>
      </w:pPr>
    </w:p>
    <w:p w:rsidR="009C0920" w:rsidRPr="00124AD6" w:rsidRDefault="009C0920" w:rsidP="009C0920">
      <w:pPr>
        <w:jc w:val="center"/>
        <w:rPr>
          <w:b/>
        </w:rPr>
      </w:pPr>
      <w:r w:rsidRPr="00124AD6">
        <w:rPr>
          <w:b/>
        </w:rPr>
        <w:t>MINISTERIO DE FINANZAS PÚBLICAS</w:t>
      </w:r>
    </w:p>
    <w:p w:rsidR="009C0920" w:rsidRPr="00124AD6" w:rsidRDefault="009C0920" w:rsidP="009C0920">
      <w:pPr>
        <w:jc w:val="center"/>
        <w:rPr>
          <w:b/>
        </w:rPr>
      </w:pPr>
    </w:p>
    <w:p w:rsidR="008B5887" w:rsidRPr="00124AD6" w:rsidRDefault="008B5887" w:rsidP="008B5887">
      <w:pPr>
        <w:jc w:val="center"/>
        <w:rPr>
          <w:b/>
        </w:rPr>
      </w:pPr>
      <w:r w:rsidRPr="00124AD6">
        <w:rPr>
          <w:b/>
        </w:rPr>
        <w:t>Guatemala,</w:t>
      </w:r>
      <w:r w:rsidR="00680151" w:rsidRPr="00124AD6">
        <w:rPr>
          <w:b/>
        </w:rPr>
        <w:t xml:space="preserve"> </w:t>
      </w:r>
      <w:r w:rsidR="00C61CA7">
        <w:rPr>
          <w:b/>
        </w:rPr>
        <w:t>marzo</w:t>
      </w:r>
      <w:r w:rsidR="00473543">
        <w:rPr>
          <w:b/>
        </w:rPr>
        <w:t xml:space="preserve"> de 202</w:t>
      </w:r>
      <w:r w:rsidR="00144479">
        <w:rPr>
          <w:b/>
        </w:rPr>
        <w:t>1</w:t>
      </w:r>
      <w:r w:rsidR="00EC58A6">
        <w:rPr>
          <w:b/>
        </w:rPr>
        <w:t>.</w:t>
      </w:r>
    </w:p>
    <w:p w:rsidR="00111E81" w:rsidRPr="00124AD6" w:rsidRDefault="00111E81" w:rsidP="008B5887">
      <w:pPr>
        <w:jc w:val="center"/>
        <w:rPr>
          <w:b/>
        </w:rPr>
      </w:pPr>
    </w:p>
    <w:p w:rsidR="00111E81" w:rsidRDefault="00111E81" w:rsidP="008B5887">
      <w:pPr>
        <w:jc w:val="center"/>
        <w:rPr>
          <w:b/>
        </w:rPr>
      </w:pPr>
    </w:p>
    <w:p w:rsidR="00C6402E" w:rsidRDefault="00C6402E" w:rsidP="008B5887">
      <w:pPr>
        <w:jc w:val="center"/>
        <w:rPr>
          <w:b/>
        </w:rPr>
      </w:pPr>
    </w:p>
    <w:p w:rsidR="00DE6251" w:rsidRPr="00124AD6" w:rsidRDefault="00DE6251" w:rsidP="008B5887">
      <w:pPr>
        <w:jc w:val="center"/>
        <w:rPr>
          <w:b/>
        </w:rPr>
      </w:pPr>
    </w:p>
    <w:p w:rsidR="003F76FF" w:rsidRPr="00FA2B8D" w:rsidRDefault="009B198F" w:rsidP="00D65111">
      <w:pPr>
        <w:tabs>
          <w:tab w:val="left" w:pos="0"/>
          <w:tab w:val="left" w:pos="9214"/>
        </w:tabs>
        <w:autoSpaceDE w:val="0"/>
        <w:autoSpaceDN w:val="0"/>
        <w:adjustRightInd w:val="0"/>
        <w:ind w:firstLine="567"/>
        <w:jc w:val="center"/>
        <w:rPr>
          <w:b/>
        </w:rPr>
      </w:pPr>
      <w:r w:rsidRPr="00FA2B8D">
        <w:rPr>
          <w:b/>
        </w:rPr>
        <w:t>CONTENIDO</w:t>
      </w:r>
    </w:p>
    <w:p w:rsidR="00A816E4" w:rsidRPr="00FA2B8D" w:rsidRDefault="00A816E4" w:rsidP="00D65111">
      <w:pPr>
        <w:tabs>
          <w:tab w:val="left" w:pos="0"/>
          <w:tab w:val="left" w:pos="9214"/>
        </w:tabs>
        <w:autoSpaceDE w:val="0"/>
        <w:autoSpaceDN w:val="0"/>
        <w:adjustRightInd w:val="0"/>
        <w:ind w:firstLine="567"/>
        <w:jc w:val="center"/>
        <w:rPr>
          <w:b/>
        </w:rPr>
      </w:pPr>
    </w:p>
    <w:sdt>
      <w:sdtPr>
        <w:rPr>
          <w:rFonts w:ascii="Times New Roman" w:eastAsia="Times New Roman" w:hAnsi="Times New Roman" w:cs="Times New Roman"/>
          <w:b w:val="0"/>
          <w:bCs w:val="0"/>
          <w:color w:val="auto"/>
          <w:sz w:val="24"/>
          <w:szCs w:val="24"/>
          <w:lang w:val="es-ES" w:eastAsia="es-ES"/>
        </w:rPr>
        <w:id w:val="504640332"/>
        <w:docPartObj>
          <w:docPartGallery w:val="Table of Contents"/>
          <w:docPartUnique/>
        </w:docPartObj>
      </w:sdtPr>
      <w:sdtContent>
        <w:p w:rsidR="009C2D46" w:rsidRPr="00F161D7" w:rsidRDefault="009C2D46" w:rsidP="008753EE">
          <w:pPr>
            <w:pStyle w:val="TtulodeTDC"/>
            <w:jc w:val="right"/>
            <w:rPr>
              <w:rFonts w:ascii="Times New Roman" w:hAnsi="Times New Roman" w:cs="Times New Roman"/>
              <w:b w:val="0"/>
              <w:sz w:val="24"/>
              <w:szCs w:val="24"/>
            </w:rPr>
          </w:pPr>
        </w:p>
        <w:p w:rsidR="008753EE" w:rsidRDefault="00782AE7" w:rsidP="008753EE">
          <w:pPr>
            <w:pStyle w:val="TDC1"/>
            <w:rPr>
              <w:rFonts w:asciiTheme="minorHAnsi" w:eastAsiaTheme="minorEastAsia" w:hAnsiTheme="minorHAnsi" w:cstheme="minorBidi"/>
              <w:noProof/>
              <w:sz w:val="22"/>
              <w:szCs w:val="22"/>
              <w:lang w:val="es-GT" w:eastAsia="es-GT"/>
            </w:rPr>
          </w:pPr>
          <w:r w:rsidRPr="00F161D7">
            <w:fldChar w:fldCharType="begin"/>
          </w:r>
          <w:r w:rsidR="009C2D46" w:rsidRPr="00F161D7">
            <w:instrText xml:space="preserve"> TOC \o "1-3" \h \z \u </w:instrText>
          </w:r>
          <w:r w:rsidRPr="00F161D7">
            <w:fldChar w:fldCharType="separate"/>
          </w:r>
          <w:hyperlink w:anchor="_Toc65826748" w:history="1">
            <w:r w:rsidR="008753EE" w:rsidRPr="00F200F0">
              <w:rPr>
                <w:rStyle w:val="Hipervnculo"/>
                <w:noProof/>
                <w:lang w:val="es-MX"/>
              </w:rPr>
              <w:t>I.</w:t>
            </w:r>
            <w:r w:rsidR="008753EE">
              <w:rPr>
                <w:rFonts w:asciiTheme="minorHAnsi" w:eastAsiaTheme="minorEastAsia" w:hAnsiTheme="minorHAnsi" w:cstheme="minorBidi"/>
                <w:noProof/>
                <w:sz w:val="22"/>
                <w:szCs w:val="22"/>
                <w:lang w:val="es-GT" w:eastAsia="es-GT"/>
              </w:rPr>
              <w:tab/>
            </w:r>
            <w:r w:rsidR="008753EE" w:rsidRPr="00F200F0">
              <w:rPr>
                <w:rStyle w:val="Hipervnculo"/>
                <w:noProof/>
                <w:lang w:val="es-MX"/>
              </w:rPr>
              <w:t>Entorno Macroeconómico Internacional</w:t>
            </w:r>
            <w:r w:rsidR="008753EE">
              <w:rPr>
                <w:noProof/>
                <w:webHidden/>
              </w:rPr>
              <w:tab/>
            </w:r>
            <w:r w:rsidR="008753EE">
              <w:rPr>
                <w:noProof/>
                <w:webHidden/>
              </w:rPr>
              <w:fldChar w:fldCharType="begin"/>
            </w:r>
            <w:r w:rsidR="008753EE">
              <w:rPr>
                <w:noProof/>
                <w:webHidden/>
              </w:rPr>
              <w:instrText xml:space="preserve"> PAGEREF _Toc65826748 \h </w:instrText>
            </w:r>
            <w:r w:rsidR="008753EE">
              <w:rPr>
                <w:noProof/>
                <w:webHidden/>
              </w:rPr>
            </w:r>
            <w:r w:rsidR="008753EE">
              <w:rPr>
                <w:noProof/>
                <w:webHidden/>
              </w:rPr>
              <w:fldChar w:fldCharType="separate"/>
            </w:r>
            <w:r w:rsidR="008753EE">
              <w:rPr>
                <w:noProof/>
                <w:webHidden/>
              </w:rPr>
              <w:t>3</w:t>
            </w:r>
            <w:r w:rsidR="008753EE">
              <w:rPr>
                <w:noProof/>
                <w:webHidden/>
              </w:rPr>
              <w:fldChar w:fldCharType="end"/>
            </w:r>
          </w:hyperlink>
        </w:p>
        <w:p w:rsidR="008753EE" w:rsidRDefault="008753EE" w:rsidP="008753EE">
          <w:pPr>
            <w:pStyle w:val="TDC1"/>
            <w:rPr>
              <w:rFonts w:asciiTheme="minorHAnsi" w:eastAsiaTheme="minorEastAsia" w:hAnsiTheme="minorHAnsi" w:cstheme="minorBidi"/>
              <w:noProof/>
              <w:sz w:val="22"/>
              <w:szCs w:val="22"/>
              <w:lang w:val="es-GT" w:eastAsia="es-GT"/>
            </w:rPr>
          </w:pPr>
          <w:hyperlink w:anchor="_Toc65826749" w:history="1">
            <w:r w:rsidRPr="00F200F0">
              <w:rPr>
                <w:rStyle w:val="Hipervnculo"/>
                <w:noProof/>
                <w:lang w:val="es-MX"/>
              </w:rPr>
              <w:t>II.</w:t>
            </w:r>
            <w:r>
              <w:rPr>
                <w:rFonts w:asciiTheme="minorHAnsi" w:eastAsiaTheme="minorEastAsia" w:hAnsiTheme="minorHAnsi" w:cstheme="minorBidi"/>
                <w:noProof/>
                <w:sz w:val="22"/>
                <w:szCs w:val="22"/>
                <w:lang w:val="es-GT" w:eastAsia="es-GT"/>
              </w:rPr>
              <w:tab/>
            </w:r>
            <w:r w:rsidRPr="00F200F0">
              <w:rPr>
                <w:rStyle w:val="Hipervnculo"/>
                <w:noProof/>
                <w:lang w:val="es-MX"/>
              </w:rPr>
              <w:t>Perspectivas Económicas</w:t>
            </w:r>
            <w:r>
              <w:rPr>
                <w:noProof/>
                <w:webHidden/>
              </w:rPr>
              <w:tab/>
            </w:r>
            <w:r>
              <w:rPr>
                <w:noProof/>
                <w:webHidden/>
              </w:rPr>
              <w:fldChar w:fldCharType="begin"/>
            </w:r>
            <w:r>
              <w:rPr>
                <w:noProof/>
                <w:webHidden/>
              </w:rPr>
              <w:instrText xml:space="preserve"> PAGEREF _Toc65826749 \h </w:instrText>
            </w:r>
            <w:r>
              <w:rPr>
                <w:noProof/>
                <w:webHidden/>
              </w:rPr>
            </w:r>
            <w:r>
              <w:rPr>
                <w:noProof/>
                <w:webHidden/>
              </w:rPr>
              <w:fldChar w:fldCharType="separate"/>
            </w:r>
            <w:r>
              <w:rPr>
                <w:noProof/>
                <w:webHidden/>
              </w:rPr>
              <w:t>4</w:t>
            </w:r>
            <w:r>
              <w:rPr>
                <w:noProof/>
                <w:webHidden/>
              </w:rPr>
              <w:fldChar w:fldCharType="end"/>
            </w:r>
          </w:hyperlink>
        </w:p>
        <w:p w:rsidR="008753EE" w:rsidRDefault="008753EE" w:rsidP="008753EE">
          <w:pPr>
            <w:pStyle w:val="TDC1"/>
            <w:rPr>
              <w:rFonts w:asciiTheme="minorHAnsi" w:eastAsiaTheme="minorEastAsia" w:hAnsiTheme="minorHAnsi" w:cstheme="minorBidi"/>
              <w:noProof/>
              <w:sz w:val="22"/>
              <w:szCs w:val="22"/>
              <w:lang w:val="es-GT" w:eastAsia="es-GT"/>
            </w:rPr>
          </w:pPr>
          <w:hyperlink w:anchor="_Toc65826750" w:history="1">
            <w:r w:rsidRPr="00F200F0">
              <w:rPr>
                <w:rStyle w:val="Hipervnculo"/>
                <w:noProof/>
                <w:lang w:val="es-MX"/>
              </w:rPr>
              <w:t>III.</w:t>
            </w:r>
            <w:r>
              <w:rPr>
                <w:rFonts w:asciiTheme="minorHAnsi" w:eastAsiaTheme="minorEastAsia" w:hAnsiTheme="minorHAnsi" w:cstheme="minorBidi"/>
                <w:noProof/>
                <w:sz w:val="22"/>
                <w:szCs w:val="22"/>
                <w:lang w:val="es-GT" w:eastAsia="es-GT"/>
              </w:rPr>
              <w:tab/>
            </w:r>
            <w:r w:rsidRPr="00F200F0">
              <w:rPr>
                <w:rStyle w:val="Hipervnculo"/>
                <w:noProof/>
                <w:lang w:val="es-MX"/>
              </w:rPr>
              <w:t>Entorno Macroeconómico Nacional</w:t>
            </w:r>
            <w:r>
              <w:rPr>
                <w:noProof/>
                <w:webHidden/>
              </w:rPr>
              <w:tab/>
            </w:r>
            <w:r>
              <w:rPr>
                <w:noProof/>
                <w:webHidden/>
              </w:rPr>
              <w:fldChar w:fldCharType="begin"/>
            </w:r>
            <w:r>
              <w:rPr>
                <w:noProof/>
                <w:webHidden/>
              </w:rPr>
              <w:instrText xml:space="preserve"> PAGEREF _Toc65826750 \h </w:instrText>
            </w:r>
            <w:r>
              <w:rPr>
                <w:noProof/>
                <w:webHidden/>
              </w:rPr>
            </w:r>
            <w:r>
              <w:rPr>
                <w:noProof/>
                <w:webHidden/>
              </w:rPr>
              <w:fldChar w:fldCharType="separate"/>
            </w:r>
            <w:r>
              <w:rPr>
                <w:noProof/>
                <w:webHidden/>
              </w:rPr>
              <w:t>6</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51" w:history="1">
            <w:r w:rsidRPr="00F200F0">
              <w:rPr>
                <w:rStyle w:val="Hipervnculo"/>
                <w:noProof/>
              </w:rPr>
              <w:t>A.</w:t>
            </w:r>
            <w:r>
              <w:rPr>
                <w:rFonts w:asciiTheme="minorHAnsi" w:eastAsiaTheme="minorEastAsia" w:hAnsiTheme="minorHAnsi" w:cstheme="minorBidi"/>
                <w:noProof/>
                <w:sz w:val="22"/>
                <w:szCs w:val="22"/>
                <w:lang w:val="es-GT" w:eastAsia="es-GT"/>
              </w:rPr>
              <w:tab/>
            </w:r>
            <w:r w:rsidRPr="00F200F0">
              <w:rPr>
                <w:rStyle w:val="Hipervnculo"/>
                <w:noProof/>
                <w:shd w:val="clear" w:color="auto" w:fill="FFFFFF"/>
              </w:rPr>
              <w:t>Decisiones de Política Monetaria</w:t>
            </w:r>
            <w:r>
              <w:rPr>
                <w:noProof/>
                <w:webHidden/>
              </w:rPr>
              <w:tab/>
            </w:r>
            <w:r>
              <w:rPr>
                <w:noProof/>
                <w:webHidden/>
              </w:rPr>
              <w:fldChar w:fldCharType="begin"/>
            </w:r>
            <w:r>
              <w:rPr>
                <w:noProof/>
                <w:webHidden/>
              </w:rPr>
              <w:instrText xml:space="preserve"> PAGEREF _Toc65826751 \h </w:instrText>
            </w:r>
            <w:r>
              <w:rPr>
                <w:noProof/>
                <w:webHidden/>
              </w:rPr>
            </w:r>
            <w:r>
              <w:rPr>
                <w:noProof/>
                <w:webHidden/>
              </w:rPr>
              <w:fldChar w:fldCharType="separate"/>
            </w:r>
            <w:r>
              <w:rPr>
                <w:noProof/>
                <w:webHidden/>
              </w:rPr>
              <w:t>11</w:t>
            </w:r>
            <w:r>
              <w:rPr>
                <w:noProof/>
                <w:webHidden/>
              </w:rPr>
              <w:fldChar w:fldCharType="end"/>
            </w:r>
          </w:hyperlink>
        </w:p>
        <w:p w:rsidR="008753EE" w:rsidRDefault="008753EE" w:rsidP="008753EE">
          <w:pPr>
            <w:pStyle w:val="TDC1"/>
            <w:rPr>
              <w:rFonts w:asciiTheme="minorHAnsi" w:eastAsiaTheme="minorEastAsia" w:hAnsiTheme="minorHAnsi" w:cstheme="minorBidi"/>
              <w:noProof/>
              <w:sz w:val="22"/>
              <w:szCs w:val="22"/>
              <w:lang w:val="es-GT" w:eastAsia="es-GT"/>
            </w:rPr>
          </w:pPr>
          <w:hyperlink w:anchor="_Toc65826752" w:history="1">
            <w:r w:rsidRPr="00F200F0">
              <w:rPr>
                <w:rStyle w:val="Hipervnculo"/>
                <w:noProof/>
                <w:lang w:val="es-MX"/>
              </w:rPr>
              <w:t>IV.</w:t>
            </w:r>
            <w:r>
              <w:rPr>
                <w:rFonts w:asciiTheme="minorHAnsi" w:eastAsiaTheme="minorEastAsia" w:hAnsiTheme="minorHAnsi" w:cstheme="minorBidi"/>
                <w:noProof/>
                <w:sz w:val="22"/>
                <w:szCs w:val="22"/>
                <w:lang w:val="es-GT" w:eastAsia="es-GT"/>
              </w:rPr>
              <w:tab/>
            </w:r>
            <w:r w:rsidRPr="00F200F0">
              <w:rPr>
                <w:rStyle w:val="Hipervnculo"/>
                <w:noProof/>
                <w:lang w:val="es-MX"/>
              </w:rPr>
              <w:t>Política Fiscal en Guatemala</w:t>
            </w:r>
            <w:r>
              <w:rPr>
                <w:noProof/>
                <w:webHidden/>
              </w:rPr>
              <w:tab/>
            </w:r>
            <w:r>
              <w:rPr>
                <w:noProof/>
                <w:webHidden/>
              </w:rPr>
              <w:fldChar w:fldCharType="begin"/>
            </w:r>
            <w:r>
              <w:rPr>
                <w:noProof/>
                <w:webHidden/>
              </w:rPr>
              <w:instrText xml:space="preserve"> PAGEREF _Toc65826752 \h </w:instrText>
            </w:r>
            <w:r>
              <w:rPr>
                <w:noProof/>
                <w:webHidden/>
              </w:rPr>
            </w:r>
            <w:r>
              <w:rPr>
                <w:noProof/>
                <w:webHidden/>
              </w:rPr>
              <w:fldChar w:fldCharType="separate"/>
            </w:r>
            <w:r>
              <w:rPr>
                <w:noProof/>
                <w:webHidden/>
              </w:rPr>
              <w:t>14</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53" w:history="1">
            <w:r w:rsidRPr="00F200F0">
              <w:rPr>
                <w:rStyle w:val="Hipervnculo"/>
                <w:noProof/>
              </w:rPr>
              <w:t>A.</w:t>
            </w:r>
            <w:r>
              <w:rPr>
                <w:rFonts w:asciiTheme="minorHAnsi" w:eastAsiaTheme="minorEastAsia" w:hAnsiTheme="minorHAnsi" w:cstheme="minorBidi"/>
                <w:noProof/>
                <w:sz w:val="22"/>
                <w:szCs w:val="22"/>
                <w:lang w:val="es-GT" w:eastAsia="es-GT"/>
              </w:rPr>
              <w:tab/>
            </w:r>
            <w:r w:rsidRPr="00F200F0">
              <w:rPr>
                <w:rStyle w:val="Hipervnculo"/>
                <w:noProof/>
              </w:rPr>
              <w:t>Ingresos Fiscales</w:t>
            </w:r>
            <w:r>
              <w:rPr>
                <w:noProof/>
                <w:webHidden/>
              </w:rPr>
              <w:tab/>
            </w:r>
            <w:r>
              <w:rPr>
                <w:noProof/>
                <w:webHidden/>
              </w:rPr>
              <w:fldChar w:fldCharType="begin"/>
            </w:r>
            <w:r>
              <w:rPr>
                <w:noProof/>
                <w:webHidden/>
              </w:rPr>
              <w:instrText xml:space="preserve"> PAGEREF _Toc65826753 \h </w:instrText>
            </w:r>
            <w:r>
              <w:rPr>
                <w:noProof/>
                <w:webHidden/>
              </w:rPr>
            </w:r>
            <w:r>
              <w:rPr>
                <w:noProof/>
                <w:webHidden/>
              </w:rPr>
              <w:fldChar w:fldCharType="separate"/>
            </w:r>
            <w:r>
              <w:rPr>
                <w:noProof/>
                <w:webHidden/>
              </w:rPr>
              <w:t>19</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54" w:history="1">
            <w:r w:rsidRPr="00F200F0">
              <w:rPr>
                <w:rStyle w:val="Hipervnculo"/>
                <w:noProof/>
              </w:rPr>
              <w:t>B.</w:t>
            </w:r>
            <w:r>
              <w:rPr>
                <w:rFonts w:asciiTheme="minorHAnsi" w:eastAsiaTheme="minorEastAsia" w:hAnsiTheme="minorHAnsi" w:cstheme="minorBidi"/>
                <w:noProof/>
                <w:sz w:val="22"/>
                <w:szCs w:val="22"/>
                <w:lang w:val="es-GT" w:eastAsia="es-GT"/>
              </w:rPr>
              <w:tab/>
            </w:r>
            <w:r w:rsidRPr="00F200F0">
              <w:rPr>
                <w:rStyle w:val="Hipervnculo"/>
                <w:noProof/>
              </w:rPr>
              <w:t>Deuda Pública</w:t>
            </w:r>
            <w:r>
              <w:rPr>
                <w:noProof/>
                <w:webHidden/>
              </w:rPr>
              <w:tab/>
            </w:r>
            <w:r>
              <w:rPr>
                <w:noProof/>
                <w:webHidden/>
              </w:rPr>
              <w:fldChar w:fldCharType="begin"/>
            </w:r>
            <w:r>
              <w:rPr>
                <w:noProof/>
                <w:webHidden/>
              </w:rPr>
              <w:instrText xml:space="preserve"> PAGEREF _Toc65826754 \h </w:instrText>
            </w:r>
            <w:r>
              <w:rPr>
                <w:noProof/>
                <w:webHidden/>
              </w:rPr>
            </w:r>
            <w:r>
              <w:rPr>
                <w:noProof/>
                <w:webHidden/>
              </w:rPr>
              <w:fldChar w:fldCharType="separate"/>
            </w:r>
            <w:r>
              <w:rPr>
                <w:noProof/>
                <w:webHidden/>
              </w:rPr>
              <w:t>22</w:t>
            </w:r>
            <w:r>
              <w:rPr>
                <w:noProof/>
                <w:webHidden/>
              </w:rPr>
              <w:fldChar w:fldCharType="end"/>
            </w:r>
          </w:hyperlink>
        </w:p>
        <w:p w:rsidR="008753EE" w:rsidRDefault="008753EE" w:rsidP="008753EE">
          <w:pPr>
            <w:pStyle w:val="TDC3"/>
            <w:jc w:val="right"/>
            <w:rPr>
              <w:rFonts w:asciiTheme="minorHAnsi" w:eastAsiaTheme="minorEastAsia" w:hAnsiTheme="minorHAnsi" w:cstheme="minorBidi"/>
              <w:noProof/>
              <w:sz w:val="22"/>
              <w:szCs w:val="22"/>
              <w:lang w:val="es-GT" w:eastAsia="es-GT"/>
            </w:rPr>
          </w:pPr>
          <w:hyperlink w:anchor="_Toc65826755" w:history="1">
            <w:r w:rsidRPr="00F200F0">
              <w:rPr>
                <w:rStyle w:val="Hipervnculo"/>
                <w:noProof/>
              </w:rPr>
              <w:t>1</w:t>
            </w:r>
            <w:r>
              <w:rPr>
                <w:rFonts w:asciiTheme="minorHAnsi" w:eastAsiaTheme="minorEastAsia" w:hAnsiTheme="minorHAnsi" w:cstheme="minorBidi"/>
                <w:noProof/>
                <w:sz w:val="22"/>
                <w:szCs w:val="22"/>
                <w:lang w:val="es-GT" w:eastAsia="es-GT"/>
              </w:rPr>
              <w:tab/>
            </w:r>
            <w:r w:rsidRPr="00F200F0">
              <w:rPr>
                <w:rStyle w:val="Hipervnculo"/>
                <w:noProof/>
              </w:rPr>
              <w:t>Indicadores de la Deuda Pública</w:t>
            </w:r>
            <w:r>
              <w:rPr>
                <w:noProof/>
                <w:webHidden/>
              </w:rPr>
              <w:tab/>
            </w:r>
            <w:r>
              <w:rPr>
                <w:noProof/>
                <w:webHidden/>
              </w:rPr>
              <w:fldChar w:fldCharType="begin"/>
            </w:r>
            <w:r>
              <w:rPr>
                <w:noProof/>
                <w:webHidden/>
              </w:rPr>
              <w:instrText xml:space="preserve"> PAGEREF _Toc65826755 \h </w:instrText>
            </w:r>
            <w:r>
              <w:rPr>
                <w:noProof/>
                <w:webHidden/>
              </w:rPr>
            </w:r>
            <w:r>
              <w:rPr>
                <w:noProof/>
                <w:webHidden/>
              </w:rPr>
              <w:fldChar w:fldCharType="separate"/>
            </w:r>
            <w:r>
              <w:rPr>
                <w:noProof/>
                <w:webHidden/>
              </w:rPr>
              <w:t>23</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56" w:history="1">
            <w:r w:rsidRPr="00F200F0">
              <w:rPr>
                <w:rStyle w:val="Hipervnculo"/>
                <w:noProof/>
              </w:rPr>
              <w:t>C.</w:t>
            </w:r>
            <w:r>
              <w:rPr>
                <w:rFonts w:asciiTheme="minorHAnsi" w:eastAsiaTheme="minorEastAsia" w:hAnsiTheme="minorHAnsi" w:cstheme="minorBidi"/>
                <w:noProof/>
                <w:sz w:val="22"/>
                <w:szCs w:val="22"/>
                <w:lang w:val="es-GT" w:eastAsia="es-GT"/>
              </w:rPr>
              <w:tab/>
            </w:r>
            <w:r w:rsidRPr="00F200F0">
              <w:rPr>
                <w:rStyle w:val="Hipervnculo"/>
                <w:noProof/>
              </w:rPr>
              <w:t>Ejecución del Gasto Público</w:t>
            </w:r>
            <w:r>
              <w:rPr>
                <w:noProof/>
                <w:webHidden/>
              </w:rPr>
              <w:tab/>
            </w:r>
            <w:r>
              <w:rPr>
                <w:noProof/>
                <w:webHidden/>
              </w:rPr>
              <w:fldChar w:fldCharType="begin"/>
            </w:r>
            <w:r>
              <w:rPr>
                <w:noProof/>
                <w:webHidden/>
              </w:rPr>
              <w:instrText xml:space="preserve"> PAGEREF _Toc65826756 \h </w:instrText>
            </w:r>
            <w:r>
              <w:rPr>
                <w:noProof/>
                <w:webHidden/>
              </w:rPr>
            </w:r>
            <w:r>
              <w:rPr>
                <w:noProof/>
                <w:webHidden/>
              </w:rPr>
              <w:fldChar w:fldCharType="separate"/>
            </w:r>
            <w:r>
              <w:rPr>
                <w:noProof/>
                <w:webHidden/>
              </w:rPr>
              <w:t>26</w:t>
            </w:r>
            <w:r>
              <w:rPr>
                <w:noProof/>
                <w:webHidden/>
              </w:rPr>
              <w:fldChar w:fldCharType="end"/>
            </w:r>
          </w:hyperlink>
        </w:p>
        <w:p w:rsidR="008753EE" w:rsidRDefault="008753EE" w:rsidP="008753EE">
          <w:pPr>
            <w:pStyle w:val="TDC3"/>
            <w:rPr>
              <w:rFonts w:asciiTheme="minorHAnsi" w:eastAsiaTheme="minorEastAsia" w:hAnsiTheme="minorHAnsi" w:cstheme="minorBidi"/>
              <w:noProof/>
              <w:sz w:val="22"/>
              <w:szCs w:val="22"/>
              <w:lang w:val="es-GT" w:eastAsia="es-GT"/>
            </w:rPr>
          </w:pPr>
          <w:hyperlink w:anchor="_Toc65826757" w:history="1">
            <w:r w:rsidRPr="00F200F0">
              <w:rPr>
                <w:rStyle w:val="Hipervnculo"/>
                <w:noProof/>
              </w:rPr>
              <w:t>1</w:t>
            </w:r>
            <w:r>
              <w:rPr>
                <w:rFonts w:asciiTheme="minorHAnsi" w:eastAsiaTheme="minorEastAsia" w:hAnsiTheme="minorHAnsi" w:cstheme="minorBidi"/>
                <w:noProof/>
                <w:sz w:val="22"/>
                <w:szCs w:val="22"/>
                <w:lang w:val="es-GT" w:eastAsia="es-GT"/>
              </w:rPr>
              <w:tab/>
            </w:r>
            <w:r w:rsidRPr="00F200F0">
              <w:rPr>
                <w:rStyle w:val="Hipervnculo"/>
                <w:noProof/>
              </w:rPr>
              <w:t>Gasto Social y Acuerdos de Paz</w:t>
            </w:r>
            <w:r>
              <w:rPr>
                <w:noProof/>
                <w:webHidden/>
              </w:rPr>
              <w:tab/>
            </w:r>
            <w:r>
              <w:rPr>
                <w:noProof/>
                <w:webHidden/>
              </w:rPr>
              <w:fldChar w:fldCharType="begin"/>
            </w:r>
            <w:r>
              <w:rPr>
                <w:noProof/>
                <w:webHidden/>
              </w:rPr>
              <w:instrText xml:space="preserve"> PAGEREF _Toc65826757 \h </w:instrText>
            </w:r>
            <w:r>
              <w:rPr>
                <w:noProof/>
                <w:webHidden/>
              </w:rPr>
            </w:r>
            <w:r>
              <w:rPr>
                <w:noProof/>
                <w:webHidden/>
              </w:rPr>
              <w:fldChar w:fldCharType="separate"/>
            </w:r>
            <w:r>
              <w:rPr>
                <w:noProof/>
                <w:webHidden/>
              </w:rPr>
              <w:t>28</w:t>
            </w:r>
            <w:r>
              <w:rPr>
                <w:noProof/>
                <w:webHidden/>
              </w:rPr>
              <w:fldChar w:fldCharType="end"/>
            </w:r>
          </w:hyperlink>
        </w:p>
        <w:p w:rsidR="008753EE" w:rsidRDefault="008753EE" w:rsidP="008753EE">
          <w:pPr>
            <w:pStyle w:val="TDC3"/>
            <w:rPr>
              <w:rFonts w:asciiTheme="minorHAnsi" w:eastAsiaTheme="minorEastAsia" w:hAnsiTheme="minorHAnsi" w:cstheme="minorBidi"/>
              <w:noProof/>
              <w:sz w:val="22"/>
              <w:szCs w:val="22"/>
              <w:lang w:val="es-GT" w:eastAsia="es-GT"/>
            </w:rPr>
          </w:pPr>
          <w:hyperlink w:anchor="_Toc65826758" w:history="1">
            <w:r w:rsidRPr="00F200F0">
              <w:rPr>
                <w:rStyle w:val="Hipervnculo"/>
                <w:noProof/>
              </w:rPr>
              <w:t>2</w:t>
            </w:r>
            <w:r>
              <w:rPr>
                <w:rFonts w:asciiTheme="minorHAnsi" w:eastAsiaTheme="minorEastAsia" w:hAnsiTheme="minorHAnsi" w:cstheme="minorBidi"/>
                <w:noProof/>
                <w:sz w:val="22"/>
                <w:szCs w:val="22"/>
                <w:lang w:val="es-GT" w:eastAsia="es-GT"/>
              </w:rPr>
              <w:tab/>
            </w:r>
            <w:r w:rsidRPr="00F200F0">
              <w:rPr>
                <w:rStyle w:val="Hipervnculo"/>
                <w:noProof/>
              </w:rPr>
              <w:t>Ejecución de los Fideicomisos para Programas de Protección Social</w:t>
            </w:r>
            <w:r>
              <w:rPr>
                <w:noProof/>
                <w:webHidden/>
              </w:rPr>
              <w:tab/>
            </w:r>
            <w:r>
              <w:rPr>
                <w:noProof/>
                <w:webHidden/>
              </w:rPr>
              <w:fldChar w:fldCharType="begin"/>
            </w:r>
            <w:r>
              <w:rPr>
                <w:noProof/>
                <w:webHidden/>
              </w:rPr>
              <w:instrText xml:space="preserve"> PAGEREF _Toc65826758 \h </w:instrText>
            </w:r>
            <w:r>
              <w:rPr>
                <w:noProof/>
                <w:webHidden/>
              </w:rPr>
            </w:r>
            <w:r>
              <w:rPr>
                <w:noProof/>
                <w:webHidden/>
              </w:rPr>
              <w:fldChar w:fldCharType="separate"/>
            </w:r>
            <w:r>
              <w:rPr>
                <w:noProof/>
                <w:webHidden/>
              </w:rPr>
              <w:t>29</w:t>
            </w:r>
            <w:r>
              <w:rPr>
                <w:noProof/>
                <w:webHidden/>
              </w:rPr>
              <w:fldChar w:fldCharType="end"/>
            </w:r>
          </w:hyperlink>
        </w:p>
        <w:p w:rsidR="008753EE" w:rsidRDefault="008753EE" w:rsidP="008753EE">
          <w:pPr>
            <w:pStyle w:val="TDC3"/>
            <w:rPr>
              <w:rFonts w:asciiTheme="minorHAnsi" w:eastAsiaTheme="minorEastAsia" w:hAnsiTheme="minorHAnsi" w:cstheme="minorBidi"/>
              <w:noProof/>
              <w:sz w:val="22"/>
              <w:szCs w:val="22"/>
              <w:lang w:val="es-GT" w:eastAsia="es-GT"/>
            </w:rPr>
          </w:pPr>
          <w:hyperlink w:anchor="_Toc65826759" w:history="1">
            <w:r w:rsidRPr="00F200F0">
              <w:rPr>
                <w:rStyle w:val="Hipervnculo"/>
                <w:noProof/>
              </w:rPr>
              <w:t>3</w:t>
            </w:r>
            <w:r>
              <w:rPr>
                <w:rFonts w:asciiTheme="minorHAnsi" w:eastAsiaTheme="minorEastAsia" w:hAnsiTheme="minorHAnsi" w:cstheme="minorBidi"/>
                <w:noProof/>
                <w:sz w:val="22"/>
                <w:szCs w:val="22"/>
                <w:lang w:val="es-GT" w:eastAsia="es-GT"/>
              </w:rPr>
              <w:tab/>
            </w:r>
            <w:r w:rsidRPr="00F200F0">
              <w:rPr>
                <w:rStyle w:val="Hipervnculo"/>
                <w:noProof/>
              </w:rPr>
              <w:t>Gasto Público Ejecutado a través de ONG</w:t>
            </w:r>
            <w:r>
              <w:rPr>
                <w:noProof/>
                <w:webHidden/>
              </w:rPr>
              <w:tab/>
            </w:r>
            <w:r>
              <w:rPr>
                <w:noProof/>
                <w:webHidden/>
              </w:rPr>
              <w:fldChar w:fldCharType="begin"/>
            </w:r>
            <w:r>
              <w:rPr>
                <w:noProof/>
                <w:webHidden/>
              </w:rPr>
              <w:instrText xml:space="preserve"> PAGEREF _Toc65826759 \h </w:instrText>
            </w:r>
            <w:r>
              <w:rPr>
                <w:noProof/>
                <w:webHidden/>
              </w:rPr>
            </w:r>
            <w:r>
              <w:rPr>
                <w:noProof/>
                <w:webHidden/>
              </w:rPr>
              <w:fldChar w:fldCharType="separate"/>
            </w:r>
            <w:r>
              <w:rPr>
                <w:noProof/>
                <w:webHidden/>
              </w:rPr>
              <w:t>30</w:t>
            </w:r>
            <w:r>
              <w:rPr>
                <w:noProof/>
                <w:webHidden/>
              </w:rPr>
              <w:fldChar w:fldCharType="end"/>
            </w:r>
          </w:hyperlink>
        </w:p>
        <w:p w:rsidR="008753EE" w:rsidRDefault="008753EE" w:rsidP="008753EE">
          <w:pPr>
            <w:pStyle w:val="TDC3"/>
            <w:rPr>
              <w:rFonts w:asciiTheme="minorHAnsi" w:eastAsiaTheme="minorEastAsia" w:hAnsiTheme="minorHAnsi" w:cstheme="minorBidi"/>
              <w:noProof/>
              <w:sz w:val="22"/>
              <w:szCs w:val="22"/>
              <w:lang w:val="es-GT" w:eastAsia="es-GT"/>
            </w:rPr>
          </w:pPr>
          <w:hyperlink w:anchor="_Toc65826760" w:history="1">
            <w:r w:rsidRPr="00F200F0">
              <w:rPr>
                <w:rStyle w:val="Hipervnculo"/>
                <w:noProof/>
              </w:rPr>
              <w:t>4</w:t>
            </w:r>
            <w:r>
              <w:rPr>
                <w:rFonts w:asciiTheme="minorHAnsi" w:eastAsiaTheme="minorEastAsia" w:hAnsiTheme="minorHAnsi" w:cstheme="minorBidi"/>
                <w:noProof/>
                <w:sz w:val="22"/>
                <w:szCs w:val="22"/>
                <w:lang w:val="es-GT" w:eastAsia="es-GT"/>
              </w:rPr>
              <w:tab/>
            </w:r>
            <w:r w:rsidRPr="00F200F0">
              <w:rPr>
                <w:rStyle w:val="Hipervnculo"/>
                <w:noProof/>
              </w:rPr>
              <w:t>Programa General de Atención al Covid-19</w:t>
            </w:r>
            <w:r>
              <w:rPr>
                <w:noProof/>
                <w:webHidden/>
              </w:rPr>
              <w:tab/>
            </w:r>
            <w:r>
              <w:rPr>
                <w:noProof/>
                <w:webHidden/>
              </w:rPr>
              <w:fldChar w:fldCharType="begin"/>
            </w:r>
            <w:r>
              <w:rPr>
                <w:noProof/>
                <w:webHidden/>
              </w:rPr>
              <w:instrText xml:space="preserve"> PAGEREF _Toc65826760 \h </w:instrText>
            </w:r>
            <w:r>
              <w:rPr>
                <w:noProof/>
                <w:webHidden/>
              </w:rPr>
            </w:r>
            <w:r>
              <w:rPr>
                <w:noProof/>
                <w:webHidden/>
              </w:rPr>
              <w:fldChar w:fldCharType="separate"/>
            </w:r>
            <w:r>
              <w:rPr>
                <w:noProof/>
                <w:webHidden/>
              </w:rPr>
              <w:t>31</w:t>
            </w:r>
            <w:r>
              <w:rPr>
                <w:noProof/>
                <w:webHidden/>
              </w:rPr>
              <w:fldChar w:fldCharType="end"/>
            </w:r>
          </w:hyperlink>
        </w:p>
        <w:p w:rsidR="008753EE" w:rsidRDefault="008753EE" w:rsidP="008753EE">
          <w:pPr>
            <w:pStyle w:val="TDC3"/>
            <w:rPr>
              <w:rFonts w:asciiTheme="minorHAnsi" w:eastAsiaTheme="minorEastAsia" w:hAnsiTheme="minorHAnsi" w:cstheme="minorBidi"/>
              <w:noProof/>
              <w:sz w:val="22"/>
              <w:szCs w:val="22"/>
              <w:lang w:val="es-GT" w:eastAsia="es-GT"/>
            </w:rPr>
          </w:pPr>
          <w:hyperlink w:anchor="_Toc65826761" w:history="1">
            <w:r w:rsidRPr="00F200F0">
              <w:rPr>
                <w:rStyle w:val="Hipervnculo"/>
                <w:noProof/>
              </w:rPr>
              <w:t>5</w:t>
            </w:r>
            <w:r>
              <w:rPr>
                <w:rFonts w:asciiTheme="minorHAnsi" w:eastAsiaTheme="minorEastAsia" w:hAnsiTheme="minorHAnsi" w:cstheme="minorBidi"/>
                <w:noProof/>
                <w:sz w:val="22"/>
                <w:szCs w:val="22"/>
                <w:lang w:val="es-GT" w:eastAsia="es-GT"/>
              </w:rPr>
              <w:tab/>
            </w:r>
            <w:r w:rsidRPr="00F200F0">
              <w:rPr>
                <w:rStyle w:val="Hipervnculo"/>
                <w:noProof/>
              </w:rPr>
              <w:t>Informe de Gastos bajo el Programa 94 “Atención por Desastres Naturales y Calamidades Públicas”, Subprograma 11 “Depresión Tropical Eta”</w:t>
            </w:r>
            <w:r>
              <w:rPr>
                <w:noProof/>
                <w:webHidden/>
              </w:rPr>
              <w:tab/>
            </w:r>
            <w:r>
              <w:rPr>
                <w:noProof/>
                <w:webHidden/>
              </w:rPr>
              <w:fldChar w:fldCharType="begin"/>
            </w:r>
            <w:r>
              <w:rPr>
                <w:noProof/>
                <w:webHidden/>
              </w:rPr>
              <w:instrText xml:space="preserve"> PAGEREF _Toc65826761 \h </w:instrText>
            </w:r>
            <w:r>
              <w:rPr>
                <w:noProof/>
                <w:webHidden/>
              </w:rPr>
            </w:r>
            <w:r>
              <w:rPr>
                <w:noProof/>
                <w:webHidden/>
              </w:rPr>
              <w:fldChar w:fldCharType="separate"/>
            </w:r>
            <w:r>
              <w:rPr>
                <w:noProof/>
                <w:webHidden/>
              </w:rPr>
              <w:t>34</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62" w:history="1">
            <w:r w:rsidRPr="00F200F0">
              <w:rPr>
                <w:rStyle w:val="Hipervnculo"/>
                <w:noProof/>
              </w:rPr>
              <w:t>D.</w:t>
            </w:r>
            <w:r>
              <w:rPr>
                <w:rFonts w:asciiTheme="minorHAnsi" w:eastAsiaTheme="minorEastAsia" w:hAnsiTheme="minorHAnsi" w:cstheme="minorBidi"/>
                <w:noProof/>
                <w:sz w:val="22"/>
                <w:szCs w:val="22"/>
                <w:lang w:val="es-GT" w:eastAsia="es-GT"/>
              </w:rPr>
              <w:tab/>
            </w:r>
            <w:r w:rsidRPr="00F200F0">
              <w:rPr>
                <w:rStyle w:val="Hipervnculo"/>
                <w:noProof/>
              </w:rPr>
              <w:t>Déficit Fiscal Sostenible</w:t>
            </w:r>
            <w:r>
              <w:rPr>
                <w:noProof/>
                <w:webHidden/>
              </w:rPr>
              <w:tab/>
            </w:r>
            <w:r>
              <w:rPr>
                <w:noProof/>
                <w:webHidden/>
              </w:rPr>
              <w:fldChar w:fldCharType="begin"/>
            </w:r>
            <w:r>
              <w:rPr>
                <w:noProof/>
                <w:webHidden/>
              </w:rPr>
              <w:instrText xml:space="preserve"> PAGEREF _Toc65826762 \h </w:instrText>
            </w:r>
            <w:r>
              <w:rPr>
                <w:noProof/>
                <w:webHidden/>
              </w:rPr>
            </w:r>
            <w:r>
              <w:rPr>
                <w:noProof/>
                <w:webHidden/>
              </w:rPr>
              <w:fldChar w:fldCharType="separate"/>
            </w:r>
            <w:r>
              <w:rPr>
                <w:noProof/>
                <w:webHidden/>
              </w:rPr>
              <w:t>37</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63" w:history="1">
            <w:r w:rsidRPr="00F200F0">
              <w:rPr>
                <w:rStyle w:val="Hipervnculo"/>
                <w:noProof/>
              </w:rPr>
              <w:t>E.</w:t>
            </w:r>
            <w:r>
              <w:rPr>
                <w:rFonts w:asciiTheme="minorHAnsi" w:eastAsiaTheme="minorEastAsia" w:hAnsiTheme="minorHAnsi" w:cstheme="minorBidi"/>
                <w:noProof/>
                <w:sz w:val="22"/>
                <w:szCs w:val="22"/>
                <w:lang w:val="es-GT" w:eastAsia="es-GT"/>
              </w:rPr>
              <w:tab/>
            </w:r>
            <w:r w:rsidRPr="00F200F0">
              <w:rPr>
                <w:rStyle w:val="Hipervnculo"/>
                <w:noProof/>
              </w:rPr>
              <w:t>Principales Metas y Resultados</w:t>
            </w:r>
            <w:r>
              <w:rPr>
                <w:noProof/>
                <w:webHidden/>
              </w:rPr>
              <w:tab/>
            </w:r>
            <w:r>
              <w:rPr>
                <w:noProof/>
                <w:webHidden/>
              </w:rPr>
              <w:fldChar w:fldCharType="begin"/>
            </w:r>
            <w:r>
              <w:rPr>
                <w:noProof/>
                <w:webHidden/>
              </w:rPr>
              <w:instrText xml:space="preserve"> PAGEREF _Toc65826763 \h </w:instrText>
            </w:r>
            <w:r>
              <w:rPr>
                <w:noProof/>
                <w:webHidden/>
              </w:rPr>
            </w:r>
            <w:r>
              <w:rPr>
                <w:noProof/>
                <w:webHidden/>
              </w:rPr>
              <w:fldChar w:fldCharType="separate"/>
            </w:r>
            <w:r>
              <w:rPr>
                <w:noProof/>
                <w:webHidden/>
              </w:rPr>
              <w:t>39</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64" w:history="1">
            <w:r w:rsidRPr="00F200F0">
              <w:rPr>
                <w:rStyle w:val="Hipervnculo"/>
                <w:noProof/>
              </w:rPr>
              <w:t>F.</w:t>
            </w:r>
            <w:r>
              <w:rPr>
                <w:rFonts w:asciiTheme="minorHAnsi" w:eastAsiaTheme="minorEastAsia" w:hAnsiTheme="minorHAnsi" w:cstheme="minorBidi"/>
                <w:noProof/>
                <w:sz w:val="22"/>
                <w:szCs w:val="22"/>
                <w:lang w:val="es-GT" w:eastAsia="es-GT"/>
              </w:rPr>
              <w:tab/>
            </w:r>
            <w:r w:rsidRPr="00F200F0">
              <w:rPr>
                <w:rStyle w:val="Hipervnculo"/>
                <w:noProof/>
              </w:rPr>
              <w:t>Fondos Extrapresupuestarios</w:t>
            </w:r>
            <w:r>
              <w:rPr>
                <w:noProof/>
                <w:webHidden/>
              </w:rPr>
              <w:tab/>
            </w:r>
            <w:r>
              <w:rPr>
                <w:noProof/>
                <w:webHidden/>
              </w:rPr>
              <w:fldChar w:fldCharType="begin"/>
            </w:r>
            <w:r>
              <w:rPr>
                <w:noProof/>
                <w:webHidden/>
              </w:rPr>
              <w:instrText xml:space="preserve"> PAGEREF _Toc65826764 \h </w:instrText>
            </w:r>
            <w:r>
              <w:rPr>
                <w:noProof/>
                <w:webHidden/>
              </w:rPr>
            </w:r>
            <w:r>
              <w:rPr>
                <w:noProof/>
                <w:webHidden/>
              </w:rPr>
              <w:fldChar w:fldCharType="separate"/>
            </w:r>
            <w:r>
              <w:rPr>
                <w:noProof/>
                <w:webHidden/>
              </w:rPr>
              <w:t>45</w:t>
            </w:r>
            <w:r>
              <w:rPr>
                <w:noProof/>
                <w:webHidden/>
              </w:rPr>
              <w:fldChar w:fldCharType="end"/>
            </w:r>
          </w:hyperlink>
        </w:p>
        <w:p w:rsidR="008753EE" w:rsidRDefault="008753EE" w:rsidP="008753EE">
          <w:pPr>
            <w:pStyle w:val="TDC1"/>
            <w:rPr>
              <w:rFonts w:asciiTheme="minorHAnsi" w:eastAsiaTheme="minorEastAsia" w:hAnsiTheme="minorHAnsi" w:cstheme="minorBidi"/>
              <w:noProof/>
              <w:sz w:val="22"/>
              <w:szCs w:val="22"/>
              <w:lang w:val="es-GT" w:eastAsia="es-GT"/>
            </w:rPr>
          </w:pPr>
          <w:hyperlink w:anchor="_Toc65826765" w:history="1">
            <w:r w:rsidRPr="00F200F0">
              <w:rPr>
                <w:rStyle w:val="Hipervnculo"/>
                <w:noProof/>
                <w:lang w:val="es-MX"/>
              </w:rPr>
              <w:t>V.</w:t>
            </w:r>
            <w:r>
              <w:rPr>
                <w:rFonts w:asciiTheme="minorHAnsi" w:eastAsiaTheme="minorEastAsia" w:hAnsiTheme="minorHAnsi" w:cstheme="minorBidi"/>
                <w:noProof/>
                <w:sz w:val="22"/>
                <w:szCs w:val="22"/>
                <w:lang w:val="es-GT" w:eastAsia="es-GT"/>
              </w:rPr>
              <w:tab/>
            </w:r>
            <w:r w:rsidRPr="00F200F0">
              <w:rPr>
                <w:rStyle w:val="Hipervnculo"/>
                <w:noProof/>
                <w:lang w:val="es-MX"/>
              </w:rPr>
              <w:t>Logros de la Gestión de las Finanzas Públicas durante el 2020</w:t>
            </w:r>
            <w:r>
              <w:rPr>
                <w:noProof/>
                <w:webHidden/>
              </w:rPr>
              <w:tab/>
            </w:r>
            <w:r>
              <w:rPr>
                <w:noProof/>
                <w:webHidden/>
              </w:rPr>
              <w:fldChar w:fldCharType="begin"/>
            </w:r>
            <w:r>
              <w:rPr>
                <w:noProof/>
                <w:webHidden/>
              </w:rPr>
              <w:instrText xml:space="preserve"> PAGEREF _Toc65826765 \h </w:instrText>
            </w:r>
            <w:r>
              <w:rPr>
                <w:noProof/>
                <w:webHidden/>
              </w:rPr>
            </w:r>
            <w:r>
              <w:rPr>
                <w:noProof/>
                <w:webHidden/>
              </w:rPr>
              <w:fldChar w:fldCharType="separate"/>
            </w:r>
            <w:r>
              <w:rPr>
                <w:noProof/>
                <w:webHidden/>
              </w:rPr>
              <w:t>54</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66" w:history="1">
            <w:r w:rsidRPr="00F200F0">
              <w:rPr>
                <w:rStyle w:val="Hipervnculo"/>
                <w:rFonts w:eastAsia="Calibri"/>
                <w:noProof/>
                <w:lang w:val="es-GT" w:eastAsia="en-US" w:bidi="en-US"/>
              </w:rPr>
              <w:t>A.</w:t>
            </w:r>
            <w:r>
              <w:rPr>
                <w:rFonts w:asciiTheme="minorHAnsi" w:eastAsiaTheme="minorEastAsia" w:hAnsiTheme="minorHAnsi" w:cstheme="minorBidi"/>
                <w:noProof/>
                <w:sz w:val="22"/>
                <w:szCs w:val="22"/>
                <w:lang w:val="es-GT" w:eastAsia="es-GT"/>
              </w:rPr>
              <w:tab/>
            </w:r>
            <w:r w:rsidRPr="00F200F0">
              <w:rPr>
                <w:rStyle w:val="Hipervnculo"/>
                <w:rFonts w:eastAsia="Calibri"/>
                <w:noProof/>
                <w:lang w:val="es-GT" w:eastAsia="en-US" w:bidi="en-US"/>
              </w:rPr>
              <w:t>Gobierno Abierto y Transparencia Fiscal</w:t>
            </w:r>
            <w:r>
              <w:rPr>
                <w:noProof/>
                <w:webHidden/>
              </w:rPr>
              <w:tab/>
            </w:r>
            <w:r>
              <w:rPr>
                <w:noProof/>
                <w:webHidden/>
              </w:rPr>
              <w:fldChar w:fldCharType="begin"/>
            </w:r>
            <w:r>
              <w:rPr>
                <w:noProof/>
                <w:webHidden/>
              </w:rPr>
              <w:instrText xml:space="preserve"> PAGEREF _Toc65826766 \h </w:instrText>
            </w:r>
            <w:r>
              <w:rPr>
                <w:noProof/>
                <w:webHidden/>
              </w:rPr>
            </w:r>
            <w:r>
              <w:rPr>
                <w:noProof/>
                <w:webHidden/>
              </w:rPr>
              <w:fldChar w:fldCharType="separate"/>
            </w:r>
            <w:r>
              <w:rPr>
                <w:noProof/>
                <w:webHidden/>
              </w:rPr>
              <w:t>54</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67" w:history="1">
            <w:r w:rsidRPr="00F200F0">
              <w:rPr>
                <w:rStyle w:val="Hipervnculo"/>
                <w:rFonts w:eastAsia="Calibri"/>
                <w:noProof/>
                <w:lang w:val="es-GT" w:eastAsia="en-US" w:bidi="en-US"/>
              </w:rPr>
              <w:t>B.</w:t>
            </w:r>
            <w:r>
              <w:rPr>
                <w:rFonts w:asciiTheme="minorHAnsi" w:eastAsiaTheme="minorEastAsia" w:hAnsiTheme="minorHAnsi" w:cstheme="minorBidi"/>
                <w:noProof/>
                <w:sz w:val="22"/>
                <w:szCs w:val="22"/>
                <w:lang w:val="es-GT" w:eastAsia="es-GT"/>
              </w:rPr>
              <w:tab/>
            </w:r>
            <w:r w:rsidRPr="00F200F0">
              <w:rPr>
                <w:rStyle w:val="Hipervnculo"/>
                <w:rFonts w:eastAsia="Calibri"/>
                <w:noProof/>
                <w:lang w:val="es-GT" w:eastAsia="en-US" w:bidi="en-US"/>
              </w:rPr>
              <w:t>Realización de los Talleres de Presupuesto Abierto 2021</w:t>
            </w:r>
            <w:r>
              <w:rPr>
                <w:noProof/>
                <w:webHidden/>
              </w:rPr>
              <w:tab/>
            </w:r>
            <w:r>
              <w:rPr>
                <w:noProof/>
                <w:webHidden/>
              </w:rPr>
              <w:fldChar w:fldCharType="begin"/>
            </w:r>
            <w:r>
              <w:rPr>
                <w:noProof/>
                <w:webHidden/>
              </w:rPr>
              <w:instrText xml:space="preserve"> PAGEREF _Toc65826767 \h </w:instrText>
            </w:r>
            <w:r>
              <w:rPr>
                <w:noProof/>
                <w:webHidden/>
              </w:rPr>
            </w:r>
            <w:r>
              <w:rPr>
                <w:noProof/>
                <w:webHidden/>
              </w:rPr>
              <w:fldChar w:fldCharType="separate"/>
            </w:r>
            <w:r>
              <w:rPr>
                <w:noProof/>
                <w:webHidden/>
              </w:rPr>
              <w:t>57</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68" w:history="1">
            <w:r w:rsidRPr="00F200F0">
              <w:rPr>
                <w:rStyle w:val="Hipervnculo"/>
                <w:rFonts w:eastAsia="Calibri"/>
                <w:noProof/>
                <w:lang w:val="es-GT" w:eastAsia="en-US" w:bidi="en-US"/>
              </w:rPr>
              <w:t>C.</w:t>
            </w:r>
            <w:r>
              <w:rPr>
                <w:rFonts w:asciiTheme="minorHAnsi" w:eastAsiaTheme="minorEastAsia" w:hAnsiTheme="minorHAnsi" w:cstheme="minorBidi"/>
                <w:noProof/>
                <w:sz w:val="22"/>
                <w:szCs w:val="22"/>
                <w:lang w:val="es-GT" w:eastAsia="es-GT"/>
              </w:rPr>
              <w:tab/>
            </w:r>
            <w:r w:rsidRPr="00F200F0">
              <w:rPr>
                <w:rStyle w:val="Hipervnculo"/>
                <w:rFonts w:eastAsia="Calibri"/>
                <w:noProof/>
                <w:lang w:val="es-GT" w:eastAsia="en-US" w:bidi="en-US"/>
              </w:rPr>
              <w:t>Mejora en la Calificación del Índice de Presupuesto Abierto (OBI)</w:t>
            </w:r>
            <w:r>
              <w:rPr>
                <w:noProof/>
                <w:webHidden/>
              </w:rPr>
              <w:tab/>
            </w:r>
            <w:r>
              <w:rPr>
                <w:noProof/>
                <w:webHidden/>
              </w:rPr>
              <w:fldChar w:fldCharType="begin"/>
            </w:r>
            <w:r>
              <w:rPr>
                <w:noProof/>
                <w:webHidden/>
              </w:rPr>
              <w:instrText xml:space="preserve"> PAGEREF _Toc65826768 \h </w:instrText>
            </w:r>
            <w:r>
              <w:rPr>
                <w:noProof/>
                <w:webHidden/>
              </w:rPr>
            </w:r>
            <w:r>
              <w:rPr>
                <w:noProof/>
                <w:webHidden/>
              </w:rPr>
              <w:fldChar w:fldCharType="separate"/>
            </w:r>
            <w:r>
              <w:rPr>
                <w:noProof/>
                <w:webHidden/>
              </w:rPr>
              <w:t>57</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69" w:history="1">
            <w:r w:rsidRPr="00F200F0">
              <w:rPr>
                <w:rStyle w:val="Hipervnculo"/>
                <w:rFonts w:eastAsia="Calibri"/>
                <w:noProof/>
                <w:lang w:val="es-GT" w:eastAsia="en-US" w:bidi="en-US"/>
              </w:rPr>
              <w:t>D.</w:t>
            </w:r>
            <w:r>
              <w:rPr>
                <w:rFonts w:asciiTheme="minorHAnsi" w:eastAsiaTheme="minorEastAsia" w:hAnsiTheme="minorHAnsi" w:cstheme="minorBidi"/>
                <w:noProof/>
                <w:sz w:val="22"/>
                <w:szCs w:val="22"/>
                <w:lang w:val="es-GT" w:eastAsia="es-GT"/>
              </w:rPr>
              <w:tab/>
            </w:r>
            <w:r w:rsidRPr="00F200F0">
              <w:rPr>
                <w:rStyle w:val="Hipervnculo"/>
                <w:rFonts w:eastAsia="Calibri"/>
                <w:noProof/>
                <w:lang w:val="es-GT" w:eastAsia="en-US" w:bidi="en-US"/>
              </w:rPr>
              <w:t>Sistema de Transferencias, Subsidios y Subvenciones (Sistema TSS)</w:t>
            </w:r>
            <w:r>
              <w:rPr>
                <w:noProof/>
                <w:webHidden/>
              </w:rPr>
              <w:tab/>
            </w:r>
            <w:r>
              <w:rPr>
                <w:noProof/>
                <w:webHidden/>
              </w:rPr>
              <w:fldChar w:fldCharType="begin"/>
            </w:r>
            <w:r>
              <w:rPr>
                <w:noProof/>
                <w:webHidden/>
              </w:rPr>
              <w:instrText xml:space="preserve"> PAGEREF _Toc65826769 \h </w:instrText>
            </w:r>
            <w:r>
              <w:rPr>
                <w:noProof/>
                <w:webHidden/>
              </w:rPr>
            </w:r>
            <w:r>
              <w:rPr>
                <w:noProof/>
                <w:webHidden/>
              </w:rPr>
              <w:fldChar w:fldCharType="separate"/>
            </w:r>
            <w:r>
              <w:rPr>
                <w:noProof/>
                <w:webHidden/>
              </w:rPr>
              <w:t>58</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70" w:history="1">
            <w:r w:rsidRPr="00F200F0">
              <w:rPr>
                <w:rStyle w:val="Hipervnculo"/>
                <w:rFonts w:eastAsia="Calibri"/>
                <w:noProof/>
                <w:lang w:val="es-GT" w:eastAsia="en-US" w:bidi="en-US"/>
              </w:rPr>
              <w:t>E.</w:t>
            </w:r>
            <w:r>
              <w:rPr>
                <w:rFonts w:asciiTheme="minorHAnsi" w:eastAsiaTheme="minorEastAsia" w:hAnsiTheme="minorHAnsi" w:cstheme="minorBidi"/>
                <w:noProof/>
                <w:sz w:val="22"/>
                <w:szCs w:val="22"/>
                <w:lang w:val="es-GT" w:eastAsia="es-GT"/>
              </w:rPr>
              <w:tab/>
            </w:r>
            <w:r w:rsidRPr="00F200F0">
              <w:rPr>
                <w:rStyle w:val="Hipervnculo"/>
                <w:rFonts w:eastAsia="Calibri"/>
                <w:noProof/>
                <w:lang w:val="es-GT" w:eastAsia="en-US" w:bidi="en-US"/>
              </w:rPr>
              <w:t>Gestión de Riesgos Fiscales</w:t>
            </w:r>
            <w:r>
              <w:rPr>
                <w:noProof/>
                <w:webHidden/>
              </w:rPr>
              <w:tab/>
            </w:r>
            <w:r>
              <w:rPr>
                <w:noProof/>
                <w:webHidden/>
              </w:rPr>
              <w:fldChar w:fldCharType="begin"/>
            </w:r>
            <w:r>
              <w:rPr>
                <w:noProof/>
                <w:webHidden/>
              </w:rPr>
              <w:instrText xml:space="preserve"> PAGEREF _Toc65826770 \h </w:instrText>
            </w:r>
            <w:r>
              <w:rPr>
                <w:noProof/>
                <w:webHidden/>
              </w:rPr>
            </w:r>
            <w:r>
              <w:rPr>
                <w:noProof/>
                <w:webHidden/>
              </w:rPr>
              <w:fldChar w:fldCharType="separate"/>
            </w:r>
            <w:r>
              <w:rPr>
                <w:noProof/>
                <w:webHidden/>
              </w:rPr>
              <w:t>59</w:t>
            </w:r>
            <w:r>
              <w:rPr>
                <w:noProof/>
                <w:webHidden/>
              </w:rPr>
              <w:fldChar w:fldCharType="end"/>
            </w:r>
          </w:hyperlink>
        </w:p>
        <w:p w:rsidR="008753EE" w:rsidRDefault="008753EE" w:rsidP="008753EE">
          <w:pPr>
            <w:pStyle w:val="TDC2"/>
            <w:jc w:val="right"/>
            <w:rPr>
              <w:rFonts w:asciiTheme="minorHAnsi" w:eastAsiaTheme="minorEastAsia" w:hAnsiTheme="minorHAnsi" w:cstheme="minorBidi"/>
              <w:noProof/>
              <w:sz w:val="22"/>
              <w:szCs w:val="22"/>
              <w:lang w:val="es-GT" w:eastAsia="es-GT"/>
            </w:rPr>
          </w:pPr>
          <w:hyperlink w:anchor="_Toc65826771" w:history="1">
            <w:r w:rsidRPr="00F200F0">
              <w:rPr>
                <w:rStyle w:val="Hipervnculo"/>
                <w:rFonts w:eastAsia="Calibri"/>
                <w:noProof/>
                <w:lang w:val="es-GT" w:eastAsia="en-US" w:bidi="en-US"/>
              </w:rPr>
              <w:t>F.</w:t>
            </w:r>
            <w:r>
              <w:rPr>
                <w:rFonts w:asciiTheme="minorHAnsi" w:eastAsiaTheme="minorEastAsia" w:hAnsiTheme="minorHAnsi" w:cstheme="minorBidi"/>
                <w:noProof/>
                <w:sz w:val="22"/>
                <w:szCs w:val="22"/>
                <w:lang w:val="es-GT" w:eastAsia="es-GT"/>
              </w:rPr>
              <w:tab/>
            </w:r>
            <w:r w:rsidRPr="00F200F0">
              <w:rPr>
                <w:rStyle w:val="Hipervnculo"/>
                <w:rFonts w:eastAsia="Calibri"/>
                <w:noProof/>
                <w:lang w:val="es-GT" w:eastAsia="en-US" w:bidi="en-US"/>
              </w:rPr>
              <w:t>Estrategia de Transparencia Fiscal del Ministerio de Finanzas Públicas</w:t>
            </w:r>
            <w:r>
              <w:rPr>
                <w:noProof/>
                <w:webHidden/>
              </w:rPr>
              <w:tab/>
            </w:r>
            <w:r>
              <w:rPr>
                <w:noProof/>
                <w:webHidden/>
              </w:rPr>
              <w:fldChar w:fldCharType="begin"/>
            </w:r>
            <w:r>
              <w:rPr>
                <w:noProof/>
                <w:webHidden/>
              </w:rPr>
              <w:instrText xml:space="preserve"> PAGEREF _Toc65826771 \h </w:instrText>
            </w:r>
            <w:r>
              <w:rPr>
                <w:noProof/>
                <w:webHidden/>
              </w:rPr>
            </w:r>
            <w:r>
              <w:rPr>
                <w:noProof/>
                <w:webHidden/>
              </w:rPr>
              <w:fldChar w:fldCharType="separate"/>
            </w:r>
            <w:r>
              <w:rPr>
                <w:noProof/>
                <w:webHidden/>
              </w:rPr>
              <w:t>60</w:t>
            </w:r>
            <w:r>
              <w:rPr>
                <w:noProof/>
                <w:webHidden/>
              </w:rPr>
              <w:fldChar w:fldCharType="end"/>
            </w:r>
          </w:hyperlink>
        </w:p>
        <w:p w:rsidR="00AE2697" w:rsidRPr="00124AD6" w:rsidRDefault="00782AE7" w:rsidP="008753EE">
          <w:pPr>
            <w:pStyle w:val="TDC2"/>
            <w:tabs>
              <w:tab w:val="clear" w:pos="880"/>
              <w:tab w:val="clear" w:pos="8828"/>
              <w:tab w:val="left" w:pos="0"/>
              <w:tab w:val="right" w:leader="dot" w:pos="8931"/>
            </w:tabs>
            <w:ind w:left="0"/>
            <w:jc w:val="right"/>
          </w:pPr>
          <w:r w:rsidRPr="00F161D7">
            <w:rPr>
              <w:bCs/>
            </w:rPr>
            <w:fldChar w:fldCharType="end"/>
          </w:r>
          <w:r w:rsidR="00F161D7" w:rsidRPr="00F161D7">
            <w:rPr>
              <w:bCs/>
            </w:rPr>
            <w:t>VI.</w:t>
          </w:r>
          <w:r w:rsidR="00FA4718">
            <w:rPr>
              <w:b/>
              <w:bCs/>
            </w:rPr>
            <w:t xml:space="preserve">   </w:t>
          </w:r>
          <w:r w:rsidR="00F161D7" w:rsidRPr="00F161D7">
            <w:rPr>
              <w:bCs/>
            </w:rPr>
            <w:t>Anexos………………………………………………………………</w:t>
          </w:r>
          <w:r w:rsidR="00E44DA6">
            <w:rPr>
              <w:bCs/>
            </w:rPr>
            <w:t>…….</w:t>
          </w:r>
          <w:r w:rsidR="00F161D7">
            <w:rPr>
              <w:bCs/>
            </w:rPr>
            <w:t>…</w:t>
          </w:r>
          <w:r w:rsidR="00F161D7" w:rsidRPr="00F161D7">
            <w:rPr>
              <w:bCs/>
            </w:rPr>
            <w:t>……………..</w:t>
          </w:r>
          <w:r w:rsidR="008753EE">
            <w:rPr>
              <w:bCs/>
            </w:rPr>
            <w:t>6</w:t>
          </w:r>
          <w:r w:rsidR="00E44DA6">
            <w:rPr>
              <w:bCs/>
            </w:rPr>
            <w:t>2</w:t>
          </w:r>
        </w:p>
      </w:sdtContent>
    </w:sdt>
    <w:bookmarkStart w:id="0" w:name="_Toc411001584" w:displacedByCustomXml="prev"/>
    <w:p w:rsidR="004B710F" w:rsidRDefault="004B710F">
      <w:r w:rsidRPr="00124AD6">
        <w:br w:type="page"/>
      </w:r>
    </w:p>
    <w:p w:rsidR="00A816E4" w:rsidRDefault="00A816E4"/>
    <w:p w:rsidR="00C61CA7" w:rsidRPr="00124AD6" w:rsidRDefault="00C61CA7" w:rsidP="00C61CA7">
      <w:pPr>
        <w:pStyle w:val="Ttulo1"/>
        <w:rPr>
          <w:lang w:val="es-MX"/>
        </w:rPr>
      </w:pPr>
      <w:bookmarkStart w:id="1" w:name="_Toc4742458"/>
      <w:bookmarkStart w:id="2" w:name="_Toc65064199"/>
      <w:bookmarkStart w:id="3" w:name="_Toc417992518"/>
      <w:bookmarkStart w:id="4" w:name="_Toc65826748"/>
      <w:r w:rsidRPr="00124AD6">
        <w:rPr>
          <w:lang w:val="es-MX"/>
        </w:rPr>
        <w:t>Entorno Macroeconómico Internacional</w:t>
      </w:r>
      <w:bookmarkEnd w:id="1"/>
      <w:bookmarkEnd w:id="2"/>
      <w:bookmarkEnd w:id="4"/>
    </w:p>
    <w:p w:rsidR="00C61CA7" w:rsidRPr="00124AD6" w:rsidRDefault="00C61CA7" w:rsidP="00C61CA7">
      <w:pPr>
        <w:rPr>
          <w:lang w:val="es-MX"/>
        </w:rPr>
      </w:pPr>
    </w:p>
    <w:p w:rsidR="00C61CA7" w:rsidRDefault="00C61CA7" w:rsidP="00C61CA7">
      <w:pPr>
        <w:pStyle w:val="Default"/>
        <w:jc w:val="both"/>
        <w:rPr>
          <w:rFonts w:ascii="Times New Roman" w:hAnsi="Times New Roman" w:cs="Times New Roman"/>
          <w:color w:val="auto"/>
        </w:rPr>
      </w:pPr>
      <w:r w:rsidRPr="00342AAF">
        <w:rPr>
          <w:rFonts w:ascii="Times New Roman" w:hAnsi="Times New Roman" w:cs="Times New Roman"/>
          <w:color w:val="auto"/>
        </w:rPr>
        <w:t>En 2</w:t>
      </w:r>
      <w:r>
        <w:rPr>
          <w:rFonts w:ascii="Times New Roman" w:hAnsi="Times New Roman" w:cs="Times New Roman"/>
          <w:color w:val="auto"/>
        </w:rPr>
        <w:t>020 la economía mundia</w:t>
      </w:r>
      <w:r w:rsidRPr="00342AAF">
        <w:rPr>
          <w:rFonts w:ascii="Times New Roman" w:hAnsi="Times New Roman" w:cs="Times New Roman"/>
          <w:color w:val="auto"/>
        </w:rPr>
        <w:t xml:space="preserve">l registró un </w:t>
      </w:r>
      <w:r>
        <w:rPr>
          <w:rFonts w:ascii="Times New Roman" w:hAnsi="Times New Roman" w:cs="Times New Roman"/>
          <w:color w:val="auto"/>
        </w:rPr>
        <w:t>de</w:t>
      </w:r>
      <w:r w:rsidRPr="00342AAF">
        <w:rPr>
          <w:rFonts w:ascii="Times New Roman" w:hAnsi="Times New Roman" w:cs="Times New Roman"/>
          <w:color w:val="auto"/>
        </w:rPr>
        <w:t xml:space="preserve">crecimiento </w:t>
      </w:r>
      <w:r w:rsidR="00611FAD">
        <w:rPr>
          <w:rFonts w:ascii="Times New Roman" w:hAnsi="Times New Roman" w:cs="Times New Roman"/>
          <w:color w:val="auto"/>
        </w:rPr>
        <w:t>aproximado</w:t>
      </w:r>
      <w:r w:rsidRPr="00342AAF">
        <w:rPr>
          <w:rFonts w:ascii="Times New Roman" w:hAnsi="Times New Roman" w:cs="Times New Roman"/>
          <w:color w:val="auto"/>
        </w:rPr>
        <w:t xml:space="preserve"> </w:t>
      </w:r>
      <w:r>
        <w:rPr>
          <w:rFonts w:ascii="Times New Roman" w:hAnsi="Times New Roman" w:cs="Times New Roman"/>
          <w:color w:val="auto"/>
        </w:rPr>
        <w:t>de</w:t>
      </w:r>
      <w:r w:rsidRPr="00342AAF">
        <w:rPr>
          <w:rFonts w:ascii="Times New Roman" w:hAnsi="Times New Roman" w:cs="Times New Roman"/>
          <w:color w:val="auto"/>
        </w:rPr>
        <w:t xml:space="preserve"> </w:t>
      </w:r>
      <w:r>
        <w:rPr>
          <w:rFonts w:ascii="Times New Roman" w:hAnsi="Times New Roman" w:cs="Times New Roman"/>
          <w:color w:val="auto"/>
        </w:rPr>
        <w:t>3.5</w:t>
      </w:r>
      <w:r w:rsidRPr="00342AAF">
        <w:rPr>
          <w:rFonts w:ascii="Times New Roman" w:hAnsi="Times New Roman" w:cs="Times New Roman"/>
          <w:color w:val="auto"/>
        </w:rPr>
        <w:t>%</w:t>
      </w:r>
      <w:r>
        <w:rPr>
          <w:rFonts w:ascii="Times New Roman" w:hAnsi="Times New Roman" w:cs="Times New Roman"/>
          <w:color w:val="auto"/>
        </w:rPr>
        <w:t xml:space="preserve"> originado por </w:t>
      </w:r>
      <w:r w:rsidRPr="003C7A1B">
        <w:rPr>
          <w:rFonts w:ascii="Times New Roman" w:hAnsi="Times New Roman" w:cs="Times New Roman"/>
          <w:color w:val="auto"/>
        </w:rPr>
        <w:t xml:space="preserve">la pandemia </w:t>
      </w:r>
      <w:r>
        <w:rPr>
          <w:rFonts w:ascii="Times New Roman" w:hAnsi="Times New Roman" w:cs="Times New Roman"/>
          <w:color w:val="auto"/>
        </w:rPr>
        <w:t>global de</w:t>
      </w:r>
      <w:r w:rsidR="00A816E4">
        <w:rPr>
          <w:rFonts w:ascii="Times New Roman" w:hAnsi="Times New Roman" w:cs="Times New Roman"/>
          <w:color w:val="auto"/>
        </w:rPr>
        <w:t>l</w:t>
      </w:r>
      <w:r>
        <w:rPr>
          <w:rFonts w:ascii="Times New Roman" w:hAnsi="Times New Roman" w:cs="Times New Roman"/>
          <w:color w:val="auto"/>
        </w:rPr>
        <w:t xml:space="preserve"> </w:t>
      </w:r>
      <w:r w:rsidRPr="003C7A1B">
        <w:rPr>
          <w:rFonts w:ascii="Times New Roman" w:hAnsi="Times New Roman" w:cs="Times New Roman"/>
          <w:color w:val="auto"/>
        </w:rPr>
        <w:t>C</w:t>
      </w:r>
      <w:r w:rsidR="00A816E4">
        <w:rPr>
          <w:rFonts w:ascii="Times New Roman" w:hAnsi="Times New Roman" w:cs="Times New Roman"/>
          <w:color w:val="auto"/>
        </w:rPr>
        <w:t>ovid-19</w:t>
      </w:r>
      <w:r>
        <w:rPr>
          <w:rFonts w:ascii="Times New Roman" w:hAnsi="Times New Roman" w:cs="Times New Roman"/>
          <w:color w:val="auto"/>
        </w:rPr>
        <w:t>. S</w:t>
      </w:r>
      <w:r w:rsidRPr="003C7A1B">
        <w:rPr>
          <w:rFonts w:ascii="Times New Roman" w:hAnsi="Times New Roman" w:cs="Times New Roman"/>
          <w:color w:val="auto"/>
        </w:rPr>
        <w:t xml:space="preserve">e espera que la producción económica se expanda un </w:t>
      </w:r>
      <w:r>
        <w:rPr>
          <w:rFonts w:ascii="Times New Roman" w:hAnsi="Times New Roman" w:cs="Times New Roman"/>
          <w:color w:val="auto"/>
        </w:rPr>
        <w:t>5.5</w:t>
      </w:r>
      <w:r w:rsidR="00A816E4">
        <w:rPr>
          <w:rFonts w:ascii="Times New Roman" w:hAnsi="Times New Roman" w:cs="Times New Roman"/>
          <w:color w:val="auto"/>
        </w:rPr>
        <w:t>%</w:t>
      </w:r>
      <w:r>
        <w:rPr>
          <w:rFonts w:ascii="Times New Roman" w:hAnsi="Times New Roman" w:cs="Times New Roman"/>
          <w:color w:val="auto"/>
        </w:rPr>
        <w:t xml:space="preserve"> </w:t>
      </w:r>
      <w:r w:rsidRPr="003C7A1B">
        <w:rPr>
          <w:rFonts w:ascii="Times New Roman" w:hAnsi="Times New Roman" w:cs="Times New Roman"/>
          <w:color w:val="auto"/>
        </w:rPr>
        <w:t>en 2021</w:t>
      </w:r>
      <w:r w:rsidR="00611FAD">
        <w:rPr>
          <w:rFonts w:ascii="Times New Roman" w:hAnsi="Times New Roman" w:cs="Times New Roman"/>
          <w:color w:val="auto"/>
        </w:rPr>
        <w:t>,</w:t>
      </w:r>
      <w:r w:rsidR="00A816E4">
        <w:rPr>
          <w:rFonts w:ascii="Times New Roman" w:hAnsi="Times New Roman" w:cs="Times New Roman"/>
          <w:color w:val="auto"/>
        </w:rPr>
        <w:t xml:space="preserve"> </w:t>
      </w:r>
      <w:r>
        <w:rPr>
          <w:rFonts w:ascii="Times New Roman" w:hAnsi="Times New Roman" w:cs="Times New Roman"/>
          <w:color w:val="auto"/>
        </w:rPr>
        <w:t>y de igual forma para el 2022</w:t>
      </w:r>
      <w:r w:rsidR="00611FAD">
        <w:rPr>
          <w:rFonts w:ascii="Times New Roman" w:hAnsi="Times New Roman" w:cs="Times New Roman"/>
          <w:color w:val="auto"/>
        </w:rPr>
        <w:t>,</w:t>
      </w:r>
      <w:r>
        <w:rPr>
          <w:rFonts w:ascii="Times New Roman" w:hAnsi="Times New Roman" w:cs="Times New Roman"/>
          <w:color w:val="auto"/>
        </w:rPr>
        <w:t xml:space="preserve"> se espera un c</w:t>
      </w:r>
      <w:r w:rsidRPr="003C7A1B">
        <w:rPr>
          <w:rFonts w:ascii="Times New Roman" w:hAnsi="Times New Roman" w:cs="Times New Roman"/>
          <w:color w:val="auto"/>
        </w:rPr>
        <w:t>recimiento global</w:t>
      </w:r>
      <w:r>
        <w:rPr>
          <w:rFonts w:ascii="Times New Roman" w:hAnsi="Times New Roman" w:cs="Times New Roman"/>
          <w:color w:val="auto"/>
        </w:rPr>
        <w:t xml:space="preserve"> en el orden del 4.2%. </w:t>
      </w:r>
      <w:r w:rsidRPr="003C7A1B">
        <w:rPr>
          <w:rFonts w:ascii="Times New Roman" w:hAnsi="Times New Roman" w:cs="Times New Roman"/>
          <w:color w:val="auto"/>
        </w:rPr>
        <w:t xml:space="preserve">En particular, </w:t>
      </w:r>
      <w:r>
        <w:rPr>
          <w:rFonts w:ascii="Times New Roman" w:hAnsi="Times New Roman" w:cs="Times New Roman"/>
          <w:color w:val="auto"/>
        </w:rPr>
        <w:t>derivado d</w:t>
      </w:r>
      <w:r w:rsidRPr="003C7A1B">
        <w:rPr>
          <w:rFonts w:ascii="Times New Roman" w:hAnsi="Times New Roman" w:cs="Times New Roman"/>
          <w:color w:val="auto"/>
        </w:rPr>
        <w:t>el impacto de</w:t>
      </w:r>
      <w:r>
        <w:rPr>
          <w:rFonts w:ascii="Times New Roman" w:hAnsi="Times New Roman" w:cs="Times New Roman"/>
          <w:color w:val="auto"/>
        </w:rPr>
        <w:t xml:space="preserve"> </w:t>
      </w:r>
      <w:r w:rsidRPr="003C7A1B">
        <w:rPr>
          <w:rFonts w:ascii="Times New Roman" w:hAnsi="Times New Roman" w:cs="Times New Roman"/>
          <w:color w:val="auto"/>
        </w:rPr>
        <w:t>la pandemia</w:t>
      </w:r>
      <w:r>
        <w:rPr>
          <w:rFonts w:ascii="Times New Roman" w:hAnsi="Times New Roman" w:cs="Times New Roman"/>
          <w:color w:val="auto"/>
        </w:rPr>
        <w:t>,</w:t>
      </w:r>
      <w:r w:rsidRPr="003C7A1B">
        <w:rPr>
          <w:rFonts w:ascii="Times New Roman" w:hAnsi="Times New Roman" w:cs="Times New Roman"/>
          <w:color w:val="auto"/>
        </w:rPr>
        <w:t xml:space="preserve"> se espera que </w:t>
      </w:r>
      <w:r>
        <w:rPr>
          <w:rFonts w:ascii="Times New Roman" w:hAnsi="Times New Roman" w:cs="Times New Roman"/>
          <w:color w:val="auto"/>
        </w:rPr>
        <w:t xml:space="preserve">se </w:t>
      </w:r>
      <w:r w:rsidRPr="003C7A1B">
        <w:rPr>
          <w:rFonts w:ascii="Times New Roman" w:hAnsi="Times New Roman" w:cs="Times New Roman"/>
          <w:color w:val="auto"/>
        </w:rPr>
        <w:t>erosione</w:t>
      </w:r>
      <w:r>
        <w:rPr>
          <w:rFonts w:ascii="Times New Roman" w:hAnsi="Times New Roman" w:cs="Times New Roman"/>
          <w:color w:val="auto"/>
        </w:rPr>
        <w:t>n</w:t>
      </w:r>
      <w:r w:rsidRPr="003C7A1B">
        <w:rPr>
          <w:rFonts w:ascii="Times New Roman" w:hAnsi="Times New Roman" w:cs="Times New Roman"/>
          <w:color w:val="auto"/>
        </w:rPr>
        <w:t xml:space="preserve"> las perspectivas de crecimiento</w:t>
      </w:r>
      <w:r>
        <w:rPr>
          <w:rFonts w:ascii="Times New Roman" w:hAnsi="Times New Roman" w:cs="Times New Roman"/>
          <w:color w:val="auto"/>
        </w:rPr>
        <w:t xml:space="preserve"> sobre las</w:t>
      </w:r>
      <w:r w:rsidRPr="003C7A1B">
        <w:rPr>
          <w:rFonts w:ascii="Times New Roman" w:hAnsi="Times New Roman" w:cs="Times New Roman"/>
          <w:color w:val="auto"/>
        </w:rPr>
        <w:t xml:space="preserve"> inversiones y </w:t>
      </w:r>
      <w:r>
        <w:rPr>
          <w:rFonts w:ascii="Times New Roman" w:hAnsi="Times New Roman" w:cs="Times New Roman"/>
          <w:color w:val="auto"/>
        </w:rPr>
        <w:t xml:space="preserve">el </w:t>
      </w:r>
      <w:r w:rsidRPr="003C7A1B">
        <w:rPr>
          <w:rFonts w:ascii="Times New Roman" w:hAnsi="Times New Roman" w:cs="Times New Roman"/>
          <w:color w:val="auto"/>
        </w:rPr>
        <w:t>capital humano</w:t>
      </w:r>
      <w:r>
        <w:rPr>
          <w:rFonts w:ascii="Times New Roman" w:hAnsi="Times New Roman" w:cs="Times New Roman"/>
          <w:color w:val="auto"/>
        </w:rPr>
        <w:t xml:space="preserve"> </w:t>
      </w:r>
      <w:r w:rsidRPr="003C7A1B">
        <w:rPr>
          <w:rFonts w:ascii="Times New Roman" w:hAnsi="Times New Roman" w:cs="Times New Roman"/>
          <w:color w:val="auto"/>
        </w:rPr>
        <w:t>en</w:t>
      </w:r>
      <w:r>
        <w:rPr>
          <w:rFonts w:ascii="Times New Roman" w:hAnsi="Times New Roman" w:cs="Times New Roman"/>
          <w:color w:val="auto"/>
        </w:rPr>
        <w:t xml:space="preserve"> las </w:t>
      </w:r>
      <w:r w:rsidRPr="003C7A1B">
        <w:rPr>
          <w:rFonts w:ascii="Times New Roman" w:hAnsi="Times New Roman" w:cs="Times New Roman"/>
          <w:color w:val="auto"/>
        </w:rPr>
        <w:t xml:space="preserve">economías en </w:t>
      </w:r>
      <w:r>
        <w:rPr>
          <w:rFonts w:ascii="Times New Roman" w:hAnsi="Times New Roman" w:cs="Times New Roman"/>
          <w:color w:val="auto"/>
        </w:rPr>
        <w:t xml:space="preserve">los países </w:t>
      </w:r>
      <w:r w:rsidR="00611FAD">
        <w:rPr>
          <w:rFonts w:ascii="Times New Roman" w:hAnsi="Times New Roman" w:cs="Times New Roman"/>
          <w:color w:val="auto"/>
        </w:rPr>
        <w:t xml:space="preserve">en </w:t>
      </w:r>
      <w:r w:rsidRPr="003C7A1B">
        <w:rPr>
          <w:rFonts w:ascii="Times New Roman" w:hAnsi="Times New Roman" w:cs="Times New Roman"/>
          <w:color w:val="auto"/>
        </w:rPr>
        <w:t>desarrollo</w:t>
      </w:r>
      <w:r>
        <w:rPr>
          <w:rFonts w:ascii="Times New Roman" w:hAnsi="Times New Roman" w:cs="Times New Roman"/>
          <w:color w:val="auto"/>
        </w:rPr>
        <w:t xml:space="preserve">, lo cual podría </w:t>
      </w:r>
      <w:r w:rsidRPr="003C7A1B">
        <w:rPr>
          <w:rFonts w:ascii="Times New Roman" w:hAnsi="Times New Roman" w:cs="Times New Roman"/>
          <w:color w:val="auto"/>
        </w:rPr>
        <w:t xml:space="preserve">retrasar los objetivos clave </w:t>
      </w:r>
      <w:r>
        <w:rPr>
          <w:rFonts w:ascii="Times New Roman" w:hAnsi="Times New Roman" w:cs="Times New Roman"/>
          <w:color w:val="auto"/>
        </w:rPr>
        <w:t>en el cumplimiento de la Agenda 2030.</w:t>
      </w:r>
    </w:p>
    <w:p w:rsidR="00C61CA7" w:rsidRDefault="00C61CA7" w:rsidP="00C61CA7">
      <w:pPr>
        <w:pStyle w:val="Default"/>
        <w:jc w:val="both"/>
        <w:rPr>
          <w:rFonts w:ascii="Times New Roman" w:hAnsi="Times New Roman" w:cs="Times New Roman"/>
          <w:color w:val="auto"/>
        </w:rPr>
      </w:pPr>
    </w:p>
    <w:p w:rsidR="00C61CA7" w:rsidRDefault="00C61CA7" w:rsidP="00C61CA7">
      <w:pPr>
        <w:pStyle w:val="Default"/>
        <w:jc w:val="both"/>
        <w:rPr>
          <w:rFonts w:ascii="Times New Roman" w:hAnsi="Times New Roman" w:cs="Times New Roman"/>
          <w:color w:val="auto"/>
        </w:rPr>
      </w:pPr>
      <w:r>
        <w:rPr>
          <w:rFonts w:ascii="Times New Roman" w:hAnsi="Times New Roman" w:cs="Times New Roman"/>
          <w:color w:val="auto"/>
        </w:rPr>
        <w:t>A nivel g</w:t>
      </w:r>
      <w:r w:rsidRPr="003C7A1B">
        <w:rPr>
          <w:rFonts w:ascii="Times New Roman" w:hAnsi="Times New Roman" w:cs="Times New Roman"/>
          <w:color w:val="auto"/>
        </w:rPr>
        <w:t>lobal</w:t>
      </w:r>
      <w:r>
        <w:rPr>
          <w:rFonts w:ascii="Times New Roman" w:hAnsi="Times New Roman" w:cs="Times New Roman"/>
          <w:color w:val="auto"/>
        </w:rPr>
        <w:t xml:space="preserve">, la </w:t>
      </w:r>
      <w:r w:rsidRPr="003C7A1B">
        <w:rPr>
          <w:rFonts w:ascii="Times New Roman" w:hAnsi="Times New Roman" w:cs="Times New Roman"/>
          <w:color w:val="auto"/>
        </w:rPr>
        <w:t xml:space="preserve">recuperación se ha visto </w:t>
      </w:r>
      <w:r>
        <w:rPr>
          <w:rFonts w:ascii="Times New Roman" w:hAnsi="Times New Roman" w:cs="Times New Roman"/>
          <w:color w:val="auto"/>
        </w:rPr>
        <w:t>limitada</w:t>
      </w:r>
      <w:r w:rsidRPr="003C7A1B">
        <w:rPr>
          <w:rFonts w:ascii="Times New Roman" w:hAnsi="Times New Roman" w:cs="Times New Roman"/>
          <w:color w:val="auto"/>
        </w:rPr>
        <w:t xml:space="preserve"> por un resurgimiento de casos de C</w:t>
      </w:r>
      <w:r w:rsidR="00E57AC9">
        <w:rPr>
          <w:rFonts w:ascii="Times New Roman" w:hAnsi="Times New Roman" w:cs="Times New Roman"/>
          <w:color w:val="auto"/>
        </w:rPr>
        <w:t>ovid</w:t>
      </w:r>
      <w:r w:rsidRPr="003C7A1B">
        <w:rPr>
          <w:rFonts w:ascii="Times New Roman" w:hAnsi="Times New Roman" w:cs="Times New Roman"/>
          <w:color w:val="auto"/>
        </w:rPr>
        <w:t>-19,</w:t>
      </w:r>
      <w:r w:rsidR="00E57AC9">
        <w:rPr>
          <w:rFonts w:ascii="Times New Roman" w:hAnsi="Times New Roman" w:cs="Times New Roman"/>
          <w:color w:val="auto"/>
        </w:rPr>
        <w:t xml:space="preserve"> por lo que</w:t>
      </w:r>
      <w:r w:rsidRPr="003C7A1B">
        <w:rPr>
          <w:rFonts w:ascii="Times New Roman" w:hAnsi="Times New Roman" w:cs="Times New Roman"/>
          <w:color w:val="auto"/>
        </w:rPr>
        <w:t xml:space="preserve"> se espera que </w:t>
      </w:r>
      <w:r>
        <w:rPr>
          <w:rFonts w:ascii="Times New Roman" w:hAnsi="Times New Roman" w:cs="Times New Roman"/>
          <w:color w:val="auto"/>
        </w:rPr>
        <w:t xml:space="preserve">la actividad económica </w:t>
      </w:r>
      <w:r w:rsidRPr="003C7A1B">
        <w:rPr>
          <w:rFonts w:ascii="Times New Roman" w:hAnsi="Times New Roman" w:cs="Times New Roman"/>
          <w:color w:val="auto"/>
        </w:rPr>
        <w:t>se fortalezca en el horizonte de pronóstico</w:t>
      </w:r>
      <w:r>
        <w:rPr>
          <w:rFonts w:ascii="Times New Roman" w:hAnsi="Times New Roman" w:cs="Times New Roman"/>
          <w:color w:val="auto"/>
        </w:rPr>
        <w:t xml:space="preserve"> derivado de un incremento en </w:t>
      </w:r>
      <w:r w:rsidRPr="003C7A1B">
        <w:rPr>
          <w:rFonts w:ascii="Times New Roman" w:hAnsi="Times New Roman" w:cs="Times New Roman"/>
          <w:color w:val="auto"/>
        </w:rPr>
        <w:t>l</w:t>
      </w:r>
      <w:r>
        <w:rPr>
          <w:rFonts w:ascii="Times New Roman" w:hAnsi="Times New Roman" w:cs="Times New Roman"/>
          <w:color w:val="auto"/>
        </w:rPr>
        <w:t>os niveles de</w:t>
      </w:r>
      <w:r w:rsidRPr="003C7A1B">
        <w:rPr>
          <w:rFonts w:ascii="Times New Roman" w:hAnsi="Times New Roman" w:cs="Times New Roman"/>
          <w:color w:val="auto"/>
        </w:rPr>
        <w:t xml:space="preserve"> confianza, el consumo y </w:t>
      </w:r>
      <w:r>
        <w:rPr>
          <w:rFonts w:ascii="Times New Roman" w:hAnsi="Times New Roman" w:cs="Times New Roman"/>
          <w:color w:val="auto"/>
        </w:rPr>
        <w:t>mejoras graduales en el c</w:t>
      </w:r>
      <w:r w:rsidRPr="003C7A1B">
        <w:rPr>
          <w:rFonts w:ascii="Times New Roman" w:hAnsi="Times New Roman" w:cs="Times New Roman"/>
          <w:color w:val="auto"/>
        </w:rPr>
        <w:t xml:space="preserve">omercio </w:t>
      </w:r>
      <w:r>
        <w:rPr>
          <w:rFonts w:ascii="Times New Roman" w:hAnsi="Times New Roman" w:cs="Times New Roman"/>
          <w:color w:val="auto"/>
        </w:rPr>
        <w:t xml:space="preserve">como resultado de los avances respecto de los efectos positivos en la contención de la </w:t>
      </w:r>
      <w:r w:rsidRPr="00C5075D">
        <w:rPr>
          <w:rFonts w:ascii="Times New Roman" w:hAnsi="Times New Roman" w:cs="Times New Roman"/>
          <w:color w:val="auto"/>
        </w:rPr>
        <w:t xml:space="preserve">propagación del virus </w:t>
      </w:r>
      <w:r>
        <w:rPr>
          <w:rFonts w:ascii="Times New Roman" w:hAnsi="Times New Roman" w:cs="Times New Roman"/>
          <w:color w:val="auto"/>
        </w:rPr>
        <w:t xml:space="preserve">y de la </w:t>
      </w:r>
      <w:r w:rsidRPr="00C5075D">
        <w:rPr>
          <w:rFonts w:ascii="Times New Roman" w:hAnsi="Times New Roman" w:cs="Times New Roman"/>
          <w:color w:val="auto"/>
        </w:rPr>
        <w:t>adquisición y distribución</w:t>
      </w:r>
      <w:r>
        <w:rPr>
          <w:rFonts w:ascii="Times New Roman" w:hAnsi="Times New Roman" w:cs="Times New Roman"/>
          <w:color w:val="auto"/>
        </w:rPr>
        <w:t xml:space="preserve"> de la vacuna</w:t>
      </w:r>
      <w:r w:rsidR="00E57AC9">
        <w:rPr>
          <w:rFonts w:ascii="Times New Roman" w:hAnsi="Times New Roman" w:cs="Times New Roman"/>
          <w:color w:val="auto"/>
        </w:rPr>
        <w:t xml:space="preserve"> para contrarrestarlo</w:t>
      </w:r>
      <w:r>
        <w:rPr>
          <w:rFonts w:ascii="Times New Roman" w:hAnsi="Times New Roman" w:cs="Times New Roman"/>
          <w:color w:val="auto"/>
        </w:rPr>
        <w:t>.</w:t>
      </w:r>
    </w:p>
    <w:p w:rsidR="00C61CA7" w:rsidRDefault="00C61CA7" w:rsidP="00C61CA7">
      <w:pPr>
        <w:pStyle w:val="Default"/>
        <w:jc w:val="both"/>
        <w:rPr>
          <w:rFonts w:ascii="Times New Roman" w:hAnsi="Times New Roman" w:cs="Times New Roman"/>
          <w:color w:val="auto"/>
        </w:rPr>
      </w:pPr>
    </w:p>
    <w:p w:rsidR="00C61CA7" w:rsidRDefault="00C61CA7" w:rsidP="00C61CA7">
      <w:pPr>
        <w:pStyle w:val="Default"/>
        <w:jc w:val="both"/>
        <w:rPr>
          <w:rFonts w:ascii="Times New Roman" w:hAnsi="Times New Roman" w:cs="Times New Roman"/>
          <w:color w:val="auto"/>
        </w:rPr>
      </w:pPr>
      <w:r w:rsidRPr="00C5075D">
        <w:rPr>
          <w:rFonts w:ascii="Times New Roman" w:hAnsi="Times New Roman" w:cs="Times New Roman"/>
          <w:color w:val="auto"/>
        </w:rPr>
        <w:t>A medida que la crisis disminuye, la política</w:t>
      </w:r>
      <w:r>
        <w:rPr>
          <w:rFonts w:ascii="Times New Roman" w:hAnsi="Times New Roman" w:cs="Times New Roman"/>
          <w:color w:val="auto"/>
        </w:rPr>
        <w:t xml:space="preserve"> fiscal mantiene el desafío de </w:t>
      </w:r>
      <w:r w:rsidRPr="00C5075D">
        <w:rPr>
          <w:rFonts w:ascii="Times New Roman" w:hAnsi="Times New Roman" w:cs="Times New Roman"/>
          <w:color w:val="auto"/>
        </w:rPr>
        <w:t xml:space="preserve">equilibrar los riesgos de </w:t>
      </w:r>
      <w:r>
        <w:rPr>
          <w:rFonts w:ascii="Times New Roman" w:hAnsi="Times New Roman" w:cs="Times New Roman"/>
          <w:color w:val="auto"/>
        </w:rPr>
        <w:t xml:space="preserve">contratación de </w:t>
      </w:r>
      <w:r w:rsidRPr="00C5075D">
        <w:rPr>
          <w:rFonts w:ascii="Times New Roman" w:hAnsi="Times New Roman" w:cs="Times New Roman"/>
          <w:color w:val="auto"/>
        </w:rPr>
        <w:t>grandes y</w:t>
      </w:r>
      <w:r>
        <w:rPr>
          <w:rFonts w:ascii="Times New Roman" w:hAnsi="Times New Roman" w:cs="Times New Roman"/>
          <w:color w:val="auto"/>
        </w:rPr>
        <w:t xml:space="preserve"> </w:t>
      </w:r>
      <w:r w:rsidRPr="00C5075D">
        <w:rPr>
          <w:rFonts w:ascii="Times New Roman" w:hAnsi="Times New Roman" w:cs="Times New Roman"/>
          <w:color w:val="auto"/>
        </w:rPr>
        <w:t>crecientes cargas de deuda</w:t>
      </w:r>
      <w:r>
        <w:rPr>
          <w:rFonts w:ascii="Times New Roman" w:hAnsi="Times New Roman" w:cs="Times New Roman"/>
          <w:color w:val="auto"/>
        </w:rPr>
        <w:t xml:space="preserve">, </w:t>
      </w:r>
      <w:r w:rsidRPr="00C5075D">
        <w:rPr>
          <w:rFonts w:ascii="Times New Roman" w:hAnsi="Times New Roman" w:cs="Times New Roman"/>
          <w:color w:val="auto"/>
        </w:rPr>
        <w:t>con la</w:t>
      </w:r>
      <w:r>
        <w:rPr>
          <w:rFonts w:ascii="Times New Roman" w:hAnsi="Times New Roman" w:cs="Times New Roman"/>
          <w:color w:val="auto"/>
        </w:rPr>
        <w:t xml:space="preserve"> </w:t>
      </w:r>
      <w:r w:rsidRPr="00C5075D">
        <w:rPr>
          <w:rFonts w:ascii="Times New Roman" w:hAnsi="Times New Roman" w:cs="Times New Roman"/>
          <w:color w:val="auto"/>
        </w:rPr>
        <w:t>desacelera</w:t>
      </w:r>
      <w:r>
        <w:rPr>
          <w:rFonts w:ascii="Times New Roman" w:hAnsi="Times New Roman" w:cs="Times New Roman"/>
          <w:color w:val="auto"/>
        </w:rPr>
        <w:t xml:space="preserve">ción de la </w:t>
      </w:r>
      <w:r w:rsidRPr="00C5075D">
        <w:rPr>
          <w:rFonts w:ascii="Times New Roman" w:hAnsi="Times New Roman" w:cs="Times New Roman"/>
          <w:color w:val="auto"/>
        </w:rPr>
        <w:t>economía mediante un prematuro</w:t>
      </w:r>
      <w:r>
        <w:rPr>
          <w:rFonts w:ascii="Times New Roman" w:hAnsi="Times New Roman" w:cs="Times New Roman"/>
          <w:color w:val="auto"/>
        </w:rPr>
        <w:t xml:space="preserve"> ajuste de los niveles de est</w:t>
      </w:r>
      <w:r w:rsidR="00E57AC9">
        <w:rPr>
          <w:rFonts w:ascii="Times New Roman" w:hAnsi="Times New Roman" w:cs="Times New Roman"/>
          <w:color w:val="auto"/>
        </w:rPr>
        <w:t>í</w:t>
      </w:r>
      <w:r>
        <w:rPr>
          <w:rFonts w:ascii="Times New Roman" w:hAnsi="Times New Roman" w:cs="Times New Roman"/>
          <w:color w:val="auto"/>
        </w:rPr>
        <w:t xml:space="preserve">mulo fiscal y el déficit que </w:t>
      </w:r>
      <w:r w:rsidR="00E57AC9">
        <w:rPr>
          <w:rFonts w:ascii="Times New Roman" w:hAnsi="Times New Roman" w:cs="Times New Roman"/>
          <w:color w:val="auto"/>
        </w:rPr>
        <w:t>é</w:t>
      </w:r>
      <w:r>
        <w:rPr>
          <w:rFonts w:ascii="Times New Roman" w:hAnsi="Times New Roman" w:cs="Times New Roman"/>
          <w:color w:val="auto"/>
        </w:rPr>
        <w:t>ste provoca.</w:t>
      </w:r>
    </w:p>
    <w:p w:rsidR="00A816E4" w:rsidRPr="00CF443E" w:rsidRDefault="00A816E4" w:rsidP="00C61CA7">
      <w:pPr>
        <w:pStyle w:val="Default"/>
        <w:jc w:val="both"/>
        <w:rPr>
          <w:rFonts w:ascii="Times New Roman" w:hAnsi="Times New Roman" w:cs="Times New Roman"/>
          <w:color w:val="auto"/>
          <w:sz w:val="36"/>
        </w:rPr>
      </w:pPr>
    </w:p>
    <w:p w:rsidR="00C61CA7" w:rsidRPr="00190F0E" w:rsidRDefault="00C61CA7" w:rsidP="00C61CA7">
      <w:pPr>
        <w:jc w:val="center"/>
        <w:rPr>
          <w:b/>
        </w:rPr>
      </w:pPr>
      <w:r w:rsidRPr="00190F0E">
        <w:rPr>
          <w:b/>
        </w:rPr>
        <w:t>Cuadro 1</w:t>
      </w:r>
    </w:p>
    <w:p w:rsidR="00C61CA7" w:rsidRPr="00124AD6" w:rsidRDefault="00C61CA7" w:rsidP="00C61CA7">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Crecimiento Económico Mundial</w:t>
      </w:r>
    </w:p>
    <w:p w:rsidR="00C61CA7" w:rsidRDefault="00C61CA7" w:rsidP="00C61CA7">
      <w:pPr>
        <w:autoSpaceDE w:val="0"/>
        <w:autoSpaceDN w:val="0"/>
        <w:adjustRightInd w:val="0"/>
        <w:jc w:val="center"/>
        <w:rPr>
          <w:rFonts w:eastAsia="Calibri"/>
          <w:b/>
          <w:bCs/>
          <w:color w:val="000000"/>
          <w:lang w:val="es-GT" w:eastAsia="es-GT"/>
        </w:rPr>
      </w:pPr>
      <w:r>
        <w:rPr>
          <w:rFonts w:eastAsia="Calibri"/>
          <w:b/>
          <w:bCs/>
          <w:color w:val="000000"/>
          <w:lang w:val="es-GT" w:eastAsia="es-GT"/>
        </w:rPr>
        <w:t xml:space="preserve">Período </w:t>
      </w:r>
      <w:r w:rsidRPr="00124AD6">
        <w:rPr>
          <w:rFonts w:eastAsia="Calibri"/>
          <w:b/>
          <w:bCs/>
          <w:color w:val="000000"/>
          <w:lang w:val="es-GT" w:eastAsia="es-GT"/>
        </w:rPr>
        <w:t>20</w:t>
      </w:r>
      <w:r>
        <w:rPr>
          <w:rFonts w:eastAsia="Calibri"/>
          <w:b/>
          <w:bCs/>
          <w:color w:val="000000"/>
          <w:lang w:val="es-GT" w:eastAsia="es-GT"/>
        </w:rPr>
        <w:t>19</w:t>
      </w:r>
      <w:r w:rsidR="00E57AC9">
        <w:rPr>
          <w:rFonts w:eastAsia="Calibri"/>
          <w:b/>
          <w:bCs/>
          <w:color w:val="000000"/>
          <w:lang w:val="es-GT" w:eastAsia="es-GT"/>
        </w:rPr>
        <w:t xml:space="preserve"> - </w:t>
      </w:r>
      <w:r>
        <w:rPr>
          <w:rFonts w:eastAsia="Calibri"/>
          <w:b/>
          <w:bCs/>
          <w:color w:val="000000"/>
          <w:lang w:val="es-GT" w:eastAsia="es-GT"/>
        </w:rPr>
        <w:t>2022</w:t>
      </w:r>
    </w:p>
    <w:p w:rsidR="00C61CA7" w:rsidRDefault="00C61CA7" w:rsidP="00C61CA7">
      <w:pPr>
        <w:autoSpaceDE w:val="0"/>
        <w:autoSpaceDN w:val="0"/>
        <w:adjustRightInd w:val="0"/>
        <w:jc w:val="center"/>
        <w:rPr>
          <w:rFonts w:eastAsia="Calibri"/>
          <w:b/>
          <w:color w:val="000000"/>
          <w:lang w:val="es-GT" w:eastAsia="es-GT"/>
        </w:rPr>
      </w:pPr>
      <w:r>
        <w:rPr>
          <w:rFonts w:eastAsia="Calibri"/>
          <w:b/>
          <w:bCs/>
          <w:color w:val="000000"/>
          <w:lang w:val="es-GT" w:eastAsia="es-GT"/>
        </w:rPr>
        <w:t>(Cifras en P</w:t>
      </w:r>
      <w:r w:rsidRPr="00190F0E">
        <w:rPr>
          <w:rFonts w:eastAsia="Calibri"/>
          <w:b/>
          <w:color w:val="000000"/>
          <w:lang w:val="es-GT" w:eastAsia="es-GT"/>
        </w:rPr>
        <w:t>orcentajes</w:t>
      </w:r>
      <w:r>
        <w:rPr>
          <w:rFonts w:eastAsia="Calibri"/>
          <w:b/>
          <w:color w:val="000000"/>
          <w:lang w:val="es-GT" w:eastAsia="es-GT"/>
        </w:rPr>
        <w:t>)</w:t>
      </w:r>
    </w:p>
    <w:tbl>
      <w:tblPr>
        <w:tblW w:w="9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81"/>
        <w:gridCol w:w="1418"/>
        <w:gridCol w:w="1275"/>
        <w:gridCol w:w="1276"/>
        <w:gridCol w:w="1276"/>
      </w:tblGrid>
      <w:tr w:rsidR="00C61CA7" w:rsidRPr="000143C2" w:rsidTr="0092157A">
        <w:trPr>
          <w:trHeight w:val="314"/>
        </w:trPr>
        <w:tc>
          <w:tcPr>
            <w:tcW w:w="4181" w:type="dxa"/>
            <w:shd w:val="clear" w:color="auto" w:fill="00ADEA"/>
            <w:noWrap/>
            <w:vAlign w:val="bottom"/>
            <w:hideMark/>
          </w:tcPr>
          <w:p w:rsidR="00C61CA7" w:rsidRPr="000143C2" w:rsidRDefault="000143C2" w:rsidP="000143C2">
            <w:pPr>
              <w:jc w:val="center"/>
              <w:rPr>
                <w:b/>
                <w:color w:val="000000"/>
                <w:lang w:val="es-GT" w:eastAsia="es-GT"/>
              </w:rPr>
            </w:pPr>
            <w:r w:rsidRPr="000143C2">
              <w:rPr>
                <w:b/>
                <w:color w:val="000000"/>
                <w:lang w:val="es-GT" w:eastAsia="es-GT"/>
              </w:rPr>
              <w:t>Descripción</w:t>
            </w:r>
          </w:p>
        </w:tc>
        <w:tc>
          <w:tcPr>
            <w:tcW w:w="1418" w:type="dxa"/>
            <w:shd w:val="clear" w:color="auto" w:fill="00ADEA"/>
            <w:noWrap/>
            <w:vAlign w:val="center"/>
            <w:hideMark/>
          </w:tcPr>
          <w:p w:rsidR="00C61CA7" w:rsidRPr="000143C2" w:rsidRDefault="00C61CA7" w:rsidP="000143C2">
            <w:pPr>
              <w:jc w:val="center"/>
              <w:rPr>
                <w:b/>
                <w:bCs/>
                <w:color w:val="000000"/>
                <w:lang w:val="es-GT" w:eastAsia="es-GT"/>
              </w:rPr>
            </w:pPr>
            <w:r w:rsidRPr="000143C2">
              <w:rPr>
                <w:b/>
                <w:bCs/>
                <w:color w:val="000000"/>
                <w:lang w:val="es-GT" w:eastAsia="es-GT"/>
              </w:rPr>
              <w:t>2019</w:t>
            </w:r>
          </w:p>
        </w:tc>
        <w:tc>
          <w:tcPr>
            <w:tcW w:w="1275" w:type="dxa"/>
            <w:shd w:val="clear" w:color="auto" w:fill="00ADEA"/>
            <w:noWrap/>
            <w:vAlign w:val="center"/>
            <w:hideMark/>
          </w:tcPr>
          <w:p w:rsidR="00C61CA7" w:rsidRPr="000143C2" w:rsidRDefault="00C61CA7" w:rsidP="000143C2">
            <w:pPr>
              <w:jc w:val="center"/>
              <w:rPr>
                <w:b/>
                <w:bCs/>
                <w:color w:val="000000"/>
                <w:lang w:val="es-GT" w:eastAsia="es-GT"/>
              </w:rPr>
            </w:pPr>
            <w:r w:rsidRPr="000143C2">
              <w:rPr>
                <w:b/>
                <w:bCs/>
                <w:color w:val="000000"/>
                <w:lang w:val="es-GT" w:eastAsia="es-GT"/>
              </w:rPr>
              <w:t>2020/e</w:t>
            </w:r>
          </w:p>
        </w:tc>
        <w:tc>
          <w:tcPr>
            <w:tcW w:w="1276" w:type="dxa"/>
            <w:shd w:val="clear" w:color="auto" w:fill="00ADEA"/>
            <w:noWrap/>
            <w:vAlign w:val="center"/>
            <w:hideMark/>
          </w:tcPr>
          <w:p w:rsidR="00C61CA7" w:rsidRPr="000143C2" w:rsidRDefault="00C61CA7" w:rsidP="000143C2">
            <w:pPr>
              <w:jc w:val="center"/>
              <w:rPr>
                <w:b/>
                <w:bCs/>
                <w:color w:val="000000"/>
                <w:lang w:val="es-GT" w:eastAsia="es-GT"/>
              </w:rPr>
            </w:pPr>
            <w:r w:rsidRPr="000143C2">
              <w:rPr>
                <w:b/>
                <w:bCs/>
                <w:color w:val="000000"/>
                <w:lang w:val="es-GT" w:eastAsia="es-GT"/>
              </w:rPr>
              <w:t>2021/</w:t>
            </w:r>
            <w:r w:rsidR="00E57AC9" w:rsidRPr="000143C2">
              <w:rPr>
                <w:b/>
                <w:bCs/>
                <w:color w:val="000000"/>
                <w:lang w:val="es-GT" w:eastAsia="es-GT"/>
              </w:rPr>
              <w:t>p</w:t>
            </w:r>
          </w:p>
        </w:tc>
        <w:tc>
          <w:tcPr>
            <w:tcW w:w="1276" w:type="dxa"/>
            <w:shd w:val="clear" w:color="auto" w:fill="00ADEA"/>
            <w:noWrap/>
            <w:vAlign w:val="center"/>
            <w:hideMark/>
          </w:tcPr>
          <w:p w:rsidR="00C61CA7" w:rsidRPr="000143C2" w:rsidRDefault="00C61CA7" w:rsidP="000143C2">
            <w:pPr>
              <w:jc w:val="center"/>
              <w:rPr>
                <w:b/>
                <w:bCs/>
                <w:color w:val="000000"/>
                <w:lang w:val="es-GT" w:eastAsia="es-GT"/>
              </w:rPr>
            </w:pPr>
            <w:r w:rsidRPr="000143C2">
              <w:rPr>
                <w:b/>
                <w:bCs/>
                <w:color w:val="000000"/>
                <w:lang w:val="es-GT" w:eastAsia="es-GT"/>
              </w:rPr>
              <w:t>2022/p</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rPr>
                <w:b/>
                <w:bCs/>
                <w:color w:val="000000"/>
                <w:lang w:val="es-GT" w:eastAsia="es-GT"/>
              </w:rPr>
            </w:pPr>
            <w:r w:rsidRPr="000044B0">
              <w:rPr>
                <w:b/>
                <w:bCs/>
                <w:color w:val="000000"/>
                <w:lang w:val="es-GT" w:eastAsia="es-GT"/>
              </w:rPr>
              <w:t>Producto Mundial</w:t>
            </w:r>
          </w:p>
        </w:tc>
        <w:tc>
          <w:tcPr>
            <w:tcW w:w="1418" w:type="dxa"/>
            <w:shd w:val="clear" w:color="000000" w:fill="FFFFFF"/>
            <w:noWrap/>
            <w:vAlign w:val="bottom"/>
            <w:hideMark/>
          </w:tcPr>
          <w:p w:rsidR="00C61CA7" w:rsidRPr="000044B0" w:rsidRDefault="00C61CA7" w:rsidP="00A816E4">
            <w:pPr>
              <w:jc w:val="center"/>
              <w:rPr>
                <w:b/>
                <w:bCs/>
                <w:color w:val="000000"/>
                <w:lang w:val="es-GT" w:eastAsia="es-GT"/>
              </w:rPr>
            </w:pPr>
            <w:r w:rsidRPr="000044B0">
              <w:rPr>
                <w:b/>
                <w:bCs/>
                <w:color w:val="000000"/>
                <w:lang w:val="es-GT" w:eastAsia="es-GT"/>
              </w:rPr>
              <w:t>2.9</w:t>
            </w:r>
          </w:p>
        </w:tc>
        <w:tc>
          <w:tcPr>
            <w:tcW w:w="1275" w:type="dxa"/>
            <w:shd w:val="clear" w:color="000000" w:fill="FFFFFF"/>
            <w:noWrap/>
            <w:vAlign w:val="bottom"/>
            <w:hideMark/>
          </w:tcPr>
          <w:p w:rsidR="00C61CA7" w:rsidRPr="000044B0" w:rsidRDefault="00C61CA7" w:rsidP="00E57AC9">
            <w:pPr>
              <w:jc w:val="center"/>
              <w:rPr>
                <w:b/>
                <w:bCs/>
                <w:color w:val="000000"/>
                <w:lang w:val="es-GT" w:eastAsia="es-GT"/>
              </w:rPr>
            </w:pPr>
            <w:r w:rsidRPr="000044B0">
              <w:rPr>
                <w:b/>
                <w:bCs/>
                <w:color w:val="000000"/>
                <w:lang w:val="es-GT" w:eastAsia="es-GT"/>
              </w:rPr>
              <w:t>-3.5</w:t>
            </w:r>
          </w:p>
        </w:tc>
        <w:tc>
          <w:tcPr>
            <w:tcW w:w="1276" w:type="dxa"/>
            <w:shd w:val="clear" w:color="000000" w:fill="FFFFFF"/>
            <w:noWrap/>
            <w:vAlign w:val="bottom"/>
            <w:hideMark/>
          </w:tcPr>
          <w:p w:rsidR="00C61CA7" w:rsidRPr="000044B0" w:rsidRDefault="00C61CA7" w:rsidP="00E57AC9">
            <w:pPr>
              <w:jc w:val="center"/>
              <w:rPr>
                <w:b/>
                <w:bCs/>
                <w:color w:val="000000"/>
                <w:lang w:val="es-GT" w:eastAsia="es-GT"/>
              </w:rPr>
            </w:pPr>
            <w:r w:rsidRPr="000044B0">
              <w:rPr>
                <w:b/>
                <w:bCs/>
                <w:color w:val="000000"/>
                <w:lang w:val="es-GT" w:eastAsia="es-GT"/>
              </w:rPr>
              <w:t>5.5</w:t>
            </w:r>
          </w:p>
        </w:tc>
        <w:tc>
          <w:tcPr>
            <w:tcW w:w="1276" w:type="dxa"/>
            <w:shd w:val="clear" w:color="auto" w:fill="auto"/>
            <w:noWrap/>
            <w:vAlign w:val="bottom"/>
            <w:hideMark/>
          </w:tcPr>
          <w:p w:rsidR="00C61CA7" w:rsidRPr="00E57AC9" w:rsidRDefault="00C61CA7" w:rsidP="00E57AC9">
            <w:pPr>
              <w:jc w:val="center"/>
              <w:rPr>
                <w:b/>
                <w:color w:val="000000"/>
                <w:lang w:val="es-GT" w:eastAsia="es-GT"/>
              </w:rPr>
            </w:pPr>
            <w:r w:rsidRPr="00E57AC9">
              <w:rPr>
                <w:b/>
                <w:color w:val="000000"/>
                <w:lang w:val="es-GT" w:eastAsia="es-GT"/>
              </w:rPr>
              <w:t>4.2</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rPr>
                <w:b/>
                <w:bCs/>
                <w:color w:val="000000"/>
                <w:lang w:val="es-GT" w:eastAsia="es-GT"/>
              </w:rPr>
            </w:pPr>
            <w:r w:rsidRPr="000044B0">
              <w:rPr>
                <w:b/>
                <w:bCs/>
                <w:color w:val="000000"/>
                <w:lang w:val="es-GT" w:eastAsia="es-GT"/>
              </w:rPr>
              <w:t>Economías Avanzadas</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1.7</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-4.9</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4.3</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3.1</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100" w:firstLine="220"/>
              <w:rPr>
                <w:color w:val="000000"/>
                <w:sz w:val="22"/>
                <w:szCs w:val="22"/>
                <w:lang w:val="es-GT" w:eastAsia="es-GT"/>
              </w:rPr>
            </w:pPr>
            <w:r w:rsidRPr="000044B0">
              <w:rPr>
                <w:color w:val="000000"/>
                <w:sz w:val="22"/>
                <w:szCs w:val="22"/>
                <w:lang w:val="es-GT" w:eastAsia="es-GT"/>
              </w:rPr>
              <w:t>Estados Unidos</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2.3</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-3.4</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5.1</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2.5</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100" w:firstLine="220"/>
              <w:rPr>
                <w:color w:val="000000"/>
                <w:sz w:val="22"/>
                <w:szCs w:val="22"/>
                <w:lang w:val="es-GT" w:eastAsia="es-GT"/>
              </w:rPr>
            </w:pPr>
            <w:r w:rsidRPr="000044B0">
              <w:rPr>
                <w:color w:val="000000"/>
                <w:sz w:val="22"/>
                <w:szCs w:val="22"/>
                <w:lang w:val="es-GT" w:eastAsia="es-GT"/>
              </w:rPr>
              <w:t>Zona del Euro</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1.2</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-7.2</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4.2</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3.6</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200" w:firstLine="440"/>
              <w:rPr>
                <w:color w:val="000000"/>
                <w:sz w:val="22"/>
                <w:szCs w:val="22"/>
                <w:lang w:val="es-GT" w:eastAsia="es-GT"/>
              </w:rPr>
            </w:pPr>
            <w:r w:rsidRPr="000044B0">
              <w:rPr>
                <w:color w:val="000000"/>
                <w:sz w:val="22"/>
                <w:szCs w:val="22"/>
                <w:lang w:val="es-GT" w:eastAsia="es-GT"/>
              </w:rPr>
              <w:t>Alemania</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1.3</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-5.4</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3.5</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3.1</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200" w:firstLine="440"/>
              <w:rPr>
                <w:color w:val="000000"/>
                <w:sz w:val="22"/>
                <w:szCs w:val="22"/>
                <w:lang w:val="es-GT" w:eastAsia="es-GT"/>
              </w:rPr>
            </w:pPr>
            <w:r w:rsidRPr="000044B0">
              <w:rPr>
                <w:color w:val="000000"/>
                <w:sz w:val="22"/>
                <w:szCs w:val="22"/>
                <w:lang w:val="es-GT" w:eastAsia="es-GT"/>
              </w:rPr>
              <w:t>Francia</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1.5</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-9</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5.5</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4.1</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200" w:firstLine="440"/>
              <w:rPr>
                <w:color w:val="000000"/>
                <w:sz w:val="22"/>
                <w:szCs w:val="22"/>
                <w:lang w:val="es-GT" w:eastAsia="es-GT"/>
              </w:rPr>
            </w:pPr>
            <w:r w:rsidRPr="000044B0">
              <w:rPr>
                <w:color w:val="000000"/>
                <w:sz w:val="22"/>
                <w:szCs w:val="22"/>
                <w:lang w:val="es-GT" w:eastAsia="es-GT"/>
              </w:rPr>
              <w:t xml:space="preserve">Italia </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0.6</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-9.2</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3</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3.6</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200" w:firstLine="440"/>
              <w:rPr>
                <w:color w:val="000000"/>
                <w:sz w:val="22"/>
                <w:szCs w:val="22"/>
                <w:lang w:val="es-GT" w:eastAsia="es-GT"/>
              </w:rPr>
            </w:pPr>
            <w:r w:rsidRPr="000044B0">
              <w:rPr>
                <w:color w:val="000000"/>
                <w:sz w:val="22"/>
                <w:szCs w:val="22"/>
                <w:lang w:val="es-GT" w:eastAsia="es-GT"/>
              </w:rPr>
              <w:t>España</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2.2</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-11.1</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5.9</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4.7</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200" w:firstLine="440"/>
              <w:rPr>
                <w:color w:val="000000"/>
                <w:sz w:val="22"/>
                <w:szCs w:val="22"/>
                <w:lang w:val="es-GT" w:eastAsia="es-GT"/>
              </w:rPr>
            </w:pPr>
            <w:r w:rsidRPr="000044B0">
              <w:rPr>
                <w:color w:val="000000"/>
                <w:sz w:val="22"/>
                <w:szCs w:val="22"/>
                <w:lang w:val="es-GT" w:eastAsia="es-GT"/>
              </w:rPr>
              <w:t>Japón</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1.0</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-5.1</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3.1</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2.4</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rPr>
                <w:b/>
                <w:bCs/>
                <w:color w:val="000000"/>
                <w:lang w:val="es-GT" w:eastAsia="es-GT"/>
              </w:rPr>
            </w:pPr>
            <w:r w:rsidRPr="000044B0">
              <w:rPr>
                <w:b/>
                <w:bCs/>
                <w:color w:val="000000"/>
                <w:lang w:val="es-GT" w:eastAsia="es-GT"/>
              </w:rPr>
              <w:t>Economías Emergentes y en Desarrollo</w:t>
            </w:r>
          </w:p>
        </w:tc>
        <w:tc>
          <w:tcPr>
            <w:tcW w:w="1418" w:type="dxa"/>
            <w:shd w:val="clear" w:color="000000" w:fill="FFFFFF"/>
            <w:noWrap/>
            <w:vAlign w:val="bottom"/>
            <w:hideMark/>
          </w:tcPr>
          <w:p w:rsidR="00C61CA7" w:rsidRPr="000044B0" w:rsidRDefault="00C61CA7" w:rsidP="00A816E4">
            <w:pPr>
              <w:jc w:val="center"/>
              <w:rPr>
                <w:b/>
                <w:bCs/>
                <w:color w:val="000000"/>
                <w:lang w:val="es-GT" w:eastAsia="es-GT"/>
              </w:rPr>
            </w:pPr>
            <w:r w:rsidRPr="000044B0">
              <w:rPr>
                <w:b/>
                <w:bCs/>
                <w:color w:val="000000"/>
                <w:lang w:val="es-GT" w:eastAsia="es-GT"/>
              </w:rPr>
              <w:t>3.7</w:t>
            </w:r>
          </w:p>
        </w:tc>
        <w:tc>
          <w:tcPr>
            <w:tcW w:w="1275" w:type="dxa"/>
            <w:shd w:val="clear" w:color="000000" w:fill="FFFFFF"/>
            <w:noWrap/>
            <w:vAlign w:val="bottom"/>
            <w:hideMark/>
          </w:tcPr>
          <w:p w:rsidR="00C61CA7" w:rsidRPr="000044B0" w:rsidRDefault="00C61CA7" w:rsidP="00E57AC9">
            <w:pPr>
              <w:jc w:val="center"/>
              <w:rPr>
                <w:b/>
                <w:bCs/>
                <w:color w:val="000000"/>
                <w:lang w:val="es-GT" w:eastAsia="es-GT"/>
              </w:rPr>
            </w:pPr>
            <w:r w:rsidRPr="000044B0">
              <w:rPr>
                <w:b/>
                <w:bCs/>
                <w:color w:val="000000"/>
                <w:lang w:val="es-GT" w:eastAsia="es-GT"/>
              </w:rPr>
              <w:t>-2.4</w:t>
            </w:r>
          </w:p>
        </w:tc>
        <w:tc>
          <w:tcPr>
            <w:tcW w:w="1276" w:type="dxa"/>
            <w:shd w:val="clear" w:color="000000" w:fill="FFFFFF"/>
            <w:noWrap/>
            <w:vAlign w:val="bottom"/>
            <w:hideMark/>
          </w:tcPr>
          <w:p w:rsidR="00C61CA7" w:rsidRPr="000044B0" w:rsidRDefault="00C61CA7" w:rsidP="00E57AC9">
            <w:pPr>
              <w:jc w:val="center"/>
              <w:rPr>
                <w:b/>
                <w:bCs/>
                <w:color w:val="000000"/>
                <w:lang w:val="es-GT" w:eastAsia="es-GT"/>
              </w:rPr>
            </w:pPr>
            <w:r w:rsidRPr="000044B0">
              <w:rPr>
                <w:b/>
                <w:bCs/>
                <w:color w:val="000000"/>
                <w:lang w:val="es-GT" w:eastAsia="es-GT"/>
              </w:rPr>
              <w:t>6.3</w:t>
            </w:r>
          </w:p>
        </w:tc>
        <w:tc>
          <w:tcPr>
            <w:tcW w:w="1276" w:type="dxa"/>
            <w:shd w:val="clear" w:color="auto" w:fill="auto"/>
            <w:noWrap/>
            <w:vAlign w:val="bottom"/>
            <w:hideMark/>
          </w:tcPr>
          <w:p w:rsidR="00C61CA7" w:rsidRPr="00E57AC9" w:rsidRDefault="00C61CA7" w:rsidP="00E57AC9">
            <w:pPr>
              <w:jc w:val="center"/>
              <w:rPr>
                <w:b/>
                <w:color w:val="000000"/>
                <w:lang w:val="es-GT" w:eastAsia="es-GT"/>
              </w:rPr>
            </w:pPr>
            <w:r w:rsidRPr="00E57AC9">
              <w:rPr>
                <w:b/>
                <w:color w:val="000000"/>
                <w:lang w:val="es-GT" w:eastAsia="es-GT"/>
              </w:rPr>
              <w:t>5</w:t>
            </w:r>
            <w:r w:rsidR="00E57AC9">
              <w:rPr>
                <w:b/>
                <w:color w:val="000000"/>
                <w:lang w:val="es-GT" w:eastAsia="es-GT"/>
              </w:rPr>
              <w:t>.0</w:t>
            </w:r>
          </w:p>
        </w:tc>
      </w:tr>
      <w:tr w:rsidR="00C61CA7" w:rsidRPr="000044B0" w:rsidTr="00E57AC9">
        <w:trPr>
          <w:trHeight w:val="234"/>
        </w:trPr>
        <w:tc>
          <w:tcPr>
            <w:tcW w:w="4181" w:type="dxa"/>
            <w:shd w:val="clear" w:color="000000" w:fill="FFFFFF"/>
            <w:noWrap/>
            <w:vAlign w:val="bottom"/>
            <w:hideMark/>
          </w:tcPr>
          <w:p w:rsidR="00C61CA7" w:rsidRPr="000044B0" w:rsidRDefault="00707D7A" w:rsidP="00A816E4">
            <w:pPr>
              <w:rPr>
                <w:b/>
                <w:bCs/>
                <w:color w:val="000000"/>
                <w:lang w:val="es-GT" w:eastAsia="es-GT"/>
              </w:rPr>
            </w:pPr>
            <w:r>
              <w:rPr>
                <w:b/>
                <w:bCs/>
                <w:color w:val="000000"/>
                <w:lang w:val="es-GT" w:eastAsia="es-GT"/>
              </w:rPr>
              <w:t xml:space="preserve">    </w:t>
            </w:r>
            <w:r w:rsidR="00C61CA7" w:rsidRPr="000044B0">
              <w:rPr>
                <w:b/>
                <w:bCs/>
                <w:color w:val="000000"/>
                <w:lang w:val="es-GT" w:eastAsia="es-GT"/>
              </w:rPr>
              <w:t>Asia</w:t>
            </w:r>
          </w:p>
        </w:tc>
        <w:tc>
          <w:tcPr>
            <w:tcW w:w="1418" w:type="dxa"/>
            <w:shd w:val="clear" w:color="000000" w:fill="FFFFFF"/>
            <w:noWrap/>
            <w:vAlign w:val="bottom"/>
            <w:hideMark/>
          </w:tcPr>
          <w:p w:rsidR="00C61CA7" w:rsidRPr="000044B0" w:rsidRDefault="00C61CA7" w:rsidP="00A816E4">
            <w:pPr>
              <w:jc w:val="center"/>
              <w:rPr>
                <w:b/>
                <w:bCs/>
                <w:color w:val="000000"/>
                <w:lang w:val="es-GT" w:eastAsia="es-GT"/>
              </w:rPr>
            </w:pPr>
            <w:r w:rsidRPr="000044B0">
              <w:rPr>
                <w:b/>
                <w:bCs/>
                <w:color w:val="000000"/>
                <w:lang w:val="es-GT" w:eastAsia="es-GT"/>
              </w:rPr>
              <w:t>5.8</w:t>
            </w:r>
          </w:p>
        </w:tc>
        <w:tc>
          <w:tcPr>
            <w:tcW w:w="1275" w:type="dxa"/>
            <w:shd w:val="clear" w:color="000000" w:fill="FFFFFF"/>
            <w:noWrap/>
            <w:vAlign w:val="bottom"/>
            <w:hideMark/>
          </w:tcPr>
          <w:p w:rsidR="00C61CA7" w:rsidRPr="000044B0" w:rsidRDefault="00C61CA7" w:rsidP="00E57AC9">
            <w:pPr>
              <w:jc w:val="center"/>
              <w:rPr>
                <w:b/>
                <w:bCs/>
                <w:color w:val="000000"/>
                <w:lang w:val="es-GT" w:eastAsia="es-GT"/>
              </w:rPr>
            </w:pPr>
            <w:r w:rsidRPr="000044B0">
              <w:rPr>
                <w:b/>
                <w:bCs/>
                <w:color w:val="000000"/>
                <w:lang w:val="es-GT" w:eastAsia="es-GT"/>
              </w:rPr>
              <w:t>-1.1</w:t>
            </w:r>
          </w:p>
        </w:tc>
        <w:tc>
          <w:tcPr>
            <w:tcW w:w="1276" w:type="dxa"/>
            <w:shd w:val="clear" w:color="000000" w:fill="FFFFFF"/>
            <w:noWrap/>
            <w:vAlign w:val="bottom"/>
            <w:hideMark/>
          </w:tcPr>
          <w:p w:rsidR="00C61CA7" w:rsidRPr="000044B0" w:rsidRDefault="00C61CA7" w:rsidP="00E57AC9">
            <w:pPr>
              <w:jc w:val="center"/>
              <w:rPr>
                <w:b/>
                <w:bCs/>
                <w:color w:val="000000"/>
                <w:lang w:val="es-GT" w:eastAsia="es-GT"/>
              </w:rPr>
            </w:pPr>
            <w:r w:rsidRPr="000044B0">
              <w:rPr>
                <w:b/>
                <w:bCs/>
                <w:color w:val="000000"/>
                <w:lang w:val="es-GT" w:eastAsia="es-GT"/>
              </w:rPr>
              <w:t>8.3</w:t>
            </w:r>
          </w:p>
        </w:tc>
        <w:tc>
          <w:tcPr>
            <w:tcW w:w="1276" w:type="dxa"/>
            <w:shd w:val="clear" w:color="auto" w:fill="auto"/>
            <w:noWrap/>
            <w:vAlign w:val="bottom"/>
            <w:hideMark/>
          </w:tcPr>
          <w:p w:rsidR="00C61CA7" w:rsidRPr="00E57AC9" w:rsidRDefault="00C61CA7" w:rsidP="00E57AC9">
            <w:pPr>
              <w:jc w:val="center"/>
              <w:rPr>
                <w:b/>
                <w:color w:val="000000"/>
                <w:lang w:val="es-GT" w:eastAsia="es-GT"/>
              </w:rPr>
            </w:pPr>
            <w:r w:rsidRPr="00E57AC9">
              <w:rPr>
                <w:b/>
                <w:color w:val="000000"/>
                <w:lang w:val="es-GT" w:eastAsia="es-GT"/>
              </w:rPr>
              <w:t>5.9</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200" w:firstLine="440"/>
              <w:rPr>
                <w:color w:val="000000"/>
                <w:sz w:val="22"/>
                <w:szCs w:val="22"/>
                <w:lang w:val="es-GT" w:eastAsia="es-GT"/>
              </w:rPr>
            </w:pPr>
            <w:r w:rsidRPr="000044B0">
              <w:rPr>
                <w:color w:val="000000"/>
                <w:sz w:val="22"/>
                <w:szCs w:val="22"/>
                <w:lang w:val="es-GT" w:eastAsia="es-GT"/>
              </w:rPr>
              <w:t>China</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6.1</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2.3</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8.1</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5.6</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200" w:firstLine="440"/>
              <w:rPr>
                <w:color w:val="000000"/>
                <w:sz w:val="22"/>
                <w:szCs w:val="22"/>
                <w:lang w:val="es-GT" w:eastAsia="es-GT"/>
              </w:rPr>
            </w:pPr>
            <w:r w:rsidRPr="000044B0">
              <w:rPr>
                <w:color w:val="000000"/>
                <w:sz w:val="22"/>
                <w:szCs w:val="22"/>
                <w:lang w:val="es-GT" w:eastAsia="es-GT"/>
              </w:rPr>
              <w:t xml:space="preserve">India </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4.8</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-8</w:t>
            </w:r>
            <w:r w:rsidR="00E57AC9">
              <w:rPr>
                <w:color w:val="000000"/>
                <w:lang w:val="es-GT" w:eastAsia="es-GT"/>
              </w:rPr>
              <w:t>.0</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11.5</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6.8</w:t>
            </w:r>
          </w:p>
        </w:tc>
      </w:tr>
      <w:tr w:rsidR="00C61CA7" w:rsidRPr="000044B0" w:rsidTr="00E57AC9">
        <w:trPr>
          <w:trHeight w:val="234"/>
        </w:trPr>
        <w:tc>
          <w:tcPr>
            <w:tcW w:w="4181" w:type="dxa"/>
            <w:shd w:val="clear" w:color="000000" w:fill="FFFFFF"/>
            <w:noWrap/>
            <w:vAlign w:val="bottom"/>
            <w:hideMark/>
          </w:tcPr>
          <w:p w:rsidR="00C61CA7" w:rsidRPr="000044B0" w:rsidRDefault="00707D7A" w:rsidP="00E57AC9">
            <w:pPr>
              <w:rPr>
                <w:b/>
                <w:bCs/>
                <w:color w:val="000000"/>
                <w:lang w:val="es-GT" w:eastAsia="es-GT"/>
              </w:rPr>
            </w:pPr>
            <w:r>
              <w:rPr>
                <w:b/>
                <w:bCs/>
                <w:color w:val="000000"/>
                <w:lang w:val="es-GT" w:eastAsia="es-GT"/>
              </w:rPr>
              <w:t xml:space="preserve">    </w:t>
            </w:r>
            <w:r w:rsidR="00C61CA7" w:rsidRPr="000044B0">
              <w:rPr>
                <w:b/>
                <w:bCs/>
                <w:color w:val="000000"/>
                <w:lang w:val="es-GT" w:eastAsia="es-GT"/>
              </w:rPr>
              <w:t xml:space="preserve">América Latina y </w:t>
            </w:r>
            <w:r w:rsidR="00E57AC9">
              <w:rPr>
                <w:b/>
                <w:bCs/>
                <w:color w:val="000000"/>
                <w:lang w:val="es-GT" w:eastAsia="es-GT"/>
              </w:rPr>
              <w:t>E</w:t>
            </w:r>
            <w:r w:rsidR="00C61CA7" w:rsidRPr="000044B0">
              <w:rPr>
                <w:b/>
                <w:bCs/>
                <w:color w:val="000000"/>
                <w:lang w:val="es-GT" w:eastAsia="es-GT"/>
              </w:rPr>
              <w:t>l Caribe</w:t>
            </w:r>
          </w:p>
        </w:tc>
        <w:tc>
          <w:tcPr>
            <w:tcW w:w="1418" w:type="dxa"/>
            <w:shd w:val="clear" w:color="000000" w:fill="FFFFFF"/>
            <w:noWrap/>
            <w:vAlign w:val="bottom"/>
            <w:hideMark/>
          </w:tcPr>
          <w:p w:rsidR="00C61CA7" w:rsidRPr="000044B0" w:rsidRDefault="00C61CA7" w:rsidP="00A816E4">
            <w:pPr>
              <w:jc w:val="center"/>
              <w:rPr>
                <w:b/>
                <w:bCs/>
                <w:color w:val="000000"/>
                <w:lang w:val="es-GT" w:eastAsia="es-GT"/>
              </w:rPr>
            </w:pPr>
            <w:r w:rsidRPr="000044B0">
              <w:rPr>
                <w:b/>
                <w:bCs/>
                <w:color w:val="000000"/>
                <w:lang w:val="es-GT" w:eastAsia="es-GT"/>
              </w:rPr>
              <w:t>0.8</w:t>
            </w:r>
          </w:p>
        </w:tc>
        <w:tc>
          <w:tcPr>
            <w:tcW w:w="1275" w:type="dxa"/>
            <w:shd w:val="clear" w:color="000000" w:fill="FFFFFF"/>
            <w:noWrap/>
            <w:vAlign w:val="bottom"/>
            <w:hideMark/>
          </w:tcPr>
          <w:p w:rsidR="00C61CA7" w:rsidRPr="000044B0" w:rsidRDefault="00C61CA7" w:rsidP="00E57AC9">
            <w:pPr>
              <w:jc w:val="center"/>
              <w:rPr>
                <w:b/>
                <w:bCs/>
                <w:color w:val="000000"/>
                <w:lang w:val="es-GT" w:eastAsia="es-GT"/>
              </w:rPr>
            </w:pPr>
            <w:r w:rsidRPr="000044B0">
              <w:rPr>
                <w:b/>
                <w:bCs/>
                <w:color w:val="000000"/>
                <w:lang w:val="es-GT" w:eastAsia="es-GT"/>
              </w:rPr>
              <w:t>-7.4</w:t>
            </w:r>
          </w:p>
        </w:tc>
        <w:tc>
          <w:tcPr>
            <w:tcW w:w="1276" w:type="dxa"/>
            <w:shd w:val="clear" w:color="000000" w:fill="FFFFFF"/>
            <w:noWrap/>
            <w:vAlign w:val="bottom"/>
            <w:hideMark/>
          </w:tcPr>
          <w:p w:rsidR="00C61CA7" w:rsidRPr="000044B0" w:rsidRDefault="00C61CA7" w:rsidP="00E57AC9">
            <w:pPr>
              <w:jc w:val="center"/>
              <w:rPr>
                <w:b/>
                <w:bCs/>
                <w:color w:val="000000"/>
                <w:lang w:val="es-GT" w:eastAsia="es-GT"/>
              </w:rPr>
            </w:pPr>
            <w:r w:rsidRPr="000044B0">
              <w:rPr>
                <w:b/>
                <w:bCs/>
                <w:color w:val="000000"/>
                <w:lang w:val="es-GT" w:eastAsia="es-GT"/>
              </w:rPr>
              <w:t>4.1</w:t>
            </w:r>
          </w:p>
        </w:tc>
        <w:tc>
          <w:tcPr>
            <w:tcW w:w="1276" w:type="dxa"/>
            <w:shd w:val="clear" w:color="auto" w:fill="auto"/>
            <w:noWrap/>
            <w:vAlign w:val="bottom"/>
            <w:hideMark/>
          </w:tcPr>
          <w:p w:rsidR="00C61CA7" w:rsidRPr="00E57AC9" w:rsidRDefault="00C61CA7" w:rsidP="00E57AC9">
            <w:pPr>
              <w:jc w:val="center"/>
              <w:rPr>
                <w:b/>
                <w:color w:val="000000"/>
                <w:lang w:val="es-GT" w:eastAsia="es-GT"/>
              </w:rPr>
            </w:pPr>
            <w:r w:rsidRPr="00E57AC9">
              <w:rPr>
                <w:b/>
                <w:color w:val="000000"/>
                <w:lang w:val="es-GT" w:eastAsia="es-GT"/>
              </w:rPr>
              <w:t>2.9</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200" w:firstLine="440"/>
              <w:rPr>
                <w:color w:val="000000"/>
                <w:sz w:val="22"/>
                <w:szCs w:val="22"/>
                <w:lang w:val="es-GT" w:eastAsia="es-GT"/>
              </w:rPr>
            </w:pPr>
            <w:r w:rsidRPr="000044B0">
              <w:rPr>
                <w:color w:val="000000"/>
                <w:sz w:val="22"/>
                <w:szCs w:val="22"/>
                <w:lang w:val="es-GT" w:eastAsia="es-GT"/>
              </w:rPr>
              <w:t>Brasil</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1.2</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-4.5</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3.6</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2.6</w:t>
            </w:r>
          </w:p>
        </w:tc>
      </w:tr>
      <w:tr w:rsidR="00C61CA7" w:rsidRPr="000044B0" w:rsidTr="00E57AC9">
        <w:trPr>
          <w:trHeight w:val="234"/>
        </w:trPr>
        <w:tc>
          <w:tcPr>
            <w:tcW w:w="4181" w:type="dxa"/>
            <w:shd w:val="clear" w:color="000000" w:fill="FFFFFF"/>
            <w:noWrap/>
            <w:vAlign w:val="bottom"/>
            <w:hideMark/>
          </w:tcPr>
          <w:p w:rsidR="00C61CA7" w:rsidRPr="000044B0" w:rsidRDefault="00C61CA7" w:rsidP="00A816E4">
            <w:pPr>
              <w:ind w:firstLineChars="200" w:firstLine="440"/>
              <w:rPr>
                <w:color w:val="000000"/>
                <w:sz w:val="22"/>
                <w:szCs w:val="22"/>
                <w:lang w:val="es-GT" w:eastAsia="es-GT"/>
              </w:rPr>
            </w:pPr>
            <w:r w:rsidRPr="000044B0">
              <w:rPr>
                <w:color w:val="000000"/>
                <w:sz w:val="22"/>
                <w:szCs w:val="22"/>
                <w:lang w:val="es-GT" w:eastAsia="es-GT"/>
              </w:rPr>
              <w:t>México</w:t>
            </w:r>
          </w:p>
        </w:tc>
        <w:tc>
          <w:tcPr>
            <w:tcW w:w="1418" w:type="dxa"/>
            <w:shd w:val="clear" w:color="000000" w:fill="FFFFFF"/>
            <w:noWrap/>
            <w:vAlign w:val="bottom"/>
            <w:hideMark/>
          </w:tcPr>
          <w:p w:rsidR="00C61CA7" w:rsidRPr="000044B0" w:rsidRDefault="00C61CA7" w:rsidP="00A816E4">
            <w:pPr>
              <w:jc w:val="center"/>
              <w:rPr>
                <w:color w:val="000000"/>
                <w:sz w:val="22"/>
                <w:szCs w:val="22"/>
                <w:lang w:val="es-GT" w:eastAsia="es-GT"/>
              </w:rPr>
            </w:pPr>
            <w:r w:rsidRPr="000044B0">
              <w:rPr>
                <w:color w:val="000000"/>
                <w:sz w:val="22"/>
                <w:szCs w:val="22"/>
                <w:lang w:val="es-GT" w:eastAsia="es-GT"/>
              </w:rPr>
              <w:t>0.0</w:t>
            </w:r>
          </w:p>
        </w:tc>
        <w:tc>
          <w:tcPr>
            <w:tcW w:w="1275"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-8.5</w:t>
            </w:r>
          </w:p>
        </w:tc>
        <w:tc>
          <w:tcPr>
            <w:tcW w:w="1276" w:type="dxa"/>
            <w:shd w:val="clear" w:color="000000" w:fill="FFFFFF"/>
            <w:noWrap/>
            <w:vAlign w:val="bottom"/>
            <w:hideMark/>
          </w:tcPr>
          <w:p w:rsidR="00C61CA7" w:rsidRPr="000044B0" w:rsidRDefault="00C61CA7" w:rsidP="00E57AC9">
            <w:pPr>
              <w:jc w:val="center"/>
              <w:rPr>
                <w:color w:val="000000"/>
                <w:lang w:val="es-GT" w:eastAsia="es-GT"/>
              </w:rPr>
            </w:pPr>
            <w:r w:rsidRPr="000044B0">
              <w:rPr>
                <w:color w:val="000000"/>
                <w:lang w:val="es-GT" w:eastAsia="es-GT"/>
              </w:rPr>
              <w:t>4.3</w:t>
            </w:r>
          </w:p>
        </w:tc>
        <w:tc>
          <w:tcPr>
            <w:tcW w:w="1276" w:type="dxa"/>
            <w:shd w:val="clear" w:color="auto" w:fill="auto"/>
            <w:noWrap/>
            <w:vAlign w:val="bottom"/>
            <w:hideMark/>
          </w:tcPr>
          <w:p w:rsidR="00C61CA7" w:rsidRPr="000044B0" w:rsidRDefault="00C61CA7" w:rsidP="00E57AC9">
            <w:pPr>
              <w:jc w:val="center"/>
              <w:rPr>
                <w:color w:val="000000"/>
                <w:lang w:val="es-GT" w:eastAsia="es-GT"/>
              </w:rPr>
            </w:pPr>
            <w:r w:rsidRPr="000044B0">
              <w:rPr>
                <w:color w:val="000000"/>
                <w:lang w:val="es-GT" w:eastAsia="es-GT"/>
              </w:rPr>
              <w:t>2.5</w:t>
            </w:r>
          </w:p>
        </w:tc>
      </w:tr>
    </w:tbl>
    <w:p w:rsidR="00C61CA7" w:rsidRDefault="00C61CA7" w:rsidP="00C61CA7">
      <w:pPr>
        <w:pStyle w:val="Default"/>
        <w:jc w:val="both"/>
        <w:rPr>
          <w:rFonts w:ascii="Times New Roman" w:hAnsi="Times New Roman" w:cs="Times New Roman"/>
          <w:color w:val="auto"/>
          <w:sz w:val="18"/>
          <w:lang w:val="es-GT"/>
        </w:rPr>
      </w:pPr>
      <w:r w:rsidRPr="000044B0">
        <w:rPr>
          <w:rFonts w:ascii="Times New Roman" w:hAnsi="Times New Roman" w:cs="Times New Roman"/>
          <w:color w:val="auto"/>
          <w:sz w:val="18"/>
          <w:lang w:val="es-GT"/>
        </w:rPr>
        <w:t>Fuente:</w:t>
      </w:r>
      <w:r>
        <w:rPr>
          <w:rFonts w:ascii="Times New Roman" w:hAnsi="Times New Roman" w:cs="Times New Roman"/>
          <w:color w:val="auto"/>
          <w:sz w:val="18"/>
          <w:lang w:val="es-GT"/>
        </w:rPr>
        <w:t xml:space="preserve"> </w:t>
      </w:r>
      <w:r w:rsidRPr="000044B0">
        <w:rPr>
          <w:rFonts w:ascii="Times New Roman" w:hAnsi="Times New Roman" w:cs="Times New Roman"/>
          <w:color w:val="auto"/>
          <w:sz w:val="18"/>
          <w:lang w:val="es-GT"/>
        </w:rPr>
        <w:t>FMI</w:t>
      </w:r>
      <w:r>
        <w:rPr>
          <w:rFonts w:ascii="Times New Roman" w:hAnsi="Times New Roman" w:cs="Times New Roman"/>
          <w:color w:val="auto"/>
          <w:sz w:val="18"/>
          <w:lang w:val="es-GT"/>
        </w:rPr>
        <w:t>:</w:t>
      </w:r>
      <w:r w:rsidRPr="000044B0">
        <w:rPr>
          <w:rFonts w:ascii="Times New Roman" w:hAnsi="Times New Roman" w:cs="Times New Roman"/>
          <w:color w:val="auto"/>
          <w:sz w:val="18"/>
          <w:lang w:val="es-GT"/>
        </w:rPr>
        <w:t xml:space="preserve"> "Proyecciones de </w:t>
      </w:r>
      <w:r w:rsidR="00E57AC9">
        <w:rPr>
          <w:rFonts w:ascii="Times New Roman" w:hAnsi="Times New Roman" w:cs="Times New Roman"/>
          <w:color w:val="auto"/>
          <w:sz w:val="18"/>
          <w:lang w:val="es-GT"/>
        </w:rPr>
        <w:t>C</w:t>
      </w:r>
      <w:r w:rsidRPr="000044B0">
        <w:rPr>
          <w:rFonts w:ascii="Times New Roman" w:hAnsi="Times New Roman" w:cs="Times New Roman"/>
          <w:color w:val="auto"/>
          <w:sz w:val="18"/>
          <w:lang w:val="es-GT"/>
        </w:rPr>
        <w:t xml:space="preserve">recimiento de Perspectivas de la </w:t>
      </w:r>
      <w:r w:rsidR="00E57AC9">
        <w:rPr>
          <w:rFonts w:ascii="Times New Roman" w:hAnsi="Times New Roman" w:cs="Times New Roman"/>
          <w:color w:val="auto"/>
          <w:sz w:val="18"/>
          <w:lang w:val="es-GT"/>
        </w:rPr>
        <w:t>E</w:t>
      </w:r>
      <w:r w:rsidRPr="000044B0">
        <w:rPr>
          <w:rFonts w:ascii="Times New Roman" w:hAnsi="Times New Roman" w:cs="Times New Roman"/>
          <w:color w:val="auto"/>
          <w:sz w:val="18"/>
          <w:lang w:val="es-GT"/>
        </w:rPr>
        <w:t xml:space="preserve">conomía </w:t>
      </w:r>
      <w:r w:rsidR="00E57AC9">
        <w:rPr>
          <w:rFonts w:ascii="Times New Roman" w:hAnsi="Times New Roman" w:cs="Times New Roman"/>
          <w:color w:val="auto"/>
          <w:sz w:val="18"/>
          <w:lang w:val="es-GT"/>
        </w:rPr>
        <w:t>M</w:t>
      </w:r>
      <w:r w:rsidRPr="000044B0">
        <w:rPr>
          <w:rFonts w:ascii="Times New Roman" w:hAnsi="Times New Roman" w:cs="Times New Roman"/>
          <w:color w:val="auto"/>
          <w:sz w:val="18"/>
          <w:lang w:val="es-GT"/>
        </w:rPr>
        <w:t>undial</w:t>
      </w:r>
      <w:r>
        <w:rPr>
          <w:rFonts w:ascii="Times New Roman" w:hAnsi="Times New Roman" w:cs="Times New Roman"/>
          <w:color w:val="auto"/>
          <w:sz w:val="18"/>
          <w:lang w:val="es-GT"/>
        </w:rPr>
        <w:t>”</w:t>
      </w:r>
      <w:r w:rsidR="00E57AC9">
        <w:rPr>
          <w:rFonts w:ascii="Times New Roman" w:hAnsi="Times New Roman" w:cs="Times New Roman"/>
          <w:color w:val="auto"/>
          <w:sz w:val="18"/>
          <w:lang w:val="es-GT"/>
        </w:rPr>
        <w:t>;</w:t>
      </w:r>
      <w:r w:rsidRPr="000044B0">
        <w:rPr>
          <w:rFonts w:ascii="Times New Roman" w:hAnsi="Times New Roman" w:cs="Times New Roman"/>
          <w:color w:val="auto"/>
          <w:sz w:val="18"/>
          <w:lang w:val="es-GT"/>
        </w:rPr>
        <w:t xml:space="preserve"> </w:t>
      </w:r>
      <w:r>
        <w:rPr>
          <w:rFonts w:ascii="Times New Roman" w:hAnsi="Times New Roman" w:cs="Times New Roman"/>
          <w:color w:val="auto"/>
          <w:sz w:val="18"/>
          <w:lang w:val="es-GT"/>
        </w:rPr>
        <w:t>e</w:t>
      </w:r>
      <w:r w:rsidRPr="000044B0">
        <w:rPr>
          <w:rFonts w:ascii="Times New Roman" w:hAnsi="Times New Roman" w:cs="Times New Roman"/>
          <w:color w:val="auto"/>
          <w:sz w:val="18"/>
          <w:lang w:val="es-GT"/>
        </w:rPr>
        <w:t>nero de 2021</w:t>
      </w:r>
      <w:r>
        <w:rPr>
          <w:rFonts w:ascii="Times New Roman" w:hAnsi="Times New Roman" w:cs="Times New Roman"/>
          <w:color w:val="auto"/>
          <w:sz w:val="18"/>
          <w:lang w:val="es-GT"/>
        </w:rPr>
        <w:t>.</w:t>
      </w:r>
    </w:p>
    <w:p w:rsidR="00C61CA7" w:rsidRPr="000044B0" w:rsidRDefault="00C61CA7" w:rsidP="00C61CA7">
      <w:pPr>
        <w:pStyle w:val="Default"/>
        <w:jc w:val="both"/>
        <w:rPr>
          <w:rFonts w:ascii="Times New Roman" w:hAnsi="Times New Roman" w:cs="Times New Roman"/>
          <w:color w:val="auto"/>
          <w:sz w:val="18"/>
          <w:lang w:val="es-GT"/>
        </w:rPr>
      </w:pPr>
      <w:r w:rsidRPr="000044B0">
        <w:rPr>
          <w:rFonts w:ascii="Times New Roman" w:hAnsi="Times New Roman" w:cs="Times New Roman"/>
          <w:color w:val="auto"/>
          <w:sz w:val="18"/>
          <w:lang w:val="es-GT"/>
        </w:rPr>
        <w:t>e/estimación</w:t>
      </w:r>
      <w:r w:rsidR="00E57AC9">
        <w:rPr>
          <w:rFonts w:ascii="Times New Roman" w:hAnsi="Times New Roman" w:cs="Times New Roman"/>
          <w:color w:val="auto"/>
          <w:sz w:val="18"/>
          <w:lang w:val="es-GT"/>
        </w:rPr>
        <w:t>;</w:t>
      </w:r>
      <w:r w:rsidRPr="000044B0">
        <w:rPr>
          <w:rFonts w:ascii="Times New Roman" w:hAnsi="Times New Roman" w:cs="Times New Roman"/>
          <w:color w:val="auto"/>
          <w:sz w:val="18"/>
          <w:lang w:val="es-GT"/>
        </w:rPr>
        <w:t xml:space="preserve"> p/proyección</w:t>
      </w:r>
      <w:r w:rsidR="00E57AC9">
        <w:rPr>
          <w:rFonts w:ascii="Times New Roman" w:hAnsi="Times New Roman" w:cs="Times New Roman"/>
          <w:color w:val="auto"/>
          <w:sz w:val="18"/>
          <w:lang w:val="es-GT"/>
        </w:rPr>
        <w:t>.</w:t>
      </w:r>
    </w:p>
    <w:p w:rsidR="00C61CA7" w:rsidRDefault="00C61CA7" w:rsidP="00C61CA7">
      <w:pPr>
        <w:autoSpaceDE w:val="0"/>
        <w:autoSpaceDN w:val="0"/>
        <w:adjustRightInd w:val="0"/>
        <w:jc w:val="both"/>
      </w:pPr>
    </w:p>
    <w:p w:rsidR="00DE28F1" w:rsidRDefault="00DE28F1" w:rsidP="00C61CA7">
      <w:pPr>
        <w:pStyle w:val="Default"/>
        <w:jc w:val="both"/>
        <w:rPr>
          <w:rFonts w:ascii="Times New Roman" w:hAnsi="Times New Roman" w:cs="Times New Roman"/>
          <w:color w:val="auto"/>
          <w:sz w:val="16"/>
        </w:rPr>
      </w:pPr>
    </w:p>
    <w:p w:rsidR="00CF443E" w:rsidRPr="00CF443E" w:rsidRDefault="00CF443E" w:rsidP="00C61CA7">
      <w:pPr>
        <w:pStyle w:val="Default"/>
        <w:jc w:val="both"/>
        <w:rPr>
          <w:rFonts w:ascii="Times New Roman" w:hAnsi="Times New Roman" w:cs="Times New Roman"/>
          <w:color w:val="auto"/>
          <w:sz w:val="10"/>
        </w:rPr>
      </w:pPr>
    </w:p>
    <w:p w:rsidR="00C61CA7" w:rsidRPr="00124AD6" w:rsidRDefault="00C61CA7" w:rsidP="00C61CA7">
      <w:pPr>
        <w:pStyle w:val="Ttulo1"/>
        <w:rPr>
          <w:lang w:val="es-MX"/>
        </w:rPr>
      </w:pPr>
      <w:bookmarkStart w:id="5" w:name="_Toc4742459"/>
      <w:bookmarkStart w:id="6" w:name="_Toc65064200"/>
      <w:bookmarkStart w:id="7" w:name="_Toc65826749"/>
      <w:r w:rsidRPr="00124AD6">
        <w:rPr>
          <w:lang w:val="es-MX"/>
        </w:rPr>
        <w:t>Perspectivas Económicas</w:t>
      </w:r>
      <w:bookmarkEnd w:id="5"/>
      <w:bookmarkEnd w:id="6"/>
      <w:bookmarkEnd w:id="7"/>
    </w:p>
    <w:p w:rsidR="00C61CA7" w:rsidRDefault="00C61CA7" w:rsidP="00C61CA7">
      <w:pPr>
        <w:rPr>
          <w:lang w:val="es-MX"/>
        </w:rPr>
      </w:pPr>
    </w:p>
    <w:p w:rsidR="00C61CA7" w:rsidRDefault="00C61CA7" w:rsidP="00C61CA7">
      <w:pPr>
        <w:jc w:val="both"/>
      </w:pPr>
      <w:r w:rsidRPr="00EB055C">
        <w:rPr>
          <w:lang w:val="es-MX"/>
        </w:rPr>
        <w:t xml:space="preserve">Durante 2020, la </w:t>
      </w:r>
      <w:r>
        <w:rPr>
          <w:lang w:val="es-MX"/>
        </w:rPr>
        <w:t xml:space="preserve">pandemia </w:t>
      </w:r>
      <w:r w:rsidR="00DE28F1">
        <w:rPr>
          <w:lang w:val="es-MX"/>
        </w:rPr>
        <w:t>del Covid</w:t>
      </w:r>
      <w:r w:rsidRPr="00EB055C">
        <w:rPr>
          <w:lang w:val="es-MX"/>
        </w:rPr>
        <w:t>-19 provocó que la actividad económica se contrajera significativamente, por lo que</w:t>
      </w:r>
      <w:r w:rsidR="00DE28F1">
        <w:rPr>
          <w:lang w:val="es-MX"/>
        </w:rPr>
        <w:t>,</w:t>
      </w:r>
      <w:r w:rsidRPr="00EB055C">
        <w:rPr>
          <w:lang w:val="es-MX"/>
        </w:rPr>
        <w:t xml:space="preserve"> </w:t>
      </w:r>
      <w:r>
        <w:rPr>
          <w:lang w:val="es-MX"/>
        </w:rPr>
        <w:t xml:space="preserve">a nivel mundial </w:t>
      </w:r>
      <w:r w:rsidRPr="00EB055C">
        <w:rPr>
          <w:lang w:val="es-MX"/>
        </w:rPr>
        <w:t>fue necesario implementar amplios estímulos fiscales y monetarios, para moderar los efectos de la pandemia. En efecto, durante la primera mitad de</w:t>
      </w:r>
      <w:r w:rsidR="00DE28F1">
        <w:rPr>
          <w:lang w:val="es-MX"/>
        </w:rPr>
        <w:t xml:space="preserve"> ese</w:t>
      </w:r>
      <w:r w:rsidRPr="00EB055C">
        <w:rPr>
          <w:lang w:val="es-MX"/>
        </w:rPr>
        <w:t xml:space="preserve"> año, los gobiernos adoptaron medidas para reducir el ritmo de los contagios de dicha enfermedad, ocasionando que la producción disminuyera, particularmente en el segundo trimestre. No obstante, el efecto de las</w:t>
      </w:r>
      <w:r>
        <w:rPr>
          <w:lang w:val="es-MX"/>
        </w:rPr>
        <w:t xml:space="preserve"> </w:t>
      </w:r>
      <w:r>
        <w:t>medidas de orden fiscal y monetario sin precedente que la mayoría de países implementó, aunado a la reapertura económica gradual en las principales economías a nivel mundial y los avances en el desarrollo de tratamientos y vacunas contra el C</w:t>
      </w:r>
      <w:r w:rsidR="00DE28F1">
        <w:t>ovid</w:t>
      </w:r>
      <w:r>
        <w:t>-19, coadyuvaron a que la contracción no fuera más profunda y a que la actividad económica comenzara a recuperarse durante el segundo semestre, a</w:t>
      </w:r>
      <w:r w:rsidR="00DE28F1">
        <w:t xml:space="preserve"> un ritmo superior al previsto.</w:t>
      </w:r>
    </w:p>
    <w:p w:rsidR="00C61CA7" w:rsidRDefault="00C61CA7" w:rsidP="00C61CA7">
      <w:pPr>
        <w:jc w:val="both"/>
      </w:pPr>
    </w:p>
    <w:p w:rsidR="00C61CA7" w:rsidRDefault="00C61CA7" w:rsidP="00C61CA7">
      <w:pPr>
        <w:jc w:val="both"/>
      </w:pPr>
      <w:r>
        <w:t>La intensificación de los contagios por C</w:t>
      </w:r>
      <w:r w:rsidR="00DE28F1">
        <w:t>ovid</w:t>
      </w:r>
      <w:r>
        <w:t>-19 en algunos países</w:t>
      </w:r>
      <w:r w:rsidR="00DE28F1">
        <w:t>,</w:t>
      </w:r>
      <w:r>
        <w:t xml:space="preserve"> a finales del año</w:t>
      </w:r>
      <w:r w:rsidR="00DE28F1">
        <w:t xml:space="preserve"> pasado</w:t>
      </w:r>
      <w:r>
        <w:t xml:space="preserve"> provocó que los gobiernos retomaran algunas restricciones de movilidad y de actividades productivas, lo cual, eventualmente afectaría el dinamismo de recuperación en estas economías. En este contexto, el Fondo Monetario Internacional </w:t>
      </w:r>
      <w:r w:rsidR="00DE28F1">
        <w:t xml:space="preserve">(FMI) </w:t>
      </w:r>
      <w:r>
        <w:t>estim</w:t>
      </w:r>
      <w:r w:rsidR="00DE28F1">
        <w:t>ó</w:t>
      </w:r>
      <w:r>
        <w:t xml:space="preserve"> una contracción de 3.5% en 2020 y una sólida recuperación de la actividad económica en 2021 (5.5%).</w:t>
      </w:r>
    </w:p>
    <w:p w:rsidR="00C61CA7" w:rsidRDefault="00C61CA7" w:rsidP="00C61CA7">
      <w:pPr>
        <w:jc w:val="both"/>
      </w:pPr>
    </w:p>
    <w:p w:rsidR="00C61CA7" w:rsidRDefault="00C61CA7" w:rsidP="00C61CA7">
      <w:pPr>
        <w:jc w:val="both"/>
      </w:pPr>
      <w:r>
        <w:t>En 2020</w:t>
      </w:r>
      <w:r w:rsidR="00C90FB3">
        <w:t>,</w:t>
      </w:r>
      <w:r>
        <w:t xml:space="preserve"> las economías avanzadas muestran una contracción de </w:t>
      </w:r>
      <w:r w:rsidR="00C90FB3">
        <w:t>4.9%</w:t>
      </w:r>
      <w:r>
        <w:t xml:space="preserve">, pero se anticipa una recuperación en 2021 </w:t>
      </w:r>
      <w:r w:rsidR="00C90FB3">
        <w:t xml:space="preserve">de aproximadamente </w:t>
      </w:r>
      <w:r>
        <w:t>4.3%. En los Estados Unidos de América, la contracción económica se ubicó en 3.4% en 2020</w:t>
      </w:r>
      <w:r w:rsidR="00C90FB3">
        <w:t>,</w:t>
      </w:r>
      <w:r>
        <w:t xml:space="preserve"> y se proyecta un crecimiento de 5.1% en 2021.</w:t>
      </w:r>
      <w:r w:rsidRPr="00B25B48">
        <w:t xml:space="preserve"> </w:t>
      </w:r>
      <w:r>
        <w:t xml:space="preserve">El país se ha visto fuertemente afectado por la pandemia, a lo que se agrega desde fines de mayo el recrudecimiento de las tensiones con China y una ola de protestas sociales en diversos lugares del territorio; mientras que, en la Zona del Euro, la actividad económica registró una caída de 7.2% en 2020, con una recuperación proyectada </w:t>
      </w:r>
      <w:r w:rsidR="00C90FB3">
        <w:t>de</w:t>
      </w:r>
      <w:r>
        <w:t xml:space="preserve"> 4.2% para 2021. Las perspectivas para 2021 suponen que la reapertura continuaría materializándose gradualmente y que las políticas macroeconómicas seguirían apoyando la recuperación. No obstante, dichas perspectivas están expuestas, especialmente, al resurgimiento de contagios de C</w:t>
      </w:r>
      <w:r w:rsidR="00C90FB3">
        <w:t>ovid</w:t>
      </w:r>
      <w:r>
        <w:t>-19 y al restablecimiento, aunque parcial, de al</w:t>
      </w:r>
      <w:r w:rsidR="00C90FB3">
        <w:t>gunas medidas de confinamiento.</w:t>
      </w:r>
    </w:p>
    <w:p w:rsidR="00C61CA7" w:rsidRDefault="00C61CA7" w:rsidP="00C61CA7">
      <w:pPr>
        <w:jc w:val="both"/>
      </w:pPr>
    </w:p>
    <w:p w:rsidR="00C61CA7" w:rsidRDefault="00C61CA7" w:rsidP="00C61CA7">
      <w:pPr>
        <w:jc w:val="both"/>
      </w:pPr>
      <w:r>
        <w:t xml:space="preserve">En las economías emergentes y en desarrollo, la actividad económica se contrajo 2.4% en 2020 y </w:t>
      </w:r>
      <w:r w:rsidR="004A3F94">
        <w:t>se estima que crecerá</w:t>
      </w:r>
      <w:r>
        <w:t xml:space="preserve"> 6.3% en 2021. El desempeño observado en 2020 fue consecuencia del impacto de las medidas de confinamiento a nivel interno y del deterioro del entorno internacional, </w:t>
      </w:r>
      <w:r w:rsidR="004A3F94">
        <w:t xml:space="preserve">situación </w:t>
      </w:r>
      <w:r>
        <w:t>que se reflejó en la reducción de la demanda externa, la restricción temporal de las condiciones financieras internacionales y la reducción de los precios de las materias primas; en tanto que las expectativas de crecimiento para 2021, están sustentadas en una reanudación gradual de las actividades productivas, a nivel interno y externo, en la recuperación de los precios de las materias primas y en las medidas de política económica implementadas.</w:t>
      </w:r>
    </w:p>
    <w:p w:rsidR="00C61CA7" w:rsidRDefault="00C61CA7" w:rsidP="00C61CA7">
      <w:pPr>
        <w:jc w:val="both"/>
      </w:pPr>
    </w:p>
    <w:p w:rsidR="00C61CA7" w:rsidRPr="000C3C37" w:rsidRDefault="00C61CA7" w:rsidP="00C61CA7">
      <w:pPr>
        <w:jc w:val="both"/>
        <w:rPr>
          <w:rFonts w:eastAsia="OptimaLTStd"/>
          <w:color w:val="000000"/>
          <w:lang w:val="es-MX"/>
        </w:rPr>
      </w:pPr>
      <w:r w:rsidRPr="000C3C37">
        <w:rPr>
          <w:rFonts w:eastAsia="OptimaLTStd"/>
          <w:color w:val="000000"/>
          <w:lang w:val="es-MX"/>
        </w:rPr>
        <w:t>Para el caso de América Latina, el crecimiento económico fue negativo en 7.4%. Dado lo anterior, América Latina entró en recesión económica a partir del primer trimestre</w:t>
      </w:r>
      <w:r w:rsidR="001A41CD">
        <w:rPr>
          <w:rFonts w:eastAsia="OptimaLTStd"/>
          <w:color w:val="000000"/>
          <w:lang w:val="es-MX"/>
        </w:rPr>
        <w:t>;</w:t>
      </w:r>
      <w:r w:rsidRPr="000C3C37">
        <w:rPr>
          <w:rFonts w:eastAsia="OptimaLTStd"/>
          <w:color w:val="000000"/>
          <w:lang w:val="es-MX"/>
        </w:rPr>
        <w:t xml:space="preserve"> sin embargo, se espera un crecimiento en el orden del 4.1% para 2021. De igual forma que en los países europeos, dichas perspectivas están expuestas, especialmente, al resurgimiento de contagios de C</w:t>
      </w:r>
      <w:r w:rsidR="001A41CD">
        <w:rPr>
          <w:rFonts w:eastAsia="OptimaLTStd"/>
          <w:color w:val="000000"/>
          <w:lang w:val="es-MX"/>
        </w:rPr>
        <w:t>ovid</w:t>
      </w:r>
      <w:r w:rsidRPr="000C3C37">
        <w:rPr>
          <w:rFonts w:eastAsia="OptimaLTStd"/>
          <w:color w:val="000000"/>
          <w:lang w:val="es-MX"/>
        </w:rPr>
        <w:t>-19 y al restablecimiento de algunas medidas de restricción de la movilidad.</w:t>
      </w:r>
    </w:p>
    <w:p w:rsidR="00C61CA7" w:rsidRPr="001A41CD" w:rsidRDefault="00C61CA7" w:rsidP="00C61CA7">
      <w:pPr>
        <w:rPr>
          <w:lang w:val="es-MX"/>
        </w:rPr>
      </w:pPr>
    </w:p>
    <w:p w:rsidR="00C61CA7" w:rsidRDefault="00C61CA7" w:rsidP="00C61CA7">
      <w:pPr>
        <w:jc w:val="both"/>
        <w:rPr>
          <w:rFonts w:eastAsia="OptimaLTStd"/>
          <w:color w:val="000000"/>
          <w:lang w:val="es-MX"/>
        </w:rPr>
      </w:pPr>
      <w:r>
        <w:rPr>
          <w:rFonts w:eastAsia="OptimaLTStd"/>
          <w:color w:val="000000"/>
          <w:lang w:val="es-MX"/>
        </w:rPr>
        <w:t>De acuerdo con la C</w:t>
      </w:r>
      <w:r w:rsidR="001A41CD">
        <w:rPr>
          <w:rFonts w:eastAsia="OptimaLTStd"/>
          <w:color w:val="000000"/>
          <w:lang w:val="es-MX"/>
        </w:rPr>
        <w:t xml:space="preserve">omisión </w:t>
      </w:r>
      <w:r>
        <w:rPr>
          <w:rFonts w:eastAsia="OptimaLTStd"/>
          <w:color w:val="000000"/>
          <w:lang w:val="es-MX"/>
        </w:rPr>
        <w:t>E</w:t>
      </w:r>
      <w:r w:rsidR="001A41CD">
        <w:rPr>
          <w:rFonts w:eastAsia="OptimaLTStd"/>
          <w:color w:val="000000"/>
          <w:lang w:val="es-MX"/>
        </w:rPr>
        <w:t xml:space="preserve">conómica para </w:t>
      </w:r>
      <w:r>
        <w:rPr>
          <w:rFonts w:eastAsia="OptimaLTStd"/>
          <w:color w:val="000000"/>
          <w:lang w:val="es-MX"/>
        </w:rPr>
        <w:t>A</w:t>
      </w:r>
      <w:r w:rsidR="001A41CD">
        <w:rPr>
          <w:rFonts w:eastAsia="OptimaLTStd"/>
          <w:color w:val="000000"/>
          <w:lang w:val="es-MX"/>
        </w:rPr>
        <w:t>mérica Latina y El Caribe (CEPAL)</w:t>
      </w:r>
      <w:r>
        <w:rPr>
          <w:rFonts w:eastAsia="OptimaLTStd"/>
          <w:color w:val="000000"/>
          <w:lang w:val="es-MX"/>
        </w:rPr>
        <w:t xml:space="preserve">, en </w:t>
      </w:r>
      <w:r w:rsidR="00CF443E">
        <w:rPr>
          <w:rFonts w:eastAsia="OptimaLTStd"/>
          <w:color w:val="000000"/>
          <w:lang w:val="es-MX"/>
        </w:rPr>
        <w:t>la región</w:t>
      </w:r>
      <w:r>
        <w:rPr>
          <w:rFonts w:eastAsia="OptimaLTStd"/>
          <w:color w:val="000000"/>
          <w:lang w:val="es-MX"/>
        </w:rPr>
        <w:t xml:space="preserve"> la pandemia </w:t>
      </w:r>
      <w:r w:rsidRPr="00FA3626">
        <w:rPr>
          <w:rFonts w:eastAsia="OptimaLTStd"/>
          <w:color w:val="000000"/>
          <w:lang w:val="es-MX"/>
        </w:rPr>
        <w:t>tendrá efectos graves en el corto y largo plazo en la oferta y la demanda a</w:t>
      </w:r>
      <w:r>
        <w:rPr>
          <w:rFonts w:eastAsia="OptimaLTStd"/>
          <w:color w:val="000000"/>
          <w:lang w:val="es-MX"/>
        </w:rPr>
        <w:t xml:space="preserve"> </w:t>
      </w:r>
      <w:r w:rsidRPr="00FA3626">
        <w:rPr>
          <w:rFonts w:eastAsia="OptimaLTStd"/>
          <w:color w:val="000000"/>
          <w:lang w:val="es-MX"/>
        </w:rPr>
        <w:t>nivel agregado y sectorial, cuya intensidad y profundidad dependerán de las condiciones internas</w:t>
      </w:r>
      <w:r>
        <w:rPr>
          <w:rFonts w:eastAsia="OptimaLTStd"/>
          <w:color w:val="000000"/>
          <w:lang w:val="es-MX"/>
        </w:rPr>
        <w:t xml:space="preserve"> </w:t>
      </w:r>
      <w:r w:rsidRPr="00FA3626">
        <w:rPr>
          <w:rFonts w:eastAsia="OptimaLTStd"/>
          <w:color w:val="000000"/>
          <w:lang w:val="es-MX"/>
        </w:rPr>
        <w:t>de cada economía, el comercio mundial, la duración de la epidemia y las medidas sociales y</w:t>
      </w:r>
      <w:r>
        <w:rPr>
          <w:rFonts w:eastAsia="OptimaLTStd"/>
          <w:color w:val="000000"/>
          <w:lang w:val="es-MX"/>
        </w:rPr>
        <w:t xml:space="preserve"> </w:t>
      </w:r>
      <w:r w:rsidRPr="00FA3626">
        <w:rPr>
          <w:rFonts w:eastAsia="OptimaLTStd"/>
          <w:color w:val="000000"/>
          <w:lang w:val="es-MX"/>
        </w:rPr>
        <w:t>económicas para prevenir el contagio</w:t>
      </w:r>
      <w:r>
        <w:rPr>
          <w:rFonts w:eastAsia="OptimaLTStd"/>
          <w:color w:val="000000"/>
          <w:lang w:val="es-MX"/>
        </w:rPr>
        <w:t>.</w:t>
      </w:r>
    </w:p>
    <w:p w:rsidR="00C61CA7" w:rsidRPr="00CF443E" w:rsidRDefault="00C61CA7" w:rsidP="00C61CA7">
      <w:pPr>
        <w:autoSpaceDE w:val="0"/>
        <w:autoSpaceDN w:val="0"/>
        <w:adjustRightInd w:val="0"/>
        <w:spacing w:line="276" w:lineRule="auto"/>
        <w:jc w:val="both"/>
        <w:rPr>
          <w:rFonts w:eastAsia="OptimaLTStd"/>
          <w:color w:val="000000"/>
          <w:sz w:val="36"/>
          <w:lang w:val="es-MX"/>
        </w:rPr>
      </w:pPr>
    </w:p>
    <w:p w:rsidR="00C61CA7" w:rsidRPr="001A41CD" w:rsidRDefault="00C61CA7" w:rsidP="00C61CA7">
      <w:pPr>
        <w:autoSpaceDE w:val="0"/>
        <w:autoSpaceDN w:val="0"/>
        <w:adjustRightInd w:val="0"/>
        <w:jc w:val="center"/>
        <w:rPr>
          <w:rFonts w:eastAsia="OptimaLTStd"/>
          <w:b/>
          <w:color w:val="000000"/>
          <w:lang w:val="es-MX"/>
        </w:rPr>
      </w:pPr>
      <w:r w:rsidRPr="001A41CD">
        <w:rPr>
          <w:rFonts w:eastAsia="OptimaLTStd"/>
          <w:b/>
          <w:color w:val="000000"/>
          <w:lang w:val="es-MX"/>
        </w:rPr>
        <w:t>Figura 1</w:t>
      </w:r>
    </w:p>
    <w:p w:rsidR="00C61CA7" w:rsidRPr="001A41CD" w:rsidRDefault="00C61CA7" w:rsidP="00C61CA7">
      <w:pPr>
        <w:autoSpaceDE w:val="0"/>
        <w:autoSpaceDN w:val="0"/>
        <w:adjustRightInd w:val="0"/>
        <w:jc w:val="center"/>
        <w:rPr>
          <w:rFonts w:eastAsia="OptimaLTStd"/>
          <w:b/>
          <w:color w:val="000000"/>
          <w:lang w:val="es-MX"/>
        </w:rPr>
      </w:pPr>
      <w:r w:rsidRPr="001A41CD">
        <w:rPr>
          <w:rFonts w:eastAsia="OptimaLTStd"/>
          <w:b/>
          <w:color w:val="000000"/>
          <w:lang w:val="es-MX"/>
        </w:rPr>
        <w:t xml:space="preserve">Efectos Económicos de la </w:t>
      </w:r>
      <w:r w:rsidR="001A41CD">
        <w:rPr>
          <w:rFonts w:eastAsia="OptimaLTStd"/>
          <w:b/>
          <w:color w:val="000000"/>
          <w:lang w:val="es-MX"/>
        </w:rPr>
        <w:t>P</w:t>
      </w:r>
      <w:r w:rsidRPr="001A41CD">
        <w:rPr>
          <w:rFonts w:eastAsia="OptimaLTStd"/>
          <w:b/>
          <w:color w:val="000000"/>
          <w:lang w:val="es-MX"/>
        </w:rPr>
        <w:t>andemia de</w:t>
      </w:r>
      <w:r w:rsidR="001A41CD">
        <w:rPr>
          <w:rFonts w:eastAsia="OptimaLTStd"/>
          <w:b/>
          <w:color w:val="000000"/>
          <w:lang w:val="es-MX"/>
        </w:rPr>
        <w:t>l Covid</w:t>
      </w:r>
      <w:r w:rsidRPr="001A41CD">
        <w:rPr>
          <w:rFonts w:eastAsia="OptimaLTStd"/>
          <w:b/>
          <w:color w:val="000000"/>
          <w:lang w:val="es-MX"/>
        </w:rPr>
        <w:t>-19 en América Latina y El Caribe</w:t>
      </w:r>
    </w:p>
    <w:p w:rsidR="00C61CA7" w:rsidRDefault="00C61CA7" w:rsidP="00C61CA7">
      <w:pPr>
        <w:autoSpaceDE w:val="0"/>
        <w:autoSpaceDN w:val="0"/>
        <w:adjustRightInd w:val="0"/>
        <w:spacing w:line="276" w:lineRule="auto"/>
        <w:jc w:val="center"/>
        <w:rPr>
          <w:rFonts w:eastAsia="OptimaLTStd"/>
          <w:noProof/>
          <w:color w:val="000000"/>
          <w:lang w:val="es-MX"/>
        </w:rPr>
      </w:pPr>
      <w:r w:rsidRPr="00D37D06">
        <w:rPr>
          <w:noProof/>
          <w:lang w:val="es-GT" w:eastAsia="es-GT"/>
        </w:rPr>
        <w:drawing>
          <wp:inline distT="0" distB="0" distL="0" distR="0" wp14:anchorId="17F437A3" wp14:editId="0F072642">
            <wp:extent cx="5837530" cy="397215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9890" t="21354" r="7262" b="16982"/>
                    <a:stretch/>
                  </pic:blipFill>
                  <pic:spPr bwMode="auto">
                    <a:xfrm>
                      <a:off x="0" y="0"/>
                      <a:ext cx="5891436" cy="4008834"/>
                    </a:xfrm>
                    <a:prstGeom prst="rect">
                      <a:avLst/>
                    </a:prstGeom>
                    <a:ln>
                      <a:noFill/>
                    </a:ln>
                    <a:extLst>
                      <a:ext uri="{53640926-AAD7-44D8-BBD7-CCE9431645EC}">
                        <a14:shadowObscured xmlns:a14="http://schemas.microsoft.com/office/drawing/2010/main"/>
                      </a:ext>
                    </a:extLst>
                  </pic:spPr>
                </pic:pic>
              </a:graphicData>
            </a:graphic>
          </wp:inline>
        </w:drawing>
      </w:r>
      <w:r w:rsidRPr="00A73E1E">
        <w:rPr>
          <w:rFonts w:eastAsia="OptimaLTStd"/>
          <w:noProof/>
          <w:color w:val="000000"/>
          <w:lang w:val="es-MX"/>
        </w:rPr>
        <w:t xml:space="preserve"> </w:t>
      </w:r>
    </w:p>
    <w:p w:rsidR="00C61CA7" w:rsidRPr="00DF1F42" w:rsidRDefault="00CF443E" w:rsidP="00C61CA7">
      <w:pPr>
        <w:autoSpaceDE w:val="0"/>
        <w:autoSpaceDN w:val="0"/>
        <w:adjustRightInd w:val="0"/>
        <w:spacing w:line="276" w:lineRule="auto"/>
        <w:rPr>
          <w:rFonts w:eastAsia="OptimaLTStd"/>
          <w:color w:val="000000"/>
          <w:sz w:val="18"/>
          <w:szCs w:val="16"/>
          <w:lang w:val="es-MX"/>
        </w:rPr>
      </w:pPr>
      <w:r w:rsidRPr="00DF1F42">
        <w:rPr>
          <w:rFonts w:eastAsia="OptimaLTStd"/>
          <w:noProof/>
          <w:color w:val="000000"/>
          <w:sz w:val="18"/>
          <w:szCs w:val="16"/>
          <w:lang w:val="es-MX"/>
        </w:rPr>
        <w:t xml:space="preserve">   </w:t>
      </w:r>
      <w:r w:rsidR="00C61CA7" w:rsidRPr="00DF1F42">
        <w:rPr>
          <w:rFonts w:eastAsia="OptimaLTStd"/>
          <w:noProof/>
          <w:color w:val="000000"/>
          <w:sz w:val="18"/>
          <w:szCs w:val="16"/>
          <w:lang w:val="es-MX"/>
        </w:rPr>
        <w:t>Fuente: Adaptado de CEPAL 2020</w:t>
      </w:r>
      <w:r w:rsidR="001A41CD" w:rsidRPr="00DF1F42">
        <w:rPr>
          <w:rFonts w:eastAsia="OptimaLTStd"/>
          <w:noProof/>
          <w:color w:val="000000"/>
          <w:sz w:val="18"/>
          <w:szCs w:val="16"/>
          <w:lang w:val="es-MX"/>
        </w:rPr>
        <w:t>;</w:t>
      </w:r>
      <w:r w:rsidR="00C61CA7" w:rsidRPr="00DF1F42">
        <w:rPr>
          <w:rFonts w:eastAsia="OptimaLTStd"/>
          <w:noProof/>
          <w:color w:val="000000"/>
          <w:sz w:val="18"/>
          <w:szCs w:val="16"/>
          <w:lang w:val="es-MX"/>
        </w:rPr>
        <w:t xml:space="preserve"> </w:t>
      </w:r>
      <w:r w:rsidR="00C61CA7" w:rsidRPr="00DF1F42">
        <w:rPr>
          <w:rFonts w:eastAsia="OptimaLTStd"/>
          <w:color w:val="000000"/>
          <w:sz w:val="18"/>
          <w:szCs w:val="16"/>
          <w:lang w:val="es-MX"/>
        </w:rPr>
        <w:t xml:space="preserve">América Latina y </w:t>
      </w:r>
      <w:r w:rsidR="001A41CD" w:rsidRPr="00DF1F42">
        <w:rPr>
          <w:rFonts w:eastAsia="OptimaLTStd"/>
          <w:color w:val="000000"/>
          <w:sz w:val="18"/>
          <w:szCs w:val="16"/>
          <w:lang w:val="es-MX"/>
        </w:rPr>
        <w:t>E</w:t>
      </w:r>
      <w:r w:rsidR="00C61CA7" w:rsidRPr="00DF1F42">
        <w:rPr>
          <w:rFonts w:eastAsia="OptimaLTStd"/>
          <w:color w:val="000000"/>
          <w:sz w:val="18"/>
          <w:szCs w:val="16"/>
          <w:lang w:val="es-MX"/>
        </w:rPr>
        <w:t xml:space="preserve">l Caribe ante la </w:t>
      </w:r>
      <w:r w:rsidR="001A41CD" w:rsidRPr="00DF1F42">
        <w:rPr>
          <w:rFonts w:eastAsia="OptimaLTStd"/>
          <w:color w:val="000000"/>
          <w:sz w:val="18"/>
          <w:szCs w:val="16"/>
          <w:lang w:val="es-MX"/>
        </w:rPr>
        <w:t>p</w:t>
      </w:r>
      <w:r w:rsidR="00C61CA7" w:rsidRPr="00DF1F42">
        <w:rPr>
          <w:rFonts w:eastAsia="OptimaLTStd"/>
          <w:color w:val="000000"/>
          <w:sz w:val="18"/>
          <w:szCs w:val="16"/>
          <w:lang w:val="es-MX"/>
        </w:rPr>
        <w:t>andemia del C</w:t>
      </w:r>
      <w:r w:rsidR="001A41CD" w:rsidRPr="00DF1F42">
        <w:rPr>
          <w:rFonts w:eastAsia="OptimaLTStd"/>
          <w:color w:val="000000"/>
          <w:sz w:val="18"/>
          <w:szCs w:val="16"/>
          <w:lang w:val="es-MX"/>
        </w:rPr>
        <w:t>ovid</w:t>
      </w:r>
      <w:r w:rsidR="00C61CA7" w:rsidRPr="00DF1F42">
        <w:rPr>
          <w:rFonts w:eastAsia="OptimaLTStd"/>
          <w:color w:val="000000"/>
          <w:sz w:val="18"/>
          <w:szCs w:val="16"/>
          <w:lang w:val="es-MX"/>
        </w:rPr>
        <w:t>-19. Efectos económicos y sociales</w:t>
      </w:r>
      <w:r w:rsidR="001A41CD" w:rsidRPr="00DF1F42">
        <w:rPr>
          <w:rFonts w:eastAsia="OptimaLTStd"/>
          <w:color w:val="000000"/>
          <w:sz w:val="18"/>
          <w:szCs w:val="16"/>
          <w:lang w:val="es-MX"/>
        </w:rPr>
        <w:t>.</w:t>
      </w:r>
    </w:p>
    <w:p w:rsidR="00C61CA7" w:rsidRPr="00CF443E" w:rsidRDefault="00C61CA7" w:rsidP="00C61CA7">
      <w:pPr>
        <w:jc w:val="both"/>
        <w:rPr>
          <w:rFonts w:eastAsia="OptimaLTStd"/>
          <w:color w:val="000000"/>
          <w:sz w:val="36"/>
          <w:lang w:val="es-MX"/>
        </w:rPr>
      </w:pPr>
    </w:p>
    <w:p w:rsidR="00C61CA7" w:rsidRDefault="00C61CA7" w:rsidP="00C61CA7">
      <w:pPr>
        <w:jc w:val="both"/>
      </w:pPr>
      <w:r>
        <w:rPr>
          <w:rFonts w:eastAsia="OptimaLTStd"/>
          <w:color w:val="000000"/>
          <w:lang w:val="es-MX"/>
        </w:rPr>
        <w:t>De igual forma, señala que la</w:t>
      </w:r>
      <w:r w:rsidRPr="00FA3626">
        <w:rPr>
          <w:rFonts w:eastAsia="OptimaLTStd"/>
          <w:color w:val="000000"/>
          <w:lang w:val="es-MX"/>
        </w:rPr>
        <w:t xml:space="preserve"> acción más importante para enfrentar el C</w:t>
      </w:r>
      <w:r w:rsidR="00FE5739">
        <w:rPr>
          <w:rFonts w:eastAsia="OptimaLTStd"/>
          <w:color w:val="000000"/>
          <w:lang w:val="es-MX"/>
        </w:rPr>
        <w:t>ovid</w:t>
      </w:r>
      <w:r w:rsidRPr="00FA3626">
        <w:rPr>
          <w:rFonts w:eastAsia="OptimaLTStd"/>
          <w:color w:val="000000"/>
          <w:lang w:val="es-MX"/>
        </w:rPr>
        <w:t>-19 es la contención de la expansión del virus</w:t>
      </w:r>
      <w:r>
        <w:rPr>
          <w:rFonts w:eastAsia="OptimaLTStd"/>
          <w:color w:val="000000"/>
          <w:lang w:val="es-MX"/>
        </w:rPr>
        <w:t xml:space="preserve"> </w:t>
      </w:r>
      <w:r w:rsidRPr="00FA3626">
        <w:rPr>
          <w:rFonts w:eastAsia="OptimaLTStd"/>
          <w:color w:val="000000"/>
          <w:lang w:val="es-MX"/>
        </w:rPr>
        <w:t>mediante el autoaislamiento, la cuarentena y el distanciamiento social</w:t>
      </w:r>
      <w:r>
        <w:rPr>
          <w:rFonts w:eastAsia="OptimaLTStd"/>
          <w:color w:val="000000"/>
          <w:lang w:val="es-MX"/>
        </w:rPr>
        <w:t>, destacando que la</w:t>
      </w:r>
      <w:r w:rsidR="00FE5739">
        <w:rPr>
          <w:rFonts w:eastAsia="OptimaLTStd"/>
          <w:color w:val="000000"/>
          <w:lang w:val="es-MX"/>
        </w:rPr>
        <w:t>s</w:t>
      </w:r>
      <w:r>
        <w:rPr>
          <w:rFonts w:eastAsia="OptimaLTStd"/>
          <w:color w:val="000000"/>
          <w:lang w:val="es-MX"/>
        </w:rPr>
        <w:t xml:space="preserve"> </w:t>
      </w:r>
      <w:r w:rsidRPr="00FA3626">
        <w:rPr>
          <w:rFonts w:eastAsia="OptimaLTStd"/>
          <w:color w:val="000000"/>
          <w:lang w:val="es-MX"/>
        </w:rPr>
        <w:t>medida</w:t>
      </w:r>
      <w:r w:rsidR="00FE5739">
        <w:rPr>
          <w:rFonts w:eastAsia="OptimaLTStd"/>
          <w:color w:val="000000"/>
          <w:lang w:val="es-MX"/>
        </w:rPr>
        <w:t>s</w:t>
      </w:r>
      <w:r w:rsidRPr="00FA3626">
        <w:rPr>
          <w:rFonts w:eastAsia="OptimaLTStd"/>
          <w:color w:val="000000"/>
          <w:lang w:val="es-MX"/>
        </w:rPr>
        <w:t xml:space="preserve"> tiene</w:t>
      </w:r>
      <w:r w:rsidR="00FE5739">
        <w:rPr>
          <w:rFonts w:eastAsia="OptimaLTStd"/>
          <w:color w:val="000000"/>
          <w:lang w:val="es-MX"/>
        </w:rPr>
        <w:t>n</w:t>
      </w:r>
      <w:r w:rsidRPr="00FA3626">
        <w:rPr>
          <w:rFonts w:eastAsia="OptimaLTStd"/>
          <w:color w:val="000000"/>
          <w:lang w:val="es-MX"/>
        </w:rPr>
        <w:t xml:space="preserve"> impactos</w:t>
      </w:r>
      <w:r>
        <w:rPr>
          <w:rFonts w:eastAsia="OptimaLTStd"/>
          <w:color w:val="000000"/>
          <w:lang w:val="es-MX"/>
        </w:rPr>
        <w:t xml:space="preserve"> </w:t>
      </w:r>
      <w:r w:rsidRPr="00FA3626">
        <w:rPr>
          <w:rFonts w:eastAsia="OptimaLTStd"/>
          <w:color w:val="000000"/>
          <w:lang w:val="es-MX"/>
        </w:rPr>
        <w:t>positivos para la salud al aplanar la curva de contagio</w:t>
      </w:r>
      <w:r>
        <w:rPr>
          <w:rFonts w:eastAsia="OptimaLTStd"/>
          <w:color w:val="000000"/>
          <w:lang w:val="es-MX"/>
        </w:rPr>
        <w:t xml:space="preserve">, pero que </w:t>
      </w:r>
      <w:r w:rsidRPr="00FA3626">
        <w:rPr>
          <w:rFonts w:eastAsia="OptimaLTStd"/>
          <w:color w:val="000000"/>
          <w:lang w:val="es-MX"/>
        </w:rPr>
        <w:t>afecta la actividad económica</w:t>
      </w:r>
      <w:r>
        <w:rPr>
          <w:rFonts w:eastAsia="OptimaLTStd"/>
          <w:color w:val="000000"/>
          <w:lang w:val="es-MX"/>
        </w:rPr>
        <w:t xml:space="preserve"> </w:t>
      </w:r>
      <w:r w:rsidRPr="00FA3626">
        <w:rPr>
          <w:rFonts w:eastAsia="OptimaLTStd"/>
          <w:color w:val="000000"/>
          <w:lang w:val="es-MX"/>
        </w:rPr>
        <w:t>pues implica la desaceleración de la producción o incluso</w:t>
      </w:r>
      <w:r>
        <w:rPr>
          <w:rFonts w:eastAsia="OptimaLTStd"/>
          <w:color w:val="000000"/>
          <w:lang w:val="es-MX"/>
        </w:rPr>
        <w:t xml:space="preserve"> </w:t>
      </w:r>
      <w:r w:rsidRPr="00FA3626">
        <w:rPr>
          <w:rFonts w:eastAsia="OptimaLTStd"/>
          <w:color w:val="000000"/>
          <w:lang w:val="es-MX"/>
        </w:rPr>
        <w:t>su interrupción total</w:t>
      </w:r>
      <w:r>
        <w:rPr>
          <w:rFonts w:eastAsia="OptimaLTStd"/>
          <w:color w:val="000000"/>
          <w:lang w:val="es-MX"/>
        </w:rPr>
        <w:t xml:space="preserve"> de algunas actividades económicas</w:t>
      </w:r>
      <w:r w:rsidR="00FE5739">
        <w:rPr>
          <w:rFonts w:eastAsia="OptimaLTStd"/>
          <w:color w:val="000000"/>
          <w:lang w:val="es-MX"/>
        </w:rPr>
        <w:t xml:space="preserve"> como el turismo,</w:t>
      </w:r>
      <w:r w:rsidRPr="00FA3626">
        <w:rPr>
          <w:rFonts w:eastAsia="OptimaLTStd"/>
          <w:color w:val="000000"/>
          <w:lang w:val="es-MX"/>
        </w:rPr>
        <w:t xml:space="preserve"> y da lugar a la consiguiente</w:t>
      </w:r>
      <w:r>
        <w:rPr>
          <w:rFonts w:eastAsia="OptimaLTStd"/>
          <w:color w:val="000000"/>
          <w:lang w:val="es-MX"/>
        </w:rPr>
        <w:t xml:space="preserve"> </w:t>
      </w:r>
      <w:r w:rsidRPr="00FA3626">
        <w:rPr>
          <w:rFonts w:eastAsia="OptimaLTStd"/>
          <w:color w:val="000000"/>
          <w:lang w:val="es-MX"/>
        </w:rPr>
        <w:t>reducción de la demanda agregada de bienes y servicios</w:t>
      </w:r>
      <w:r w:rsidR="00FE5739">
        <w:rPr>
          <w:rFonts w:eastAsia="OptimaLTStd"/>
          <w:color w:val="000000"/>
          <w:lang w:val="es-MX"/>
        </w:rPr>
        <w:t>,</w:t>
      </w:r>
      <w:r>
        <w:rPr>
          <w:rFonts w:eastAsia="OptimaLTStd"/>
          <w:color w:val="000000"/>
          <w:lang w:val="es-MX"/>
        </w:rPr>
        <w:t xml:space="preserve"> una disminución en la </w:t>
      </w:r>
      <w:r w:rsidRPr="00FA3626">
        <w:rPr>
          <w:rFonts w:eastAsia="OptimaLTStd"/>
          <w:color w:val="000000"/>
          <w:lang w:val="es-MX"/>
        </w:rPr>
        <w:t>formación bruta de capital</w:t>
      </w:r>
      <w:r>
        <w:rPr>
          <w:rFonts w:eastAsia="OptimaLTStd"/>
          <w:color w:val="000000"/>
          <w:lang w:val="es-MX"/>
        </w:rPr>
        <w:t xml:space="preserve"> </w:t>
      </w:r>
      <w:r w:rsidRPr="00FA3626">
        <w:rPr>
          <w:rFonts w:eastAsia="OptimaLTStd"/>
          <w:color w:val="000000"/>
          <w:lang w:val="es-MX"/>
        </w:rPr>
        <w:t>fij</w:t>
      </w:r>
      <w:r>
        <w:rPr>
          <w:rFonts w:eastAsia="OptimaLTStd"/>
          <w:color w:val="000000"/>
          <w:lang w:val="es-MX"/>
        </w:rPr>
        <w:t xml:space="preserve">o y la disminución </w:t>
      </w:r>
      <w:r w:rsidR="00FE5739">
        <w:rPr>
          <w:rFonts w:eastAsia="OptimaLTStd"/>
          <w:color w:val="000000"/>
          <w:lang w:val="es-MX"/>
        </w:rPr>
        <w:t>de inversiones privadas.</w:t>
      </w:r>
      <w:r>
        <w:br w:type="page"/>
      </w:r>
    </w:p>
    <w:p w:rsidR="00C61CA7" w:rsidRPr="00CF443E" w:rsidRDefault="00C61CA7" w:rsidP="00C61CA7">
      <w:pPr>
        <w:rPr>
          <w:sz w:val="40"/>
        </w:rPr>
      </w:pPr>
    </w:p>
    <w:p w:rsidR="00C61CA7" w:rsidRPr="00124AD6" w:rsidRDefault="00C61CA7" w:rsidP="00C61CA7">
      <w:pPr>
        <w:pStyle w:val="Ttulo1"/>
        <w:rPr>
          <w:lang w:val="es-MX"/>
        </w:rPr>
      </w:pPr>
      <w:bookmarkStart w:id="8" w:name="_Toc4742460"/>
      <w:bookmarkStart w:id="9" w:name="_Toc65064201"/>
      <w:bookmarkStart w:id="10" w:name="_Toc65826750"/>
      <w:r w:rsidRPr="00124AD6">
        <w:rPr>
          <w:lang w:val="es-MX"/>
        </w:rPr>
        <w:t>Entorno Macroeconómico Nacional</w:t>
      </w:r>
      <w:bookmarkEnd w:id="8"/>
      <w:bookmarkEnd w:id="9"/>
      <w:bookmarkEnd w:id="10"/>
    </w:p>
    <w:p w:rsidR="00C61CA7" w:rsidRPr="00CF443E" w:rsidRDefault="00C61CA7" w:rsidP="00C61CA7">
      <w:pPr>
        <w:rPr>
          <w:sz w:val="28"/>
          <w:lang w:val="es-MX"/>
        </w:rPr>
      </w:pPr>
    </w:p>
    <w:p w:rsidR="00C61CA7" w:rsidRDefault="00C61CA7" w:rsidP="00C61CA7">
      <w:pPr>
        <w:jc w:val="both"/>
        <w:rPr>
          <w:lang w:val="es-MX"/>
        </w:rPr>
      </w:pPr>
      <w:r w:rsidRPr="00124AD6">
        <w:rPr>
          <w:lang w:val="es-MX"/>
        </w:rPr>
        <w:t xml:space="preserve">La actividad económica </w:t>
      </w:r>
      <w:r>
        <w:rPr>
          <w:lang w:val="es-MX"/>
        </w:rPr>
        <w:t xml:space="preserve">medida en función del Producto Interno Bruto </w:t>
      </w:r>
      <w:r w:rsidRPr="00124AD6">
        <w:rPr>
          <w:lang w:val="es-MX"/>
        </w:rPr>
        <w:t>en términos reales</w:t>
      </w:r>
      <w:r w:rsidR="00E241CF">
        <w:rPr>
          <w:lang w:val="es-MX"/>
        </w:rPr>
        <w:t>,</w:t>
      </w:r>
      <w:r w:rsidRPr="00124AD6">
        <w:rPr>
          <w:lang w:val="es-MX"/>
        </w:rPr>
        <w:t xml:space="preserve"> mostró para </w:t>
      </w:r>
      <w:r>
        <w:rPr>
          <w:lang w:val="es-MX"/>
        </w:rPr>
        <w:t xml:space="preserve">el </w:t>
      </w:r>
      <w:r w:rsidRPr="00124AD6">
        <w:rPr>
          <w:lang w:val="es-MX"/>
        </w:rPr>
        <w:t>20</w:t>
      </w:r>
      <w:r>
        <w:rPr>
          <w:lang w:val="es-MX"/>
        </w:rPr>
        <w:t>20</w:t>
      </w:r>
      <w:r w:rsidRPr="00124AD6">
        <w:rPr>
          <w:lang w:val="es-MX"/>
        </w:rPr>
        <w:t xml:space="preserve"> un </w:t>
      </w:r>
      <w:r>
        <w:rPr>
          <w:lang w:val="es-MX"/>
        </w:rPr>
        <w:t>de</w:t>
      </w:r>
      <w:r w:rsidRPr="00124AD6">
        <w:rPr>
          <w:lang w:val="es-MX"/>
        </w:rPr>
        <w:t xml:space="preserve">crecimiento de </w:t>
      </w:r>
      <w:r>
        <w:rPr>
          <w:lang w:val="es-MX"/>
        </w:rPr>
        <w:t>1.5%</w:t>
      </w:r>
      <w:r w:rsidRPr="00124AD6">
        <w:rPr>
          <w:lang w:val="es-MX"/>
        </w:rPr>
        <w:t xml:space="preserve"> </w:t>
      </w:r>
      <w:r w:rsidR="00E241CF">
        <w:rPr>
          <w:lang w:val="es-MX"/>
        </w:rPr>
        <w:t xml:space="preserve">con </w:t>
      </w:r>
      <w:r>
        <w:rPr>
          <w:lang w:val="es-MX"/>
        </w:rPr>
        <w:t>respecto</w:t>
      </w:r>
      <w:r w:rsidRPr="00124AD6">
        <w:rPr>
          <w:lang w:val="es-MX"/>
        </w:rPr>
        <w:t xml:space="preserve"> al registrado en 201</w:t>
      </w:r>
      <w:r>
        <w:rPr>
          <w:lang w:val="es-MX"/>
        </w:rPr>
        <w:t>9 y dentro del rango establecido en las proyecciones de crecimiento por el Banco de Guatemala</w:t>
      </w:r>
      <w:r w:rsidRPr="00124AD6">
        <w:rPr>
          <w:lang w:val="es-MX"/>
        </w:rPr>
        <w:t xml:space="preserve">. </w:t>
      </w:r>
      <w:r w:rsidRPr="008203ED">
        <w:rPr>
          <w:lang w:val="es-MX"/>
        </w:rPr>
        <w:t xml:space="preserve">De acuerdo </w:t>
      </w:r>
      <w:r>
        <w:rPr>
          <w:lang w:val="es-MX"/>
        </w:rPr>
        <w:t xml:space="preserve">con </w:t>
      </w:r>
      <w:r w:rsidRPr="008203ED">
        <w:rPr>
          <w:lang w:val="es-MX"/>
        </w:rPr>
        <w:t xml:space="preserve">el Banco de Guatemala, </w:t>
      </w:r>
      <w:r>
        <w:rPr>
          <w:lang w:val="es-MX"/>
        </w:rPr>
        <w:t>dicho</w:t>
      </w:r>
      <w:r w:rsidRPr="008203ED">
        <w:rPr>
          <w:lang w:val="es-MX"/>
        </w:rPr>
        <w:t xml:space="preserve"> </w:t>
      </w:r>
      <w:r>
        <w:rPr>
          <w:lang w:val="es-MX"/>
        </w:rPr>
        <w:t>comportamiento se explica en que a</w:t>
      </w:r>
      <w:r w:rsidRPr="00745918">
        <w:rPr>
          <w:lang w:val="es-MX"/>
        </w:rPr>
        <w:t>l igual que el resto de economías a nivel mundial, durante el primer semestre de 2020, la mayoría de indicadores relacionados con la medición de la actividad económica en Guatemala registraron un desempeño negativo, como resultado de la desaceleración económica y de la implementación de las medidas sanitarias para contener la propagación del C</w:t>
      </w:r>
      <w:r w:rsidR="00E241CF">
        <w:rPr>
          <w:lang w:val="es-MX"/>
        </w:rPr>
        <w:t>ovid-</w:t>
      </w:r>
      <w:r w:rsidRPr="00745918">
        <w:rPr>
          <w:lang w:val="es-MX"/>
        </w:rPr>
        <w:t>19 a partir de la tercera semana de marzo, particularmente las que restringieron la movilidad de las personas y que incidieron en el funcionamiento de la mayoría de actividades económicas, principalmente, las relacionadas a los sector</w:t>
      </w:r>
      <w:r w:rsidR="00C77CAF">
        <w:rPr>
          <w:lang w:val="es-MX"/>
        </w:rPr>
        <w:t>es de servicios y manufacturas.</w:t>
      </w:r>
    </w:p>
    <w:p w:rsidR="00C61CA7" w:rsidRPr="00CF443E" w:rsidRDefault="00C61CA7" w:rsidP="00C61CA7">
      <w:pPr>
        <w:jc w:val="both"/>
        <w:rPr>
          <w:sz w:val="28"/>
          <w:lang w:val="es-MX"/>
        </w:rPr>
      </w:pPr>
    </w:p>
    <w:p w:rsidR="00C61CA7" w:rsidRDefault="00C61CA7" w:rsidP="00C61CA7">
      <w:pPr>
        <w:jc w:val="both"/>
        <w:rPr>
          <w:lang w:val="es-MX"/>
        </w:rPr>
      </w:pPr>
      <w:r w:rsidRPr="00745918">
        <w:rPr>
          <w:lang w:val="es-MX"/>
        </w:rPr>
        <w:t>No obstante, el relajamiento de las restricciones implementadas por el Gobierno de la República en el segundo semestre de 2020, la recuperación moderada de la demanda externa, el importante estímulo fiscal y la postura de la política monetaria, propiciaron que la actividad económica nacional registrara signos de rec</w:t>
      </w:r>
      <w:r w:rsidR="0042330B">
        <w:rPr>
          <w:lang w:val="es-MX"/>
        </w:rPr>
        <w:t>uperación antes de lo previsto.</w:t>
      </w:r>
    </w:p>
    <w:p w:rsidR="00C61CA7" w:rsidRPr="00CF443E" w:rsidRDefault="00C61CA7" w:rsidP="00C61CA7">
      <w:pPr>
        <w:jc w:val="both"/>
        <w:rPr>
          <w:sz w:val="28"/>
          <w:lang w:val="es-MX"/>
        </w:rPr>
      </w:pPr>
    </w:p>
    <w:p w:rsidR="00C61CA7" w:rsidRDefault="00C61CA7" w:rsidP="00C61CA7">
      <w:pPr>
        <w:jc w:val="both"/>
        <w:rPr>
          <w:lang w:val="es-MX"/>
        </w:rPr>
      </w:pPr>
      <w:r w:rsidRPr="00745918">
        <w:rPr>
          <w:lang w:val="es-MX"/>
        </w:rPr>
        <w:t>En lo que respecta a la demanda externa de bienes y servicios, se observó una reducción, asociada a expectativas menos favorables para los principales socios comerciales del país; en tanto que</w:t>
      </w:r>
      <w:r>
        <w:rPr>
          <w:lang w:val="es-MX"/>
        </w:rPr>
        <w:t>,</w:t>
      </w:r>
      <w:r w:rsidRPr="00745918">
        <w:rPr>
          <w:lang w:val="es-MX"/>
        </w:rPr>
        <w:t xml:space="preserve"> por el lado de la oferta, se registraron tasas de variación negativas en la mayoría de </w:t>
      </w:r>
      <w:r w:rsidR="0042330B">
        <w:rPr>
          <w:lang w:val="es-MX"/>
        </w:rPr>
        <w:t xml:space="preserve">las </w:t>
      </w:r>
      <w:r w:rsidRPr="00745918">
        <w:rPr>
          <w:lang w:val="es-MX"/>
        </w:rPr>
        <w:t>actividades económicas. La recuperación se consolidaría en 2021 como resultado de las mejores perspectivas de crecimiento para la economía mundial (incluyendo la de los principales socios comerciales de Guatemala) y del mayor dinamismo de las condiciones económicas internas, proyectándose un crecimiento del PIB que podría ubicarse en un rango entre 2.5% y 4.5%</w:t>
      </w:r>
      <w:r w:rsidR="0042330B">
        <w:rPr>
          <w:lang w:val="es-MX"/>
        </w:rPr>
        <w:t>,</w:t>
      </w:r>
      <w:r>
        <w:rPr>
          <w:lang w:val="es-MX"/>
        </w:rPr>
        <w:t xml:space="preserve"> estableciendo para este reporte un crecimiento medio de 3.5%. (B</w:t>
      </w:r>
      <w:r w:rsidR="0042330B">
        <w:rPr>
          <w:lang w:val="es-MX"/>
        </w:rPr>
        <w:t>ANGUAT</w:t>
      </w:r>
      <w:r>
        <w:rPr>
          <w:lang w:val="es-MX"/>
        </w:rPr>
        <w:t>, 2021)</w:t>
      </w:r>
      <w:r>
        <w:rPr>
          <w:rStyle w:val="Refdenotaalpie"/>
          <w:lang w:val="es-MX"/>
        </w:rPr>
        <w:footnoteReference w:id="1"/>
      </w:r>
      <w:r w:rsidR="0042330B">
        <w:rPr>
          <w:lang w:val="es-MX"/>
        </w:rPr>
        <w:t>.</w:t>
      </w:r>
      <w:r w:rsidRPr="009E3A1E">
        <w:rPr>
          <w:lang w:val="es-MX"/>
        </w:rPr>
        <w:br w:type="page"/>
      </w:r>
    </w:p>
    <w:p w:rsidR="00CF443E" w:rsidRPr="009E3A1E" w:rsidRDefault="00CF443E" w:rsidP="00C61CA7">
      <w:pPr>
        <w:jc w:val="both"/>
        <w:rPr>
          <w:lang w:val="es-MX"/>
        </w:rPr>
      </w:pPr>
    </w:p>
    <w:p w:rsidR="00C61CA7" w:rsidRPr="00124AD6" w:rsidRDefault="00C61CA7" w:rsidP="00C61CA7">
      <w:pPr>
        <w:jc w:val="center"/>
        <w:rPr>
          <w:b/>
        </w:rPr>
      </w:pPr>
      <w:r w:rsidRPr="00124AD6">
        <w:rPr>
          <w:b/>
        </w:rPr>
        <w:t>Gráfica 1</w:t>
      </w:r>
    </w:p>
    <w:p w:rsidR="00C61CA7" w:rsidRPr="00124AD6" w:rsidRDefault="00C61CA7" w:rsidP="00C61CA7">
      <w:pPr>
        <w:jc w:val="center"/>
        <w:rPr>
          <w:b/>
        </w:rPr>
      </w:pPr>
      <w:r w:rsidRPr="00124AD6">
        <w:rPr>
          <w:b/>
        </w:rPr>
        <w:t>Guatemala: Producto Interno Bruto</w:t>
      </w:r>
      <w:r>
        <w:rPr>
          <w:b/>
        </w:rPr>
        <w:t xml:space="preserve"> e</w:t>
      </w:r>
      <w:r w:rsidRPr="00124AD6">
        <w:rPr>
          <w:b/>
        </w:rPr>
        <w:t xml:space="preserve">n </w:t>
      </w:r>
      <w:r>
        <w:rPr>
          <w:b/>
        </w:rPr>
        <w:t>T</w:t>
      </w:r>
      <w:r w:rsidRPr="00124AD6">
        <w:rPr>
          <w:b/>
        </w:rPr>
        <w:t xml:space="preserve">érminos </w:t>
      </w:r>
      <w:r>
        <w:rPr>
          <w:b/>
        </w:rPr>
        <w:t>R</w:t>
      </w:r>
      <w:r w:rsidRPr="00124AD6">
        <w:rPr>
          <w:b/>
        </w:rPr>
        <w:t>eales</w:t>
      </w:r>
    </w:p>
    <w:p w:rsidR="00C61CA7" w:rsidRDefault="00C61CA7" w:rsidP="00C61CA7">
      <w:pPr>
        <w:jc w:val="center"/>
        <w:rPr>
          <w:b/>
        </w:rPr>
      </w:pPr>
      <w:r w:rsidRPr="00124AD6">
        <w:rPr>
          <w:b/>
        </w:rPr>
        <w:t xml:space="preserve">(Tasas de </w:t>
      </w:r>
      <w:r>
        <w:rPr>
          <w:b/>
        </w:rPr>
        <w:t>V</w:t>
      </w:r>
      <w:r w:rsidRPr="00124AD6">
        <w:rPr>
          <w:b/>
        </w:rPr>
        <w:t xml:space="preserve">ariación </w:t>
      </w:r>
      <w:r>
        <w:rPr>
          <w:b/>
        </w:rPr>
        <w:t>I</w:t>
      </w:r>
      <w:r w:rsidRPr="00124AD6">
        <w:rPr>
          <w:b/>
        </w:rPr>
        <w:t>nteranual 20</w:t>
      </w:r>
      <w:r>
        <w:rPr>
          <w:b/>
        </w:rPr>
        <w:t xml:space="preserve">14 </w:t>
      </w:r>
      <w:r w:rsidR="00FB7DCB">
        <w:rPr>
          <w:b/>
        </w:rPr>
        <w:t>-</w:t>
      </w:r>
      <w:r w:rsidRPr="00124AD6">
        <w:rPr>
          <w:b/>
        </w:rPr>
        <w:t xml:space="preserve"> 20</w:t>
      </w:r>
      <w:r>
        <w:rPr>
          <w:b/>
        </w:rPr>
        <w:t>21</w:t>
      </w:r>
      <w:r w:rsidRPr="005D17D0">
        <w:rPr>
          <w:b/>
          <w:vertAlign w:val="subscript"/>
        </w:rPr>
        <w:t>py</w:t>
      </w:r>
      <w:r w:rsidRPr="00124AD6">
        <w:rPr>
          <w:b/>
        </w:rPr>
        <w:t>)</w:t>
      </w:r>
    </w:p>
    <w:p w:rsidR="00C61CA7" w:rsidRPr="00124AD6" w:rsidRDefault="00C61CA7" w:rsidP="00C61CA7">
      <w:pPr>
        <w:jc w:val="center"/>
        <w:rPr>
          <w:b/>
        </w:rPr>
      </w:pPr>
      <w:r>
        <w:rPr>
          <w:noProof/>
          <w:lang w:val="es-GT" w:eastAsia="es-GT"/>
        </w:rPr>
        <w:drawing>
          <wp:inline distT="0" distB="0" distL="0" distR="0" wp14:anchorId="205374BD" wp14:editId="3CB24A6E">
            <wp:extent cx="5757062" cy="3408883"/>
            <wp:effectExtent l="0" t="0" r="0" b="1270"/>
            <wp:docPr id="5" name="Gráfico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61CA7" w:rsidRDefault="00215753" w:rsidP="00C61CA7">
      <w:pPr>
        <w:rPr>
          <w:noProof/>
          <w:sz w:val="18"/>
          <w:lang w:val="es-GT" w:eastAsia="es-GT"/>
        </w:rPr>
      </w:pPr>
      <w:r>
        <w:rPr>
          <w:noProof/>
          <w:sz w:val="18"/>
          <w:lang w:val="es-GT" w:eastAsia="es-GT"/>
        </w:rPr>
        <w:t xml:space="preserve">                      </w:t>
      </w:r>
      <w:r w:rsidR="00C61CA7" w:rsidRPr="00745918">
        <w:rPr>
          <w:noProof/>
          <w:sz w:val="18"/>
          <w:lang w:val="es-GT" w:eastAsia="es-GT"/>
        </w:rPr>
        <w:t>p/preliminar</w:t>
      </w:r>
    </w:p>
    <w:p w:rsidR="00C61CA7" w:rsidRPr="00745918" w:rsidRDefault="00215753" w:rsidP="00C61CA7">
      <w:pPr>
        <w:rPr>
          <w:noProof/>
          <w:sz w:val="18"/>
          <w:lang w:val="es-GT" w:eastAsia="es-GT"/>
        </w:rPr>
      </w:pPr>
      <w:r>
        <w:rPr>
          <w:noProof/>
          <w:sz w:val="18"/>
          <w:lang w:val="es-GT" w:eastAsia="es-GT"/>
        </w:rPr>
        <w:t xml:space="preserve">                      </w:t>
      </w:r>
      <w:r w:rsidR="00C61CA7">
        <w:rPr>
          <w:noProof/>
          <w:sz w:val="18"/>
          <w:lang w:val="es-GT" w:eastAsia="es-GT"/>
        </w:rPr>
        <w:t>e/estimado</w:t>
      </w:r>
    </w:p>
    <w:p w:rsidR="00C61CA7" w:rsidRPr="00745918" w:rsidRDefault="00215753" w:rsidP="00C61CA7">
      <w:pPr>
        <w:rPr>
          <w:noProof/>
          <w:sz w:val="18"/>
          <w:lang w:val="es-GT" w:eastAsia="es-GT"/>
        </w:rPr>
      </w:pPr>
      <w:r>
        <w:rPr>
          <w:noProof/>
          <w:sz w:val="18"/>
          <w:lang w:val="es-GT" w:eastAsia="es-GT"/>
        </w:rPr>
        <w:t xml:space="preserve">                      </w:t>
      </w:r>
      <w:r w:rsidR="00C61CA7" w:rsidRPr="00745918">
        <w:rPr>
          <w:noProof/>
          <w:sz w:val="18"/>
          <w:lang w:val="es-GT" w:eastAsia="es-GT"/>
        </w:rPr>
        <w:t>py/proyectado</w:t>
      </w:r>
    </w:p>
    <w:p w:rsidR="00C61CA7" w:rsidRPr="00745918" w:rsidRDefault="00215753" w:rsidP="00C61CA7">
      <w:pPr>
        <w:rPr>
          <w:noProof/>
          <w:sz w:val="18"/>
          <w:lang w:val="es-GT" w:eastAsia="es-GT"/>
        </w:rPr>
      </w:pPr>
      <w:r>
        <w:rPr>
          <w:noProof/>
          <w:sz w:val="18"/>
          <w:lang w:val="es-GT" w:eastAsia="es-GT"/>
        </w:rPr>
        <w:t xml:space="preserve">                      </w:t>
      </w:r>
      <w:r w:rsidR="00C61CA7" w:rsidRPr="00745918">
        <w:rPr>
          <w:noProof/>
          <w:sz w:val="18"/>
          <w:lang w:val="es-GT" w:eastAsia="es-GT"/>
        </w:rPr>
        <w:t>Fuente: Banco de Guatemala</w:t>
      </w:r>
      <w:r w:rsidR="00FB7DCB">
        <w:rPr>
          <w:noProof/>
          <w:sz w:val="18"/>
          <w:lang w:val="es-GT" w:eastAsia="es-GT"/>
        </w:rPr>
        <w:t>.</w:t>
      </w:r>
    </w:p>
    <w:p w:rsidR="00C61CA7" w:rsidRDefault="00C61CA7" w:rsidP="00C61CA7">
      <w:pPr>
        <w:rPr>
          <w:noProof/>
          <w:lang w:val="es-GT" w:eastAsia="es-GT"/>
        </w:rPr>
      </w:pPr>
    </w:p>
    <w:p w:rsidR="00C61CA7" w:rsidRPr="00B533AF" w:rsidRDefault="00C61CA7" w:rsidP="00C61CA7">
      <w:pPr>
        <w:rPr>
          <w:lang w:val="es-MX"/>
        </w:rPr>
      </w:pPr>
    </w:p>
    <w:p w:rsidR="00C61CA7" w:rsidRDefault="00C61CA7" w:rsidP="00C61CA7">
      <w:pPr>
        <w:jc w:val="both"/>
      </w:pPr>
      <w:r>
        <w:t xml:space="preserve">El Índice de Confianza de la Actividad Económica </w:t>
      </w:r>
      <w:r w:rsidR="000E2D2C">
        <w:t>(</w:t>
      </w:r>
      <w:r>
        <w:t>ICAE</w:t>
      </w:r>
      <w:r w:rsidR="000E2D2C">
        <w:t>)</w:t>
      </w:r>
      <w:r>
        <w:t xml:space="preserve">, </w:t>
      </w:r>
      <w:r w:rsidRPr="00124AD6">
        <w:t xml:space="preserve">refleja la percepción </w:t>
      </w:r>
      <w:r>
        <w:t xml:space="preserve">que, </w:t>
      </w:r>
      <w:r w:rsidRPr="00124AD6">
        <w:t xml:space="preserve">sobre la situación económica actual </w:t>
      </w:r>
      <w:r>
        <w:t>y el ambiente para los negocios, tiene el panel de analistas económicos entrevistados para su realización.</w:t>
      </w:r>
    </w:p>
    <w:p w:rsidR="00C61CA7" w:rsidRDefault="00C61CA7" w:rsidP="00C61CA7">
      <w:pPr>
        <w:jc w:val="both"/>
      </w:pPr>
    </w:p>
    <w:p w:rsidR="00C61CA7" w:rsidRDefault="00C61CA7" w:rsidP="00C61CA7">
      <w:pPr>
        <w:jc w:val="both"/>
      </w:pPr>
      <w:r>
        <w:t xml:space="preserve">En diciembre </w:t>
      </w:r>
      <w:r w:rsidR="000E2D2C">
        <w:t xml:space="preserve">de </w:t>
      </w:r>
      <w:r>
        <w:t>2020, el nivel del Índice de Confianza de la Actividad Económica se situó en 49.84 puntos, inferior en 9.43% con respecto al registrado en diciembre de 2019 (59.27 puntos).</w:t>
      </w:r>
    </w:p>
    <w:p w:rsidR="00C61CA7" w:rsidRDefault="00C61CA7" w:rsidP="00C61CA7">
      <w:pPr>
        <w:jc w:val="both"/>
      </w:pPr>
    </w:p>
    <w:p w:rsidR="00C61CA7" w:rsidRDefault="00C61CA7" w:rsidP="00C61CA7">
      <w:pPr>
        <w:jc w:val="both"/>
      </w:pPr>
      <w:r>
        <w:t>Es</w:t>
      </w:r>
      <w:r w:rsidRPr="00124AD6">
        <w:t xml:space="preserve"> importante indicar que </w:t>
      </w:r>
      <w:r>
        <w:t>n</w:t>
      </w:r>
      <w:r w:rsidRPr="00B72FFF">
        <w:t>o obstante, el ICAE se ubicó ligeramente por debajo de la zona de expansión, los resultados de diciembre reflejaron una significativa recuperación en la confianza económica, luego del impacto negativo de la propagación del C</w:t>
      </w:r>
      <w:r w:rsidR="000E2D2C">
        <w:t>ovid-</w:t>
      </w:r>
      <w:r w:rsidRPr="00B72FFF">
        <w:t>19 en el país, registrando una mejor percepción del panel de analistas privados con relación al clima de negocios y de inversión que prevalecería en los próximos seis meses, lo que incidió en un aumento de las expectativas de crecimiento económico</w:t>
      </w:r>
      <w:r>
        <w:t>. (B</w:t>
      </w:r>
      <w:r w:rsidR="000E2D2C">
        <w:t>ANGUAT</w:t>
      </w:r>
      <w:r>
        <w:t>, 2021, ídem)</w:t>
      </w:r>
      <w:r w:rsidR="000E2D2C">
        <w:t>.</w:t>
      </w:r>
    </w:p>
    <w:p w:rsidR="00C61CA7" w:rsidRPr="00124AD6" w:rsidRDefault="00C61CA7" w:rsidP="00C61CA7">
      <w:pPr>
        <w:jc w:val="both"/>
      </w:pPr>
    </w:p>
    <w:p w:rsidR="00C61CA7" w:rsidRDefault="00C61CA7" w:rsidP="00C61CA7">
      <w:pPr>
        <w:jc w:val="center"/>
        <w:rPr>
          <w:b/>
        </w:rPr>
      </w:pPr>
    </w:p>
    <w:p w:rsidR="00C61CA7" w:rsidRDefault="00C61CA7" w:rsidP="00C61CA7">
      <w:pPr>
        <w:rPr>
          <w:b/>
        </w:rPr>
      </w:pPr>
      <w:r>
        <w:rPr>
          <w:b/>
        </w:rPr>
        <w:br w:type="page"/>
      </w:r>
    </w:p>
    <w:p w:rsidR="00CF443E" w:rsidRPr="00CF0AF7" w:rsidRDefault="00CF443E" w:rsidP="00C61CA7">
      <w:pPr>
        <w:rPr>
          <w:b/>
          <w:sz w:val="12"/>
        </w:rPr>
      </w:pPr>
    </w:p>
    <w:p w:rsidR="00C61CA7" w:rsidRPr="00124AD6" w:rsidRDefault="00C61CA7" w:rsidP="00C61CA7">
      <w:pPr>
        <w:jc w:val="center"/>
        <w:rPr>
          <w:b/>
        </w:rPr>
      </w:pPr>
      <w:r w:rsidRPr="00124AD6">
        <w:rPr>
          <w:b/>
        </w:rPr>
        <w:t>Gráfica 2</w:t>
      </w:r>
    </w:p>
    <w:p w:rsidR="00C61CA7" w:rsidRPr="00124AD6" w:rsidRDefault="00C61CA7" w:rsidP="00C61CA7">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Índice de Confianza de la Actividad Económica</w:t>
      </w:r>
      <w:r>
        <w:rPr>
          <w:rFonts w:eastAsia="Calibri"/>
          <w:b/>
          <w:bCs/>
          <w:color w:val="000000"/>
          <w:lang w:val="es-GT" w:eastAsia="es-GT"/>
        </w:rPr>
        <w:t xml:space="preserve"> 2016</w:t>
      </w:r>
      <w:r w:rsidR="000E2D2C">
        <w:rPr>
          <w:rFonts w:eastAsia="Calibri"/>
          <w:b/>
          <w:bCs/>
          <w:color w:val="000000"/>
          <w:lang w:val="es-GT" w:eastAsia="es-GT"/>
        </w:rPr>
        <w:t xml:space="preserve"> - </w:t>
      </w:r>
      <w:r>
        <w:rPr>
          <w:rFonts w:eastAsia="Calibri"/>
          <w:b/>
          <w:bCs/>
          <w:color w:val="000000"/>
          <w:lang w:val="es-GT" w:eastAsia="es-GT"/>
        </w:rPr>
        <w:t>2020</w:t>
      </w:r>
    </w:p>
    <w:p w:rsidR="00C61CA7" w:rsidRPr="00124AD6" w:rsidRDefault="00C61CA7" w:rsidP="00C61CA7">
      <w:pPr>
        <w:jc w:val="center"/>
        <w:rPr>
          <w:lang w:val="es-MX"/>
        </w:rPr>
      </w:pPr>
      <w:r>
        <w:rPr>
          <w:rFonts w:eastAsia="Calibri"/>
          <w:b/>
          <w:bCs/>
          <w:color w:val="000000"/>
          <w:lang w:val="es-GT" w:eastAsia="es-GT"/>
        </w:rPr>
        <w:t>(En puntos de nivel de confianza)</w:t>
      </w:r>
    </w:p>
    <w:p w:rsidR="00C61CA7" w:rsidRPr="00124AD6" w:rsidRDefault="00C61CA7" w:rsidP="00C61CA7">
      <w:pPr>
        <w:jc w:val="both"/>
        <w:rPr>
          <w:lang w:val="es-MX"/>
        </w:rPr>
      </w:pPr>
      <w:r>
        <w:rPr>
          <w:noProof/>
          <w:lang w:val="es-GT" w:eastAsia="es-GT"/>
        </w:rPr>
        <w:drawing>
          <wp:inline distT="0" distB="0" distL="0" distR="0" wp14:anchorId="1EDE3AA6" wp14:editId="4E7CC03B">
            <wp:extent cx="6027724" cy="2867558"/>
            <wp:effectExtent l="0" t="0" r="0" b="0"/>
            <wp:docPr id="7" name="Gráfico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61CA7" w:rsidRDefault="00C61CA7" w:rsidP="00C61CA7">
      <w:pPr>
        <w:jc w:val="both"/>
        <w:rPr>
          <w:sz w:val="16"/>
          <w:lang w:val="es-MX"/>
        </w:rPr>
      </w:pPr>
    </w:p>
    <w:p w:rsidR="00C61CA7" w:rsidRPr="00DF1F42" w:rsidRDefault="000E2D2C" w:rsidP="00C61CA7">
      <w:pPr>
        <w:jc w:val="both"/>
        <w:rPr>
          <w:sz w:val="18"/>
          <w:lang w:val="es-MX"/>
        </w:rPr>
      </w:pPr>
      <w:r w:rsidRPr="00DF1F42">
        <w:rPr>
          <w:sz w:val="18"/>
          <w:lang w:val="es-MX"/>
        </w:rPr>
        <w:t xml:space="preserve">            </w:t>
      </w:r>
      <w:r w:rsidR="00C61CA7" w:rsidRPr="00DF1F42">
        <w:rPr>
          <w:sz w:val="18"/>
          <w:lang w:val="es-MX"/>
        </w:rPr>
        <w:t>Fuente: Banco de Guatemala.</w:t>
      </w:r>
    </w:p>
    <w:p w:rsidR="00C61CA7" w:rsidRPr="00124AD6" w:rsidRDefault="00C61CA7" w:rsidP="00C61CA7">
      <w:pPr>
        <w:jc w:val="both"/>
        <w:rPr>
          <w:lang w:val="es-MX"/>
        </w:rPr>
      </w:pPr>
    </w:p>
    <w:p w:rsidR="00C61CA7" w:rsidRDefault="00C61CA7" w:rsidP="00C61CA7">
      <w:pPr>
        <w:jc w:val="both"/>
      </w:pPr>
      <w:r w:rsidRPr="00B72FFF">
        <w:t xml:space="preserve">A diciembre de 2020, el ritmo inflacionario se situó en 4.8%, </w:t>
      </w:r>
      <w:r>
        <w:t xml:space="preserve">ligeramente por debajo </w:t>
      </w:r>
      <w:r w:rsidRPr="00B72FFF">
        <w:t>de la meta de inflación determinada por la Junta Monetaria (4.0 +/- 1 punto porcentual).</w:t>
      </w:r>
    </w:p>
    <w:p w:rsidR="00C61CA7" w:rsidRDefault="00C61CA7" w:rsidP="00C61CA7">
      <w:pPr>
        <w:jc w:val="both"/>
      </w:pPr>
    </w:p>
    <w:p w:rsidR="00C61CA7" w:rsidRDefault="00C61CA7" w:rsidP="00C61CA7">
      <w:pPr>
        <w:jc w:val="both"/>
      </w:pPr>
      <w:r>
        <w:t>De acuerdo con el Ban</w:t>
      </w:r>
      <w:r w:rsidR="00C545EE">
        <w:t>co de Guatemala</w:t>
      </w:r>
      <w:r>
        <w:t>, e</w:t>
      </w:r>
      <w:r w:rsidRPr="00013191">
        <w:t>n general, el resultado de la inflación se explicó principalmente, por las variaciones en las divisiones de gasto de alimentos y bebidas no alcohólicas; transporte; vivienda, agua, electricidad, gas y otros combustibles; y comunicaciones. En la división de alimentos y bebidas no alcohólicas, se observó una disminución entre enero y febrero y posteriormente empezó a revertirse con incrementos consecutivos, los cuales se intensificaron a partir de junio, particularmente en los grupos de gasto de hortalizas, legumbres y tubérculos; pan y cereales y frutas, debido, por una parte, al abastecimiento que hicieron los hogares ante las restricciones impuestas para detener la propagación del C</w:t>
      </w:r>
      <w:r w:rsidR="00C545EE">
        <w:t>ovid</w:t>
      </w:r>
      <w:r w:rsidRPr="00013191">
        <w:t xml:space="preserve">-19 y, por la otra, por la estacionalidad de la producción </w:t>
      </w:r>
      <w:r w:rsidR="00C545EE">
        <w:t>de</w:t>
      </w:r>
      <w:r w:rsidRPr="00013191">
        <w:t xml:space="preserve"> algunos productos.</w:t>
      </w:r>
    </w:p>
    <w:p w:rsidR="00C61CA7" w:rsidRDefault="00C61CA7" w:rsidP="00C61CA7">
      <w:pPr>
        <w:jc w:val="both"/>
      </w:pPr>
    </w:p>
    <w:p w:rsidR="00C61CA7" w:rsidRDefault="00C61CA7" w:rsidP="00C61CA7">
      <w:pPr>
        <w:jc w:val="both"/>
      </w:pPr>
      <w:r w:rsidRPr="00B71583">
        <w:t xml:space="preserve">Por el lado de la demanda, la inflación subyacente, variable cuya finalidad es evidenciar el origen de los choques que afectan a la inflación total y que captura los efectos de la demanda agregada en el comportamiento de la inflación total, a diciembre de 2020 </w:t>
      </w:r>
      <w:r>
        <w:t xml:space="preserve">se ubicó en </w:t>
      </w:r>
      <w:r w:rsidRPr="00B71583">
        <w:t>2.</w:t>
      </w:r>
      <w:r>
        <w:t>3</w:t>
      </w:r>
      <w:r w:rsidRPr="00B71583">
        <w:t xml:space="preserve">%, nivel que se ubica por debajo del límite inferior de la meta establecida por la autoridad monetaria (4.0% +/- 1 punto porcentual), sugiriendo que al aislar los efectos de los choques de oferta en el rubro de alimentos, así como en el rubro de energéticos, el nivel de inflación es congruente con las condiciones de la actividad económica, por lo que </w:t>
      </w:r>
      <w:r>
        <w:t>de acuerdo con el Ban</w:t>
      </w:r>
      <w:r w:rsidR="00C545EE">
        <w:t>co de Guatemala</w:t>
      </w:r>
      <w:r>
        <w:t xml:space="preserve">, </w:t>
      </w:r>
      <w:r w:rsidRPr="00B71583">
        <w:t>los factores que influencia</w:t>
      </w:r>
      <w:r w:rsidR="00C545EE">
        <w:t>ron</w:t>
      </w:r>
      <w:r w:rsidRPr="00B71583">
        <w:t xml:space="preserve"> el ritmo inflacionario tienen su origen en choques de oferta. Vale indicar que los daños provocados por las tormentas tropicales Eta e Iota en Guatemala, implican un riesgo al alza en el resultado de la inflación en noviembre y diciembre de 2020, como </w:t>
      </w:r>
      <w:r w:rsidRPr="00B71583">
        <w:lastRenderedPageBreak/>
        <w:t>resultado de los daños ocasionados a la producción agropecuaria y a la infraestructura del país, particularmente en los departamentos de Petén, Izabal, Alta Verapaz y, en menor medida, en los departamentos fronterizos con Honduras y El Salvador, así como en Quiché y Huehuetenango. Sin embargo, de manera preliminar, el M</w:t>
      </w:r>
      <w:r w:rsidR="00C545EE">
        <w:t>inisterio de Agricultura, Ganadería y Alimentación</w:t>
      </w:r>
      <w:r w:rsidRPr="00B71583">
        <w:t xml:space="preserve"> informó que, en general, las pérdidas afectaron la producción durante el último trimestre de 2020, aunque moderadamente, por lo que el mercado interno fue abastecido con relativa normalidad</w:t>
      </w:r>
      <w:r>
        <w:t xml:space="preserve"> (B</w:t>
      </w:r>
      <w:r w:rsidR="00C545EE">
        <w:t>ANGUAT</w:t>
      </w:r>
      <w:r>
        <w:t>, 2021, ib</w:t>
      </w:r>
      <w:r w:rsidR="00C545EE">
        <w:t>íd</w:t>
      </w:r>
      <w:r>
        <w:t>em).</w:t>
      </w:r>
    </w:p>
    <w:p w:rsidR="00C61CA7" w:rsidRDefault="00C61CA7" w:rsidP="00C61CA7">
      <w:pPr>
        <w:jc w:val="center"/>
        <w:rPr>
          <w:b/>
        </w:rPr>
      </w:pPr>
    </w:p>
    <w:p w:rsidR="00C61CA7" w:rsidRPr="00124AD6" w:rsidRDefault="00C61CA7" w:rsidP="00C61CA7">
      <w:pPr>
        <w:jc w:val="center"/>
        <w:rPr>
          <w:b/>
        </w:rPr>
      </w:pPr>
      <w:r w:rsidRPr="00124AD6">
        <w:rPr>
          <w:b/>
        </w:rPr>
        <w:t xml:space="preserve">Gráfica </w:t>
      </w:r>
      <w:r>
        <w:rPr>
          <w:b/>
        </w:rPr>
        <w:t>3</w:t>
      </w:r>
    </w:p>
    <w:p w:rsidR="00C61CA7" w:rsidRDefault="00C61CA7" w:rsidP="00C61CA7">
      <w:pPr>
        <w:jc w:val="center"/>
        <w:rPr>
          <w:b/>
        </w:rPr>
      </w:pPr>
      <w:r w:rsidRPr="00124AD6">
        <w:rPr>
          <w:b/>
        </w:rPr>
        <w:t>Guatemala: Ritmo Inflacionario</w:t>
      </w:r>
      <w:r>
        <w:rPr>
          <w:b/>
        </w:rPr>
        <w:t xml:space="preserve"> Total y Subyacente 2012</w:t>
      </w:r>
      <w:r w:rsidR="00C545EE">
        <w:rPr>
          <w:b/>
        </w:rPr>
        <w:t xml:space="preserve"> </w:t>
      </w:r>
      <w:r>
        <w:rPr>
          <w:b/>
        </w:rPr>
        <w:t>-</w:t>
      </w:r>
      <w:r w:rsidR="00C545EE">
        <w:rPr>
          <w:b/>
        </w:rPr>
        <w:t xml:space="preserve"> </w:t>
      </w:r>
      <w:r>
        <w:rPr>
          <w:b/>
        </w:rPr>
        <w:t>2020</w:t>
      </w:r>
    </w:p>
    <w:p w:rsidR="00C61CA7" w:rsidRDefault="00C61CA7" w:rsidP="00C61CA7">
      <w:pPr>
        <w:jc w:val="center"/>
        <w:rPr>
          <w:b/>
        </w:rPr>
      </w:pPr>
      <w:r>
        <w:rPr>
          <w:b/>
        </w:rPr>
        <w:t xml:space="preserve">(En </w:t>
      </w:r>
      <w:r w:rsidR="00C545EE">
        <w:rPr>
          <w:b/>
        </w:rPr>
        <w:t>P</w:t>
      </w:r>
      <w:r>
        <w:rPr>
          <w:b/>
        </w:rPr>
        <w:t>orcentaje</w:t>
      </w:r>
      <w:r w:rsidR="00C545EE">
        <w:rPr>
          <w:b/>
        </w:rPr>
        <w:t>s</w:t>
      </w:r>
      <w:r>
        <w:rPr>
          <w:b/>
        </w:rPr>
        <w:t>)</w:t>
      </w:r>
    </w:p>
    <w:p w:rsidR="00C61CA7" w:rsidRDefault="00C61CA7" w:rsidP="00C61CA7">
      <w:pPr>
        <w:jc w:val="center"/>
        <w:rPr>
          <w:b/>
        </w:rPr>
      </w:pPr>
      <w:r>
        <w:rPr>
          <w:noProof/>
          <w:lang w:val="es-GT" w:eastAsia="es-GT"/>
        </w:rPr>
        <w:drawing>
          <wp:inline distT="0" distB="0" distL="0" distR="0" wp14:anchorId="22E76DAE" wp14:editId="23676250">
            <wp:extent cx="5727802" cy="3255264"/>
            <wp:effectExtent l="0" t="0" r="6350" b="2540"/>
            <wp:docPr id="13" name="Gráfico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61CA7" w:rsidRPr="00812B9B" w:rsidRDefault="00C61CA7" w:rsidP="00C61CA7">
      <w:pPr>
        <w:jc w:val="center"/>
        <w:rPr>
          <w:b/>
          <w:sz w:val="14"/>
        </w:rPr>
      </w:pPr>
    </w:p>
    <w:p w:rsidR="00C61CA7" w:rsidRPr="00DF1F42" w:rsidRDefault="00B86BEA" w:rsidP="00C61CA7">
      <w:pPr>
        <w:rPr>
          <w:sz w:val="18"/>
          <w:lang w:val="es-MX"/>
        </w:rPr>
      </w:pPr>
      <w:r w:rsidRPr="00DF1F42">
        <w:rPr>
          <w:sz w:val="18"/>
          <w:lang w:val="es-MX"/>
        </w:rPr>
        <w:t xml:space="preserve">                  </w:t>
      </w:r>
      <w:r w:rsidR="00C61CA7" w:rsidRPr="00DF1F42">
        <w:rPr>
          <w:sz w:val="18"/>
          <w:lang w:val="es-MX"/>
        </w:rPr>
        <w:t>Fuente: Banco de Guatemala.</w:t>
      </w:r>
    </w:p>
    <w:p w:rsidR="00C61CA7" w:rsidRPr="00DF1F42" w:rsidRDefault="00B86BEA" w:rsidP="00C61CA7">
      <w:pPr>
        <w:rPr>
          <w:sz w:val="18"/>
          <w:lang w:val="es-MX"/>
        </w:rPr>
      </w:pPr>
      <w:r w:rsidRPr="00DF1F42">
        <w:rPr>
          <w:sz w:val="18"/>
          <w:lang w:val="es-MX"/>
        </w:rPr>
        <w:t xml:space="preserve">                  </w:t>
      </w:r>
      <w:r w:rsidR="00C61CA7" w:rsidRPr="00DF1F42">
        <w:rPr>
          <w:sz w:val="18"/>
          <w:lang w:val="es-MX"/>
        </w:rPr>
        <w:t>Base de datos inflación subyacente y ritmo inflacionario total 2020.</w:t>
      </w:r>
    </w:p>
    <w:p w:rsidR="00C61CA7" w:rsidRDefault="00C61CA7" w:rsidP="00C61CA7">
      <w:pPr>
        <w:jc w:val="both"/>
      </w:pPr>
    </w:p>
    <w:p w:rsidR="00C61CA7" w:rsidRPr="00812B9B" w:rsidRDefault="00C61CA7" w:rsidP="00C61CA7">
      <w:pPr>
        <w:rPr>
          <w:sz w:val="14"/>
          <w:lang w:val="es-MX"/>
        </w:rPr>
      </w:pPr>
    </w:p>
    <w:p w:rsidR="00C61CA7" w:rsidRPr="00812ACB" w:rsidRDefault="00C61CA7" w:rsidP="00C61CA7">
      <w:pPr>
        <w:jc w:val="both"/>
        <w:rPr>
          <w:lang w:val="es-MX"/>
        </w:rPr>
      </w:pPr>
      <w:r w:rsidRPr="00124AD6">
        <w:rPr>
          <w:lang w:val="es-MX"/>
        </w:rPr>
        <w:t xml:space="preserve">Por su parte, las remesas familiares registraron un crecimiento de </w:t>
      </w:r>
      <w:r w:rsidR="00726B97">
        <w:rPr>
          <w:lang w:val="es-MX"/>
        </w:rPr>
        <w:t>US</w:t>
      </w:r>
      <w:r>
        <w:rPr>
          <w:lang w:val="es-MX"/>
        </w:rPr>
        <w:t>$832.1</w:t>
      </w:r>
      <w:r w:rsidR="00726B97">
        <w:rPr>
          <w:lang w:val="es-MX"/>
        </w:rPr>
        <w:t xml:space="preserve"> </w:t>
      </w:r>
      <w:r>
        <w:rPr>
          <w:lang w:val="es-MX"/>
        </w:rPr>
        <w:t>millones (7.9%)</w:t>
      </w:r>
      <w:r w:rsidRPr="00124AD6">
        <w:rPr>
          <w:lang w:val="es-MX"/>
        </w:rPr>
        <w:t>, con relación a 20</w:t>
      </w:r>
      <w:r>
        <w:rPr>
          <w:lang w:val="es-MX"/>
        </w:rPr>
        <w:t xml:space="preserve">20. </w:t>
      </w:r>
      <w:r w:rsidRPr="00BB752F">
        <w:rPr>
          <w:lang w:val="es-MX"/>
        </w:rPr>
        <w:t>Cabe indicar que en los primeros dos meses de 2020</w:t>
      </w:r>
      <w:r w:rsidR="00726B97">
        <w:rPr>
          <w:lang w:val="es-MX"/>
        </w:rPr>
        <w:t>,</w:t>
      </w:r>
      <w:r w:rsidRPr="00BB752F">
        <w:rPr>
          <w:lang w:val="es-MX"/>
        </w:rPr>
        <w:t xml:space="preserve"> el flujo de remesas familiares mostró un crecimiento importante, asociado principalmente, </w:t>
      </w:r>
      <w:r>
        <w:rPr>
          <w:lang w:val="es-MX"/>
        </w:rPr>
        <w:t>a que e</w:t>
      </w:r>
      <w:r w:rsidRPr="00BB752F">
        <w:rPr>
          <w:lang w:val="es-MX"/>
        </w:rPr>
        <w:t xml:space="preserve">l desempleo hispano en los Estados Unidos </w:t>
      </w:r>
      <w:r w:rsidR="00726B97">
        <w:rPr>
          <w:lang w:val="es-MX"/>
        </w:rPr>
        <w:t xml:space="preserve">de América </w:t>
      </w:r>
      <w:r w:rsidRPr="00BB752F">
        <w:rPr>
          <w:lang w:val="es-MX"/>
        </w:rPr>
        <w:t>se mantuvo en niveles históricamente bajos y a los flujos extraordinarios de divisas propiciado</w:t>
      </w:r>
      <w:r>
        <w:rPr>
          <w:lang w:val="es-MX"/>
        </w:rPr>
        <w:t>s por</w:t>
      </w:r>
      <w:r w:rsidRPr="00BB752F">
        <w:rPr>
          <w:lang w:val="es-MX"/>
        </w:rPr>
        <w:t xml:space="preserve"> la política migratoria </w:t>
      </w:r>
      <w:r>
        <w:rPr>
          <w:lang w:val="es-MX"/>
        </w:rPr>
        <w:t>de la Administración Trump</w:t>
      </w:r>
      <w:r w:rsidRPr="00BB752F">
        <w:rPr>
          <w:lang w:val="es-MX"/>
        </w:rPr>
        <w:t>. Sin embargo, derivado de la propagación del C</w:t>
      </w:r>
      <w:r w:rsidR="00726B97">
        <w:rPr>
          <w:lang w:val="es-MX"/>
        </w:rPr>
        <w:t>ovid</w:t>
      </w:r>
      <w:r w:rsidRPr="00BB752F">
        <w:rPr>
          <w:lang w:val="es-MX"/>
        </w:rPr>
        <w:t xml:space="preserve">-19 en los Estados Unidos de América, y las consiguientes medidas sanitarias y de distanciamiento social necesarias para mitigar su propagación, la actividad económica se redujo drásticamente, afectando el nivel de empleo, incluyendo el hispano, lo que propició que el flujo de remesas familiares </w:t>
      </w:r>
      <w:r>
        <w:rPr>
          <w:lang w:val="es-MX"/>
        </w:rPr>
        <w:t xml:space="preserve">haya </w:t>
      </w:r>
      <w:r w:rsidRPr="00BB752F">
        <w:rPr>
          <w:lang w:val="es-MX"/>
        </w:rPr>
        <w:t>registra</w:t>
      </w:r>
      <w:r>
        <w:rPr>
          <w:lang w:val="es-MX"/>
        </w:rPr>
        <w:t>do</w:t>
      </w:r>
      <w:r w:rsidRPr="00BB752F">
        <w:rPr>
          <w:lang w:val="es-MX"/>
        </w:rPr>
        <w:t xml:space="preserve"> variaciones interanuales negativas </w:t>
      </w:r>
      <w:r>
        <w:rPr>
          <w:lang w:val="es-MX"/>
        </w:rPr>
        <w:t>en marzo y abril</w:t>
      </w:r>
      <w:r w:rsidRPr="00BB752F">
        <w:rPr>
          <w:lang w:val="es-MX"/>
        </w:rPr>
        <w:t>; no obstante, a partir de mayo, algunos estados fueron relajando las medidas de confinamiento y se registr</w:t>
      </w:r>
      <w:r>
        <w:rPr>
          <w:lang w:val="es-MX"/>
        </w:rPr>
        <w:t>ó</w:t>
      </w:r>
      <w:r w:rsidRPr="00BB752F">
        <w:rPr>
          <w:lang w:val="es-MX"/>
        </w:rPr>
        <w:t xml:space="preserve"> una recuperación </w:t>
      </w:r>
      <w:r>
        <w:rPr>
          <w:lang w:val="es-MX"/>
        </w:rPr>
        <w:t>en</w:t>
      </w:r>
      <w:r w:rsidRPr="00BB752F">
        <w:rPr>
          <w:lang w:val="es-MX"/>
        </w:rPr>
        <w:t xml:space="preserve"> el ingreso de divisas por remesas familiares </w:t>
      </w:r>
      <w:r>
        <w:rPr>
          <w:lang w:val="es-MX"/>
        </w:rPr>
        <w:t>(</w:t>
      </w:r>
      <w:r w:rsidRPr="00812ACB">
        <w:rPr>
          <w:lang w:val="es-MX"/>
        </w:rPr>
        <w:t>Banco de Guatemala,</w:t>
      </w:r>
      <w:r>
        <w:rPr>
          <w:lang w:val="es-MX"/>
        </w:rPr>
        <w:t xml:space="preserve"> 2021).</w:t>
      </w:r>
    </w:p>
    <w:p w:rsidR="00C61CA7" w:rsidRPr="00124AD6" w:rsidRDefault="00C61CA7" w:rsidP="00C61CA7">
      <w:pPr>
        <w:jc w:val="both"/>
        <w:rPr>
          <w:lang w:val="es-MX"/>
        </w:rPr>
      </w:pPr>
    </w:p>
    <w:p w:rsidR="00C61CA7" w:rsidRPr="00124AD6" w:rsidRDefault="00C61CA7" w:rsidP="00C61CA7">
      <w:pPr>
        <w:autoSpaceDE w:val="0"/>
        <w:autoSpaceDN w:val="0"/>
        <w:adjustRightInd w:val="0"/>
        <w:rPr>
          <w:lang w:val="es-MX"/>
        </w:rPr>
      </w:pPr>
    </w:p>
    <w:p w:rsidR="00C61CA7" w:rsidRPr="00124AD6" w:rsidRDefault="00C61CA7" w:rsidP="00C61CA7">
      <w:pPr>
        <w:jc w:val="center"/>
        <w:rPr>
          <w:b/>
        </w:rPr>
      </w:pPr>
      <w:r w:rsidRPr="00124AD6">
        <w:rPr>
          <w:b/>
        </w:rPr>
        <w:t xml:space="preserve">Gráfica </w:t>
      </w:r>
      <w:r>
        <w:rPr>
          <w:b/>
        </w:rPr>
        <w:t>4</w:t>
      </w:r>
    </w:p>
    <w:p w:rsidR="00C61CA7" w:rsidRDefault="00C61CA7" w:rsidP="00C61CA7">
      <w:pPr>
        <w:jc w:val="center"/>
        <w:rPr>
          <w:b/>
        </w:rPr>
      </w:pPr>
      <w:r w:rsidRPr="00124AD6">
        <w:rPr>
          <w:b/>
        </w:rPr>
        <w:t>Guatemala: Remesas Familiares</w:t>
      </w:r>
      <w:r>
        <w:rPr>
          <w:b/>
        </w:rPr>
        <w:t xml:space="preserve"> 2010</w:t>
      </w:r>
      <w:r w:rsidR="00721E8F">
        <w:rPr>
          <w:b/>
        </w:rPr>
        <w:t xml:space="preserve"> </w:t>
      </w:r>
      <w:r>
        <w:rPr>
          <w:b/>
        </w:rPr>
        <w:t>-</w:t>
      </w:r>
      <w:r w:rsidR="00721E8F">
        <w:rPr>
          <w:b/>
        </w:rPr>
        <w:t xml:space="preserve"> </w:t>
      </w:r>
      <w:r>
        <w:rPr>
          <w:b/>
        </w:rPr>
        <w:t>2020</w:t>
      </w:r>
    </w:p>
    <w:p w:rsidR="00C61CA7" w:rsidRPr="00124AD6" w:rsidRDefault="00C61CA7" w:rsidP="00C61CA7">
      <w:pPr>
        <w:jc w:val="center"/>
        <w:rPr>
          <w:b/>
        </w:rPr>
      </w:pPr>
      <w:r>
        <w:rPr>
          <w:b/>
        </w:rPr>
        <w:t>(En Millones de US Dólares)</w:t>
      </w:r>
    </w:p>
    <w:p w:rsidR="00C61CA7" w:rsidRDefault="00C61CA7" w:rsidP="00C61CA7">
      <w:pPr>
        <w:jc w:val="center"/>
        <w:rPr>
          <w:b/>
        </w:rPr>
      </w:pPr>
      <w:r>
        <w:rPr>
          <w:noProof/>
          <w:lang w:val="es-GT" w:eastAsia="es-GT"/>
        </w:rPr>
        <w:drawing>
          <wp:inline distT="0" distB="0" distL="0" distR="0" wp14:anchorId="50335015" wp14:editId="5B94183C">
            <wp:extent cx="5771693" cy="3942892"/>
            <wp:effectExtent l="0" t="0" r="635" b="635"/>
            <wp:docPr id="14" name="Gráfico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61CA7" w:rsidRPr="00DF1F42" w:rsidRDefault="00721E8F" w:rsidP="00C61CA7">
      <w:pPr>
        <w:jc w:val="both"/>
        <w:rPr>
          <w:noProof/>
          <w:sz w:val="18"/>
        </w:rPr>
      </w:pPr>
      <w:r w:rsidRPr="00DF1F42">
        <w:rPr>
          <w:noProof/>
          <w:sz w:val="18"/>
        </w:rPr>
        <w:t xml:space="preserve">                      </w:t>
      </w:r>
      <w:r w:rsidR="00C61CA7" w:rsidRPr="00DF1F42">
        <w:rPr>
          <w:noProof/>
          <w:sz w:val="18"/>
        </w:rPr>
        <w:t xml:space="preserve"> Fuente: Banco de Guatemala.</w:t>
      </w:r>
    </w:p>
    <w:p w:rsidR="00C61CA7" w:rsidRPr="00812B9B" w:rsidRDefault="00C61CA7" w:rsidP="00C61CA7">
      <w:pPr>
        <w:jc w:val="both"/>
        <w:rPr>
          <w:sz w:val="40"/>
          <w:lang w:val="es-MX"/>
        </w:rPr>
      </w:pPr>
    </w:p>
    <w:p w:rsidR="00C61CA7" w:rsidRDefault="00C61CA7" w:rsidP="00C61CA7">
      <w:pPr>
        <w:jc w:val="both"/>
        <w:rPr>
          <w:lang w:val="es-MX"/>
        </w:rPr>
      </w:pPr>
      <w:r>
        <w:rPr>
          <w:lang w:val="es-MX"/>
        </w:rPr>
        <w:t xml:space="preserve">Las </w:t>
      </w:r>
      <w:r w:rsidRPr="00124AD6">
        <w:rPr>
          <w:lang w:val="es-MX"/>
        </w:rPr>
        <w:t>Reservas Monetarias Internacionales</w:t>
      </w:r>
      <w:r>
        <w:rPr>
          <w:lang w:val="es-MX"/>
        </w:rPr>
        <w:t xml:space="preserve"> </w:t>
      </w:r>
      <w:r w:rsidRPr="00124AD6">
        <w:rPr>
          <w:lang w:val="es-MX"/>
        </w:rPr>
        <w:t>Netas</w:t>
      </w:r>
      <w:r>
        <w:rPr>
          <w:lang w:val="es-MX"/>
        </w:rPr>
        <w:t xml:space="preserve"> </w:t>
      </w:r>
      <w:r w:rsidR="002163DC">
        <w:rPr>
          <w:lang w:val="es-MX"/>
        </w:rPr>
        <w:t>(</w:t>
      </w:r>
      <w:r>
        <w:rPr>
          <w:lang w:val="es-MX"/>
        </w:rPr>
        <w:t>RIN</w:t>
      </w:r>
      <w:r w:rsidR="002163DC">
        <w:rPr>
          <w:lang w:val="es-MX"/>
        </w:rPr>
        <w:t>)</w:t>
      </w:r>
      <w:r>
        <w:rPr>
          <w:lang w:val="es-MX"/>
        </w:rPr>
        <w:t xml:space="preserve">, </w:t>
      </w:r>
      <w:r w:rsidRPr="00124AD6">
        <w:rPr>
          <w:lang w:val="es-MX"/>
        </w:rPr>
        <w:t xml:space="preserve">continuaron reflejando </w:t>
      </w:r>
      <w:r>
        <w:rPr>
          <w:lang w:val="es-MX"/>
        </w:rPr>
        <w:t>l</w:t>
      </w:r>
      <w:r w:rsidRPr="00124AD6">
        <w:rPr>
          <w:lang w:val="es-MX"/>
        </w:rPr>
        <w:t xml:space="preserve">a sólida posición externa del país. </w:t>
      </w:r>
      <w:r>
        <w:rPr>
          <w:lang w:val="es-MX"/>
        </w:rPr>
        <w:t xml:space="preserve">Al 31 de diciembre de 2020 </w:t>
      </w:r>
      <w:r w:rsidRPr="00124AD6">
        <w:rPr>
          <w:lang w:val="es-MX"/>
        </w:rPr>
        <w:t>se situ</w:t>
      </w:r>
      <w:r>
        <w:rPr>
          <w:lang w:val="es-MX"/>
        </w:rPr>
        <w:t>aron</w:t>
      </w:r>
      <w:r w:rsidRPr="00124AD6">
        <w:rPr>
          <w:lang w:val="es-MX"/>
        </w:rPr>
        <w:t xml:space="preserve"> en </w:t>
      </w:r>
      <w:r w:rsidRPr="00BF34A5">
        <w:rPr>
          <w:lang w:val="es-MX"/>
        </w:rPr>
        <w:t xml:space="preserve">US$18,468.2 millones, mayor en US$3,679.2 millones al </w:t>
      </w:r>
      <w:r>
        <w:rPr>
          <w:lang w:val="es-MX"/>
        </w:rPr>
        <w:t>acumulado para el mismo per</w:t>
      </w:r>
      <w:r w:rsidR="002163DC">
        <w:rPr>
          <w:lang w:val="es-MX"/>
        </w:rPr>
        <w:t>í</w:t>
      </w:r>
      <w:r>
        <w:rPr>
          <w:lang w:val="es-MX"/>
        </w:rPr>
        <w:t xml:space="preserve">odo </w:t>
      </w:r>
      <w:r w:rsidRPr="00BF34A5">
        <w:rPr>
          <w:lang w:val="es-MX"/>
        </w:rPr>
        <w:t xml:space="preserve">de 2019, como resultado principalmente, de la colocación de </w:t>
      </w:r>
      <w:r w:rsidR="002163DC">
        <w:rPr>
          <w:lang w:val="es-MX"/>
        </w:rPr>
        <w:t>B</w:t>
      </w:r>
      <w:r w:rsidRPr="00BF34A5">
        <w:rPr>
          <w:lang w:val="es-MX"/>
        </w:rPr>
        <w:t xml:space="preserve">onos del </w:t>
      </w:r>
      <w:r w:rsidR="002163DC">
        <w:rPr>
          <w:lang w:val="es-MX"/>
        </w:rPr>
        <w:t>T</w:t>
      </w:r>
      <w:r w:rsidRPr="00BF34A5">
        <w:rPr>
          <w:lang w:val="es-MX"/>
        </w:rPr>
        <w:t xml:space="preserve">esoro en el mercado internacional (US$1,200.0 millones), de las compras netas por activación de la regla cambiaria (US$1,276.1 millones) y de la acumulación de reservas (US$734.0 millones), lo cual fue compensado parcialmente, por los pagos netos por deuda externa del sector público y por el pago de intereses de los depósitos a plazo en dólares de los Estados Unidos de América. El nivel de </w:t>
      </w:r>
      <w:r>
        <w:rPr>
          <w:lang w:val="es-MX"/>
        </w:rPr>
        <w:t>reservas</w:t>
      </w:r>
      <w:r w:rsidRPr="00BF34A5">
        <w:rPr>
          <w:lang w:val="es-MX"/>
        </w:rPr>
        <w:t xml:space="preserve"> equivale a 12.4 meses de importación de bienes</w:t>
      </w:r>
      <w:r>
        <w:rPr>
          <w:lang w:val="es-MX"/>
        </w:rPr>
        <w:t>.</w:t>
      </w:r>
    </w:p>
    <w:p w:rsidR="00C61CA7" w:rsidRDefault="00C61CA7" w:rsidP="00C61CA7">
      <w:pPr>
        <w:jc w:val="both"/>
        <w:rPr>
          <w:lang w:val="es-MX"/>
        </w:rPr>
      </w:pPr>
    </w:p>
    <w:p w:rsidR="00C61CA7" w:rsidRDefault="00C61CA7" w:rsidP="00C61CA7">
      <w:pPr>
        <w:jc w:val="center"/>
        <w:rPr>
          <w:b/>
          <w:lang w:val="es-MX"/>
        </w:rPr>
      </w:pPr>
    </w:p>
    <w:p w:rsidR="00C61CA7" w:rsidRDefault="00C61CA7" w:rsidP="00C61CA7">
      <w:pPr>
        <w:rPr>
          <w:b/>
          <w:lang w:val="es-MX"/>
        </w:rPr>
      </w:pPr>
      <w:r>
        <w:rPr>
          <w:b/>
          <w:lang w:val="es-MX"/>
        </w:rPr>
        <w:br w:type="page"/>
      </w:r>
    </w:p>
    <w:p w:rsidR="00CF0AF7" w:rsidRPr="00CF0AF7" w:rsidRDefault="00CF0AF7" w:rsidP="00C61CA7">
      <w:pPr>
        <w:rPr>
          <w:b/>
          <w:sz w:val="16"/>
          <w:lang w:val="es-MX"/>
        </w:rPr>
      </w:pPr>
    </w:p>
    <w:p w:rsidR="00C61CA7" w:rsidRPr="00124AD6" w:rsidRDefault="00C61CA7" w:rsidP="00C61CA7">
      <w:pPr>
        <w:jc w:val="center"/>
        <w:rPr>
          <w:b/>
          <w:lang w:val="es-MX"/>
        </w:rPr>
      </w:pPr>
      <w:r w:rsidRPr="00124AD6">
        <w:rPr>
          <w:b/>
          <w:lang w:val="es-MX"/>
        </w:rPr>
        <w:t xml:space="preserve">Gráfica </w:t>
      </w:r>
      <w:r>
        <w:rPr>
          <w:b/>
          <w:lang w:val="es-MX"/>
        </w:rPr>
        <w:t>5</w:t>
      </w:r>
    </w:p>
    <w:p w:rsidR="00C61CA7" w:rsidRPr="00124AD6" w:rsidRDefault="00C61CA7" w:rsidP="00C61CA7">
      <w:pPr>
        <w:jc w:val="center"/>
        <w:rPr>
          <w:b/>
          <w:lang w:val="es-MX"/>
        </w:rPr>
      </w:pPr>
      <w:r w:rsidRPr="00124AD6">
        <w:rPr>
          <w:b/>
          <w:lang w:val="es-MX"/>
        </w:rPr>
        <w:t>Reservas Monetarias Internacionales 2010</w:t>
      </w:r>
      <w:r w:rsidR="005C45B8">
        <w:rPr>
          <w:b/>
          <w:lang w:val="es-MX"/>
        </w:rPr>
        <w:t xml:space="preserve"> </w:t>
      </w:r>
      <w:r w:rsidRPr="00124AD6">
        <w:rPr>
          <w:b/>
          <w:lang w:val="es-MX"/>
        </w:rPr>
        <w:t>-</w:t>
      </w:r>
      <w:r w:rsidR="005C45B8">
        <w:rPr>
          <w:b/>
          <w:lang w:val="es-MX"/>
        </w:rPr>
        <w:t xml:space="preserve"> </w:t>
      </w:r>
      <w:r w:rsidRPr="00124AD6">
        <w:rPr>
          <w:b/>
          <w:lang w:val="es-MX"/>
        </w:rPr>
        <w:t>20</w:t>
      </w:r>
      <w:r>
        <w:rPr>
          <w:b/>
          <w:lang w:val="es-MX"/>
        </w:rPr>
        <w:t>20</w:t>
      </w:r>
    </w:p>
    <w:p w:rsidR="00C61CA7" w:rsidRDefault="00C61CA7" w:rsidP="00C61CA7">
      <w:pPr>
        <w:jc w:val="center"/>
        <w:rPr>
          <w:noProof/>
          <w:lang w:val="es-GT" w:eastAsia="es-GT"/>
        </w:rPr>
      </w:pPr>
      <w:r w:rsidRPr="00124AD6">
        <w:rPr>
          <w:b/>
          <w:lang w:val="es-MX"/>
        </w:rPr>
        <w:t>(En Millones de US Dólares)</w:t>
      </w:r>
    </w:p>
    <w:p w:rsidR="00C61CA7" w:rsidRDefault="00C61CA7" w:rsidP="00C61CA7">
      <w:pPr>
        <w:jc w:val="center"/>
        <w:rPr>
          <w:b/>
          <w:lang w:val="es-MX"/>
        </w:rPr>
      </w:pPr>
      <w:r>
        <w:rPr>
          <w:noProof/>
          <w:lang w:val="es-GT" w:eastAsia="es-GT"/>
        </w:rPr>
        <w:drawing>
          <wp:inline distT="0" distB="0" distL="0" distR="0" wp14:anchorId="5B729122" wp14:editId="5536AF4D">
            <wp:extent cx="5771693" cy="4176979"/>
            <wp:effectExtent l="0" t="0" r="635" b="0"/>
            <wp:docPr id="17" name="Gráfico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61CA7" w:rsidRPr="00DF1F42" w:rsidRDefault="006E25C6" w:rsidP="00C61CA7">
      <w:pPr>
        <w:rPr>
          <w:sz w:val="28"/>
          <w:lang w:val="es-MX"/>
        </w:rPr>
      </w:pPr>
      <w:r w:rsidRPr="00DF1F42">
        <w:rPr>
          <w:sz w:val="18"/>
          <w:lang w:val="es-MX"/>
        </w:rPr>
        <w:t xml:space="preserve">                     </w:t>
      </w:r>
      <w:r w:rsidR="00C61CA7" w:rsidRPr="00DF1F42">
        <w:rPr>
          <w:sz w:val="18"/>
          <w:lang w:val="es-MX"/>
        </w:rPr>
        <w:t>Fuente: Banco de Guatemala.</w:t>
      </w:r>
    </w:p>
    <w:p w:rsidR="00C61CA7" w:rsidRDefault="00C61CA7" w:rsidP="00C61CA7">
      <w:pPr>
        <w:rPr>
          <w:lang w:val="es-MX"/>
        </w:rPr>
      </w:pPr>
    </w:p>
    <w:p w:rsidR="00C61CA7" w:rsidRPr="00124AD6" w:rsidRDefault="00C61CA7" w:rsidP="00C61CA7">
      <w:pPr>
        <w:pStyle w:val="Ttulo2"/>
        <w:numPr>
          <w:ilvl w:val="0"/>
          <w:numId w:val="4"/>
        </w:numPr>
        <w:spacing w:line="276" w:lineRule="auto"/>
        <w:ind w:left="0" w:firstLine="0"/>
        <w:rPr>
          <w:rFonts w:ascii="Times New Roman" w:hAnsi="Times New Roman"/>
          <w:color w:val="auto"/>
          <w:sz w:val="24"/>
          <w:szCs w:val="24"/>
          <w:shd w:val="clear" w:color="auto" w:fill="FFFFFF"/>
        </w:rPr>
      </w:pPr>
      <w:bookmarkStart w:id="11" w:name="_Toc4742461"/>
      <w:bookmarkStart w:id="12" w:name="_Toc65064202"/>
      <w:bookmarkStart w:id="13" w:name="_Toc65826751"/>
      <w:r w:rsidRPr="00124AD6">
        <w:rPr>
          <w:rFonts w:ascii="Times New Roman" w:hAnsi="Times New Roman"/>
          <w:color w:val="auto"/>
          <w:sz w:val="24"/>
          <w:szCs w:val="24"/>
          <w:shd w:val="clear" w:color="auto" w:fill="FFFFFF"/>
        </w:rPr>
        <w:t xml:space="preserve">Decisiones de </w:t>
      </w:r>
      <w:r>
        <w:rPr>
          <w:rFonts w:ascii="Times New Roman" w:hAnsi="Times New Roman"/>
          <w:color w:val="auto"/>
          <w:sz w:val="24"/>
          <w:szCs w:val="24"/>
          <w:shd w:val="clear" w:color="auto" w:fill="FFFFFF"/>
        </w:rPr>
        <w:t>P</w:t>
      </w:r>
      <w:r w:rsidRPr="00124AD6">
        <w:rPr>
          <w:rFonts w:ascii="Times New Roman" w:hAnsi="Times New Roman"/>
          <w:color w:val="auto"/>
          <w:sz w:val="24"/>
          <w:szCs w:val="24"/>
          <w:shd w:val="clear" w:color="auto" w:fill="FFFFFF"/>
        </w:rPr>
        <w:t xml:space="preserve">olítica </w:t>
      </w:r>
      <w:r>
        <w:rPr>
          <w:rFonts w:ascii="Times New Roman" w:hAnsi="Times New Roman"/>
          <w:color w:val="auto"/>
          <w:sz w:val="24"/>
          <w:szCs w:val="24"/>
          <w:shd w:val="clear" w:color="auto" w:fill="FFFFFF"/>
        </w:rPr>
        <w:t>M</w:t>
      </w:r>
      <w:r w:rsidRPr="00124AD6">
        <w:rPr>
          <w:rFonts w:ascii="Times New Roman" w:hAnsi="Times New Roman"/>
          <w:color w:val="auto"/>
          <w:sz w:val="24"/>
          <w:szCs w:val="24"/>
          <w:shd w:val="clear" w:color="auto" w:fill="FFFFFF"/>
        </w:rPr>
        <w:t>onetaria</w:t>
      </w:r>
      <w:bookmarkEnd w:id="11"/>
      <w:bookmarkEnd w:id="12"/>
      <w:bookmarkEnd w:id="13"/>
    </w:p>
    <w:p w:rsidR="00C61CA7" w:rsidRPr="00AA5C01" w:rsidRDefault="00C61CA7" w:rsidP="00C61CA7">
      <w:pPr>
        <w:jc w:val="both"/>
        <w:rPr>
          <w:sz w:val="14"/>
          <w:lang w:val="es-MX"/>
        </w:rPr>
      </w:pPr>
    </w:p>
    <w:p w:rsidR="00C61CA7" w:rsidRDefault="00C61CA7" w:rsidP="00C61CA7">
      <w:pPr>
        <w:jc w:val="both"/>
        <w:rPr>
          <w:lang w:val="es-MX"/>
        </w:rPr>
      </w:pPr>
      <w:r w:rsidRPr="006E4DC0">
        <w:rPr>
          <w:lang w:val="es-MX"/>
        </w:rPr>
        <w:t xml:space="preserve">La Junta Monetaria, conforme </w:t>
      </w:r>
      <w:r w:rsidR="00066921">
        <w:rPr>
          <w:lang w:val="es-MX"/>
        </w:rPr>
        <w:t>a</w:t>
      </w:r>
      <w:r w:rsidRPr="006E4DC0">
        <w:rPr>
          <w:lang w:val="es-MX"/>
        </w:rPr>
        <w:t xml:space="preserve">l calendario previsto para 2020, se reunió en febrero, marzo (incluyendo una reunión extraordinaria), abril, mayo, junio, agosto, septiembre y noviembre </w:t>
      </w:r>
      <w:r w:rsidR="00066921">
        <w:rPr>
          <w:lang w:val="es-MX"/>
        </w:rPr>
        <w:t xml:space="preserve">de ese año </w:t>
      </w:r>
      <w:r w:rsidRPr="006E4DC0">
        <w:rPr>
          <w:lang w:val="es-MX"/>
        </w:rPr>
        <w:t xml:space="preserve">para decidir sobre el nivel de la tasa de interés líder de </w:t>
      </w:r>
      <w:r w:rsidR="00066921">
        <w:rPr>
          <w:lang w:val="es-MX"/>
        </w:rPr>
        <w:t>la política monetaria.</w:t>
      </w:r>
    </w:p>
    <w:p w:rsidR="00C61CA7" w:rsidRDefault="00C61CA7" w:rsidP="00C61CA7">
      <w:pPr>
        <w:jc w:val="both"/>
        <w:rPr>
          <w:lang w:val="es-MX"/>
        </w:rPr>
      </w:pPr>
    </w:p>
    <w:p w:rsidR="00C61CA7" w:rsidRDefault="00C61CA7" w:rsidP="00C61CA7">
      <w:pPr>
        <w:jc w:val="both"/>
        <w:rPr>
          <w:lang w:val="es-MX"/>
        </w:rPr>
      </w:pPr>
      <w:r w:rsidRPr="006E4DC0">
        <w:rPr>
          <w:lang w:val="es-MX"/>
        </w:rPr>
        <w:t>En dichas sesiones, la Junta Monetaria decidió reducir el nivel de dicha tasa de interés en 100 puntos básicos durante el primer semestre</w:t>
      </w:r>
      <w:r w:rsidR="00066921">
        <w:rPr>
          <w:lang w:val="es-MX"/>
        </w:rPr>
        <w:t xml:space="preserve"> de 2020</w:t>
      </w:r>
      <w:r w:rsidRPr="006E4DC0">
        <w:rPr>
          <w:lang w:val="es-MX"/>
        </w:rPr>
        <w:t xml:space="preserve"> (en su sesión extraordinaria del 19 de marzo, cuando la redujo en 50 puntos básicos, y en sus sesiones ordinarias del 25 de marzo y 24 de junio, cuando la redujo en 25 puntos básicos en cada ocasión)</w:t>
      </w:r>
      <w:r w:rsidR="00066921">
        <w:rPr>
          <w:lang w:val="es-MX"/>
        </w:rPr>
        <w:t>,</w:t>
      </w:r>
      <w:r>
        <w:rPr>
          <w:lang w:val="es-MX"/>
        </w:rPr>
        <w:t xml:space="preserve"> por lo que en la actualidad la misma se ubica en 1.75%.</w:t>
      </w:r>
    </w:p>
    <w:p w:rsidR="00C61CA7" w:rsidRDefault="00C61CA7" w:rsidP="00C61CA7">
      <w:pPr>
        <w:jc w:val="both"/>
        <w:rPr>
          <w:lang w:val="es-MX"/>
        </w:rPr>
      </w:pPr>
    </w:p>
    <w:p w:rsidR="00C61CA7" w:rsidRDefault="00C61CA7" w:rsidP="00C61CA7">
      <w:pPr>
        <w:jc w:val="both"/>
        <w:rPr>
          <w:lang w:val="es-MX"/>
        </w:rPr>
      </w:pPr>
      <w:r w:rsidRPr="006E4DC0">
        <w:rPr>
          <w:lang w:val="es-MX"/>
        </w:rPr>
        <w:t>En general, en el ámbito externo, destacó que la respuesta sin precedentes de las políticas fiscal y monetaria en la mayoría de países, la reapertura económica gradual a nivel mundial y los avances en el desarrollo de vacunas contra el C</w:t>
      </w:r>
      <w:r w:rsidR="00066921">
        <w:rPr>
          <w:lang w:val="es-MX"/>
        </w:rPr>
        <w:t>ovid</w:t>
      </w:r>
      <w:r w:rsidRPr="006E4DC0">
        <w:rPr>
          <w:lang w:val="es-MX"/>
        </w:rPr>
        <w:t xml:space="preserve">-19, implicaron un efecto positivo en el </w:t>
      </w:r>
      <w:r w:rsidRPr="006E4DC0">
        <w:rPr>
          <w:lang w:val="es-MX"/>
        </w:rPr>
        <w:lastRenderedPageBreak/>
        <w:t>desempeño económico y en las perspectivas de crecimiento económico tanto para 2020 como para 2021. En cuanto al precio promedio internacional del petróleo, tomó en cuenta, por una parte, que éste permaneció en niveles históricamente bajos en 2020 y, por la otra, que los pronósticos del precio medio del crudo para 2021, en el escenario base, se encuentran en niveles inferi</w:t>
      </w:r>
      <w:r w:rsidR="00066921">
        <w:rPr>
          <w:lang w:val="es-MX"/>
        </w:rPr>
        <w:t>ores a los registrados en 2019.</w:t>
      </w:r>
    </w:p>
    <w:p w:rsidR="00C61CA7" w:rsidRDefault="00C61CA7" w:rsidP="00C61CA7">
      <w:pPr>
        <w:jc w:val="both"/>
        <w:rPr>
          <w:lang w:val="es-MX"/>
        </w:rPr>
      </w:pPr>
    </w:p>
    <w:p w:rsidR="00C61CA7" w:rsidRDefault="00C61CA7" w:rsidP="00C61CA7">
      <w:pPr>
        <w:jc w:val="both"/>
        <w:rPr>
          <w:lang w:val="es-MX"/>
        </w:rPr>
      </w:pPr>
      <w:r w:rsidRPr="006E4DC0">
        <w:rPr>
          <w:lang w:val="es-MX"/>
        </w:rPr>
        <w:t xml:space="preserve">En el ámbito interno, enfatizó que los indicadores de corto plazo, como el </w:t>
      </w:r>
      <w:r w:rsidR="00066921">
        <w:rPr>
          <w:lang w:val="es-MX"/>
        </w:rPr>
        <w:t>Índice Mensual de la Actividad Económica (</w:t>
      </w:r>
      <w:r w:rsidRPr="006E4DC0">
        <w:rPr>
          <w:lang w:val="es-MX"/>
        </w:rPr>
        <w:t>IMAE</w:t>
      </w:r>
      <w:r w:rsidR="00066921">
        <w:rPr>
          <w:lang w:val="es-MX"/>
        </w:rPr>
        <w:t>)</w:t>
      </w:r>
      <w:r w:rsidRPr="006E4DC0">
        <w:rPr>
          <w:lang w:val="es-MX"/>
        </w:rPr>
        <w:t xml:space="preserve">, las remesas familiares, las exportaciones y el </w:t>
      </w:r>
      <w:r w:rsidR="00A70E89">
        <w:rPr>
          <w:lang w:val="es-MX"/>
        </w:rPr>
        <w:t>Índice de confianza de la Actividad Económica (</w:t>
      </w:r>
      <w:r w:rsidRPr="006E4DC0">
        <w:rPr>
          <w:lang w:val="es-MX"/>
        </w:rPr>
        <w:t>ICAE</w:t>
      </w:r>
      <w:r w:rsidR="00A70E89">
        <w:rPr>
          <w:lang w:val="es-MX"/>
        </w:rPr>
        <w:t>)</w:t>
      </w:r>
      <w:r w:rsidRPr="006E4DC0">
        <w:rPr>
          <w:lang w:val="es-MX"/>
        </w:rPr>
        <w:t xml:space="preserve">, empezaron a reflejar un desempeño más favorable a partir del tercer trimestre de 2020, consistente con el efecto positivo de la reapertura gradual de la economía nacional y </w:t>
      </w:r>
      <w:r>
        <w:rPr>
          <w:lang w:val="es-MX"/>
        </w:rPr>
        <w:t xml:space="preserve">la </w:t>
      </w:r>
      <w:r w:rsidRPr="006E4DC0">
        <w:rPr>
          <w:lang w:val="es-MX"/>
        </w:rPr>
        <w:t>de los principales socios comerciales, lo que sugi</w:t>
      </w:r>
      <w:r>
        <w:rPr>
          <w:lang w:val="es-MX"/>
        </w:rPr>
        <w:t>ere</w:t>
      </w:r>
      <w:r w:rsidRPr="006E4DC0">
        <w:rPr>
          <w:lang w:val="es-MX"/>
        </w:rPr>
        <w:t xml:space="preserve"> que la actividad económica inició el proceso de recuperación en el segundo semestre de 2020</w:t>
      </w:r>
      <w:r>
        <w:rPr>
          <w:lang w:val="es-MX"/>
        </w:rPr>
        <w:t xml:space="preserve"> y </w:t>
      </w:r>
      <w:r w:rsidRPr="006E4DC0">
        <w:rPr>
          <w:lang w:val="es-MX"/>
        </w:rPr>
        <w:t>se acentu</w:t>
      </w:r>
      <w:r>
        <w:rPr>
          <w:lang w:val="es-MX"/>
        </w:rPr>
        <w:t>ará</w:t>
      </w:r>
      <w:r w:rsidRPr="006E4DC0">
        <w:rPr>
          <w:lang w:val="es-MX"/>
        </w:rPr>
        <w:t xml:space="preserve"> de manera importante en 2021</w:t>
      </w:r>
      <w:r>
        <w:rPr>
          <w:sz w:val="23"/>
          <w:szCs w:val="23"/>
        </w:rPr>
        <w:t>.</w:t>
      </w:r>
    </w:p>
    <w:p w:rsidR="00C61CA7" w:rsidRPr="000E2CB3" w:rsidRDefault="00C61CA7" w:rsidP="00C61CA7">
      <w:pPr>
        <w:jc w:val="both"/>
        <w:rPr>
          <w:lang w:val="es-MX"/>
        </w:rPr>
      </w:pPr>
    </w:p>
    <w:p w:rsidR="00C61CA7" w:rsidRPr="00124AD6" w:rsidRDefault="00C61CA7" w:rsidP="00C61CA7">
      <w:pPr>
        <w:jc w:val="center"/>
        <w:rPr>
          <w:b/>
          <w:lang w:val="es-MX"/>
        </w:rPr>
      </w:pPr>
      <w:r w:rsidRPr="00124AD6">
        <w:rPr>
          <w:b/>
          <w:lang w:val="es-MX"/>
        </w:rPr>
        <w:t xml:space="preserve">Gráfica </w:t>
      </w:r>
      <w:r>
        <w:rPr>
          <w:b/>
          <w:lang w:val="es-MX"/>
        </w:rPr>
        <w:t>6</w:t>
      </w:r>
    </w:p>
    <w:p w:rsidR="00C61CA7" w:rsidRDefault="00C61CA7" w:rsidP="00C61CA7">
      <w:pPr>
        <w:jc w:val="center"/>
        <w:rPr>
          <w:b/>
          <w:lang w:val="es-MX"/>
        </w:rPr>
      </w:pPr>
      <w:r w:rsidRPr="00124AD6">
        <w:rPr>
          <w:b/>
          <w:lang w:val="es-MX"/>
        </w:rPr>
        <w:t>Tasa Líder</w:t>
      </w:r>
      <w:r>
        <w:rPr>
          <w:b/>
          <w:lang w:val="es-MX"/>
        </w:rPr>
        <w:t xml:space="preserve"> </w:t>
      </w:r>
      <w:r w:rsidRPr="00124AD6">
        <w:rPr>
          <w:b/>
          <w:lang w:val="es-MX"/>
        </w:rPr>
        <w:t xml:space="preserve">de </w:t>
      </w:r>
      <w:r>
        <w:rPr>
          <w:b/>
          <w:lang w:val="es-MX"/>
        </w:rPr>
        <w:t xml:space="preserve">la </w:t>
      </w:r>
      <w:r w:rsidRPr="00124AD6">
        <w:rPr>
          <w:b/>
          <w:lang w:val="es-MX"/>
        </w:rPr>
        <w:t>Política Monetaria</w:t>
      </w:r>
      <w:r>
        <w:rPr>
          <w:b/>
          <w:lang w:val="es-MX"/>
        </w:rPr>
        <w:t xml:space="preserve"> 2008</w:t>
      </w:r>
      <w:r w:rsidR="00A70E89">
        <w:rPr>
          <w:b/>
          <w:lang w:val="es-MX"/>
        </w:rPr>
        <w:t xml:space="preserve"> </w:t>
      </w:r>
      <w:r>
        <w:rPr>
          <w:b/>
          <w:lang w:val="es-MX"/>
        </w:rPr>
        <w:t>-</w:t>
      </w:r>
      <w:r w:rsidR="00A70E89">
        <w:rPr>
          <w:b/>
          <w:lang w:val="es-MX"/>
        </w:rPr>
        <w:t xml:space="preserve"> </w:t>
      </w:r>
      <w:r>
        <w:rPr>
          <w:b/>
          <w:lang w:val="es-MX"/>
        </w:rPr>
        <w:t>2020</w:t>
      </w:r>
    </w:p>
    <w:p w:rsidR="00C61CA7" w:rsidRPr="00124AD6" w:rsidRDefault="00C61CA7" w:rsidP="00C61CA7">
      <w:pPr>
        <w:jc w:val="center"/>
        <w:rPr>
          <w:b/>
          <w:lang w:val="es-MX"/>
        </w:rPr>
      </w:pPr>
      <w:r>
        <w:rPr>
          <w:b/>
          <w:lang w:val="es-MX"/>
        </w:rPr>
        <w:t xml:space="preserve">(En </w:t>
      </w:r>
      <w:r w:rsidR="00A70E89">
        <w:rPr>
          <w:b/>
          <w:lang w:val="es-MX"/>
        </w:rPr>
        <w:t>P</w:t>
      </w:r>
      <w:r>
        <w:rPr>
          <w:b/>
          <w:lang w:val="es-MX"/>
        </w:rPr>
        <w:t>orcentajes)</w:t>
      </w:r>
    </w:p>
    <w:p w:rsidR="00C61CA7" w:rsidRDefault="00C61CA7" w:rsidP="00C61CA7">
      <w:pPr>
        <w:jc w:val="both"/>
        <w:rPr>
          <w:noProof/>
          <w:lang w:val="es-GT" w:eastAsia="es-GT"/>
        </w:rPr>
      </w:pPr>
      <w:r>
        <w:rPr>
          <w:noProof/>
          <w:lang w:val="es-GT" w:eastAsia="es-GT"/>
        </w:rPr>
        <w:drawing>
          <wp:inline distT="0" distB="0" distL="0" distR="0" wp14:anchorId="2DEFF0AB" wp14:editId="68F0A5D6">
            <wp:extent cx="6005779" cy="4001414"/>
            <wp:effectExtent l="0" t="0" r="0" b="0"/>
            <wp:docPr id="20" name="Gráfico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61CA7" w:rsidRPr="00DF1F42" w:rsidRDefault="00A70E89" w:rsidP="00C61CA7">
      <w:pPr>
        <w:rPr>
          <w:sz w:val="18"/>
          <w:lang w:val="es-MX"/>
        </w:rPr>
      </w:pPr>
      <w:r w:rsidRPr="00DF1F42">
        <w:rPr>
          <w:sz w:val="18"/>
          <w:lang w:val="es-MX"/>
        </w:rPr>
        <w:t xml:space="preserve">        </w:t>
      </w:r>
      <w:r w:rsidR="004F3757" w:rsidRPr="00DF1F42">
        <w:rPr>
          <w:sz w:val="18"/>
          <w:lang w:val="es-MX"/>
        </w:rPr>
        <w:t xml:space="preserve"> </w:t>
      </w:r>
      <w:r w:rsidRPr="00DF1F42">
        <w:rPr>
          <w:sz w:val="18"/>
          <w:lang w:val="es-MX"/>
        </w:rPr>
        <w:t xml:space="preserve">      </w:t>
      </w:r>
      <w:r w:rsidR="00C61CA7" w:rsidRPr="00DF1F42">
        <w:rPr>
          <w:sz w:val="18"/>
          <w:lang w:val="es-MX"/>
        </w:rPr>
        <w:t>Fuente: Banco de Guatemala.</w:t>
      </w:r>
    </w:p>
    <w:p w:rsidR="00C61CA7" w:rsidRPr="00FF52E3" w:rsidRDefault="00C61CA7" w:rsidP="00C61CA7">
      <w:pPr>
        <w:jc w:val="both"/>
        <w:rPr>
          <w:sz w:val="18"/>
          <w:lang w:val="es-MX"/>
        </w:rPr>
      </w:pPr>
    </w:p>
    <w:p w:rsidR="00C61CA7" w:rsidRDefault="00C61CA7" w:rsidP="00C61CA7">
      <w:pPr>
        <w:jc w:val="both"/>
        <w:rPr>
          <w:lang w:val="es-MX"/>
        </w:rPr>
      </w:pPr>
    </w:p>
    <w:p w:rsidR="00C61CA7" w:rsidRDefault="00C61CA7" w:rsidP="00C61CA7">
      <w:r>
        <w:br w:type="page"/>
      </w:r>
    </w:p>
    <w:p w:rsidR="004F3757" w:rsidRDefault="004F3757" w:rsidP="00C61CA7"/>
    <w:p w:rsidR="00C61CA7" w:rsidRDefault="00C61CA7" w:rsidP="00C61CA7">
      <w:pPr>
        <w:jc w:val="both"/>
      </w:pPr>
      <w:r>
        <w:t>De acuerdo con el Banco de Guatemala, e</w:t>
      </w:r>
      <w:r w:rsidRPr="008D6EAF">
        <w:t xml:space="preserve">l tipo de cambio nominal se mantuvo estable en 2020, registrando al 31 de diciembre, una depreciación interanual de 1.23%, congruente con su estacionalidad y con la evolución de sus fundamentos, en particular, del crecimiento del flujo de remesas familiares y del comportamiento del valor de las importaciones y de las exportaciones. En ese contexto, el </w:t>
      </w:r>
      <w:r>
        <w:t>B</w:t>
      </w:r>
      <w:r w:rsidR="00965260">
        <w:t>ANGUAT</w:t>
      </w:r>
      <w:r>
        <w:t>,</w:t>
      </w:r>
      <w:r w:rsidRPr="008D6EAF">
        <w:t xml:space="preserve"> continuó participando en el mercado cambiario con el objetivo de reducir la volatilidad del tipo de cambio nominal, sin alterar su tendencia, realizando mediante la regla de participación y del mecanismo de acumulación de divisas, compras netas de divisas por US$2,010.1 millones</w:t>
      </w:r>
      <w:r>
        <w:t>.</w:t>
      </w:r>
    </w:p>
    <w:p w:rsidR="00C61CA7" w:rsidRDefault="00C61CA7" w:rsidP="00C61CA7">
      <w:pPr>
        <w:jc w:val="both"/>
      </w:pPr>
    </w:p>
    <w:p w:rsidR="00C61CA7" w:rsidRPr="004F3757" w:rsidRDefault="00C61CA7" w:rsidP="00C61CA7">
      <w:pPr>
        <w:rPr>
          <w:b/>
          <w:sz w:val="28"/>
          <w:lang w:val="es-MX"/>
        </w:rPr>
      </w:pPr>
    </w:p>
    <w:p w:rsidR="00C61CA7" w:rsidRPr="00124AD6" w:rsidRDefault="00C61CA7" w:rsidP="00C61CA7">
      <w:pPr>
        <w:jc w:val="center"/>
        <w:rPr>
          <w:b/>
          <w:lang w:val="es-MX"/>
        </w:rPr>
      </w:pPr>
      <w:r w:rsidRPr="00124AD6">
        <w:rPr>
          <w:b/>
          <w:lang w:val="es-MX"/>
        </w:rPr>
        <w:t xml:space="preserve">Gráfica </w:t>
      </w:r>
      <w:r>
        <w:rPr>
          <w:b/>
          <w:lang w:val="es-MX"/>
        </w:rPr>
        <w:t>7</w:t>
      </w:r>
    </w:p>
    <w:p w:rsidR="00C61CA7" w:rsidRPr="00124AD6" w:rsidRDefault="00C61CA7" w:rsidP="00C61CA7">
      <w:pPr>
        <w:jc w:val="center"/>
        <w:rPr>
          <w:b/>
          <w:lang w:val="es-MX"/>
        </w:rPr>
      </w:pPr>
      <w:r w:rsidRPr="00124AD6">
        <w:rPr>
          <w:b/>
          <w:lang w:val="es-MX"/>
        </w:rPr>
        <w:t>Tipo de Cambio</w:t>
      </w:r>
      <w:r>
        <w:rPr>
          <w:b/>
          <w:lang w:val="es-MX"/>
        </w:rPr>
        <w:t xml:space="preserve"> 2010</w:t>
      </w:r>
      <w:r w:rsidR="00965260">
        <w:rPr>
          <w:b/>
          <w:lang w:val="es-MX"/>
        </w:rPr>
        <w:t xml:space="preserve"> </w:t>
      </w:r>
      <w:r>
        <w:rPr>
          <w:b/>
          <w:lang w:val="es-MX"/>
        </w:rPr>
        <w:t>-</w:t>
      </w:r>
      <w:r w:rsidR="00965260">
        <w:rPr>
          <w:b/>
          <w:lang w:val="es-MX"/>
        </w:rPr>
        <w:t xml:space="preserve"> </w:t>
      </w:r>
      <w:r>
        <w:rPr>
          <w:b/>
          <w:lang w:val="es-MX"/>
        </w:rPr>
        <w:t>2020</w:t>
      </w:r>
    </w:p>
    <w:p w:rsidR="00C61CA7" w:rsidRDefault="00C61CA7" w:rsidP="00C61CA7">
      <w:pPr>
        <w:jc w:val="center"/>
        <w:rPr>
          <w:b/>
          <w:lang w:val="es-MX"/>
        </w:rPr>
      </w:pPr>
      <w:r w:rsidRPr="00124AD6">
        <w:rPr>
          <w:b/>
          <w:lang w:val="es-MX"/>
        </w:rPr>
        <w:t>(</w:t>
      </w:r>
      <w:r>
        <w:rPr>
          <w:b/>
          <w:lang w:val="es-MX"/>
        </w:rPr>
        <w:t xml:space="preserve">En </w:t>
      </w:r>
      <w:r w:rsidR="002F1135">
        <w:rPr>
          <w:b/>
          <w:lang w:val="es-MX"/>
        </w:rPr>
        <w:t>Q</w:t>
      </w:r>
      <w:r w:rsidRPr="00124AD6">
        <w:rPr>
          <w:b/>
          <w:lang w:val="es-MX"/>
        </w:rPr>
        <w:t>uetzales por US</w:t>
      </w:r>
      <w:r>
        <w:rPr>
          <w:b/>
          <w:lang w:val="es-MX"/>
        </w:rPr>
        <w:t>$1</w:t>
      </w:r>
      <w:r w:rsidRPr="00124AD6">
        <w:rPr>
          <w:b/>
          <w:lang w:val="es-MX"/>
        </w:rPr>
        <w:t>)</w:t>
      </w:r>
    </w:p>
    <w:p w:rsidR="00C61CA7" w:rsidRDefault="00C61CA7" w:rsidP="00C61CA7">
      <w:pPr>
        <w:jc w:val="center"/>
        <w:rPr>
          <w:b/>
          <w:lang w:val="es-MX"/>
        </w:rPr>
      </w:pPr>
      <w:r>
        <w:rPr>
          <w:noProof/>
          <w:lang w:val="es-GT" w:eastAsia="es-GT"/>
        </w:rPr>
        <w:drawing>
          <wp:inline distT="0" distB="0" distL="0" distR="0" wp14:anchorId="7316FB26" wp14:editId="53ADDD09">
            <wp:extent cx="5903366" cy="3591764"/>
            <wp:effectExtent l="0" t="0" r="2540" b="8890"/>
            <wp:docPr id="21" name="Gráfico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Pr>
          <w:noProof/>
        </w:rPr>
        <w:t xml:space="preserve">  </w:t>
      </w:r>
    </w:p>
    <w:p w:rsidR="00965260" w:rsidRPr="00965260" w:rsidRDefault="00965260" w:rsidP="00C61CA7">
      <w:pPr>
        <w:rPr>
          <w:sz w:val="6"/>
          <w:lang w:val="es-MX"/>
        </w:rPr>
      </w:pPr>
    </w:p>
    <w:p w:rsidR="00C61CA7" w:rsidRPr="00DF1F42" w:rsidRDefault="00965260" w:rsidP="00C61CA7">
      <w:pPr>
        <w:rPr>
          <w:sz w:val="18"/>
          <w:lang w:val="es-MX"/>
        </w:rPr>
      </w:pPr>
      <w:r w:rsidRPr="00DF1F42">
        <w:rPr>
          <w:sz w:val="18"/>
          <w:lang w:val="es-MX"/>
        </w:rPr>
        <w:t xml:space="preserve">            </w:t>
      </w:r>
      <w:r w:rsidR="00C61CA7" w:rsidRPr="00DF1F42">
        <w:rPr>
          <w:sz w:val="18"/>
          <w:lang w:val="es-MX"/>
        </w:rPr>
        <w:t>Fuente: Banco de Guatemala.</w:t>
      </w:r>
    </w:p>
    <w:p w:rsidR="00C61CA7" w:rsidRPr="004F3757" w:rsidRDefault="00C61CA7" w:rsidP="00C61CA7">
      <w:pPr>
        <w:rPr>
          <w:sz w:val="32"/>
          <w:lang w:val="es-MX"/>
        </w:rPr>
      </w:pPr>
    </w:p>
    <w:p w:rsidR="00C61CA7" w:rsidRDefault="00C61CA7" w:rsidP="00C61CA7">
      <w:pPr>
        <w:jc w:val="both"/>
      </w:pPr>
      <w:r>
        <w:t>Durante el mes de diciembre</w:t>
      </w:r>
      <w:r w:rsidR="002F1135">
        <w:t xml:space="preserve"> de 2020</w:t>
      </w:r>
      <w:r>
        <w:t>, el tipo de cambio de referencia nominal promedio ponderado mantuvo un valor de Q</w:t>
      </w:r>
      <w:r w:rsidR="002F1135">
        <w:t>.</w:t>
      </w:r>
      <w:r>
        <w:t>7.8 por dólar, manteniendo un promedio durante el año 2019 de Q</w:t>
      </w:r>
      <w:r w:rsidR="002F1135">
        <w:t>.</w:t>
      </w:r>
      <w:r>
        <w:t>7.7 por dólar, aun cuando, en la tercera semana de marzo de 2020</w:t>
      </w:r>
      <w:r w:rsidR="002F1135">
        <w:t>,</w:t>
      </w:r>
      <w:r>
        <w:t xml:space="preserve"> registró una sobrerreacción generada por los elevados niveles de incertidumbre asociados a la propagación a nivel mundial del C</w:t>
      </w:r>
      <w:r w:rsidR="002F1135">
        <w:t>ovid</w:t>
      </w:r>
      <w:r>
        <w:t>-19 y a la preocupación sobre sus posibles consecuencias para la salud y el desempeño económico.</w:t>
      </w:r>
    </w:p>
    <w:p w:rsidR="00C61CA7" w:rsidRDefault="00C61CA7" w:rsidP="00C61CA7">
      <w:r>
        <w:br w:type="page"/>
      </w:r>
    </w:p>
    <w:p w:rsidR="00C61CA7" w:rsidRPr="002A6FBF" w:rsidRDefault="00C61CA7" w:rsidP="00C61CA7">
      <w:pPr>
        <w:rPr>
          <w:sz w:val="28"/>
        </w:rPr>
      </w:pPr>
    </w:p>
    <w:p w:rsidR="00C61CA7" w:rsidRPr="00401118" w:rsidRDefault="00C61CA7" w:rsidP="00C61CA7">
      <w:pPr>
        <w:pStyle w:val="Ttulo1"/>
        <w:rPr>
          <w:lang w:val="es-MX"/>
        </w:rPr>
      </w:pPr>
      <w:bookmarkStart w:id="14" w:name="_Toc4742462"/>
      <w:bookmarkStart w:id="15" w:name="_Toc65064203"/>
      <w:bookmarkStart w:id="16" w:name="_Toc65826752"/>
      <w:r w:rsidRPr="00401118">
        <w:rPr>
          <w:lang w:val="es-MX"/>
        </w:rPr>
        <w:t>Política Fiscal en Guatemala</w:t>
      </w:r>
      <w:bookmarkEnd w:id="14"/>
      <w:bookmarkEnd w:id="15"/>
      <w:bookmarkEnd w:id="16"/>
    </w:p>
    <w:p w:rsidR="00C61CA7" w:rsidRPr="002A6FBF" w:rsidRDefault="00C61CA7" w:rsidP="00C61CA7">
      <w:pPr>
        <w:jc w:val="both"/>
        <w:rPr>
          <w:sz w:val="28"/>
        </w:rPr>
      </w:pPr>
    </w:p>
    <w:p w:rsidR="00C61CA7" w:rsidRDefault="00C61CA7" w:rsidP="00C61CA7">
      <w:pPr>
        <w:jc w:val="both"/>
      </w:pPr>
      <w:r>
        <w:t xml:space="preserve">La política fiscal se constituye en el mecanismo mediante el cual se debe impulsar la actividad económica y la estabilidad macroeconómica y social del país, ya que genera el espacio de recaudación tributaria necesario para hacer frente a las necesidades sociales que inciden en la pobreza y la desigualdad. El Ministerio de Finanzas Públicas en concordancia con el compromiso de mantener la estabilidad económica a través de una política fiscal responsable y sostenible, definió en su Plan Estratégico Institucional 2020-2024, una ruta para la recuperación y transformación de las finanzas públicas del Estado de Guatemala, estableciendo como finalidad fortalecer la funcionalidad del Estado y generar la confianza ciudadana </w:t>
      </w:r>
      <w:r w:rsidR="00B50386">
        <w:t xml:space="preserve">con </w:t>
      </w:r>
      <w:r>
        <w:t>respecto al uso de los recursos públicos.</w:t>
      </w:r>
    </w:p>
    <w:p w:rsidR="00C61CA7" w:rsidRPr="002A6FBF" w:rsidRDefault="00C61CA7" w:rsidP="00C61CA7">
      <w:pPr>
        <w:jc w:val="both"/>
        <w:rPr>
          <w:sz w:val="28"/>
        </w:rPr>
      </w:pPr>
    </w:p>
    <w:p w:rsidR="00C61CA7" w:rsidRDefault="00C61CA7" w:rsidP="00C61CA7">
      <w:pPr>
        <w:jc w:val="both"/>
      </w:pPr>
      <w:r>
        <w:t xml:space="preserve">Durante el 2020, las finanzas públicas se vieron afectadas por una crisis sin precedentes, la pandemia </w:t>
      </w:r>
      <w:r w:rsidR="00B50386">
        <w:t>del Covid</w:t>
      </w:r>
      <w:r>
        <w:t>-19 cambió por completo las condiciones prevalecientes antes de este fenómeno, reduciendo las expectativas de crecimiento económico con el impacto negativo sobre los indicadores sociales. Por el lado del gasto, dentro del Pilar Economía, Competitividad y Prosperidad, se hizo énfasis en la importancia de la política fiscal en la provisión de bienes y servicios públicos, con el propósito de mantener el bienestar de la población; asimismo, promover el crecimiento económico y contribuir a la estabilidad macroeconómica; es importante tomar en consideración que el Proyecto de Presupuesto General de Ingresos y Egresos del Estado para el Ejercicio Fiscal 2020 no fue aprobado en el término que establece la Constitución</w:t>
      </w:r>
      <w:r w:rsidR="00B50386">
        <w:t xml:space="preserve"> Política de la República de Guatemala</w:t>
      </w:r>
      <w:r>
        <w:t xml:space="preserve">, por que </w:t>
      </w:r>
      <w:r w:rsidR="00B50386">
        <w:t>entró a regir</w:t>
      </w:r>
      <w:r>
        <w:t xml:space="preserve"> el </w:t>
      </w:r>
      <w:r w:rsidR="00B50386">
        <w:t>p</w:t>
      </w:r>
      <w:r>
        <w:t>resupu</w:t>
      </w:r>
      <w:r w:rsidR="00B50386">
        <w:t>esto en vigencia del Ejercicio Fiscal 2019.</w:t>
      </w:r>
    </w:p>
    <w:p w:rsidR="00C61CA7" w:rsidRPr="002A6FBF" w:rsidRDefault="00C61CA7" w:rsidP="00C61CA7">
      <w:pPr>
        <w:jc w:val="both"/>
        <w:rPr>
          <w:sz w:val="28"/>
        </w:rPr>
      </w:pPr>
    </w:p>
    <w:p w:rsidR="00C61CA7" w:rsidRPr="002C7C6E" w:rsidRDefault="00C61CA7" w:rsidP="00C61CA7">
      <w:pPr>
        <w:jc w:val="both"/>
      </w:pPr>
      <w:r w:rsidRPr="002C7C6E">
        <w:t>La atención de la emergencia provocada por el C</w:t>
      </w:r>
      <w:r w:rsidR="00B50386">
        <w:t>ovid</w:t>
      </w:r>
      <w:r w:rsidRPr="002C7C6E">
        <w:t>-19, en la fase de contingencia y atención, enfoca los esfuerzos en aplanar la curva epidemiológica; sin embargo, las medidas necesarias para lograr este objetivo reducen la actividad económica. De esta forma, la recesión resultante, es una medida necesaria de salud pública. Mantener a los trabajadores lejos del trabajo y a los consumidores lejos del consumo reduce la actividad económica. (Baldwin &amp; Weder di Mauro, 2020).</w:t>
      </w:r>
    </w:p>
    <w:p w:rsidR="00C61CA7" w:rsidRPr="002A6FBF" w:rsidRDefault="00C61CA7" w:rsidP="00C61CA7">
      <w:pPr>
        <w:autoSpaceDE w:val="0"/>
        <w:autoSpaceDN w:val="0"/>
        <w:adjustRightInd w:val="0"/>
        <w:spacing w:line="276" w:lineRule="auto"/>
        <w:jc w:val="both"/>
        <w:rPr>
          <w:rFonts w:eastAsia="OptimaLTStd"/>
          <w:color w:val="000000"/>
          <w:sz w:val="28"/>
          <w:lang w:val="es-MX"/>
        </w:rPr>
      </w:pPr>
    </w:p>
    <w:p w:rsidR="00C61CA7" w:rsidRPr="002C7C6E" w:rsidRDefault="00C61CA7" w:rsidP="00C61CA7">
      <w:pPr>
        <w:jc w:val="both"/>
      </w:pPr>
      <w:r w:rsidRPr="002C7C6E">
        <w:t>Para reducir y mitigar estos efectos es necesaria la coordinación entre la política de salud orientada a contener el contagio y atender la emergencia sanitaria y la política económica para contener la recesión y atender los efectos e impactos económicos resultantes de la crisis.</w:t>
      </w:r>
    </w:p>
    <w:p w:rsidR="00C61CA7" w:rsidRPr="002A6FBF" w:rsidRDefault="00C61CA7" w:rsidP="00C61CA7">
      <w:pPr>
        <w:autoSpaceDE w:val="0"/>
        <w:autoSpaceDN w:val="0"/>
        <w:adjustRightInd w:val="0"/>
        <w:spacing w:line="276" w:lineRule="auto"/>
        <w:jc w:val="both"/>
        <w:rPr>
          <w:rFonts w:eastAsia="OptimaLTStd"/>
          <w:color w:val="000000"/>
          <w:sz w:val="28"/>
          <w:lang w:val="es-MX"/>
        </w:rPr>
      </w:pPr>
    </w:p>
    <w:p w:rsidR="00C61CA7" w:rsidRPr="002C7C6E" w:rsidRDefault="00C61CA7" w:rsidP="00C61CA7">
      <w:pPr>
        <w:jc w:val="both"/>
      </w:pPr>
      <w:r w:rsidRPr="002C7C6E">
        <w:t>En la figura siguiente, esquemáticamente se tiene un panel superior (médico) y un panel inferior (económico).  En el panel superior (el resultado médico), la curva roja sugiere lo que la curva epidemiológica sin políticas de contención (política pública de salud); la curva celeste punteada, sugiere los resultados de las políticas de contención en aplanar la curva.</w:t>
      </w:r>
    </w:p>
    <w:p w:rsidR="00C61CA7" w:rsidRDefault="00C61CA7" w:rsidP="00C61CA7">
      <w:pPr>
        <w:autoSpaceDE w:val="0"/>
        <w:autoSpaceDN w:val="0"/>
        <w:adjustRightInd w:val="0"/>
        <w:jc w:val="center"/>
        <w:rPr>
          <w:rFonts w:eastAsia="OptimaLTStd"/>
          <w:color w:val="000000"/>
          <w:sz w:val="22"/>
          <w:szCs w:val="22"/>
          <w:lang w:val="es-MX"/>
        </w:rPr>
      </w:pPr>
    </w:p>
    <w:p w:rsidR="00C61CA7" w:rsidRDefault="00C61CA7" w:rsidP="00C61CA7">
      <w:pPr>
        <w:autoSpaceDE w:val="0"/>
        <w:autoSpaceDN w:val="0"/>
        <w:adjustRightInd w:val="0"/>
        <w:jc w:val="center"/>
        <w:rPr>
          <w:rFonts w:eastAsia="OptimaLTStd"/>
          <w:color w:val="000000"/>
          <w:sz w:val="22"/>
          <w:szCs w:val="22"/>
          <w:lang w:val="es-MX"/>
        </w:rPr>
      </w:pPr>
    </w:p>
    <w:p w:rsidR="00C61CA7" w:rsidRDefault="00C61CA7" w:rsidP="00C61CA7">
      <w:pPr>
        <w:autoSpaceDE w:val="0"/>
        <w:autoSpaceDN w:val="0"/>
        <w:adjustRightInd w:val="0"/>
        <w:jc w:val="center"/>
        <w:rPr>
          <w:rFonts w:eastAsia="OptimaLTStd"/>
          <w:color w:val="000000"/>
          <w:sz w:val="22"/>
          <w:szCs w:val="22"/>
          <w:lang w:val="es-MX"/>
        </w:rPr>
      </w:pPr>
    </w:p>
    <w:p w:rsidR="00C61CA7" w:rsidRDefault="00C61CA7" w:rsidP="00C61CA7">
      <w:pPr>
        <w:autoSpaceDE w:val="0"/>
        <w:autoSpaceDN w:val="0"/>
        <w:adjustRightInd w:val="0"/>
        <w:jc w:val="center"/>
        <w:rPr>
          <w:rFonts w:eastAsia="OptimaLTStd"/>
          <w:color w:val="000000"/>
          <w:sz w:val="22"/>
          <w:szCs w:val="22"/>
          <w:lang w:val="es-MX"/>
        </w:rPr>
      </w:pPr>
    </w:p>
    <w:p w:rsidR="00C61CA7" w:rsidRDefault="00C61CA7" w:rsidP="00C61CA7">
      <w:pPr>
        <w:autoSpaceDE w:val="0"/>
        <w:autoSpaceDN w:val="0"/>
        <w:adjustRightInd w:val="0"/>
        <w:jc w:val="center"/>
        <w:rPr>
          <w:rFonts w:eastAsia="OptimaLTStd"/>
          <w:color w:val="000000"/>
          <w:sz w:val="22"/>
          <w:szCs w:val="22"/>
          <w:lang w:val="es-MX"/>
        </w:rPr>
      </w:pPr>
    </w:p>
    <w:p w:rsidR="00C61CA7" w:rsidRPr="00B50386" w:rsidRDefault="00C61CA7" w:rsidP="00C61CA7">
      <w:pPr>
        <w:autoSpaceDE w:val="0"/>
        <w:autoSpaceDN w:val="0"/>
        <w:adjustRightInd w:val="0"/>
        <w:jc w:val="center"/>
        <w:rPr>
          <w:rFonts w:eastAsia="OptimaLTStd"/>
          <w:b/>
          <w:color w:val="000000"/>
          <w:szCs w:val="22"/>
          <w:lang w:val="es-MX"/>
        </w:rPr>
      </w:pPr>
      <w:r w:rsidRPr="00B50386">
        <w:rPr>
          <w:rFonts w:eastAsia="OptimaLTStd"/>
          <w:b/>
          <w:color w:val="000000"/>
          <w:szCs w:val="22"/>
          <w:lang w:val="es-MX"/>
        </w:rPr>
        <w:t>Figura 2</w:t>
      </w:r>
    </w:p>
    <w:p w:rsidR="00C61CA7" w:rsidRPr="00B50386" w:rsidRDefault="00C61CA7" w:rsidP="00C61CA7">
      <w:pPr>
        <w:autoSpaceDE w:val="0"/>
        <w:autoSpaceDN w:val="0"/>
        <w:adjustRightInd w:val="0"/>
        <w:jc w:val="center"/>
        <w:rPr>
          <w:rFonts w:eastAsia="OptimaLTStd"/>
          <w:b/>
          <w:color w:val="000000"/>
          <w:szCs w:val="22"/>
          <w:lang w:val="es-MX"/>
        </w:rPr>
      </w:pPr>
      <w:r w:rsidRPr="00B50386">
        <w:rPr>
          <w:rFonts w:eastAsia="OptimaLTStd"/>
          <w:b/>
          <w:color w:val="000000"/>
          <w:szCs w:val="22"/>
          <w:lang w:val="es-MX"/>
        </w:rPr>
        <w:t>Aplanar la curva epidemiológica y aplanar la profundidad de la recesión económica</w:t>
      </w:r>
    </w:p>
    <w:p w:rsidR="00C61CA7" w:rsidRPr="00A70F46" w:rsidRDefault="00C61CA7" w:rsidP="00C61CA7">
      <w:pPr>
        <w:autoSpaceDE w:val="0"/>
        <w:autoSpaceDN w:val="0"/>
        <w:adjustRightInd w:val="0"/>
        <w:jc w:val="center"/>
        <w:rPr>
          <w:rFonts w:eastAsia="OptimaLTStd"/>
          <w:color w:val="000000"/>
          <w:sz w:val="22"/>
          <w:szCs w:val="22"/>
          <w:lang w:val="es-MX"/>
        </w:rPr>
      </w:pPr>
    </w:p>
    <w:p w:rsidR="00C61CA7" w:rsidRDefault="00C61CA7" w:rsidP="00C61CA7">
      <w:pPr>
        <w:jc w:val="center"/>
        <w:rPr>
          <w:lang w:val="es-GT"/>
        </w:rPr>
      </w:pPr>
      <w:r>
        <w:rPr>
          <w:noProof/>
          <w:lang w:val="es-GT" w:eastAsia="es-GT"/>
        </w:rPr>
        <w:drawing>
          <wp:inline distT="0" distB="0" distL="0" distR="0" wp14:anchorId="50058241" wp14:editId="7E62C53C">
            <wp:extent cx="5508345" cy="3533242"/>
            <wp:effectExtent l="0" t="0" r="0" b="0"/>
            <wp:docPr id="33" name="Imagen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9A6455B-F153-4181-9CC9-CCBC773C05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9A6455B-F153-4181-9CC9-CCBC773C054F}"/>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9865" cy="3585531"/>
                    </a:xfrm>
                    <a:prstGeom prst="rect">
                      <a:avLst/>
                    </a:prstGeom>
                    <a:noFill/>
                  </pic:spPr>
                </pic:pic>
              </a:graphicData>
            </a:graphic>
          </wp:inline>
        </w:drawing>
      </w:r>
    </w:p>
    <w:p w:rsidR="00C61CA7" w:rsidRPr="00B50386" w:rsidRDefault="00C61CA7" w:rsidP="00C61CA7">
      <w:pPr>
        <w:jc w:val="both"/>
        <w:rPr>
          <w:rFonts w:eastAsia="OptimaLTStd"/>
          <w:color w:val="000000"/>
          <w:sz w:val="12"/>
          <w:szCs w:val="16"/>
          <w:lang w:val="es-MX"/>
        </w:rPr>
      </w:pPr>
    </w:p>
    <w:p w:rsidR="00C61CA7" w:rsidRPr="00DF1F42" w:rsidRDefault="00B50386" w:rsidP="00C61CA7">
      <w:pPr>
        <w:jc w:val="both"/>
        <w:rPr>
          <w:rFonts w:eastAsia="OptimaLTStd"/>
          <w:color w:val="000000"/>
          <w:sz w:val="18"/>
          <w:szCs w:val="16"/>
          <w:lang w:val="es-MX"/>
        </w:rPr>
      </w:pPr>
      <w:r w:rsidRPr="00DF1F42">
        <w:rPr>
          <w:rFonts w:eastAsia="OptimaLTStd"/>
          <w:color w:val="000000"/>
          <w:sz w:val="18"/>
          <w:szCs w:val="16"/>
          <w:lang w:val="es-MX"/>
        </w:rPr>
        <w:t xml:space="preserve">         </w:t>
      </w:r>
      <w:r w:rsidR="00CB730A" w:rsidRPr="00DF1F42">
        <w:rPr>
          <w:rFonts w:eastAsia="OptimaLTStd"/>
          <w:color w:val="000000"/>
          <w:sz w:val="18"/>
          <w:szCs w:val="16"/>
          <w:lang w:val="es-MX"/>
        </w:rPr>
        <w:t xml:space="preserve">  </w:t>
      </w:r>
      <w:r w:rsidRPr="00DF1F42">
        <w:rPr>
          <w:rFonts w:eastAsia="OptimaLTStd"/>
          <w:color w:val="000000"/>
          <w:sz w:val="18"/>
          <w:szCs w:val="16"/>
          <w:lang w:val="es-MX"/>
        </w:rPr>
        <w:t xml:space="preserve">   </w:t>
      </w:r>
      <w:r w:rsidR="00C61CA7" w:rsidRPr="00DF1F42">
        <w:rPr>
          <w:rFonts w:eastAsia="OptimaLTStd"/>
          <w:color w:val="000000"/>
          <w:sz w:val="18"/>
          <w:szCs w:val="16"/>
          <w:lang w:val="es-MX"/>
        </w:rPr>
        <w:t>Fuente: M</w:t>
      </w:r>
      <w:r w:rsidRPr="00DF1F42">
        <w:rPr>
          <w:rFonts w:eastAsia="OptimaLTStd"/>
          <w:color w:val="000000"/>
          <w:sz w:val="18"/>
          <w:szCs w:val="16"/>
          <w:lang w:val="es-MX"/>
        </w:rPr>
        <w:t>inisterio de Finanzas Públicas</w:t>
      </w:r>
      <w:r w:rsidR="00C61CA7" w:rsidRPr="00DF1F42">
        <w:rPr>
          <w:rFonts w:eastAsia="OptimaLTStd"/>
          <w:color w:val="000000"/>
          <w:sz w:val="18"/>
          <w:szCs w:val="16"/>
          <w:lang w:val="es-MX"/>
        </w:rPr>
        <w:t>, 2020</w:t>
      </w:r>
      <w:r w:rsidRPr="00DF1F42">
        <w:rPr>
          <w:rFonts w:eastAsia="OptimaLTStd"/>
          <w:color w:val="000000"/>
          <w:sz w:val="18"/>
          <w:szCs w:val="16"/>
          <w:lang w:val="es-MX"/>
        </w:rPr>
        <w:t>.</w:t>
      </w:r>
    </w:p>
    <w:p w:rsidR="00C61CA7" w:rsidRDefault="00C61CA7" w:rsidP="00C61CA7">
      <w:pPr>
        <w:rPr>
          <w:lang w:val="es-MX"/>
        </w:rPr>
      </w:pPr>
    </w:p>
    <w:p w:rsidR="00B50386" w:rsidRPr="00B50386" w:rsidRDefault="00B50386" w:rsidP="00C61CA7">
      <w:pPr>
        <w:rPr>
          <w:lang w:val="es-MX"/>
        </w:rPr>
      </w:pPr>
    </w:p>
    <w:p w:rsidR="00C61CA7" w:rsidRPr="00063A89" w:rsidRDefault="00C61CA7" w:rsidP="00C61CA7">
      <w:pPr>
        <w:jc w:val="both"/>
      </w:pPr>
      <w:r w:rsidRPr="00063A89">
        <w:t>En el panel inferior (el resultado económico), la curva celeste, ilustra los impactos económicos de la crisis y las medidas para contenerlas (recesión profunda) sin política económica contracíclica; mientras que la curva amarilla sugiere la evolución de la recesión al emplear políticas de contención. Lo que muestra que el objetivo de aplanar la curva epidemiológica, inevitablemente aumenta la curva de recesión macroeconómica (</w:t>
      </w:r>
      <w:r>
        <w:t>M</w:t>
      </w:r>
      <w:r w:rsidR="00473CFE">
        <w:t>INFIN</w:t>
      </w:r>
      <w:r>
        <w:t xml:space="preserve"> 2020</w:t>
      </w:r>
      <w:r w:rsidRPr="00063A89">
        <w:t>)</w:t>
      </w:r>
      <w:r>
        <w:rPr>
          <w:rStyle w:val="Refdenotaalpie"/>
        </w:rPr>
        <w:footnoteReference w:id="2"/>
      </w:r>
      <w:r w:rsidRPr="00063A89">
        <w:t>.</w:t>
      </w:r>
    </w:p>
    <w:p w:rsidR="00C61CA7" w:rsidRPr="004C0C95" w:rsidRDefault="00C61CA7" w:rsidP="00C61CA7">
      <w:pPr>
        <w:rPr>
          <w:sz w:val="18"/>
          <w:szCs w:val="18"/>
          <w:lang w:val="es-GT"/>
        </w:rPr>
      </w:pPr>
    </w:p>
    <w:p w:rsidR="00C61CA7" w:rsidRPr="00063A89" w:rsidRDefault="00C61CA7" w:rsidP="00C61CA7">
      <w:pPr>
        <w:jc w:val="both"/>
      </w:pPr>
      <w:r w:rsidRPr="00063A89">
        <w:t>Aplanar la caída de la recesión, estaría determinado por el conjunto de políticas macroeconómicas para contrarrestar la caída y promover la recuperación, desde la óptica de la política fiscal, el margen estaría limitado por la capacidad de endeudamiento sostenible del país.</w:t>
      </w:r>
    </w:p>
    <w:p w:rsidR="00C61CA7" w:rsidRPr="002C7C6E" w:rsidRDefault="00C61CA7" w:rsidP="00C61CA7">
      <w:pPr>
        <w:rPr>
          <w:sz w:val="22"/>
          <w:szCs w:val="22"/>
          <w:lang w:val="es-MX"/>
        </w:rPr>
      </w:pPr>
    </w:p>
    <w:p w:rsidR="00C61CA7" w:rsidRDefault="00C61CA7" w:rsidP="00C61CA7">
      <w:pPr>
        <w:jc w:val="both"/>
        <w:rPr>
          <w:rFonts w:eastAsia="OptimaLTStd"/>
          <w:color w:val="000000"/>
          <w:lang w:val="es-MX"/>
        </w:rPr>
      </w:pPr>
      <w:r w:rsidRPr="00746211">
        <w:rPr>
          <w:rFonts w:eastAsia="OptimaLTStd"/>
          <w:color w:val="000000"/>
          <w:lang w:val="es-MX"/>
        </w:rPr>
        <w:t xml:space="preserve">Para </w:t>
      </w:r>
      <w:r>
        <w:rPr>
          <w:rFonts w:eastAsia="OptimaLTStd"/>
          <w:color w:val="000000"/>
          <w:lang w:val="es-MX"/>
        </w:rPr>
        <w:t>financiar el</w:t>
      </w:r>
      <w:r w:rsidRPr="00553F1E">
        <w:rPr>
          <w:rFonts w:eastAsia="OptimaLTStd"/>
          <w:color w:val="000000"/>
          <w:lang w:val="es-MX"/>
        </w:rPr>
        <w:t xml:space="preserve"> conjunto de medidas en el sector salud, atendiendo simultáneamente los aspectos económicos y financieros, la estrategia financiera que s</w:t>
      </w:r>
      <w:r>
        <w:rPr>
          <w:rFonts w:eastAsia="OptimaLTStd"/>
          <w:color w:val="000000"/>
          <w:lang w:val="es-MX"/>
        </w:rPr>
        <w:t>e ha utilizado</w:t>
      </w:r>
      <w:r w:rsidRPr="00553F1E">
        <w:rPr>
          <w:rFonts w:eastAsia="OptimaLTStd"/>
          <w:color w:val="000000"/>
          <w:lang w:val="es-MX"/>
        </w:rPr>
        <w:t xml:space="preserve">, considera </w:t>
      </w:r>
      <w:r>
        <w:rPr>
          <w:rFonts w:eastAsia="OptimaLTStd"/>
          <w:color w:val="000000"/>
          <w:lang w:val="es-MX"/>
        </w:rPr>
        <w:t xml:space="preserve">la implementación de </w:t>
      </w:r>
      <w:r w:rsidRPr="00553F1E">
        <w:rPr>
          <w:rFonts w:eastAsia="OptimaLTStd"/>
          <w:color w:val="000000"/>
          <w:lang w:val="es-MX"/>
        </w:rPr>
        <w:t>diversos instrumentos</w:t>
      </w:r>
      <w:r>
        <w:rPr>
          <w:rFonts w:eastAsia="OptimaLTStd"/>
          <w:color w:val="000000"/>
          <w:lang w:val="es-MX"/>
        </w:rPr>
        <w:t xml:space="preserve">, atendiendo </w:t>
      </w:r>
      <w:r w:rsidRPr="00553F1E">
        <w:rPr>
          <w:rFonts w:eastAsia="OptimaLTStd"/>
          <w:color w:val="000000"/>
          <w:lang w:val="es-MX"/>
        </w:rPr>
        <w:t>la dimensión temporal de la necesidad de recursos, el costo asociado al uso de cada instrumento y su disponibilidad</w:t>
      </w:r>
      <w:r>
        <w:rPr>
          <w:rFonts w:eastAsia="OptimaLTStd"/>
          <w:color w:val="000000"/>
          <w:lang w:val="es-MX"/>
        </w:rPr>
        <w:t>, en las etapas de atención incluida en la Estrategia Financiera ante el Riesgo d</w:t>
      </w:r>
      <w:r w:rsidR="00473CFE">
        <w:rPr>
          <w:rFonts w:eastAsia="OptimaLTStd"/>
          <w:color w:val="000000"/>
          <w:lang w:val="es-MX"/>
        </w:rPr>
        <w:t>e Desastres, que implementa el Ministerio de Finanzas Públicas</w:t>
      </w:r>
      <w:r>
        <w:rPr>
          <w:rFonts w:eastAsia="OptimaLTStd"/>
          <w:color w:val="000000"/>
          <w:lang w:val="es-MX"/>
        </w:rPr>
        <w:t>.</w:t>
      </w:r>
    </w:p>
    <w:p w:rsidR="00C61CA7" w:rsidRDefault="00C61CA7" w:rsidP="00C61CA7">
      <w:pPr>
        <w:jc w:val="both"/>
        <w:rPr>
          <w:rFonts w:eastAsia="OptimaLTStd"/>
          <w:color w:val="000000"/>
          <w:lang w:val="es-MX"/>
        </w:rPr>
      </w:pPr>
    </w:p>
    <w:p w:rsidR="00C61CA7" w:rsidRPr="00473CFE" w:rsidRDefault="00C61CA7" w:rsidP="00C61CA7">
      <w:pPr>
        <w:autoSpaceDE w:val="0"/>
        <w:autoSpaceDN w:val="0"/>
        <w:adjustRightInd w:val="0"/>
        <w:jc w:val="center"/>
        <w:rPr>
          <w:rFonts w:eastAsia="OptimaLTStd"/>
          <w:b/>
          <w:color w:val="000000"/>
          <w:szCs w:val="22"/>
          <w:lang w:val="es-MX"/>
        </w:rPr>
      </w:pPr>
      <w:r w:rsidRPr="00473CFE">
        <w:rPr>
          <w:rFonts w:eastAsia="OptimaLTStd"/>
          <w:b/>
          <w:color w:val="000000"/>
          <w:szCs w:val="22"/>
          <w:lang w:val="es-MX"/>
        </w:rPr>
        <w:t>Figura 3</w:t>
      </w:r>
    </w:p>
    <w:p w:rsidR="00C61CA7" w:rsidRPr="00473CFE" w:rsidRDefault="00C61CA7" w:rsidP="00C61CA7">
      <w:pPr>
        <w:autoSpaceDE w:val="0"/>
        <w:autoSpaceDN w:val="0"/>
        <w:adjustRightInd w:val="0"/>
        <w:jc w:val="center"/>
        <w:rPr>
          <w:rFonts w:eastAsia="OptimaLTStd"/>
          <w:b/>
          <w:color w:val="000000"/>
          <w:szCs w:val="22"/>
          <w:lang w:val="es-MX"/>
        </w:rPr>
      </w:pPr>
      <w:r w:rsidRPr="00473CFE">
        <w:rPr>
          <w:rFonts w:eastAsia="OptimaLTStd"/>
          <w:b/>
          <w:color w:val="000000"/>
          <w:szCs w:val="22"/>
          <w:lang w:val="es-MX"/>
        </w:rPr>
        <w:t xml:space="preserve">Dimensión Temporal de las Necesidades de Recursos ante </w:t>
      </w:r>
      <w:r w:rsidR="00473CFE">
        <w:rPr>
          <w:rFonts w:eastAsia="OptimaLTStd"/>
          <w:b/>
          <w:color w:val="000000"/>
          <w:szCs w:val="22"/>
          <w:lang w:val="es-MX"/>
        </w:rPr>
        <w:t>D</w:t>
      </w:r>
      <w:r w:rsidRPr="00473CFE">
        <w:rPr>
          <w:rFonts w:eastAsia="OptimaLTStd"/>
          <w:b/>
          <w:color w:val="000000"/>
          <w:szCs w:val="22"/>
          <w:lang w:val="es-MX"/>
        </w:rPr>
        <w:t>esastres</w:t>
      </w:r>
    </w:p>
    <w:p w:rsidR="00C61CA7" w:rsidRDefault="00C61CA7" w:rsidP="00C61CA7">
      <w:pPr>
        <w:jc w:val="both"/>
        <w:rPr>
          <w:rFonts w:eastAsia="OptimaLTStd"/>
          <w:color w:val="000000"/>
          <w:lang w:val="es-MX"/>
        </w:rPr>
      </w:pPr>
      <w:r>
        <w:rPr>
          <w:noProof/>
          <w:lang w:val="es-GT" w:eastAsia="es-GT"/>
        </w:rPr>
        <w:drawing>
          <wp:inline distT="0" distB="0" distL="0" distR="0" wp14:anchorId="2E3595E5" wp14:editId="58C438D9">
            <wp:extent cx="5976518" cy="3825850"/>
            <wp:effectExtent l="0" t="0" r="24765" b="3810"/>
            <wp:docPr id="35" name="Diagrama 3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D7C516C-08FA-465B-BE88-654D9CC6754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C61CA7" w:rsidRPr="00DF1F42" w:rsidRDefault="00C61CA7" w:rsidP="00C61CA7">
      <w:pPr>
        <w:jc w:val="both"/>
        <w:rPr>
          <w:rFonts w:eastAsia="OptimaLTStd"/>
          <w:color w:val="000000"/>
          <w:sz w:val="18"/>
          <w:szCs w:val="16"/>
          <w:lang w:val="es-MX"/>
        </w:rPr>
      </w:pPr>
      <w:r w:rsidRPr="00DF1F42">
        <w:rPr>
          <w:rFonts w:eastAsia="OptimaLTStd"/>
          <w:color w:val="000000"/>
          <w:sz w:val="18"/>
          <w:szCs w:val="16"/>
          <w:lang w:val="es-MX"/>
        </w:rPr>
        <w:t xml:space="preserve">Fuente: DTF MINFIN, en base a: OCDE. 2020. </w:t>
      </w:r>
      <w:r w:rsidRPr="00DF1F42">
        <w:rPr>
          <w:rFonts w:eastAsia="OptimaLTStd"/>
          <w:color w:val="000000"/>
          <w:sz w:val="18"/>
          <w:szCs w:val="16"/>
          <w:lang w:val="en-US"/>
        </w:rPr>
        <w:t>Covid-19 and fiscal relations across levels of Government y MINFIN, 2018.</w:t>
      </w:r>
      <w:r w:rsidR="008D7A5F" w:rsidRPr="00DF1F42">
        <w:rPr>
          <w:rFonts w:eastAsia="OptimaLTStd"/>
          <w:color w:val="000000"/>
          <w:sz w:val="18"/>
          <w:szCs w:val="16"/>
          <w:lang w:val="en-US"/>
        </w:rPr>
        <w:t xml:space="preserve"> </w:t>
      </w:r>
      <w:r w:rsidRPr="00DF1F42">
        <w:rPr>
          <w:rFonts w:eastAsia="OptimaLTStd"/>
          <w:color w:val="000000"/>
          <w:sz w:val="18"/>
          <w:szCs w:val="16"/>
          <w:lang w:val="es-MX"/>
        </w:rPr>
        <w:t>Estrategia Financiera ante el Riesgo de Desastres</w:t>
      </w:r>
      <w:r w:rsidR="008D7A5F" w:rsidRPr="00DF1F42">
        <w:rPr>
          <w:rFonts w:eastAsia="OptimaLTStd"/>
          <w:color w:val="000000"/>
          <w:sz w:val="18"/>
          <w:szCs w:val="16"/>
          <w:lang w:val="es-MX"/>
        </w:rPr>
        <w:t>.</w:t>
      </w:r>
    </w:p>
    <w:p w:rsidR="00C61CA7" w:rsidRPr="002A6FBF" w:rsidRDefault="00C61CA7" w:rsidP="00C61CA7">
      <w:pPr>
        <w:jc w:val="both"/>
        <w:rPr>
          <w:rFonts w:eastAsia="OptimaLTStd"/>
          <w:color w:val="000000"/>
          <w:sz w:val="40"/>
          <w:szCs w:val="16"/>
          <w:lang w:val="es-MX"/>
        </w:rPr>
      </w:pPr>
    </w:p>
    <w:p w:rsidR="00C61CA7" w:rsidRPr="00553F1E" w:rsidRDefault="00C61CA7" w:rsidP="00C61CA7">
      <w:pPr>
        <w:jc w:val="both"/>
        <w:rPr>
          <w:rFonts w:eastAsia="OptimaLTStd"/>
          <w:color w:val="000000"/>
          <w:lang w:val="es-MX"/>
        </w:rPr>
      </w:pPr>
      <w:r w:rsidRPr="00553F1E">
        <w:rPr>
          <w:rFonts w:eastAsia="OptimaLTStd"/>
          <w:color w:val="000000"/>
          <w:lang w:val="es-MX"/>
        </w:rPr>
        <w:t>Así, la etapa de respuesta involucr</w:t>
      </w:r>
      <w:r>
        <w:rPr>
          <w:rFonts w:eastAsia="OptimaLTStd"/>
          <w:color w:val="000000"/>
          <w:lang w:val="es-MX"/>
        </w:rPr>
        <w:t>ó</w:t>
      </w:r>
      <w:r w:rsidRPr="00553F1E">
        <w:rPr>
          <w:rFonts w:eastAsia="OptimaLTStd"/>
          <w:color w:val="000000"/>
          <w:lang w:val="es-MX"/>
        </w:rPr>
        <w:t xml:space="preserve"> acciones de asistencia humanitaria a la población afectada, que </w:t>
      </w:r>
      <w:r>
        <w:rPr>
          <w:rFonts w:eastAsia="OptimaLTStd"/>
          <w:color w:val="000000"/>
          <w:lang w:val="es-MX"/>
        </w:rPr>
        <w:t>incluyeron</w:t>
      </w:r>
      <w:r w:rsidRPr="00553F1E">
        <w:rPr>
          <w:rFonts w:eastAsia="OptimaLTStd"/>
          <w:color w:val="000000"/>
          <w:lang w:val="es-MX"/>
        </w:rPr>
        <w:t xml:space="preserve"> la atención de necesidades básicas como alimentación, atención médica que demanda</w:t>
      </w:r>
      <w:r>
        <w:rPr>
          <w:rFonts w:eastAsia="OptimaLTStd"/>
          <w:color w:val="000000"/>
          <w:lang w:val="es-MX"/>
        </w:rPr>
        <w:t>ban</w:t>
      </w:r>
      <w:r w:rsidRPr="00553F1E">
        <w:rPr>
          <w:rFonts w:eastAsia="OptimaLTStd"/>
          <w:color w:val="000000"/>
          <w:lang w:val="es-MX"/>
        </w:rPr>
        <w:t xml:space="preserve"> una rápida movilización de recursos</w:t>
      </w:r>
      <w:r>
        <w:rPr>
          <w:rFonts w:eastAsia="OptimaLTStd"/>
          <w:color w:val="000000"/>
          <w:lang w:val="es-MX"/>
        </w:rPr>
        <w:t>, mientras que la</w:t>
      </w:r>
      <w:r w:rsidRPr="00553F1E">
        <w:rPr>
          <w:rFonts w:eastAsia="OptimaLTStd"/>
          <w:color w:val="000000"/>
          <w:lang w:val="es-MX"/>
        </w:rPr>
        <w:t xml:space="preserve"> etapa de rehabilitación se </w:t>
      </w:r>
      <w:r>
        <w:rPr>
          <w:rFonts w:eastAsia="OptimaLTStd"/>
          <w:color w:val="000000"/>
          <w:lang w:val="es-MX"/>
        </w:rPr>
        <w:t xml:space="preserve">ha </w:t>
      </w:r>
      <w:r w:rsidRPr="00553F1E">
        <w:rPr>
          <w:rFonts w:eastAsia="OptimaLTStd"/>
          <w:color w:val="000000"/>
          <w:lang w:val="es-MX"/>
        </w:rPr>
        <w:t>enfoca</w:t>
      </w:r>
      <w:r>
        <w:rPr>
          <w:rFonts w:eastAsia="OptimaLTStd"/>
          <w:color w:val="000000"/>
          <w:lang w:val="es-MX"/>
        </w:rPr>
        <w:t>do</w:t>
      </w:r>
      <w:r w:rsidRPr="00553F1E">
        <w:rPr>
          <w:rFonts w:eastAsia="OptimaLTStd"/>
          <w:color w:val="000000"/>
          <w:lang w:val="es-MX"/>
        </w:rPr>
        <w:t xml:space="preserve"> principalmente en </w:t>
      </w:r>
      <w:r>
        <w:rPr>
          <w:rFonts w:eastAsia="OptimaLTStd"/>
          <w:color w:val="000000"/>
          <w:lang w:val="es-MX"/>
        </w:rPr>
        <w:t xml:space="preserve">mantener la inversión en infraestructura y equipamiento en salud, la protección del empleo y la coordinación del restablecimiento de la actividad económica, a la vez que garantiza contar con los recursos necesarios para el funcionamiento de los programas establecidos para la emergencia. </w:t>
      </w:r>
      <w:r w:rsidRPr="00553F1E">
        <w:rPr>
          <w:rFonts w:eastAsia="OptimaLTStd"/>
          <w:color w:val="000000"/>
          <w:lang w:val="es-MX"/>
        </w:rPr>
        <w:t>La etapa de reconstrucción involucra</w:t>
      </w:r>
      <w:r>
        <w:rPr>
          <w:rFonts w:eastAsia="OptimaLTStd"/>
          <w:color w:val="000000"/>
          <w:lang w:val="es-MX"/>
        </w:rPr>
        <w:t xml:space="preserve">rá </w:t>
      </w:r>
      <w:r w:rsidRPr="00553F1E">
        <w:rPr>
          <w:rFonts w:eastAsia="OptimaLTStd"/>
          <w:color w:val="000000"/>
          <w:lang w:val="es-MX"/>
        </w:rPr>
        <w:t xml:space="preserve">acciones estructurales para </w:t>
      </w:r>
      <w:r>
        <w:rPr>
          <w:rFonts w:eastAsia="OptimaLTStd"/>
          <w:color w:val="000000"/>
          <w:lang w:val="es-MX"/>
        </w:rPr>
        <w:t>la recuperación de las finanzas públicas y el apoyo a la estrategia de recuperación económica, mediante revisión del gasto público y el fortalecimiento de los ingresos tributarios.</w:t>
      </w:r>
    </w:p>
    <w:p w:rsidR="00C61CA7" w:rsidRDefault="00C61CA7" w:rsidP="00C61CA7">
      <w:pPr>
        <w:rPr>
          <w:rFonts w:eastAsia="OptimaLTStd"/>
          <w:lang w:val="es-MX"/>
        </w:rPr>
      </w:pPr>
    </w:p>
    <w:p w:rsidR="00C61CA7" w:rsidRDefault="00C61CA7" w:rsidP="00C61CA7">
      <w:pPr>
        <w:jc w:val="both"/>
        <w:rPr>
          <w:rFonts w:eastAsia="OptimaLTStd"/>
          <w:color w:val="000000"/>
          <w:lang w:val="es-MX"/>
        </w:rPr>
      </w:pPr>
      <w:r w:rsidRPr="004C0C95">
        <w:rPr>
          <w:rFonts w:eastAsia="OptimaLTStd"/>
          <w:color w:val="000000"/>
          <w:lang w:val="es-MX"/>
        </w:rPr>
        <w:t xml:space="preserve">El país cuenta con solidas variables macroeconómicas que le han provisto en el pasado de resiliencia para afrontar diversos shocks </w:t>
      </w:r>
      <w:r w:rsidR="008D7A5F">
        <w:rPr>
          <w:rFonts w:eastAsia="OptimaLTStd"/>
          <w:color w:val="000000"/>
          <w:lang w:val="es-MX"/>
        </w:rPr>
        <w:t>macro</w:t>
      </w:r>
      <w:r w:rsidRPr="004C0C95">
        <w:rPr>
          <w:rFonts w:eastAsia="OptimaLTStd"/>
          <w:color w:val="000000"/>
          <w:lang w:val="es-MX"/>
        </w:rPr>
        <w:t>económicos</w:t>
      </w:r>
      <w:r w:rsidR="008D7A5F">
        <w:rPr>
          <w:rFonts w:eastAsia="OptimaLTStd"/>
          <w:color w:val="000000"/>
          <w:lang w:val="es-MX"/>
        </w:rPr>
        <w:t>,</w:t>
      </w:r>
      <w:r w:rsidRPr="004C0C95">
        <w:rPr>
          <w:rFonts w:eastAsia="OptimaLTStd"/>
          <w:color w:val="000000"/>
          <w:lang w:val="es-MX"/>
        </w:rPr>
        <w:t xml:space="preserve"> se espera que dicha solidez macroeconómica, apoyada en una política fiscal prudente reflejada en bajos niveles de déficit fiscal y deuda pública en niveles manejables, brinden </w:t>
      </w:r>
      <w:r>
        <w:rPr>
          <w:rFonts w:eastAsia="OptimaLTStd"/>
          <w:color w:val="000000"/>
          <w:lang w:val="es-MX"/>
        </w:rPr>
        <w:t xml:space="preserve">a partir de 2021 </w:t>
      </w:r>
      <w:r w:rsidRPr="004C0C95">
        <w:rPr>
          <w:rFonts w:eastAsia="OptimaLTStd"/>
          <w:color w:val="000000"/>
          <w:lang w:val="es-MX"/>
        </w:rPr>
        <w:t>el espacio fiscal óptimo para realizar acciones de política fiscal para afrontar los efectos del C</w:t>
      </w:r>
      <w:r w:rsidR="008D7A5F">
        <w:rPr>
          <w:rFonts w:eastAsia="OptimaLTStd"/>
          <w:color w:val="000000"/>
          <w:lang w:val="es-MX"/>
        </w:rPr>
        <w:t>ovid</w:t>
      </w:r>
      <w:r w:rsidRPr="004C0C95">
        <w:rPr>
          <w:rFonts w:eastAsia="OptimaLTStd"/>
          <w:color w:val="000000"/>
          <w:lang w:val="es-MX"/>
        </w:rPr>
        <w:t>-19 sin comprometer la sostenibilidad de las finanzas públicas y la estabilidad macroeconómica del país en el mediano y largo plazo</w:t>
      </w:r>
      <w:r>
        <w:rPr>
          <w:rFonts w:eastAsia="OptimaLTStd"/>
          <w:color w:val="000000"/>
          <w:lang w:val="es-MX"/>
        </w:rPr>
        <w:t>.</w:t>
      </w:r>
    </w:p>
    <w:p w:rsidR="002A6FBF" w:rsidRPr="00DF1F42" w:rsidRDefault="002A6FBF" w:rsidP="00C61CA7">
      <w:pPr>
        <w:jc w:val="both"/>
        <w:rPr>
          <w:rFonts w:eastAsia="OptimaLTStd"/>
          <w:color w:val="000000"/>
          <w:sz w:val="16"/>
          <w:lang w:val="es-MX"/>
        </w:rPr>
      </w:pPr>
    </w:p>
    <w:p w:rsidR="00C61CA7" w:rsidRDefault="00C61CA7" w:rsidP="00C61CA7">
      <w:pPr>
        <w:jc w:val="both"/>
      </w:pPr>
      <w:r w:rsidRPr="00625FE6">
        <w:t xml:space="preserve">Considerando lo anterior y la política fiscal </w:t>
      </w:r>
      <w:r w:rsidR="000F1550">
        <w:t>implementada</w:t>
      </w:r>
      <w:r w:rsidRPr="00625FE6">
        <w:t>, el gasto fue moderado en los primeros meses del año</w:t>
      </w:r>
      <w:r w:rsidR="000F1550">
        <w:t xml:space="preserve"> 2020</w:t>
      </w:r>
      <w:r w:rsidRPr="00625FE6">
        <w:t>, dado que las entidades se encontraban en proceso de hacer las readecuaciones presupuestarias acorde a las necesidades y objetivos planteados para el año. As</w:t>
      </w:r>
      <w:r w:rsidR="000F1550">
        <w:t>i</w:t>
      </w:r>
      <w:r w:rsidRPr="00625FE6">
        <w:t>mismo, una ejecución moderada es congruente con el primer año de una nueva administración de gobierno, ya que se da un proceso de adaptación de las nuevas autoridades y funcionarios al quehacer de la administración pública.</w:t>
      </w:r>
    </w:p>
    <w:p w:rsidR="00C61CA7" w:rsidRDefault="00C61CA7" w:rsidP="00C61CA7">
      <w:pPr>
        <w:jc w:val="both"/>
      </w:pPr>
    </w:p>
    <w:p w:rsidR="00C61CA7" w:rsidRDefault="00C61CA7" w:rsidP="00C61CA7">
      <w:pPr>
        <w:jc w:val="both"/>
        <w:rPr>
          <w:lang w:val="es-MX"/>
        </w:rPr>
      </w:pPr>
      <w:r>
        <w:t>Durante el ejercicio fiscal 2020, el gasto extraordinario se focalizó hacia la atención de los shocks extra económicos que afectaron el país durante 2020, lo que incidió en un déficit fiscal mayor al proyectado a principio</w:t>
      </w:r>
      <w:r w:rsidR="000F1550">
        <w:t>s</w:t>
      </w:r>
      <w:r>
        <w:t xml:space="preserve"> del año, determinado por la política fiscal expansiva y contracíclica </w:t>
      </w:r>
      <w:r w:rsidR="000F1550">
        <w:t>implementada</w:t>
      </w:r>
      <w:r>
        <w:t>.</w:t>
      </w:r>
    </w:p>
    <w:p w:rsidR="00C61CA7" w:rsidRDefault="00C61CA7" w:rsidP="00C61CA7">
      <w:pPr>
        <w:jc w:val="both"/>
        <w:rPr>
          <w:lang w:val="es-MX"/>
        </w:rPr>
      </w:pPr>
    </w:p>
    <w:p w:rsidR="00C61CA7" w:rsidRDefault="00C61CA7" w:rsidP="00C61CA7">
      <w:pPr>
        <w:jc w:val="both"/>
        <w:rPr>
          <w:sz w:val="23"/>
          <w:szCs w:val="23"/>
        </w:rPr>
      </w:pPr>
      <w:r>
        <w:t>Del período 2011 a 2019 el resultado presupuestario mantuvo un déficit fiscal promedio de 1.9%. En 2020 derivado de la caída de los ingresos y la aplicación por parte del gobierno de una política fiscal expansiva y contracíclica, el déficit fiscal ascendió al monto de Q.29,477.7 millones, equivalente</w:t>
      </w:r>
      <w:r w:rsidR="000F1550">
        <w:t>s</w:t>
      </w:r>
      <w:r>
        <w:t xml:space="preserve"> al 4.9% del PIB.</w:t>
      </w:r>
    </w:p>
    <w:p w:rsidR="00C61CA7" w:rsidRPr="002A6FBF" w:rsidRDefault="00C61CA7" w:rsidP="00C61CA7">
      <w:pPr>
        <w:jc w:val="both"/>
        <w:rPr>
          <w:b/>
          <w:sz w:val="28"/>
        </w:rPr>
      </w:pPr>
    </w:p>
    <w:p w:rsidR="00C61CA7" w:rsidRDefault="00C61CA7" w:rsidP="00C61CA7">
      <w:pPr>
        <w:jc w:val="center"/>
        <w:rPr>
          <w:b/>
          <w:lang w:val="es-MX"/>
        </w:rPr>
      </w:pPr>
      <w:r w:rsidRPr="00C17181">
        <w:rPr>
          <w:b/>
          <w:lang w:val="es-MX"/>
        </w:rPr>
        <w:t>Gráfica 8</w:t>
      </w:r>
    </w:p>
    <w:p w:rsidR="00C61CA7" w:rsidRDefault="00C61CA7" w:rsidP="00C61CA7">
      <w:pPr>
        <w:jc w:val="center"/>
        <w:rPr>
          <w:b/>
          <w:lang w:val="es-MX"/>
        </w:rPr>
      </w:pPr>
      <w:r w:rsidRPr="00C17181">
        <w:rPr>
          <w:b/>
          <w:lang w:val="es-MX"/>
        </w:rPr>
        <w:t>Resultado Presupuestario</w:t>
      </w:r>
      <w:r>
        <w:rPr>
          <w:b/>
          <w:lang w:val="es-MX"/>
        </w:rPr>
        <w:t xml:space="preserve"> 2011</w:t>
      </w:r>
      <w:r w:rsidR="000F1550">
        <w:rPr>
          <w:b/>
          <w:lang w:val="es-MX"/>
        </w:rPr>
        <w:t xml:space="preserve"> </w:t>
      </w:r>
      <w:r>
        <w:rPr>
          <w:b/>
          <w:lang w:val="es-MX"/>
        </w:rPr>
        <w:t>-</w:t>
      </w:r>
      <w:r w:rsidR="000F1550">
        <w:rPr>
          <w:b/>
          <w:lang w:val="es-MX"/>
        </w:rPr>
        <w:t xml:space="preserve"> </w:t>
      </w:r>
      <w:r>
        <w:rPr>
          <w:b/>
          <w:lang w:val="es-MX"/>
        </w:rPr>
        <w:t>2020</w:t>
      </w:r>
    </w:p>
    <w:p w:rsidR="00C61CA7" w:rsidRDefault="000F1550" w:rsidP="00C61CA7">
      <w:pPr>
        <w:jc w:val="center"/>
        <w:rPr>
          <w:b/>
          <w:lang w:val="es-MX"/>
        </w:rPr>
      </w:pPr>
      <w:r>
        <w:rPr>
          <w:b/>
          <w:lang w:val="es-MX"/>
        </w:rPr>
        <w:t>A</w:t>
      </w:r>
      <w:r w:rsidR="00C61CA7" w:rsidRPr="00C17181">
        <w:rPr>
          <w:b/>
          <w:lang w:val="es-MX"/>
        </w:rPr>
        <w:t>l 31 de diciembre de cada año</w:t>
      </w:r>
    </w:p>
    <w:p w:rsidR="00C61CA7" w:rsidRDefault="00C61CA7" w:rsidP="00C61CA7">
      <w:pPr>
        <w:jc w:val="center"/>
        <w:rPr>
          <w:b/>
          <w:lang w:val="es-MX"/>
        </w:rPr>
      </w:pPr>
      <w:r w:rsidRPr="00C17181">
        <w:rPr>
          <w:b/>
          <w:lang w:val="es-MX"/>
        </w:rPr>
        <w:t>(Cifras en Millones de Quetzales y como Porcentaje del PIB)</w:t>
      </w:r>
    </w:p>
    <w:p w:rsidR="00C61CA7" w:rsidRDefault="00C61CA7" w:rsidP="00C61CA7">
      <w:pPr>
        <w:jc w:val="center"/>
        <w:rPr>
          <w:noProof/>
        </w:rPr>
      </w:pPr>
      <w:r w:rsidRPr="000F1550">
        <w:rPr>
          <w:noProof/>
          <w:color w:val="00B0F0"/>
          <w:highlight w:val="cyan"/>
          <w:shd w:val="clear" w:color="auto" w:fill="FF0000"/>
          <w:lang w:val="es-GT" w:eastAsia="es-GT"/>
        </w:rPr>
        <w:drawing>
          <wp:inline distT="0" distB="0" distL="0" distR="0" wp14:anchorId="7AC5C1AF" wp14:editId="0FA44326">
            <wp:extent cx="5852160" cy="3723437"/>
            <wp:effectExtent l="0" t="0" r="0" b="0"/>
            <wp:docPr id="22" name="Gráfico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61CA7" w:rsidRPr="000F1550" w:rsidRDefault="00C61CA7" w:rsidP="00C61CA7">
      <w:pPr>
        <w:jc w:val="center"/>
        <w:rPr>
          <w:noProof/>
          <w:sz w:val="16"/>
          <w:lang w:val="es-GT" w:eastAsia="es-GT"/>
        </w:rPr>
      </w:pPr>
    </w:p>
    <w:p w:rsidR="00C61CA7" w:rsidRPr="00DF1F42" w:rsidRDefault="000F1550" w:rsidP="00C61CA7">
      <w:pPr>
        <w:jc w:val="both"/>
        <w:rPr>
          <w:sz w:val="18"/>
        </w:rPr>
      </w:pPr>
      <w:r w:rsidRPr="00DF1F42">
        <w:rPr>
          <w:sz w:val="18"/>
        </w:rPr>
        <w:t xml:space="preserve">            </w:t>
      </w:r>
      <w:r w:rsidR="00C61CA7" w:rsidRPr="00DF1F42">
        <w:rPr>
          <w:sz w:val="18"/>
        </w:rPr>
        <w:t>*   Cifras preliminares</w:t>
      </w:r>
    </w:p>
    <w:p w:rsidR="00C61CA7" w:rsidRPr="00DF1F42" w:rsidRDefault="000F1550" w:rsidP="00C61CA7">
      <w:pPr>
        <w:jc w:val="both"/>
        <w:rPr>
          <w:sz w:val="18"/>
        </w:rPr>
      </w:pPr>
      <w:r w:rsidRPr="00DF1F42">
        <w:rPr>
          <w:sz w:val="18"/>
        </w:rPr>
        <w:t xml:space="preserve">                 </w:t>
      </w:r>
      <w:r w:rsidR="00C61CA7" w:rsidRPr="00DF1F42">
        <w:rPr>
          <w:sz w:val="18"/>
        </w:rPr>
        <w:t>Fuente: Ministerio de Finanzas Públicas.</w:t>
      </w:r>
    </w:p>
    <w:p w:rsidR="005568FB" w:rsidRDefault="005568FB" w:rsidP="00C61CA7">
      <w:pPr>
        <w:jc w:val="both"/>
      </w:pPr>
    </w:p>
    <w:p w:rsidR="005568FB" w:rsidRDefault="005568FB" w:rsidP="00C61CA7">
      <w:pPr>
        <w:jc w:val="both"/>
      </w:pPr>
    </w:p>
    <w:p w:rsidR="00C61CA7" w:rsidRPr="00BC5DA6" w:rsidRDefault="00C61CA7" w:rsidP="00C61CA7">
      <w:pPr>
        <w:jc w:val="both"/>
      </w:pPr>
      <w:r w:rsidRPr="00BC5DA6">
        <w:t>El déficit fiscal se financió principalmente con la emisión de Bonos del Tesoro</w:t>
      </w:r>
      <w:r w:rsidR="005568FB">
        <w:t>;</w:t>
      </w:r>
      <w:r w:rsidRPr="00BC5DA6">
        <w:t xml:space="preserve"> también se obtuvo financiamiento</w:t>
      </w:r>
      <w:r w:rsidR="005568FB">
        <w:t xml:space="preserve"> proveniente de</w:t>
      </w:r>
      <w:r w:rsidRPr="00BC5DA6">
        <w:t xml:space="preserve"> préstamos externos.</w:t>
      </w:r>
    </w:p>
    <w:p w:rsidR="00C61CA7" w:rsidRPr="002A6FBF" w:rsidRDefault="00C61CA7" w:rsidP="00C61CA7">
      <w:pPr>
        <w:jc w:val="both"/>
        <w:rPr>
          <w:sz w:val="32"/>
        </w:rPr>
      </w:pPr>
    </w:p>
    <w:p w:rsidR="00C61CA7" w:rsidRPr="00BC5DA6" w:rsidRDefault="00C61CA7" w:rsidP="00C61CA7">
      <w:pPr>
        <w:jc w:val="both"/>
      </w:pPr>
      <w:r w:rsidRPr="00BC5DA6">
        <w:t>Dado la vigencia del Presupuesto para el ejercicio fiscal 2019</w:t>
      </w:r>
      <w:r w:rsidR="005568FB">
        <w:t>,</w:t>
      </w:r>
      <w:r w:rsidRPr="00BC5DA6">
        <w:t xml:space="preserve"> se contaba con autorización para una colocación de Bonos del Tesoro por un monto de Q</w:t>
      </w:r>
      <w:r w:rsidR="005568FB">
        <w:t>.</w:t>
      </w:r>
      <w:r w:rsidRPr="00BC5DA6">
        <w:t>18,419.0 millones, de los cuales Q</w:t>
      </w:r>
      <w:r w:rsidR="005568FB">
        <w:t>.</w:t>
      </w:r>
      <w:r w:rsidRPr="00BC5DA6">
        <w:t>14,207.7 millones corresponderían a la nueva emisión y Q</w:t>
      </w:r>
      <w:r w:rsidR="005568FB">
        <w:t>.</w:t>
      </w:r>
      <w:r w:rsidRPr="00BC5DA6">
        <w:t xml:space="preserve">5,657.0 millones al </w:t>
      </w:r>
      <w:r w:rsidRPr="00BC5DA6">
        <w:rPr>
          <w:i/>
          <w:iCs/>
        </w:rPr>
        <w:t>roll-over</w:t>
      </w:r>
      <w:r w:rsidRPr="00BC5DA6">
        <w:t xml:space="preserve">. Sin embargo, el 3 de abril de 2020 se aprobó el Decreto </w:t>
      </w:r>
      <w:r w:rsidR="005568FB">
        <w:t xml:space="preserve">No. </w:t>
      </w:r>
      <w:r w:rsidRPr="00BC5DA6">
        <w:t>13-2020, Ley de Rescate Económico a las Familias por los efectos causados por el Covid-19, que autorizó una emisión de Bonos del Tesoro por Q</w:t>
      </w:r>
      <w:r w:rsidR="005568FB">
        <w:t>.</w:t>
      </w:r>
      <w:r w:rsidRPr="00BC5DA6">
        <w:t>11,000.0 millones para ser adquiridos por el Banco de Guatemala, de conformidad con el artículo 133 de la Constitución Política de la República de Guatemala.</w:t>
      </w:r>
    </w:p>
    <w:p w:rsidR="00C61CA7" w:rsidRPr="002A6FBF" w:rsidRDefault="00C61CA7" w:rsidP="00C61CA7">
      <w:pPr>
        <w:jc w:val="both"/>
        <w:rPr>
          <w:sz w:val="32"/>
          <w:lang w:val="es-GT"/>
        </w:rPr>
      </w:pPr>
    </w:p>
    <w:p w:rsidR="00C61CA7" w:rsidRPr="00BC5DA6" w:rsidRDefault="00C61CA7" w:rsidP="00C61CA7">
      <w:pPr>
        <w:jc w:val="both"/>
      </w:pPr>
      <w:r>
        <w:rPr>
          <w:lang w:val="es-GT"/>
        </w:rPr>
        <w:t>E</w:t>
      </w:r>
      <w:r w:rsidRPr="00BC5DA6">
        <w:t>l 5 de abril de 2020 fue aprobado por el Congreso de la República de Guatemala, el Decreto No. 20-2020, el cual autorizó una emisión adicional de Bonos del Tesoro por Q.4,840.3 millones, para cubrir el déficit presupuestario derivado de la no aprobación del Proyecto de Presupuesto para el Ejercicio Fiscal 2020, monto que fue colocado en su totalidad.</w:t>
      </w:r>
    </w:p>
    <w:p w:rsidR="00C61CA7" w:rsidRPr="002A6FBF" w:rsidRDefault="00C61CA7" w:rsidP="00C61CA7">
      <w:pPr>
        <w:jc w:val="both"/>
        <w:rPr>
          <w:sz w:val="32"/>
        </w:rPr>
      </w:pPr>
    </w:p>
    <w:p w:rsidR="00C61CA7" w:rsidRPr="00BC5DA6" w:rsidRDefault="00C61CA7" w:rsidP="00C61CA7">
      <w:pPr>
        <w:jc w:val="both"/>
      </w:pPr>
      <w:r w:rsidRPr="00BC5DA6">
        <w:t>El 21 de abril de 2020, la República de Guatemala a través del Min</w:t>
      </w:r>
      <w:r w:rsidR="005568FB">
        <w:t>isterio de Finanzas Públicas</w:t>
      </w:r>
      <w:r w:rsidRPr="00BC5DA6">
        <w:t>, incursionó por décima vez en el mercado internacional a través de una emisión global de bonos del tesoro por un total de US$1,200.0 millones (equivalentes a Q</w:t>
      </w:r>
      <w:r w:rsidR="005568FB">
        <w:t>.</w:t>
      </w:r>
      <w:r w:rsidRPr="00BC5DA6">
        <w:t>9,254.5 millones), divididos de la siguiente manera: US$500.0 millones a un plazo de 12 años</w:t>
      </w:r>
      <w:r w:rsidR="005568FB">
        <w:t>;</w:t>
      </w:r>
      <w:r w:rsidRPr="00BC5DA6">
        <w:t xml:space="preserve"> primer eurobono social en Centr</w:t>
      </w:r>
      <w:r w:rsidR="005568FB">
        <w:t>o</w:t>
      </w:r>
      <w:r w:rsidRPr="00BC5DA6">
        <w:t xml:space="preserve"> América y el Caribe, con una tasa de cupón de 5.375% y un precio de 100.000%; y, US$700.0 millones a un plazo de 30 años, con una tasa de cupón de 6.125% y un precio de 99.992%, con fecha de liquidación el 24 de abril de 2020. En este último caso, fue la reapertura del eurobono GUA/2050 emitido el año anterior.</w:t>
      </w:r>
    </w:p>
    <w:p w:rsidR="00C61CA7" w:rsidRPr="002A6FBF" w:rsidRDefault="00C61CA7" w:rsidP="00C61CA7">
      <w:pPr>
        <w:jc w:val="both"/>
        <w:rPr>
          <w:sz w:val="32"/>
        </w:rPr>
      </w:pPr>
    </w:p>
    <w:p w:rsidR="00C61CA7" w:rsidRPr="00BC5DA6" w:rsidRDefault="00C61CA7" w:rsidP="00C61CA7">
      <w:pPr>
        <w:jc w:val="both"/>
      </w:pPr>
      <w:r w:rsidRPr="00BC5DA6">
        <w:t>El monto total colocado al 31 de diciembre de 2020 asciende a Q</w:t>
      </w:r>
      <w:r w:rsidR="005568FB">
        <w:t>.</w:t>
      </w:r>
      <w:r w:rsidRPr="00BC5DA6">
        <w:t>35,704.9 millones (US$4,574.4 millones), con cargo a la aprobación de los decretos antes indicados, de los cuales Q</w:t>
      </w:r>
      <w:r w:rsidR="005568FB">
        <w:t>.</w:t>
      </w:r>
      <w:r w:rsidRPr="00BC5DA6">
        <w:t>9,254.5 millones (US$1,200.0 millones) fueron colocados en el mercado financiero internacional.</w:t>
      </w:r>
    </w:p>
    <w:p w:rsidR="00C61CA7" w:rsidRPr="002A6FBF" w:rsidRDefault="00C61CA7" w:rsidP="00C61CA7">
      <w:pPr>
        <w:jc w:val="both"/>
        <w:rPr>
          <w:sz w:val="32"/>
          <w:lang w:val="es-GT"/>
        </w:rPr>
      </w:pPr>
    </w:p>
    <w:p w:rsidR="00C61CA7" w:rsidRPr="00BC5DA6" w:rsidRDefault="00C61CA7" w:rsidP="00C61CA7">
      <w:pPr>
        <w:jc w:val="both"/>
      </w:pPr>
      <w:r w:rsidRPr="00BC5DA6">
        <w:t>Adicionalmente, se logró la suscripción de 7 operaciones de préstamo</w:t>
      </w:r>
      <w:r w:rsidR="005568FB">
        <w:t>s</w:t>
      </w:r>
      <w:r w:rsidRPr="00BC5DA6">
        <w:t xml:space="preserve"> con los distintos organismos financieros multilaterales, hasta por un monto total de US$1,253.2 millones. De esa cuenta, el Congreso de la República </w:t>
      </w:r>
      <w:r w:rsidR="005568FB">
        <w:t xml:space="preserve">de Guatemala </w:t>
      </w:r>
      <w:r w:rsidRPr="00BC5DA6">
        <w:t>autorizó dos operaciones de préstamo</w:t>
      </w:r>
      <w:r w:rsidR="005568FB">
        <w:t>s</w:t>
      </w:r>
      <w:r w:rsidRPr="00BC5DA6">
        <w:t>: (i) BID “Programa</w:t>
      </w:r>
      <w:r>
        <w:t xml:space="preserve"> </w:t>
      </w:r>
      <w:r w:rsidRPr="00BC5DA6">
        <w:t xml:space="preserve">de Administración Tributaria y Transparencia (PBL)”; y, BIRF “Segundo Préstamo para Políticas de Desarrollo sobre Gestión del Riesgo de Desastres con una Opción de Desembolso Diferido ante Catástrofes (CATDDO)”, las cuales fueron orientadas a apoyar las acciones que el Gobierno de Guatemala implementó para compensar y mitigar la crisis económica ante la presencia de la </w:t>
      </w:r>
      <w:r w:rsidR="005568FB">
        <w:t>p</w:t>
      </w:r>
      <w:r w:rsidRPr="00BC5DA6">
        <w:t xml:space="preserve">andemia </w:t>
      </w:r>
      <w:r w:rsidR="005568FB">
        <w:t>del Covid</w:t>
      </w:r>
      <w:r w:rsidRPr="00BC5DA6">
        <w:t>-19 en el país.</w:t>
      </w:r>
    </w:p>
    <w:p w:rsidR="00C61CA7" w:rsidRPr="00751493" w:rsidRDefault="00C61CA7" w:rsidP="00C61CA7">
      <w:pPr>
        <w:jc w:val="both"/>
      </w:pPr>
    </w:p>
    <w:p w:rsidR="00C61CA7" w:rsidRDefault="00C61CA7" w:rsidP="00C61CA7">
      <w:pPr>
        <w:jc w:val="both"/>
        <w:rPr>
          <w:lang w:val="es-GT"/>
        </w:rPr>
      </w:pPr>
    </w:p>
    <w:p w:rsidR="00C61CA7" w:rsidRDefault="00C61CA7" w:rsidP="00C61CA7">
      <w:pPr>
        <w:jc w:val="both"/>
        <w:rPr>
          <w:lang w:val="es-GT"/>
        </w:rPr>
      </w:pPr>
    </w:p>
    <w:p w:rsidR="00C61CA7" w:rsidRDefault="00C61CA7" w:rsidP="00C61CA7">
      <w:pPr>
        <w:jc w:val="both"/>
        <w:rPr>
          <w:lang w:val="es-GT"/>
        </w:rPr>
      </w:pPr>
    </w:p>
    <w:p w:rsidR="005568FB" w:rsidRDefault="005568FB" w:rsidP="00C61CA7">
      <w:pPr>
        <w:jc w:val="both"/>
        <w:rPr>
          <w:lang w:val="es-GT"/>
        </w:rPr>
      </w:pPr>
    </w:p>
    <w:p w:rsidR="00C61CA7" w:rsidRDefault="00C61CA7" w:rsidP="00C61CA7">
      <w:pPr>
        <w:pStyle w:val="Ttulo2"/>
        <w:numPr>
          <w:ilvl w:val="0"/>
          <w:numId w:val="3"/>
        </w:numPr>
        <w:spacing w:line="276" w:lineRule="auto"/>
        <w:ind w:left="567" w:hanging="567"/>
        <w:rPr>
          <w:rFonts w:ascii="Times New Roman" w:hAnsi="Times New Roman"/>
          <w:color w:val="auto"/>
          <w:sz w:val="24"/>
          <w:szCs w:val="24"/>
        </w:rPr>
      </w:pPr>
      <w:bookmarkStart w:id="17" w:name="_Toc4742463"/>
      <w:bookmarkStart w:id="18" w:name="_Toc65064204"/>
      <w:bookmarkStart w:id="19" w:name="_Toc65826753"/>
      <w:r>
        <w:rPr>
          <w:rFonts w:ascii="Times New Roman" w:hAnsi="Times New Roman"/>
          <w:color w:val="auto"/>
          <w:sz w:val="24"/>
          <w:szCs w:val="24"/>
        </w:rPr>
        <w:t>Ingresos Fiscales</w:t>
      </w:r>
      <w:bookmarkEnd w:id="17"/>
      <w:bookmarkEnd w:id="18"/>
      <w:bookmarkEnd w:id="19"/>
    </w:p>
    <w:p w:rsidR="00C61CA7" w:rsidRDefault="00C61CA7" w:rsidP="00C61CA7"/>
    <w:p w:rsidR="00C61CA7" w:rsidRDefault="00C61CA7" w:rsidP="00C61CA7">
      <w:pPr>
        <w:jc w:val="both"/>
      </w:pPr>
      <w:r>
        <w:t>Durante el ejercicio fiscal 2020, los ingresos totales del Gobierno Central alcanzaron un monto de Q.</w:t>
      </w:r>
      <w:r w:rsidR="00D02BEC">
        <w:t>99,771.4</w:t>
      </w:r>
      <w:r>
        <w:t xml:space="preserve"> millones; destaca la participación  de los ingresos tributarios que representaron el</w:t>
      </w:r>
      <w:r w:rsidR="00D02BEC">
        <w:t xml:space="preserve"> 60.4</w:t>
      </w:r>
      <w:r>
        <w:t>% de los ingresos percibidos.</w:t>
      </w:r>
    </w:p>
    <w:p w:rsidR="00C61CA7" w:rsidRDefault="00C61CA7" w:rsidP="00C61CA7">
      <w:pPr>
        <w:jc w:val="both"/>
      </w:pPr>
    </w:p>
    <w:p w:rsidR="00C61CA7" w:rsidRDefault="00C61CA7" w:rsidP="00C61CA7">
      <w:pPr>
        <w:jc w:val="both"/>
      </w:pPr>
      <w:r>
        <w:t xml:space="preserve">Los Ingresos No Tributarios se </w:t>
      </w:r>
      <w:r w:rsidR="00D02BEC">
        <w:t>situaron</w:t>
      </w:r>
      <w:r>
        <w:t xml:space="preserve"> en Q.</w:t>
      </w:r>
      <w:r w:rsidR="00D02BEC">
        <w:t>620.0</w:t>
      </w:r>
      <w:r>
        <w:t>millones</w:t>
      </w:r>
      <w:r w:rsidR="00D02BEC">
        <w:t>;</w:t>
      </w:r>
      <w:r>
        <w:t xml:space="preserve"> destacan adicionalmente los ingresos por endeudamiento público mediante la colocación neta de Bonos del Tesoro Q.</w:t>
      </w:r>
      <w:r w:rsidR="00D02BEC">
        <w:t>24,377.5</w:t>
      </w:r>
      <w:r>
        <w:t xml:space="preserve"> millones; por contribuciones a la seguridad y previsión social Q.</w:t>
      </w:r>
      <w:r w:rsidR="00D02BEC">
        <w:t>2,559.2</w:t>
      </w:r>
      <w:r>
        <w:t xml:space="preserve"> millones, de Q.</w:t>
      </w:r>
      <w:r w:rsidR="00D02BEC">
        <w:t xml:space="preserve">11,328.3 </w:t>
      </w:r>
      <w:r>
        <w:t>millones por endeudamiento público mediante préstamos externos y Q.</w:t>
      </w:r>
      <w:r w:rsidR="00D02BEC">
        <w:t>607.0</w:t>
      </w:r>
      <w:r>
        <w:t xml:space="preserve"> millones de </w:t>
      </w:r>
      <w:r w:rsidR="00D02BEC">
        <w:t>otras fuentes de ingresos</w:t>
      </w:r>
    </w:p>
    <w:p w:rsidR="00C61CA7" w:rsidRDefault="00C61CA7" w:rsidP="00C61CA7">
      <w:pPr>
        <w:jc w:val="both"/>
      </w:pPr>
    </w:p>
    <w:p w:rsidR="00C61CA7" w:rsidRPr="00F66D5A" w:rsidRDefault="00C61CA7" w:rsidP="00C61CA7">
      <w:pPr>
        <w:tabs>
          <w:tab w:val="left" w:pos="426"/>
        </w:tabs>
        <w:jc w:val="center"/>
        <w:rPr>
          <w:b/>
        </w:rPr>
      </w:pPr>
      <w:r w:rsidRPr="00F66D5A">
        <w:rPr>
          <w:b/>
        </w:rPr>
        <w:t>Cuadro 2</w:t>
      </w:r>
    </w:p>
    <w:p w:rsidR="00C61CA7" w:rsidRDefault="00C61CA7" w:rsidP="00C61CA7">
      <w:pPr>
        <w:tabs>
          <w:tab w:val="left" w:pos="426"/>
        </w:tabs>
        <w:jc w:val="center"/>
        <w:rPr>
          <w:b/>
        </w:rPr>
      </w:pPr>
      <w:r w:rsidRPr="00F66D5A">
        <w:rPr>
          <w:b/>
        </w:rPr>
        <w:t>Ingresos Fiscales</w:t>
      </w:r>
    </w:p>
    <w:p w:rsidR="00C61CA7" w:rsidRPr="00F66D5A" w:rsidRDefault="00C61CA7" w:rsidP="00C61CA7">
      <w:pPr>
        <w:tabs>
          <w:tab w:val="left" w:pos="426"/>
        </w:tabs>
        <w:jc w:val="center"/>
        <w:rPr>
          <w:b/>
        </w:rPr>
      </w:pPr>
      <w:r>
        <w:rPr>
          <w:b/>
        </w:rPr>
        <w:t>Ejercicio Fiscal 2020*</w:t>
      </w:r>
    </w:p>
    <w:p w:rsidR="00C61CA7" w:rsidRDefault="00C61CA7" w:rsidP="00C61CA7">
      <w:pPr>
        <w:tabs>
          <w:tab w:val="left" w:pos="426"/>
        </w:tabs>
        <w:jc w:val="center"/>
        <w:rPr>
          <w:b/>
        </w:rPr>
      </w:pPr>
      <w:r>
        <w:rPr>
          <w:b/>
        </w:rPr>
        <w:t>(</w:t>
      </w:r>
      <w:r w:rsidRPr="00F66D5A">
        <w:rPr>
          <w:b/>
        </w:rPr>
        <w:t>Cifras en Millones de Quetzales</w:t>
      </w:r>
      <w:r>
        <w:rPr>
          <w:b/>
        </w:rPr>
        <w:t>)</w:t>
      </w:r>
    </w:p>
    <w:tbl>
      <w:tblPr>
        <w:tblW w:w="9441" w:type="dxa"/>
        <w:tblInd w:w="55" w:type="dxa"/>
        <w:tblCellMar>
          <w:left w:w="70" w:type="dxa"/>
          <w:right w:w="70" w:type="dxa"/>
        </w:tblCellMar>
        <w:tblLook w:val="04A0" w:firstRow="1" w:lastRow="0" w:firstColumn="1" w:lastColumn="0" w:noHBand="0" w:noVBand="1"/>
      </w:tblPr>
      <w:tblGrid>
        <w:gridCol w:w="4551"/>
        <w:gridCol w:w="1418"/>
        <w:gridCol w:w="1276"/>
        <w:gridCol w:w="1275"/>
        <w:gridCol w:w="921"/>
      </w:tblGrid>
      <w:tr w:rsidR="00D02BEC" w:rsidRPr="007F6253" w:rsidTr="002A6FBF">
        <w:trPr>
          <w:trHeight w:val="558"/>
        </w:trPr>
        <w:tc>
          <w:tcPr>
            <w:tcW w:w="4551"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7F6253" w:rsidRPr="007F6253" w:rsidRDefault="007F6253" w:rsidP="007F6253">
            <w:pPr>
              <w:jc w:val="center"/>
              <w:rPr>
                <w:b/>
                <w:bCs/>
                <w:sz w:val="22"/>
                <w:szCs w:val="22"/>
                <w:lang w:val="es-GT" w:eastAsia="es-GT"/>
              </w:rPr>
            </w:pPr>
            <w:r w:rsidRPr="007F6253">
              <w:rPr>
                <w:b/>
                <w:bCs/>
                <w:sz w:val="22"/>
                <w:szCs w:val="22"/>
                <w:lang w:val="es-GT" w:eastAsia="es-GT"/>
              </w:rPr>
              <w:t>Clase de Ingresos</w:t>
            </w:r>
          </w:p>
        </w:tc>
        <w:tc>
          <w:tcPr>
            <w:tcW w:w="1418" w:type="dxa"/>
            <w:tcBorders>
              <w:top w:val="single" w:sz="4" w:space="0" w:color="auto"/>
              <w:left w:val="nil"/>
              <w:bottom w:val="single" w:sz="4" w:space="0" w:color="auto"/>
              <w:right w:val="single" w:sz="4" w:space="0" w:color="auto"/>
            </w:tcBorders>
            <w:shd w:val="clear" w:color="000000" w:fill="8DB4E2"/>
            <w:noWrap/>
            <w:vAlign w:val="center"/>
            <w:hideMark/>
          </w:tcPr>
          <w:p w:rsidR="007F6253" w:rsidRPr="007F6253" w:rsidRDefault="007F6253" w:rsidP="007F6253">
            <w:pPr>
              <w:jc w:val="center"/>
              <w:rPr>
                <w:b/>
                <w:bCs/>
                <w:sz w:val="22"/>
                <w:szCs w:val="22"/>
                <w:lang w:val="es-GT" w:eastAsia="es-GT"/>
              </w:rPr>
            </w:pPr>
            <w:r w:rsidRPr="007F6253">
              <w:rPr>
                <w:b/>
                <w:bCs/>
                <w:sz w:val="22"/>
                <w:szCs w:val="22"/>
                <w:lang w:val="es-GT" w:eastAsia="es-GT"/>
              </w:rPr>
              <w:t>Aprobado</w:t>
            </w: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rsidR="007F6253" w:rsidRPr="007F6253" w:rsidRDefault="00D02BEC" w:rsidP="00D02BEC">
            <w:pPr>
              <w:jc w:val="center"/>
              <w:rPr>
                <w:b/>
                <w:bCs/>
                <w:sz w:val="22"/>
                <w:szCs w:val="22"/>
                <w:lang w:val="es-GT" w:eastAsia="es-GT"/>
              </w:rPr>
            </w:pPr>
            <w:r>
              <w:rPr>
                <w:b/>
                <w:bCs/>
                <w:sz w:val="22"/>
                <w:szCs w:val="22"/>
                <w:lang w:val="es-GT" w:eastAsia="es-GT"/>
              </w:rPr>
              <w:t>Percibido</w:t>
            </w:r>
          </w:p>
        </w:tc>
        <w:tc>
          <w:tcPr>
            <w:tcW w:w="1275" w:type="dxa"/>
            <w:tcBorders>
              <w:top w:val="single" w:sz="4" w:space="0" w:color="auto"/>
              <w:left w:val="nil"/>
              <w:bottom w:val="single" w:sz="4" w:space="0" w:color="auto"/>
              <w:right w:val="single" w:sz="4" w:space="0" w:color="auto"/>
            </w:tcBorders>
            <w:shd w:val="clear" w:color="000000" w:fill="8DB4E2"/>
            <w:noWrap/>
            <w:vAlign w:val="center"/>
            <w:hideMark/>
          </w:tcPr>
          <w:p w:rsidR="007F6253" w:rsidRPr="007F6253" w:rsidRDefault="00D02BEC" w:rsidP="007F6253">
            <w:pPr>
              <w:jc w:val="center"/>
              <w:rPr>
                <w:b/>
                <w:bCs/>
                <w:sz w:val="22"/>
                <w:szCs w:val="22"/>
                <w:lang w:val="es-GT" w:eastAsia="es-GT"/>
              </w:rPr>
            </w:pPr>
            <w:r w:rsidRPr="00D02BEC">
              <w:rPr>
                <w:b/>
                <w:bCs/>
                <w:sz w:val="22"/>
                <w:szCs w:val="22"/>
                <w:lang w:val="es-GT" w:eastAsia="es-GT"/>
              </w:rPr>
              <w:t>Diferencia</w:t>
            </w:r>
          </w:p>
        </w:tc>
        <w:tc>
          <w:tcPr>
            <w:tcW w:w="921" w:type="dxa"/>
            <w:tcBorders>
              <w:top w:val="single" w:sz="4" w:space="0" w:color="auto"/>
              <w:left w:val="nil"/>
              <w:bottom w:val="single" w:sz="4" w:space="0" w:color="auto"/>
              <w:right w:val="single" w:sz="4" w:space="0" w:color="auto"/>
            </w:tcBorders>
            <w:shd w:val="clear" w:color="000000" w:fill="8DB4E2"/>
            <w:noWrap/>
            <w:vAlign w:val="center"/>
            <w:hideMark/>
          </w:tcPr>
          <w:p w:rsidR="007F6253" w:rsidRPr="007F6253" w:rsidRDefault="007F6253" w:rsidP="007F6253">
            <w:pPr>
              <w:jc w:val="center"/>
              <w:rPr>
                <w:b/>
                <w:bCs/>
                <w:sz w:val="22"/>
                <w:szCs w:val="22"/>
                <w:lang w:val="es-GT" w:eastAsia="es-GT"/>
              </w:rPr>
            </w:pPr>
            <w:r w:rsidRPr="007F6253">
              <w:rPr>
                <w:b/>
                <w:bCs/>
                <w:sz w:val="22"/>
                <w:szCs w:val="22"/>
                <w:lang w:val="es-GT" w:eastAsia="es-GT"/>
              </w:rPr>
              <w:t>%</w:t>
            </w:r>
          </w:p>
        </w:tc>
      </w:tr>
      <w:tr w:rsidR="00D02BEC" w:rsidRPr="007F6253" w:rsidTr="00D02BEC">
        <w:trPr>
          <w:trHeight w:val="303"/>
        </w:trPr>
        <w:tc>
          <w:tcPr>
            <w:tcW w:w="4551" w:type="dxa"/>
            <w:tcBorders>
              <w:top w:val="single" w:sz="4" w:space="0" w:color="auto"/>
              <w:left w:val="single" w:sz="4" w:space="0" w:color="auto"/>
              <w:bottom w:val="nil"/>
              <w:right w:val="single" w:sz="4" w:space="0" w:color="auto"/>
            </w:tcBorders>
            <w:shd w:val="clear" w:color="auto" w:fill="auto"/>
            <w:noWrap/>
            <w:vAlign w:val="bottom"/>
            <w:hideMark/>
          </w:tcPr>
          <w:p w:rsidR="007F6253" w:rsidRPr="007F6253" w:rsidRDefault="007F6253" w:rsidP="007F6253">
            <w:pPr>
              <w:rPr>
                <w:color w:val="000000"/>
                <w:sz w:val="22"/>
                <w:szCs w:val="22"/>
                <w:lang w:val="es-GT" w:eastAsia="es-GT"/>
              </w:rPr>
            </w:pPr>
            <w:r w:rsidRPr="007F6253">
              <w:rPr>
                <w:color w:val="000000"/>
                <w:sz w:val="22"/>
                <w:szCs w:val="22"/>
                <w:lang w:val="es-GT" w:eastAsia="es-GT"/>
              </w:rPr>
              <w:t>Ingresos Tributarios</w:t>
            </w:r>
          </w:p>
        </w:tc>
        <w:tc>
          <w:tcPr>
            <w:tcW w:w="1418" w:type="dxa"/>
            <w:tcBorders>
              <w:top w:val="single" w:sz="4" w:space="0" w:color="auto"/>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64,027.7</w:t>
            </w:r>
          </w:p>
        </w:tc>
        <w:tc>
          <w:tcPr>
            <w:tcW w:w="1276" w:type="dxa"/>
            <w:tcBorders>
              <w:top w:val="single" w:sz="4" w:space="0" w:color="auto"/>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60,279.4</w:t>
            </w:r>
          </w:p>
        </w:tc>
        <w:tc>
          <w:tcPr>
            <w:tcW w:w="1275" w:type="dxa"/>
            <w:tcBorders>
              <w:top w:val="single" w:sz="4" w:space="0" w:color="auto"/>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-3,748.3</w:t>
            </w:r>
          </w:p>
        </w:tc>
        <w:tc>
          <w:tcPr>
            <w:tcW w:w="921" w:type="dxa"/>
            <w:tcBorders>
              <w:top w:val="single" w:sz="4" w:space="0" w:color="auto"/>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60.4%</w:t>
            </w:r>
          </w:p>
        </w:tc>
      </w:tr>
      <w:tr w:rsidR="00D02BEC" w:rsidRPr="007F6253" w:rsidTr="00D02BEC">
        <w:trPr>
          <w:trHeight w:val="303"/>
        </w:trPr>
        <w:tc>
          <w:tcPr>
            <w:tcW w:w="4551" w:type="dxa"/>
            <w:tcBorders>
              <w:top w:val="nil"/>
              <w:left w:val="single" w:sz="4" w:space="0" w:color="auto"/>
              <w:bottom w:val="nil"/>
              <w:right w:val="single" w:sz="4" w:space="0" w:color="auto"/>
            </w:tcBorders>
            <w:shd w:val="clear" w:color="auto" w:fill="auto"/>
            <w:noWrap/>
            <w:vAlign w:val="bottom"/>
            <w:hideMark/>
          </w:tcPr>
          <w:p w:rsidR="007F6253" w:rsidRPr="007F6253" w:rsidRDefault="007F6253" w:rsidP="007F6253">
            <w:pPr>
              <w:rPr>
                <w:color w:val="000000"/>
                <w:sz w:val="22"/>
                <w:szCs w:val="22"/>
                <w:lang w:val="es-GT" w:eastAsia="es-GT"/>
              </w:rPr>
            </w:pPr>
            <w:r w:rsidRPr="007F6253">
              <w:rPr>
                <w:color w:val="000000"/>
                <w:sz w:val="22"/>
                <w:szCs w:val="22"/>
                <w:lang w:val="es-GT" w:eastAsia="es-GT"/>
              </w:rPr>
              <w:t>Ingresos No Tributarios</w:t>
            </w:r>
          </w:p>
        </w:tc>
        <w:tc>
          <w:tcPr>
            <w:tcW w:w="1418"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817.2</w:t>
            </w:r>
          </w:p>
        </w:tc>
        <w:tc>
          <w:tcPr>
            <w:tcW w:w="1276"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620.0</w:t>
            </w:r>
          </w:p>
        </w:tc>
        <w:tc>
          <w:tcPr>
            <w:tcW w:w="1275"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-197.2</w:t>
            </w:r>
          </w:p>
        </w:tc>
        <w:tc>
          <w:tcPr>
            <w:tcW w:w="921"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0.6%</w:t>
            </w:r>
          </w:p>
        </w:tc>
      </w:tr>
      <w:tr w:rsidR="00D02BEC" w:rsidRPr="007F6253" w:rsidTr="00D02BEC">
        <w:trPr>
          <w:trHeight w:val="303"/>
        </w:trPr>
        <w:tc>
          <w:tcPr>
            <w:tcW w:w="4551" w:type="dxa"/>
            <w:tcBorders>
              <w:top w:val="nil"/>
              <w:left w:val="single" w:sz="4" w:space="0" w:color="auto"/>
              <w:bottom w:val="nil"/>
              <w:right w:val="single" w:sz="4" w:space="0" w:color="auto"/>
            </w:tcBorders>
            <w:shd w:val="clear" w:color="auto" w:fill="auto"/>
            <w:noWrap/>
            <w:vAlign w:val="bottom"/>
            <w:hideMark/>
          </w:tcPr>
          <w:p w:rsidR="007F6253" w:rsidRPr="007F6253" w:rsidRDefault="007F6253" w:rsidP="007F6253">
            <w:pPr>
              <w:rPr>
                <w:color w:val="000000"/>
                <w:sz w:val="22"/>
                <w:szCs w:val="22"/>
                <w:lang w:val="es-GT" w:eastAsia="es-GT"/>
              </w:rPr>
            </w:pPr>
            <w:r w:rsidRPr="007F6253">
              <w:rPr>
                <w:color w:val="000000"/>
                <w:sz w:val="22"/>
                <w:szCs w:val="22"/>
                <w:lang w:val="es-GT" w:eastAsia="es-GT"/>
              </w:rPr>
              <w:t>Contribuciones a la Seguridad y Previsión Social</w:t>
            </w:r>
          </w:p>
        </w:tc>
        <w:tc>
          <w:tcPr>
            <w:tcW w:w="1418"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2,587.2</w:t>
            </w:r>
          </w:p>
        </w:tc>
        <w:tc>
          <w:tcPr>
            <w:tcW w:w="1276"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2,559.2</w:t>
            </w:r>
          </w:p>
        </w:tc>
        <w:tc>
          <w:tcPr>
            <w:tcW w:w="1275"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-28.0</w:t>
            </w:r>
          </w:p>
        </w:tc>
        <w:tc>
          <w:tcPr>
            <w:tcW w:w="921"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2.6%</w:t>
            </w:r>
          </w:p>
        </w:tc>
      </w:tr>
      <w:tr w:rsidR="00D02BEC" w:rsidRPr="007F6253" w:rsidTr="00D02BEC">
        <w:trPr>
          <w:trHeight w:val="303"/>
        </w:trPr>
        <w:tc>
          <w:tcPr>
            <w:tcW w:w="4551" w:type="dxa"/>
            <w:tcBorders>
              <w:top w:val="nil"/>
              <w:left w:val="single" w:sz="4" w:space="0" w:color="auto"/>
              <w:bottom w:val="nil"/>
              <w:right w:val="single" w:sz="4" w:space="0" w:color="auto"/>
            </w:tcBorders>
            <w:shd w:val="clear" w:color="auto" w:fill="auto"/>
            <w:noWrap/>
            <w:vAlign w:val="bottom"/>
            <w:hideMark/>
          </w:tcPr>
          <w:p w:rsidR="007F6253" w:rsidRPr="007F6253" w:rsidRDefault="007F6253" w:rsidP="007F6253">
            <w:pPr>
              <w:rPr>
                <w:color w:val="000000"/>
                <w:sz w:val="22"/>
                <w:szCs w:val="22"/>
                <w:lang w:val="es-GT" w:eastAsia="es-GT"/>
              </w:rPr>
            </w:pPr>
            <w:r w:rsidRPr="007F6253">
              <w:rPr>
                <w:color w:val="000000"/>
                <w:sz w:val="22"/>
                <w:szCs w:val="22"/>
                <w:lang w:val="es-GT" w:eastAsia="es-GT"/>
              </w:rPr>
              <w:t>Venta de Bienes y Servicios de la Administración Pública</w:t>
            </w:r>
          </w:p>
        </w:tc>
        <w:tc>
          <w:tcPr>
            <w:tcW w:w="1418"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415.7</w:t>
            </w:r>
          </w:p>
        </w:tc>
        <w:tc>
          <w:tcPr>
            <w:tcW w:w="1276"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362.1</w:t>
            </w:r>
          </w:p>
        </w:tc>
        <w:tc>
          <w:tcPr>
            <w:tcW w:w="1275"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-53.6</w:t>
            </w:r>
          </w:p>
        </w:tc>
        <w:tc>
          <w:tcPr>
            <w:tcW w:w="921"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0.4%</w:t>
            </w:r>
          </w:p>
        </w:tc>
      </w:tr>
      <w:tr w:rsidR="00D02BEC" w:rsidRPr="007F6253" w:rsidTr="00D02BEC">
        <w:trPr>
          <w:trHeight w:val="303"/>
        </w:trPr>
        <w:tc>
          <w:tcPr>
            <w:tcW w:w="4551" w:type="dxa"/>
            <w:tcBorders>
              <w:top w:val="nil"/>
              <w:left w:val="single" w:sz="4" w:space="0" w:color="auto"/>
              <w:bottom w:val="nil"/>
              <w:right w:val="single" w:sz="4" w:space="0" w:color="auto"/>
            </w:tcBorders>
            <w:shd w:val="clear" w:color="auto" w:fill="auto"/>
            <w:noWrap/>
            <w:vAlign w:val="bottom"/>
            <w:hideMark/>
          </w:tcPr>
          <w:p w:rsidR="007F6253" w:rsidRPr="007F6253" w:rsidRDefault="007F6253" w:rsidP="007F6253">
            <w:pPr>
              <w:rPr>
                <w:color w:val="000000"/>
                <w:sz w:val="22"/>
                <w:szCs w:val="22"/>
                <w:lang w:val="es-GT" w:eastAsia="es-GT"/>
              </w:rPr>
            </w:pPr>
            <w:r w:rsidRPr="007F6253">
              <w:rPr>
                <w:color w:val="000000"/>
                <w:sz w:val="22"/>
                <w:szCs w:val="22"/>
                <w:lang w:val="es-GT" w:eastAsia="es-GT"/>
              </w:rPr>
              <w:t>Rentas de la Propiedad</w:t>
            </w:r>
          </w:p>
        </w:tc>
        <w:tc>
          <w:tcPr>
            <w:tcW w:w="1418"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423.5</w:t>
            </w:r>
          </w:p>
        </w:tc>
        <w:tc>
          <w:tcPr>
            <w:tcW w:w="1276"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165.8</w:t>
            </w:r>
          </w:p>
        </w:tc>
        <w:tc>
          <w:tcPr>
            <w:tcW w:w="1275"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-257.7</w:t>
            </w:r>
          </w:p>
        </w:tc>
        <w:tc>
          <w:tcPr>
            <w:tcW w:w="921"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0.2%</w:t>
            </w:r>
          </w:p>
        </w:tc>
      </w:tr>
      <w:tr w:rsidR="00D02BEC" w:rsidRPr="007F6253" w:rsidTr="00D02BEC">
        <w:trPr>
          <w:trHeight w:val="303"/>
        </w:trPr>
        <w:tc>
          <w:tcPr>
            <w:tcW w:w="4551" w:type="dxa"/>
            <w:tcBorders>
              <w:top w:val="nil"/>
              <w:left w:val="single" w:sz="4" w:space="0" w:color="auto"/>
              <w:bottom w:val="nil"/>
              <w:right w:val="single" w:sz="4" w:space="0" w:color="auto"/>
            </w:tcBorders>
            <w:shd w:val="clear" w:color="auto" w:fill="auto"/>
            <w:noWrap/>
            <w:vAlign w:val="bottom"/>
            <w:hideMark/>
          </w:tcPr>
          <w:p w:rsidR="007F6253" w:rsidRPr="007F6253" w:rsidRDefault="007F6253" w:rsidP="007F6253">
            <w:pPr>
              <w:rPr>
                <w:color w:val="000000"/>
                <w:sz w:val="22"/>
                <w:szCs w:val="22"/>
                <w:lang w:val="es-GT" w:eastAsia="es-GT"/>
              </w:rPr>
            </w:pPr>
            <w:r w:rsidRPr="007F6253">
              <w:rPr>
                <w:color w:val="000000"/>
                <w:sz w:val="22"/>
                <w:szCs w:val="22"/>
                <w:lang w:val="es-GT" w:eastAsia="es-GT"/>
              </w:rPr>
              <w:t>Transferencias Corrientes</w:t>
            </w:r>
          </w:p>
        </w:tc>
        <w:tc>
          <w:tcPr>
            <w:tcW w:w="1418"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272.8</w:t>
            </w:r>
          </w:p>
        </w:tc>
        <w:tc>
          <w:tcPr>
            <w:tcW w:w="1276"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76.8</w:t>
            </w:r>
          </w:p>
        </w:tc>
        <w:tc>
          <w:tcPr>
            <w:tcW w:w="1275"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-196.0</w:t>
            </w:r>
          </w:p>
        </w:tc>
        <w:tc>
          <w:tcPr>
            <w:tcW w:w="921"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0.1%</w:t>
            </w:r>
          </w:p>
        </w:tc>
      </w:tr>
      <w:tr w:rsidR="00D02BEC" w:rsidRPr="007F6253" w:rsidTr="00D02BEC">
        <w:trPr>
          <w:trHeight w:val="303"/>
        </w:trPr>
        <w:tc>
          <w:tcPr>
            <w:tcW w:w="4551" w:type="dxa"/>
            <w:tcBorders>
              <w:top w:val="nil"/>
              <w:left w:val="single" w:sz="4" w:space="0" w:color="auto"/>
              <w:bottom w:val="nil"/>
              <w:right w:val="single" w:sz="4" w:space="0" w:color="auto"/>
            </w:tcBorders>
            <w:shd w:val="clear" w:color="auto" w:fill="auto"/>
            <w:noWrap/>
            <w:vAlign w:val="bottom"/>
            <w:hideMark/>
          </w:tcPr>
          <w:p w:rsidR="007F6253" w:rsidRPr="007F6253" w:rsidRDefault="007F6253" w:rsidP="007F6253">
            <w:pPr>
              <w:rPr>
                <w:color w:val="000000"/>
                <w:sz w:val="22"/>
                <w:szCs w:val="22"/>
                <w:lang w:val="es-GT" w:eastAsia="es-GT"/>
              </w:rPr>
            </w:pPr>
            <w:r w:rsidRPr="007F6253">
              <w:rPr>
                <w:color w:val="000000"/>
                <w:sz w:val="22"/>
                <w:szCs w:val="22"/>
                <w:lang w:val="es-GT" w:eastAsia="es-GT"/>
              </w:rPr>
              <w:t>Recuperación de Préstamos de Largo Plazo</w:t>
            </w:r>
          </w:p>
        </w:tc>
        <w:tc>
          <w:tcPr>
            <w:tcW w:w="1418"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3.4</w:t>
            </w:r>
          </w:p>
        </w:tc>
        <w:tc>
          <w:tcPr>
            <w:tcW w:w="1276"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2.3</w:t>
            </w:r>
          </w:p>
        </w:tc>
        <w:tc>
          <w:tcPr>
            <w:tcW w:w="1275"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-1.1</w:t>
            </w:r>
          </w:p>
        </w:tc>
        <w:tc>
          <w:tcPr>
            <w:tcW w:w="921"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0.0%</w:t>
            </w:r>
          </w:p>
        </w:tc>
      </w:tr>
      <w:tr w:rsidR="00D02BEC" w:rsidRPr="007F6253" w:rsidTr="00D02BEC">
        <w:trPr>
          <w:trHeight w:val="303"/>
        </w:trPr>
        <w:tc>
          <w:tcPr>
            <w:tcW w:w="4551" w:type="dxa"/>
            <w:tcBorders>
              <w:top w:val="nil"/>
              <w:left w:val="single" w:sz="4" w:space="0" w:color="auto"/>
              <w:bottom w:val="nil"/>
              <w:right w:val="single" w:sz="4" w:space="0" w:color="auto"/>
            </w:tcBorders>
            <w:shd w:val="clear" w:color="auto" w:fill="auto"/>
            <w:noWrap/>
            <w:vAlign w:val="bottom"/>
            <w:hideMark/>
          </w:tcPr>
          <w:p w:rsidR="007F6253" w:rsidRPr="007F6253" w:rsidRDefault="007F6253" w:rsidP="007F6253">
            <w:pPr>
              <w:rPr>
                <w:color w:val="000000"/>
                <w:sz w:val="22"/>
                <w:szCs w:val="22"/>
                <w:lang w:val="es-GT" w:eastAsia="es-GT"/>
              </w:rPr>
            </w:pPr>
            <w:r w:rsidRPr="007F6253">
              <w:rPr>
                <w:color w:val="000000"/>
                <w:sz w:val="22"/>
                <w:szCs w:val="22"/>
                <w:lang w:val="es-GT" w:eastAsia="es-GT"/>
              </w:rPr>
              <w:t>Disminución de Otros Activos Financieros</w:t>
            </w:r>
          </w:p>
        </w:tc>
        <w:tc>
          <w:tcPr>
            <w:tcW w:w="1418"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3,367.4</w:t>
            </w:r>
          </w:p>
        </w:tc>
        <w:tc>
          <w:tcPr>
            <w:tcW w:w="1276"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0.0</w:t>
            </w:r>
          </w:p>
        </w:tc>
        <w:tc>
          <w:tcPr>
            <w:tcW w:w="1275"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-3,367.4</w:t>
            </w:r>
          </w:p>
        </w:tc>
        <w:tc>
          <w:tcPr>
            <w:tcW w:w="921"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0.0%</w:t>
            </w:r>
          </w:p>
        </w:tc>
      </w:tr>
      <w:tr w:rsidR="00D02BEC" w:rsidRPr="007F6253" w:rsidTr="00D02BEC">
        <w:trPr>
          <w:trHeight w:val="303"/>
        </w:trPr>
        <w:tc>
          <w:tcPr>
            <w:tcW w:w="4551" w:type="dxa"/>
            <w:tcBorders>
              <w:top w:val="nil"/>
              <w:left w:val="single" w:sz="4" w:space="0" w:color="auto"/>
              <w:bottom w:val="nil"/>
              <w:right w:val="single" w:sz="4" w:space="0" w:color="auto"/>
            </w:tcBorders>
            <w:shd w:val="clear" w:color="auto" w:fill="auto"/>
            <w:noWrap/>
            <w:vAlign w:val="bottom"/>
            <w:hideMark/>
          </w:tcPr>
          <w:p w:rsidR="007F6253" w:rsidRPr="007F6253" w:rsidRDefault="007F6253" w:rsidP="007F6253">
            <w:pPr>
              <w:rPr>
                <w:color w:val="000000"/>
                <w:sz w:val="22"/>
                <w:szCs w:val="22"/>
                <w:lang w:val="es-GT" w:eastAsia="es-GT"/>
              </w:rPr>
            </w:pPr>
            <w:r w:rsidRPr="007F6253">
              <w:rPr>
                <w:color w:val="000000"/>
                <w:sz w:val="22"/>
                <w:szCs w:val="22"/>
                <w:lang w:val="es-GT" w:eastAsia="es-GT"/>
              </w:rPr>
              <w:t>Endeudamiento Público Interno</w:t>
            </w:r>
          </w:p>
        </w:tc>
        <w:tc>
          <w:tcPr>
            <w:tcW w:w="1418"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14,207.7</w:t>
            </w:r>
          </w:p>
        </w:tc>
        <w:tc>
          <w:tcPr>
            <w:tcW w:w="1276"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24,377.5</w:t>
            </w:r>
          </w:p>
        </w:tc>
        <w:tc>
          <w:tcPr>
            <w:tcW w:w="1275"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10,169.9</w:t>
            </w:r>
          </w:p>
        </w:tc>
        <w:tc>
          <w:tcPr>
            <w:tcW w:w="921"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24.4%</w:t>
            </w:r>
          </w:p>
        </w:tc>
      </w:tr>
      <w:tr w:rsidR="00D02BEC" w:rsidRPr="007F6253" w:rsidTr="00D02BEC">
        <w:trPr>
          <w:trHeight w:val="303"/>
        </w:trPr>
        <w:tc>
          <w:tcPr>
            <w:tcW w:w="4551" w:type="dxa"/>
            <w:tcBorders>
              <w:top w:val="nil"/>
              <w:left w:val="single" w:sz="4" w:space="0" w:color="auto"/>
              <w:bottom w:val="nil"/>
              <w:right w:val="single" w:sz="4" w:space="0" w:color="auto"/>
            </w:tcBorders>
            <w:shd w:val="clear" w:color="auto" w:fill="auto"/>
            <w:noWrap/>
            <w:vAlign w:val="bottom"/>
            <w:hideMark/>
          </w:tcPr>
          <w:p w:rsidR="007F6253" w:rsidRPr="007F6253" w:rsidRDefault="007F6253" w:rsidP="007F6253">
            <w:pPr>
              <w:rPr>
                <w:color w:val="000000"/>
                <w:sz w:val="22"/>
                <w:szCs w:val="22"/>
                <w:lang w:val="es-GT" w:eastAsia="es-GT"/>
              </w:rPr>
            </w:pPr>
            <w:r w:rsidRPr="007F6253">
              <w:rPr>
                <w:color w:val="000000"/>
                <w:sz w:val="22"/>
                <w:szCs w:val="22"/>
                <w:lang w:val="es-GT" w:eastAsia="es-GT"/>
              </w:rPr>
              <w:t>Endeudamiento Público Externo</w:t>
            </w:r>
          </w:p>
        </w:tc>
        <w:tc>
          <w:tcPr>
            <w:tcW w:w="1418"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1,592.6</w:t>
            </w:r>
          </w:p>
        </w:tc>
        <w:tc>
          <w:tcPr>
            <w:tcW w:w="1276"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11,328.3</w:t>
            </w:r>
          </w:p>
        </w:tc>
        <w:tc>
          <w:tcPr>
            <w:tcW w:w="1275"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9,735.7</w:t>
            </w:r>
          </w:p>
        </w:tc>
        <w:tc>
          <w:tcPr>
            <w:tcW w:w="921" w:type="dxa"/>
            <w:tcBorders>
              <w:top w:val="nil"/>
              <w:left w:val="nil"/>
              <w:bottom w:val="nil"/>
              <w:right w:val="single" w:sz="4" w:space="0" w:color="auto"/>
            </w:tcBorders>
            <w:shd w:val="clear" w:color="auto" w:fill="auto"/>
            <w:noWrap/>
            <w:vAlign w:val="bottom"/>
            <w:hideMark/>
          </w:tcPr>
          <w:p w:rsidR="007F6253" w:rsidRPr="007F6253" w:rsidRDefault="007F6253" w:rsidP="007F6253">
            <w:pPr>
              <w:jc w:val="right"/>
              <w:rPr>
                <w:color w:val="000000"/>
                <w:sz w:val="22"/>
                <w:szCs w:val="22"/>
                <w:lang w:val="es-GT" w:eastAsia="es-GT"/>
              </w:rPr>
            </w:pPr>
            <w:r w:rsidRPr="007F6253">
              <w:rPr>
                <w:color w:val="000000"/>
                <w:sz w:val="22"/>
                <w:szCs w:val="22"/>
                <w:lang w:val="es-GT" w:eastAsia="es-GT"/>
              </w:rPr>
              <w:t>11.4%</w:t>
            </w:r>
          </w:p>
        </w:tc>
      </w:tr>
      <w:tr w:rsidR="00D02BEC" w:rsidRPr="007F6253" w:rsidTr="00D02BEC">
        <w:trPr>
          <w:trHeight w:val="303"/>
        </w:trPr>
        <w:tc>
          <w:tcPr>
            <w:tcW w:w="4551" w:type="dxa"/>
            <w:tcBorders>
              <w:top w:val="nil"/>
              <w:left w:val="single" w:sz="4" w:space="0" w:color="auto"/>
              <w:bottom w:val="single" w:sz="4" w:space="0" w:color="auto"/>
              <w:right w:val="single" w:sz="4" w:space="0" w:color="auto"/>
            </w:tcBorders>
            <w:shd w:val="clear" w:color="auto" w:fill="auto"/>
            <w:noWrap/>
            <w:vAlign w:val="bottom"/>
            <w:hideMark/>
          </w:tcPr>
          <w:p w:rsidR="007F6253" w:rsidRPr="007F6253" w:rsidRDefault="007F6253" w:rsidP="007F6253">
            <w:pPr>
              <w:jc w:val="center"/>
              <w:rPr>
                <w:b/>
                <w:bCs/>
                <w:color w:val="000000"/>
                <w:sz w:val="22"/>
                <w:szCs w:val="22"/>
                <w:lang w:val="es-GT" w:eastAsia="es-GT"/>
              </w:rPr>
            </w:pPr>
            <w:r w:rsidRPr="007F6253">
              <w:rPr>
                <w:b/>
                <w:bCs/>
                <w:color w:val="000000"/>
                <w:sz w:val="22"/>
                <w:szCs w:val="22"/>
                <w:lang w:val="es-GT" w:eastAsia="es-GT"/>
              </w:rPr>
              <w:t>Total</w:t>
            </w:r>
          </w:p>
        </w:tc>
        <w:tc>
          <w:tcPr>
            <w:tcW w:w="1418" w:type="dxa"/>
            <w:tcBorders>
              <w:top w:val="nil"/>
              <w:left w:val="nil"/>
              <w:bottom w:val="single" w:sz="4" w:space="0" w:color="auto"/>
              <w:right w:val="single" w:sz="4" w:space="0" w:color="auto"/>
            </w:tcBorders>
            <w:shd w:val="clear" w:color="auto" w:fill="auto"/>
            <w:noWrap/>
            <w:vAlign w:val="bottom"/>
            <w:hideMark/>
          </w:tcPr>
          <w:p w:rsidR="007F6253" w:rsidRPr="007F6253" w:rsidRDefault="007F6253" w:rsidP="007F6253">
            <w:pPr>
              <w:jc w:val="right"/>
              <w:rPr>
                <w:b/>
                <w:bCs/>
                <w:color w:val="000000"/>
                <w:sz w:val="22"/>
                <w:szCs w:val="22"/>
                <w:lang w:val="es-GT" w:eastAsia="es-GT"/>
              </w:rPr>
            </w:pPr>
            <w:r w:rsidRPr="007F6253">
              <w:rPr>
                <w:b/>
                <w:bCs/>
                <w:color w:val="000000"/>
                <w:sz w:val="22"/>
                <w:szCs w:val="22"/>
                <w:lang w:val="es-GT" w:eastAsia="es-GT"/>
              </w:rPr>
              <w:t>87,715.1</w:t>
            </w:r>
          </w:p>
        </w:tc>
        <w:tc>
          <w:tcPr>
            <w:tcW w:w="1276" w:type="dxa"/>
            <w:tcBorders>
              <w:top w:val="nil"/>
              <w:left w:val="nil"/>
              <w:bottom w:val="single" w:sz="4" w:space="0" w:color="auto"/>
              <w:right w:val="single" w:sz="4" w:space="0" w:color="auto"/>
            </w:tcBorders>
            <w:shd w:val="clear" w:color="auto" w:fill="auto"/>
            <w:noWrap/>
            <w:vAlign w:val="bottom"/>
            <w:hideMark/>
          </w:tcPr>
          <w:p w:rsidR="007F6253" w:rsidRPr="007F6253" w:rsidRDefault="007F6253" w:rsidP="007F6253">
            <w:pPr>
              <w:jc w:val="right"/>
              <w:rPr>
                <w:b/>
                <w:bCs/>
                <w:color w:val="000000"/>
                <w:sz w:val="22"/>
                <w:szCs w:val="22"/>
                <w:lang w:val="es-GT" w:eastAsia="es-GT"/>
              </w:rPr>
            </w:pPr>
            <w:r w:rsidRPr="007F6253">
              <w:rPr>
                <w:b/>
                <w:bCs/>
                <w:color w:val="000000"/>
                <w:sz w:val="22"/>
                <w:szCs w:val="22"/>
                <w:lang w:val="es-GT" w:eastAsia="es-GT"/>
              </w:rPr>
              <w:t>99,771.4</w:t>
            </w:r>
          </w:p>
        </w:tc>
        <w:tc>
          <w:tcPr>
            <w:tcW w:w="1275" w:type="dxa"/>
            <w:tcBorders>
              <w:top w:val="nil"/>
              <w:left w:val="nil"/>
              <w:bottom w:val="single" w:sz="4" w:space="0" w:color="auto"/>
              <w:right w:val="single" w:sz="4" w:space="0" w:color="auto"/>
            </w:tcBorders>
            <w:shd w:val="clear" w:color="auto" w:fill="auto"/>
            <w:noWrap/>
            <w:vAlign w:val="bottom"/>
            <w:hideMark/>
          </w:tcPr>
          <w:p w:rsidR="007F6253" w:rsidRPr="007F6253" w:rsidRDefault="007F6253" w:rsidP="007F6253">
            <w:pPr>
              <w:jc w:val="right"/>
              <w:rPr>
                <w:b/>
                <w:bCs/>
                <w:color w:val="000000"/>
                <w:sz w:val="22"/>
                <w:szCs w:val="22"/>
                <w:lang w:val="es-GT" w:eastAsia="es-GT"/>
              </w:rPr>
            </w:pPr>
            <w:r w:rsidRPr="007F6253">
              <w:rPr>
                <w:b/>
                <w:bCs/>
                <w:color w:val="000000"/>
                <w:sz w:val="22"/>
                <w:szCs w:val="22"/>
                <w:lang w:val="es-GT" w:eastAsia="es-GT"/>
              </w:rPr>
              <w:t>12,056.4</w:t>
            </w:r>
          </w:p>
        </w:tc>
        <w:tc>
          <w:tcPr>
            <w:tcW w:w="921" w:type="dxa"/>
            <w:tcBorders>
              <w:top w:val="nil"/>
              <w:left w:val="nil"/>
              <w:bottom w:val="single" w:sz="4" w:space="0" w:color="auto"/>
              <w:right w:val="single" w:sz="4" w:space="0" w:color="auto"/>
            </w:tcBorders>
            <w:shd w:val="clear" w:color="auto" w:fill="auto"/>
            <w:noWrap/>
            <w:vAlign w:val="bottom"/>
            <w:hideMark/>
          </w:tcPr>
          <w:p w:rsidR="007F6253" w:rsidRPr="007F6253" w:rsidRDefault="007F6253" w:rsidP="007F6253">
            <w:pPr>
              <w:jc w:val="right"/>
              <w:rPr>
                <w:b/>
                <w:bCs/>
                <w:color w:val="000000"/>
                <w:sz w:val="22"/>
                <w:szCs w:val="22"/>
                <w:lang w:val="es-GT" w:eastAsia="es-GT"/>
              </w:rPr>
            </w:pPr>
            <w:r w:rsidRPr="007F6253">
              <w:rPr>
                <w:b/>
                <w:bCs/>
                <w:color w:val="000000"/>
                <w:sz w:val="22"/>
                <w:szCs w:val="22"/>
                <w:lang w:val="es-GT" w:eastAsia="es-GT"/>
              </w:rPr>
              <w:t>100.0%</w:t>
            </w:r>
          </w:p>
        </w:tc>
      </w:tr>
    </w:tbl>
    <w:p w:rsidR="00C61CA7" w:rsidRPr="00DF1F42" w:rsidRDefault="00C61CA7" w:rsidP="00C61CA7">
      <w:pPr>
        <w:tabs>
          <w:tab w:val="left" w:pos="426"/>
        </w:tabs>
        <w:rPr>
          <w:sz w:val="18"/>
        </w:rPr>
      </w:pPr>
      <w:r w:rsidRPr="00DF1F42">
        <w:rPr>
          <w:sz w:val="18"/>
        </w:rPr>
        <w:t>* Cifras preliminares</w:t>
      </w:r>
    </w:p>
    <w:p w:rsidR="00C61CA7" w:rsidRPr="00DF1F42" w:rsidRDefault="00F167AA" w:rsidP="00C61CA7">
      <w:pPr>
        <w:rPr>
          <w:sz w:val="18"/>
          <w:lang w:val="es-GT"/>
        </w:rPr>
      </w:pPr>
      <w:r>
        <w:rPr>
          <w:sz w:val="18"/>
        </w:rPr>
        <w:t xml:space="preserve">   </w:t>
      </w:r>
      <w:r w:rsidR="00C61CA7" w:rsidRPr="00DF1F42">
        <w:rPr>
          <w:sz w:val="18"/>
        </w:rPr>
        <w:t>Fuente: Ministerio de Finanzas Públicas.</w:t>
      </w:r>
    </w:p>
    <w:p w:rsidR="00C61CA7" w:rsidRDefault="00C61CA7" w:rsidP="00C61CA7">
      <w:pPr>
        <w:jc w:val="both"/>
        <w:rPr>
          <w:rFonts w:eastAsia="Calibri"/>
          <w:lang w:val="es-GT" w:eastAsia="es-GT"/>
        </w:rPr>
      </w:pPr>
    </w:p>
    <w:p w:rsidR="00C61CA7" w:rsidRPr="002A6FBF" w:rsidRDefault="00C61CA7" w:rsidP="00C61CA7">
      <w:pPr>
        <w:jc w:val="both"/>
        <w:rPr>
          <w:rFonts w:eastAsia="Calibri"/>
          <w:sz w:val="16"/>
          <w:lang w:val="es-GT" w:eastAsia="es-GT"/>
        </w:rPr>
      </w:pPr>
    </w:p>
    <w:p w:rsidR="00C61CA7" w:rsidRPr="00A0139A" w:rsidRDefault="00C61CA7" w:rsidP="00C61CA7">
      <w:pPr>
        <w:jc w:val="both"/>
        <w:rPr>
          <w:lang w:val="es-MX"/>
        </w:rPr>
      </w:pPr>
      <w:r>
        <w:rPr>
          <w:lang w:val="es-MX"/>
        </w:rPr>
        <w:t xml:space="preserve">La recaudación de </w:t>
      </w:r>
      <w:r w:rsidRPr="00A0139A">
        <w:rPr>
          <w:lang w:val="es-MX"/>
        </w:rPr>
        <w:t>ingresos tributarios</w:t>
      </w:r>
      <w:r>
        <w:rPr>
          <w:lang w:val="es-MX"/>
        </w:rPr>
        <w:t xml:space="preserve"> acumulada al 31 de diciembre de 2020, </w:t>
      </w:r>
      <w:r w:rsidRPr="00A0139A">
        <w:rPr>
          <w:lang w:val="es-MX"/>
        </w:rPr>
        <w:t>se ubic</w:t>
      </w:r>
      <w:r>
        <w:rPr>
          <w:lang w:val="es-MX"/>
        </w:rPr>
        <w:t>ó en</w:t>
      </w:r>
      <w:r w:rsidRPr="00A0139A">
        <w:rPr>
          <w:lang w:val="es-MX"/>
        </w:rPr>
        <w:t xml:space="preserve"> Q.</w:t>
      </w:r>
      <w:r>
        <w:rPr>
          <w:lang w:val="es-MX"/>
        </w:rPr>
        <w:t>60,279.4</w:t>
      </w:r>
      <w:r w:rsidRPr="00A0139A">
        <w:rPr>
          <w:lang w:val="es-MX"/>
        </w:rPr>
        <w:t xml:space="preserve"> millones, lo que representó un</w:t>
      </w:r>
      <w:r>
        <w:rPr>
          <w:lang w:val="es-MX"/>
        </w:rPr>
        <w:t>a</w:t>
      </w:r>
      <w:r w:rsidRPr="00A0139A">
        <w:rPr>
          <w:lang w:val="es-MX"/>
        </w:rPr>
        <w:t xml:space="preserve"> </w:t>
      </w:r>
      <w:r>
        <w:rPr>
          <w:lang w:val="es-MX"/>
        </w:rPr>
        <w:t>reducción de 3.7</w:t>
      </w:r>
      <w:r w:rsidRPr="00A0139A">
        <w:rPr>
          <w:lang w:val="es-MX"/>
        </w:rPr>
        <w:t>%</w:t>
      </w:r>
      <w:r>
        <w:rPr>
          <w:lang w:val="es-MX"/>
        </w:rPr>
        <w:t xml:space="preserve"> respecto del Ejercicio Fiscal 2019.</w:t>
      </w:r>
    </w:p>
    <w:p w:rsidR="00C61CA7" w:rsidRDefault="00C61CA7" w:rsidP="00C61CA7">
      <w:pPr>
        <w:jc w:val="center"/>
        <w:rPr>
          <w:b/>
          <w:lang w:val="es-MX"/>
        </w:rPr>
      </w:pPr>
    </w:p>
    <w:p w:rsidR="002A6FBF" w:rsidRDefault="002A6FBF" w:rsidP="00C61CA7">
      <w:pPr>
        <w:jc w:val="center"/>
        <w:rPr>
          <w:b/>
          <w:lang w:val="es-MX"/>
        </w:rPr>
      </w:pPr>
    </w:p>
    <w:p w:rsidR="002A6FBF" w:rsidRDefault="002A6FBF" w:rsidP="00C61CA7">
      <w:pPr>
        <w:jc w:val="center"/>
        <w:rPr>
          <w:b/>
          <w:lang w:val="es-MX"/>
        </w:rPr>
      </w:pPr>
    </w:p>
    <w:p w:rsidR="002A6FBF" w:rsidRDefault="002A6FBF" w:rsidP="00C61CA7">
      <w:pPr>
        <w:jc w:val="center"/>
        <w:rPr>
          <w:b/>
          <w:lang w:val="es-MX"/>
        </w:rPr>
      </w:pPr>
    </w:p>
    <w:p w:rsidR="002A6FBF" w:rsidRDefault="002A6FBF" w:rsidP="00C61CA7">
      <w:pPr>
        <w:jc w:val="center"/>
        <w:rPr>
          <w:b/>
          <w:lang w:val="es-MX"/>
        </w:rPr>
      </w:pPr>
    </w:p>
    <w:p w:rsidR="002A6FBF" w:rsidRDefault="002A6FBF" w:rsidP="00C61CA7">
      <w:pPr>
        <w:jc w:val="center"/>
        <w:rPr>
          <w:b/>
          <w:lang w:val="es-MX"/>
        </w:rPr>
      </w:pPr>
    </w:p>
    <w:p w:rsidR="002A6FBF" w:rsidRPr="00171D9C" w:rsidRDefault="002A6FBF" w:rsidP="00C61CA7">
      <w:pPr>
        <w:jc w:val="center"/>
        <w:rPr>
          <w:b/>
          <w:lang w:val="es-MX"/>
        </w:rPr>
      </w:pPr>
    </w:p>
    <w:p w:rsidR="00C61CA7" w:rsidRPr="00124AD6" w:rsidRDefault="00C61CA7" w:rsidP="00C61CA7">
      <w:pPr>
        <w:jc w:val="center"/>
        <w:rPr>
          <w:b/>
        </w:rPr>
      </w:pPr>
      <w:r w:rsidRPr="00124AD6">
        <w:rPr>
          <w:b/>
        </w:rPr>
        <w:t xml:space="preserve">Gráfica </w:t>
      </w:r>
      <w:r>
        <w:rPr>
          <w:b/>
        </w:rPr>
        <w:t>9</w:t>
      </w:r>
    </w:p>
    <w:p w:rsidR="00C61CA7" w:rsidRDefault="00C61CA7" w:rsidP="00C61CA7">
      <w:pPr>
        <w:jc w:val="center"/>
        <w:rPr>
          <w:b/>
        </w:rPr>
      </w:pPr>
      <w:r w:rsidRPr="00124AD6">
        <w:rPr>
          <w:b/>
        </w:rPr>
        <w:t>Recaudación Tributaria 20</w:t>
      </w:r>
      <w:r>
        <w:rPr>
          <w:b/>
        </w:rPr>
        <w:t>10</w:t>
      </w:r>
      <w:r w:rsidR="00DE58C8">
        <w:rPr>
          <w:b/>
        </w:rPr>
        <w:t xml:space="preserve"> </w:t>
      </w:r>
      <w:r w:rsidRPr="00124AD6">
        <w:rPr>
          <w:b/>
        </w:rPr>
        <w:t>-</w:t>
      </w:r>
      <w:r w:rsidR="00DE58C8">
        <w:rPr>
          <w:b/>
        </w:rPr>
        <w:t xml:space="preserve"> </w:t>
      </w:r>
      <w:r w:rsidRPr="00124AD6">
        <w:rPr>
          <w:b/>
        </w:rPr>
        <w:t>20</w:t>
      </w:r>
      <w:r>
        <w:rPr>
          <w:b/>
        </w:rPr>
        <w:t>20*</w:t>
      </w:r>
    </w:p>
    <w:p w:rsidR="00C61CA7" w:rsidRPr="00124AD6" w:rsidRDefault="00C61CA7" w:rsidP="00C61CA7">
      <w:pPr>
        <w:jc w:val="center"/>
        <w:rPr>
          <w:b/>
        </w:rPr>
      </w:pPr>
      <w:r>
        <w:rPr>
          <w:b/>
        </w:rPr>
        <w:t>Acumulado al 31 de diciembre de cada año</w:t>
      </w:r>
    </w:p>
    <w:p w:rsidR="00C61CA7" w:rsidRDefault="00C61CA7" w:rsidP="00C61CA7">
      <w:pPr>
        <w:jc w:val="center"/>
        <w:rPr>
          <w:b/>
        </w:rPr>
      </w:pPr>
      <w:r w:rsidRPr="00124AD6">
        <w:rPr>
          <w:b/>
        </w:rPr>
        <w:t>(Cifras en Millones de Quetzales)</w:t>
      </w:r>
    </w:p>
    <w:p w:rsidR="00C61CA7" w:rsidRPr="00124AD6" w:rsidRDefault="00C61CA7" w:rsidP="00C61CA7">
      <w:pPr>
        <w:jc w:val="center"/>
      </w:pPr>
      <w:r>
        <w:rPr>
          <w:noProof/>
          <w:lang w:val="es-GT" w:eastAsia="es-GT"/>
        </w:rPr>
        <w:drawing>
          <wp:inline distT="0" distB="0" distL="0" distR="0" wp14:anchorId="2BB0C3ED" wp14:editId="37591AA3">
            <wp:extent cx="5786323" cy="3738067"/>
            <wp:effectExtent l="0" t="0" r="5080" b="0"/>
            <wp:docPr id="23" name="Gráfico 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61CA7" w:rsidRPr="00DF1F42" w:rsidRDefault="007C4771" w:rsidP="00C61CA7">
      <w:pPr>
        <w:jc w:val="both"/>
        <w:rPr>
          <w:sz w:val="18"/>
        </w:rPr>
      </w:pPr>
      <w:r w:rsidRPr="00DF1F42">
        <w:rPr>
          <w:sz w:val="18"/>
        </w:rPr>
        <w:t xml:space="preserve">                      </w:t>
      </w:r>
      <w:r w:rsidR="00C61CA7" w:rsidRPr="00DF1F42">
        <w:rPr>
          <w:sz w:val="18"/>
        </w:rPr>
        <w:t>* Cifras preliminares</w:t>
      </w:r>
    </w:p>
    <w:p w:rsidR="00C61CA7" w:rsidRPr="00DF1F42" w:rsidRDefault="007C4771" w:rsidP="00C61CA7">
      <w:pPr>
        <w:jc w:val="both"/>
        <w:rPr>
          <w:sz w:val="18"/>
        </w:rPr>
      </w:pPr>
      <w:r w:rsidRPr="00DF1F42">
        <w:rPr>
          <w:sz w:val="18"/>
        </w:rPr>
        <w:t xml:space="preserve">                         </w:t>
      </w:r>
      <w:r w:rsidR="00C61CA7" w:rsidRPr="00DF1F42">
        <w:rPr>
          <w:sz w:val="18"/>
        </w:rPr>
        <w:t>Fuente: Ministerio de Finanzas Públicas.</w:t>
      </w:r>
    </w:p>
    <w:p w:rsidR="00C61CA7" w:rsidRPr="002A6FBF" w:rsidRDefault="00C61CA7" w:rsidP="00C61CA7">
      <w:pPr>
        <w:autoSpaceDE w:val="0"/>
        <w:autoSpaceDN w:val="0"/>
        <w:adjustRightInd w:val="0"/>
        <w:jc w:val="both"/>
        <w:rPr>
          <w:rFonts w:eastAsia="Calibri"/>
          <w:sz w:val="32"/>
          <w:lang w:val="es-GT" w:eastAsia="es-GT"/>
        </w:rPr>
      </w:pPr>
    </w:p>
    <w:p w:rsidR="00C61CA7" w:rsidRDefault="00C61CA7" w:rsidP="00C61CA7">
      <w:pPr>
        <w:jc w:val="both"/>
        <w:rPr>
          <w:lang w:val="es-MX"/>
        </w:rPr>
      </w:pPr>
      <w:r w:rsidRPr="008D35DC">
        <w:rPr>
          <w:lang w:val="es-MX"/>
        </w:rPr>
        <w:t xml:space="preserve">El </w:t>
      </w:r>
      <w:r>
        <w:rPr>
          <w:lang w:val="es-MX"/>
        </w:rPr>
        <w:t>decre</w:t>
      </w:r>
      <w:r w:rsidR="000C0ECD">
        <w:rPr>
          <w:lang w:val="es-MX"/>
        </w:rPr>
        <w:t>mento</w:t>
      </w:r>
      <w:r>
        <w:rPr>
          <w:lang w:val="es-MX"/>
        </w:rPr>
        <w:t xml:space="preserve"> en</w:t>
      </w:r>
      <w:r w:rsidRPr="008D35DC">
        <w:rPr>
          <w:lang w:val="es-MX"/>
        </w:rPr>
        <w:t xml:space="preserve"> la recaudación de los impuestos internos, </w:t>
      </w:r>
      <w:r>
        <w:rPr>
          <w:lang w:val="es-MX"/>
        </w:rPr>
        <w:t>se situó en el orden del</w:t>
      </w:r>
      <w:r w:rsidRPr="008D35DC">
        <w:rPr>
          <w:lang w:val="es-MX"/>
        </w:rPr>
        <w:t xml:space="preserve"> </w:t>
      </w:r>
      <w:r>
        <w:rPr>
          <w:lang w:val="es-MX"/>
        </w:rPr>
        <w:t>1.9</w:t>
      </w:r>
      <w:r w:rsidRPr="008D35DC">
        <w:rPr>
          <w:lang w:val="es-MX"/>
        </w:rPr>
        <w:t>%</w:t>
      </w:r>
      <w:r w:rsidR="000C0ECD">
        <w:rPr>
          <w:lang w:val="es-MX"/>
        </w:rPr>
        <w:t xml:space="preserve"> como resultado</w:t>
      </w:r>
      <w:r w:rsidRPr="008D35DC">
        <w:rPr>
          <w:lang w:val="es-MX"/>
        </w:rPr>
        <w:t xml:space="preserve"> </w:t>
      </w:r>
      <w:r w:rsidR="00812B9B">
        <w:rPr>
          <w:lang w:val="es-MX"/>
        </w:rPr>
        <w:t xml:space="preserve"> </w:t>
      </w:r>
      <w:r>
        <w:rPr>
          <w:lang w:val="es-MX"/>
        </w:rPr>
        <w:t xml:space="preserve">principalmente de la </w:t>
      </w:r>
      <w:r w:rsidR="00812B9B">
        <w:rPr>
          <w:lang w:val="es-MX"/>
        </w:rPr>
        <w:t xml:space="preserve"> </w:t>
      </w:r>
      <w:r>
        <w:rPr>
          <w:lang w:val="es-MX"/>
        </w:rPr>
        <w:t xml:space="preserve">disminución </w:t>
      </w:r>
      <w:r w:rsidR="00812B9B">
        <w:rPr>
          <w:lang w:val="es-MX"/>
        </w:rPr>
        <w:t xml:space="preserve"> </w:t>
      </w:r>
      <w:r w:rsidRPr="008D35DC">
        <w:rPr>
          <w:lang w:val="es-MX"/>
        </w:rPr>
        <w:t xml:space="preserve">del </w:t>
      </w:r>
      <w:r w:rsidR="00812B9B">
        <w:rPr>
          <w:lang w:val="es-MX"/>
        </w:rPr>
        <w:t xml:space="preserve"> </w:t>
      </w:r>
      <w:r w:rsidRPr="008D35DC">
        <w:rPr>
          <w:lang w:val="es-MX"/>
        </w:rPr>
        <w:t xml:space="preserve">Impuesto </w:t>
      </w:r>
      <w:r w:rsidR="00812B9B">
        <w:rPr>
          <w:lang w:val="es-MX"/>
        </w:rPr>
        <w:t xml:space="preserve"> </w:t>
      </w:r>
      <w:r>
        <w:rPr>
          <w:lang w:val="es-MX"/>
        </w:rPr>
        <w:t>Sobre</w:t>
      </w:r>
      <w:r w:rsidR="00812B9B">
        <w:rPr>
          <w:lang w:val="es-MX"/>
        </w:rPr>
        <w:t xml:space="preserve"> </w:t>
      </w:r>
      <w:r>
        <w:rPr>
          <w:lang w:val="es-MX"/>
        </w:rPr>
        <w:t xml:space="preserve"> la </w:t>
      </w:r>
      <w:r w:rsidR="00812B9B">
        <w:rPr>
          <w:lang w:val="es-MX"/>
        </w:rPr>
        <w:t xml:space="preserve"> </w:t>
      </w:r>
      <w:r>
        <w:rPr>
          <w:lang w:val="es-MX"/>
        </w:rPr>
        <w:t>Renta</w:t>
      </w:r>
      <w:r w:rsidRPr="008D35DC">
        <w:rPr>
          <w:lang w:val="es-MX"/>
        </w:rPr>
        <w:t xml:space="preserve"> </w:t>
      </w:r>
      <w:r w:rsidR="000C0ECD">
        <w:rPr>
          <w:lang w:val="es-MX"/>
        </w:rPr>
        <w:t>-</w:t>
      </w:r>
      <w:r>
        <w:rPr>
          <w:lang w:val="es-MX"/>
        </w:rPr>
        <w:t>Q</w:t>
      </w:r>
      <w:r w:rsidR="000C0ECD">
        <w:rPr>
          <w:lang w:val="es-MX"/>
        </w:rPr>
        <w:t>.</w:t>
      </w:r>
      <w:r>
        <w:rPr>
          <w:lang w:val="es-MX"/>
        </w:rPr>
        <w:t>349.6 millones (-2.0</w:t>
      </w:r>
      <w:r w:rsidRPr="008D35DC">
        <w:rPr>
          <w:lang w:val="es-MX"/>
        </w:rPr>
        <w:t>%</w:t>
      </w:r>
      <w:r>
        <w:rPr>
          <w:lang w:val="es-MX"/>
        </w:rPr>
        <w:t>)</w:t>
      </w:r>
      <w:r w:rsidRPr="008D35DC">
        <w:rPr>
          <w:lang w:val="es-MX"/>
        </w:rPr>
        <w:t xml:space="preserve">; </w:t>
      </w:r>
      <w:r w:rsidR="00812B9B">
        <w:rPr>
          <w:lang w:val="es-MX"/>
        </w:rPr>
        <w:t xml:space="preserve"> </w:t>
      </w:r>
      <w:r w:rsidRPr="008D35DC">
        <w:rPr>
          <w:lang w:val="es-MX"/>
        </w:rPr>
        <w:t xml:space="preserve">a la Distribución de </w:t>
      </w:r>
      <w:r w:rsidR="00812B9B">
        <w:rPr>
          <w:lang w:val="es-MX"/>
        </w:rPr>
        <w:t xml:space="preserve"> </w:t>
      </w:r>
      <w:r>
        <w:rPr>
          <w:lang w:val="es-MX"/>
        </w:rPr>
        <w:t>Petróleo y Derivados</w:t>
      </w:r>
      <w:r w:rsidR="00812B9B">
        <w:rPr>
          <w:lang w:val="es-MX"/>
        </w:rPr>
        <w:t xml:space="preserve"> </w:t>
      </w:r>
      <w:r w:rsidRPr="008D35DC">
        <w:rPr>
          <w:lang w:val="es-MX"/>
        </w:rPr>
        <w:t xml:space="preserve"> </w:t>
      </w:r>
      <w:r w:rsidR="000C0ECD">
        <w:rPr>
          <w:lang w:val="es-MX"/>
        </w:rPr>
        <w:t>-</w:t>
      </w:r>
      <w:r>
        <w:rPr>
          <w:lang w:val="es-MX"/>
        </w:rPr>
        <w:t>Q</w:t>
      </w:r>
      <w:r w:rsidR="000C0ECD">
        <w:rPr>
          <w:lang w:val="es-MX"/>
        </w:rPr>
        <w:t>.</w:t>
      </w:r>
      <w:r>
        <w:rPr>
          <w:lang w:val="es-MX"/>
        </w:rPr>
        <w:t>258.7 millones (-6.9</w:t>
      </w:r>
      <w:r w:rsidRPr="008D35DC">
        <w:rPr>
          <w:lang w:val="es-MX"/>
        </w:rPr>
        <w:t>%</w:t>
      </w:r>
      <w:r>
        <w:rPr>
          <w:lang w:val="es-MX"/>
        </w:rPr>
        <w:t>)</w:t>
      </w:r>
      <w:r w:rsidRPr="008D35DC">
        <w:rPr>
          <w:lang w:val="es-MX"/>
        </w:rPr>
        <w:t xml:space="preserve">; </w:t>
      </w:r>
      <w:r w:rsidR="00812B9B">
        <w:rPr>
          <w:lang w:val="es-MX"/>
        </w:rPr>
        <w:t xml:space="preserve"> </w:t>
      </w:r>
      <w:r>
        <w:rPr>
          <w:lang w:val="es-MX"/>
        </w:rPr>
        <w:t xml:space="preserve">Salida del País </w:t>
      </w:r>
      <w:r w:rsidR="000C0ECD">
        <w:rPr>
          <w:lang w:val="es-MX"/>
        </w:rPr>
        <w:t>-</w:t>
      </w:r>
      <w:r>
        <w:rPr>
          <w:lang w:val="es-MX"/>
        </w:rPr>
        <w:t>Q</w:t>
      </w:r>
      <w:r w:rsidR="000C0ECD">
        <w:rPr>
          <w:lang w:val="es-MX"/>
        </w:rPr>
        <w:t>.</w:t>
      </w:r>
      <w:r>
        <w:rPr>
          <w:lang w:val="es-MX"/>
        </w:rPr>
        <w:t>220.9</w:t>
      </w:r>
      <w:r w:rsidR="00812B9B">
        <w:rPr>
          <w:lang w:val="es-MX"/>
        </w:rPr>
        <w:t xml:space="preserve">  millones </w:t>
      </w:r>
      <w:r>
        <w:rPr>
          <w:lang w:val="es-MX"/>
        </w:rPr>
        <w:t xml:space="preserve"> (-65.3%)</w:t>
      </w:r>
      <w:r w:rsidRPr="008D35DC">
        <w:rPr>
          <w:lang w:val="es-MX"/>
        </w:rPr>
        <w:t xml:space="preserve">; </w:t>
      </w:r>
      <w:r w:rsidR="00812B9B">
        <w:rPr>
          <w:lang w:val="es-MX"/>
        </w:rPr>
        <w:t xml:space="preserve"> </w:t>
      </w:r>
      <w:r w:rsidRPr="008D35DC">
        <w:rPr>
          <w:lang w:val="es-MX"/>
        </w:rPr>
        <w:t>e Impuesto</w:t>
      </w:r>
      <w:r w:rsidR="00812B9B">
        <w:rPr>
          <w:lang w:val="es-MX"/>
        </w:rPr>
        <w:t xml:space="preserve"> </w:t>
      </w:r>
      <w:r w:rsidRPr="008D35DC">
        <w:rPr>
          <w:lang w:val="es-MX"/>
        </w:rPr>
        <w:t xml:space="preserve"> </w:t>
      </w:r>
      <w:r>
        <w:rPr>
          <w:lang w:val="es-MX"/>
        </w:rPr>
        <w:t xml:space="preserve">a </w:t>
      </w:r>
      <w:r w:rsidR="00812B9B">
        <w:rPr>
          <w:lang w:val="es-MX"/>
        </w:rPr>
        <w:t xml:space="preserve"> </w:t>
      </w:r>
      <w:r>
        <w:rPr>
          <w:lang w:val="es-MX"/>
        </w:rPr>
        <w:t xml:space="preserve">la </w:t>
      </w:r>
      <w:r w:rsidR="00812B9B">
        <w:rPr>
          <w:lang w:val="es-MX"/>
        </w:rPr>
        <w:t xml:space="preserve"> </w:t>
      </w:r>
      <w:r>
        <w:rPr>
          <w:lang w:val="es-MX"/>
        </w:rPr>
        <w:t xml:space="preserve">Primera </w:t>
      </w:r>
      <w:r w:rsidR="00812B9B">
        <w:rPr>
          <w:lang w:val="es-MX"/>
        </w:rPr>
        <w:t xml:space="preserve"> </w:t>
      </w:r>
      <w:r>
        <w:rPr>
          <w:lang w:val="es-MX"/>
        </w:rPr>
        <w:t>Matr</w:t>
      </w:r>
      <w:r w:rsidR="000C0ECD">
        <w:rPr>
          <w:lang w:val="es-MX"/>
        </w:rPr>
        <w:t>í</w:t>
      </w:r>
      <w:r>
        <w:rPr>
          <w:lang w:val="es-MX"/>
        </w:rPr>
        <w:t>cula</w:t>
      </w:r>
      <w:r w:rsidR="00812B9B">
        <w:rPr>
          <w:lang w:val="es-MX"/>
        </w:rPr>
        <w:t xml:space="preserve"> </w:t>
      </w:r>
      <w:r>
        <w:rPr>
          <w:lang w:val="es-MX"/>
        </w:rPr>
        <w:t xml:space="preserve"> de </w:t>
      </w:r>
      <w:r w:rsidR="00812B9B">
        <w:rPr>
          <w:lang w:val="es-MX"/>
        </w:rPr>
        <w:t xml:space="preserve"> </w:t>
      </w:r>
      <w:r>
        <w:rPr>
          <w:lang w:val="es-MX"/>
        </w:rPr>
        <w:t xml:space="preserve">Vehículos </w:t>
      </w:r>
      <w:r w:rsidR="00812B9B">
        <w:rPr>
          <w:lang w:val="es-MX"/>
        </w:rPr>
        <w:t xml:space="preserve"> </w:t>
      </w:r>
      <w:r>
        <w:rPr>
          <w:lang w:val="es-MX"/>
        </w:rPr>
        <w:t>Automotores</w:t>
      </w:r>
      <w:r w:rsidRPr="008D35DC">
        <w:rPr>
          <w:lang w:val="es-MX"/>
        </w:rPr>
        <w:t xml:space="preserve"> </w:t>
      </w:r>
      <w:r w:rsidR="000C0ECD">
        <w:rPr>
          <w:lang w:val="es-MX"/>
        </w:rPr>
        <w:t>-</w:t>
      </w:r>
      <w:r>
        <w:rPr>
          <w:lang w:val="es-MX"/>
        </w:rPr>
        <w:t>Q</w:t>
      </w:r>
      <w:r w:rsidR="000C0ECD">
        <w:rPr>
          <w:lang w:val="es-MX"/>
        </w:rPr>
        <w:t>.</w:t>
      </w:r>
      <w:r>
        <w:rPr>
          <w:lang w:val="es-MX"/>
        </w:rPr>
        <w:t xml:space="preserve">163.1 millones </w:t>
      </w:r>
      <w:r w:rsidR="00812B9B">
        <w:rPr>
          <w:lang w:val="es-MX"/>
        </w:rPr>
        <w:t xml:space="preserve"> </w:t>
      </w:r>
      <w:r>
        <w:rPr>
          <w:lang w:val="es-MX"/>
        </w:rPr>
        <w:t>(-16.3</w:t>
      </w:r>
      <w:r w:rsidRPr="008D35DC">
        <w:rPr>
          <w:lang w:val="es-MX"/>
        </w:rPr>
        <w:t>%</w:t>
      </w:r>
      <w:r>
        <w:rPr>
          <w:lang w:val="es-MX"/>
        </w:rPr>
        <w:t>)</w:t>
      </w:r>
      <w:r w:rsidRPr="008D35DC">
        <w:rPr>
          <w:lang w:val="es-MX"/>
        </w:rPr>
        <w:t>.</w:t>
      </w:r>
    </w:p>
    <w:p w:rsidR="00C61CA7" w:rsidRPr="002A6FBF" w:rsidRDefault="00C61CA7" w:rsidP="00C61CA7">
      <w:pPr>
        <w:jc w:val="both"/>
        <w:rPr>
          <w:sz w:val="28"/>
          <w:lang w:val="es-MX"/>
        </w:rPr>
      </w:pPr>
    </w:p>
    <w:p w:rsidR="00C61CA7" w:rsidRDefault="00C61CA7" w:rsidP="00C61CA7">
      <w:pPr>
        <w:jc w:val="both"/>
        <w:rPr>
          <w:lang w:val="es-MX"/>
        </w:rPr>
      </w:pPr>
      <w:r>
        <w:rPr>
          <w:lang w:val="es-MX"/>
        </w:rPr>
        <w:t>P</w:t>
      </w:r>
      <w:r w:rsidRPr="00A352F0">
        <w:rPr>
          <w:lang w:val="es-MX"/>
        </w:rPr>
        <w:t xml:space="preserve">ara </w:t>
      </w:r>
      <w:r>
        <w:rPr>
          <w:lang w:val="es-MX"/>
        </w:rPr>
        <w:t xml:space="preserve">el caso de </w:t>
      </w:r>
      <w:r w:rsidRPr="00A352F0">
        <w:rPr>
          <w:lang w:val="es-MX"/>
        </w:rPr>
        <w:t>los impuestos al comercio exterior</w:t>
      </w:r>
      <w:r>
        <w:rPr>
          <w:lang w:val="es-MX"/>
        </w:rPr>
        <w:t>, estos muestran una disminución en torno al 8.0</w:t>
      </w:r>
      <w:r w:rsidRPr="00A0139A">
        <w:rPr>
          <w:lang w:val="es-MX"/>
        </w:rPr>
        <w:t>%</w:t>
      </w:r>
      <w:r w:rsidR="000C0ECD">
        <w:rPr>
          <w:lang w:val="es-MX"/>
        </w:rPr>
        <w:t>;</w:t>
      </w:r>
      <w:r>
        <w:rPr>
          <w:lang w:val="es-MX"/>
        </w:rPr>
        <w:t xml:space="preserve"> </w:t>
      </w:r>
      <w:r w:rsidRPr="00A0139A">
        <w:rPr>
          <w:lang w:val="es-MX"/>
        </w:rPr>
        <w:t xml:space="preserve">el Impuesto al Valor Agregado </w:t>
      </w:r>
      <w:r>
        <w:rPr>
          <w:lang w:val="es-MX"/>
        </w:rPr>
        <w:t>Importaciones mostró un decrecimiento de 8.0%; mientras que los Derechos Arancelarios de Importación, se redujeron en 8.3%.</w:t>
      </w:r>
    </w:p>
    <w:p w:rsidR="00C61CA7" w:rsidRDefault="00C61CA7" w:rsidP="00C61CA7">
      <w:pPr>
        <w:jc w:val="both"/>
        <w:rPr>
          <w:rFonts w:eastAsia="Calibri"/>
          <w:lang w:val="es-GT" w:eastAsia="es-GT"/>
        </w:rPr>
      </w:pPr>
      <w:r>
        <w:rPr>
          <w:rFonts w:eastAsia="Calibri"/>
          <w:lang w:val="es-GT" w:eastAsia="es-GT"/>
        </w:rPr>
        <w:br w:type="page"/>
      </w:r>
    </w:p>
    <w:p w:rsidR="00C61CA7" w:rsidRPr="002A6FBF" w:rsidRDefault="00C61CA7" w:rsidP="00C61CA7">
      <w:pPr>
        <w:rPr>
          <w:b/>
          <w:sz w:val="32"/>
        </w:rPr>
      </w:pPr>
    </w:p>
    <w:p w:rsidR="00C61CA7" w:rsidRPr="00124AD6" w:rsidRDefault="00C61CA7" w:rsidP="00C61CA7">
      <w:pPr>
        <w:jc w:val="center"/>
        <w:rPr>
          <w:b/>
        </w:rPr>
      </w:pPr>
      <w:r w:rsidRPr="00124AD6">
        <w:rPr>
          <w:b/>
        </w:rPr>
        <w:t xml:space="preserve">Cuadro </w:t>
      </w:r>
      <w:r>
        <w:rPr>
          <w:b/>
        </w:rPr>
        <w:t>3</w:t>
      </w:r>
    </w:p>
    <w:p w:rsidR="00C61CA7" w:rsidRPr="00124AD6" w:rsidRDefault="00C61CA7" w:rsidP="00C61CA7">
      <w:pPr>
        <w:tabs>
          <w:tab w:val="left" w:pos="426"/>
        </w:tabs>
        <w:jc w:val="center"/>
        <w:rPr>
          <w:b/>
        </w:rPr>
      </w:pPr>
      <w:r w:rsidRPr="00124AD6">
        <w:rPr>
          <w:b/>
        </w:rPr>
        <w:t>Ingresos Tributarios Netos de la Administración Central</w:t>
      </w:r>
    </w:p>
    <w:p w:rsidR="00C61CA7" w:rsidRPr="00124AD6" w:rsidRDefault="00C61CA7" w:rsidP="00C61CA7">
      <w:pPr>
        <w:tabs>
          <w:tab w:val="left" w:pos="426"/>
        </w:tabs>
        <w:jc w:val="center"/>
        <w:rPr>
          <w:b/>
        </w:rPr>
      </w:pPr>
      <w:r w:rsidRPr="00124AD6">
        <w:rPr>
          <w:b/>
        </w:rPr>
        <w:t>Ejercicios Fiscales 20</w:t>
      </w:r>
      <w:r>
        <w:rPr>
          <w:b/>
        </w:rPr>
        <w:t>19</w:t>
      </w:r>
      <w:r w:rsidRPr="00124AD6">
        <w:rPr>
          <w:b/>
        </w:rPr>
        <w:t xml:space="preserve"> </w:t>
      </w:r>
      <w:r w:rsidR="000C0ECD">
        <w:rPr>
          <w:b/>
        </w:rPr>
        <w:t>-</w:t>
      </w:r>
      <w:r w:rsidRPr="00124AD6">
        <w:rPr>
          <w:b/>
        </w:rPr>
        <w:t xml:space="preserve"> 20</w:t>
      </w:r>
      <w:r>
        <w:rPr>
          <w:b/>
        </w:rPr>
        <w:t>20*</w:t>
      </w:r>
    </w:p>
    <w:p w:rsidR="00C61CA7" w:rsidRDefault="00C61CA7" w:rsidP="00C61CA7">
      <w:pPr>
        <w:tabs>
          <w:tab w:val="left" w:pos="426"/>
        </w:tabs>
        <w:jc w:val="center"/>
        <w:rPr>
          <w:b/>
        </w:rPr>
      </w:pPr>
      <w:r w:rsidRPr="00124AD6">
        <w:rPr>
          <w:b/>
        </w:rPr>
        <w:t>(Millones de Quetzales y Porcentajes)</w:t>
      </w:r>
    </w:p>
    <w:p w:rsidR="004E1914" w:rsidRPr="004E1914" w:rsidRDefault="004E1914" w:rsidP="00C61CA7">
      <w:pPr>
        <w:tabs>
          <w:tab w:val="left" w:pos="426"/>
        </w:tabs>
        <w:jc w:val="center"/>
        <w:rPr>
          <w:b/>
          <w:sz w:val="14"/>
        </w:rPr>
      </w:pPr>
    </w:p>
    <w:tbl>
      <w:tblPr>
        <w:tblW w:w="9015" w:type="dxa"/>
        <w:tblCellMar>
          <w:left w:w="70" w:type="dxa"/>
          <w:right w:w="70" w:type="dxa"/>
        </w:tblCellMar>
        <w:tblLook w:val="04A0" w:firstRow="1" w:lastRow="0" w:firstColumn="1" w:lastColumn="0" w:noHBand="0" w:noVBand="1"/>
      </w:tblPr>
      <w:tblGrid>
        <w:gridCol w:w="4701"/>
        <w:gridCol w:w="998"/>
        <w:gridCol w:w="1078"/>
        <w:gridCol w:w="998"/>
        <w:gridCol w:w="1240"/>
      </w:tblGrid>
      <w:tr w:rsidR="00C61CA7" w:rsidRPr="00044D1D" w:rsidTr="002A6FBF">
        <w:trPr>
          <w:trHeight w:val="313"/>
        </w:trPr>
        <w:tc>
          <w:tcPr>
            <w:tcW w:w="4701" w:type="dxa"/>
            <w:vMerge w:val="restart"/>
            <w:tcBorders>
              <w:top w:val="single" w:sz="8" w:space="0" w:color="auto"/>
              <w:left w:val="nil"/>
              <w:bottom w:val="single" w:sz="8" w:space="0" w:color="000000"/>
              <w:right w:val="single" w:sz="8" w:space="0" w:color="auto"/>
            </w:tcBorders>
            <w:shd w:val="clear" w:color="000000" w:fill="1F497D"/>
            <w:vAlign w:val="center"/>
            <w:hideMark/>
          </w:tcPr>
          <w:p w:rsidR="00C61CA7" w:rsidRPr="00044D1D" w:rsidRDefault="00C61CA7" w:rsidP="00A816E4">
            <w:pPr>
              <w:jc w:val="center"/>
              <w:rPr>
                <w:b/>
                <w:bCs/>
                <w:color w:val="FFFFFF"/>
                <w:sz w:val="20"/>
                <w:szCs w:val="22"/>
                <w:lang w:val="es-GT" w:eastAsia="es-GT"/>
              </w:rPr>
            </w:pPr>
            <w:r w:rsidRPr="00044D1D">
              <w:rPr>
                <w:b/>
                <w:bCs/>
                <w:color w:val="FFFFFF"/>
                <w:sz w:val="20"/>
                <w:szCs w:val="22"/>
                <w:lang w:val="es-GT" w:eastAsia="es-GT"/>
              </w:rPr>
              <w:t>Concepto</w:t>
            </w:r>
          </w:p>
        </w:tc>
        <w:tc>
          <w:tcPr>
            <w:tcW w:w="998" w:type="dxa"/>
            <w:vMerge w:val="restart"/>
            <w:tcBorders>
              <w:top w:val="single" w:sz="8" w:space="0" w:color="auto"/>
              <w:left w:val="single" w:sz="8" w:space="0" w:color="auto"/>
              <w:bottom w:val="single" w:sz="8" w:space="0" w:color="000000"/>
              <w:right w:val="single" w:sz="8" w:space="0" w:color="auto"/>
            </w:tcBorders>
            <w:shd w:val="clear" w:color="000000" w:fill="1F497D"/>
            <w:vAlign w:val="center"/>
            <w:hideMark/>
          </w:tcPr>
          <w:p w:rsidR="00C61CA7" w:rsidRPr="00044D1D" w:rsidRDefault="00C61CA7" w:rsidP="00A816E4">
            <w:pPr>
              <w:jc w:val="center"/>
              <w:rPr>
                <w:b/>
                <w:bCs/>
                <w:color w:val="FFFFFF"/>
                <w:sz w:val="20"/>
                <w:szCs w:val="22"/>
                <w:lang w:val="es-GT" w:eastAsia="es-GT"/>
              </w:rPr>
            </w:pPr>
            <w:r w:rsidRPr="00044D1D">
              <w:rPr>
                <w:b/>
                <w:bCs/>
                <w:color w:val="FFFFFF"/>
                <w:sz w:val="20"/>
                <w:szCs w:val="22"/>
                <w:lang w:val="es-GT" w:eastAsia="es-GT"/>
              </w:rPr>
              <w:t>2019</w:t>
            </w:r>
          </w:p>
        </w:tc>
        <w:tc>
          <w:tcPr>
            <w:tcW w:w="1078" w:type="dxa"/>
            <w:vMerge w:val="restart"/>
            <w:tcBorders>
              <w:top w:val="single" w:sz="8" w:space="0" w:color="auto"/>
              <w:left w:val="single" w:sz="8" w:space="0" w:color="auto"/>
              <w:bottom w:val="single" w:sz="8" w:space="0" w:color="000000"/>
              <w:right w:val="single" w:sz="8" w:space="0" w:color="auto"/>
            </w:tcBorders>
            <w:shd w:val="clear" w:color="000000" w:fill="1F497D"/>
            <w:vAlign w:val="center"/>
            <w:hideMark/>
          </w:tcPr>
          <w:p w:rsidR="00C61CA7" w:rsidRPr="00044D1D" w:rsidRDefault="00C61CA7" w:rsidP="00A816E4">
            <w:pPr>
              <w:jc w:val="center"/>
              <w:rPr>
                <w:b/>
                <w:bCs/>
                <w:color w:val="FFFFFF"/>
                <w:sz w:val="20"/>
                <w:szCs w:val="22"/>
                <w:lang w:val="es-GT" w:eastAsia="es-GT"/>
              </w:rPr>
            </w:pPr>
            <w:r w:rsidRPr="00044D1D">
              <w:rPr>
                <w:b/>
                <w:bCs/>
                <w:color w:val="FFFFFF"/>
                <w:sz w:val="20"/>
                <w:szCs w:val="22"/>
                <w:lang w:val="es-GT" w:eastAsia="es-GT"/>
              </w:rPr>
              <w:t>2020*</w:t>
            </w:r>
          </w:p>
        </w:tc>
        <w:tc>
          <w:tcPr>
            <w:tcW w:w="2238" w:type="dxa"/>
            <w:gridSpan w:val="2"/>
            <w:tcBorders>
              <w:top w:val="single" w:sz="8" w:space="0" w:color="auto"/>
              <w:left w:val="nil"/>
              <w:bottom w:val="single" w:sz="8" w:space="0" w:color="auto"/>
              <w:right w:val="nil"/>
            </w:tcBorders>
            <w:shd w:val="clear" w:color="000000" w:fill="1F497D"/>
            <w:hideMark/>
          </w:tcPr>
          <w:p w:rsidR="00C61CA7" w:rsidRPr="00044D1D" w:rsidRDefault="00C61CA7" w:rsidP="00A816E4">
            <w:pPr>
              <w:jc w:val="center"/>
              <w:rPr>
                <w:b/>
                <w:bCs/>
                <w:color w:val="FFFFFF"/>
                <w:sz w:val="20"/>
                <w:szCs w:val="22"/>
                <w:lang w:val="es-GT" w:eastAsia="es-GT"/>
              </w:rPr>
            </w:pPr>
            <w:r w:rsidRPr="00044D1D">
              <w:rPr>
                <w:b/>
                <w:bCs/>
                <w:color w:val="FFFFFF"/>
                <w:sz w:val="20"/>
                <w:szCs w:val="22"/>
                <w:lang w:val="es-GT" w:eastAsia="es-GT"/>
              </w:rPr>
              <w:t>Diferencia</w:t>
            </w:r>
          </w:p>
        </w:tc>
      </w:tr>
      <w:tr w:rsidR="00C61CA7" w:rsidRPr="00044D1D" w:rsidTr="002A6FBF">
        <w:trPr>
          <w:trHeight w:val="418"/>
        </w:trPr>
        <w:tc>
          <w:tcPr>
            <w:tcW w:w="4701" w:type="dxa"/>
            <w:vMerge/>
            <w:tcBorders>
              <w:top w:val="single" w:sz="8" w:space="0" w:color="auto"/>
              <w:left w:val="nil"/>
              <w:bottom w:val="single" w:sz="8" w:space="0" w:color="000000"/>
              <w:right w:val="single" w:sz="8" w:space="0" w:color="auto"/>
            </w:tcBorders>
            <w:vAlign w:val="center"/>
            <w:hideMark/>
          </w:tcPr>
          <w:p w:rsidR="00C61CA7" w:rsidRPr="00044D1D" w:rsidRDefault="00C61CA7" w:rsidP="00A816E4">
            <w:pPr>
              <w:rPr>
                <w:b/>
                <w:bCs/>
                <w:color w:val="FFFFFF"/>
                <w:sz w:val="20"/>
                <w:szCs w:val="22"/>
                <w:lang w:val="es-GT" w:eastAsia="es-GT"/>
              </w:rPr>
            </w:pPr>
          </w:p>
        </w:tc>
        <w:tc>
          <w:tcPr>
            <w:tcW w:w="998" w:type="dxa"/>
            <w:vMerge/>
            <w:tcBorders>
              <w:top w:val="single" w:sz="8" w:space="0" w:color="auto"/>
              <w:left w:val="single" w:sz="8" w:space="0" w:color="auto"/>
              <w:bottom w:val="single" w:sz="8" w:space="0" w:color="000000"/>
              <w:right w:val="single" w:sz="8" w:space="0" w:color="auto"/>
            </w:tcBorders>
            <w:vAlign w:val="center"/>
            <w:hideMark/>
          </w:tcPr>
          <w:p w:rsidR="00C61CA7" w:rsidRPr="00044D1D" w:rsidRDefault="00C61CA7" w:rsidP="00A816E4">
            <w:pPr>
              <w:rPr>
                <w:b/>
                <w:bCs/>
                <w:color w:val="FFFFFF"/>
                <w:sz w:val="20"/>
                <w:szCs w:val="22"/>
                <w:lang w:val="es-GT" w:eastAsia="es-GT"/>
              </w:rPr>
            </w:pPr>
          </w:p>
        </w:tc>
        <w:tc>
          <w:tcPr>
            <w:tcW w:w="1078" w:type="dxa"/>
            <w:vMerge/>
            <w:tcBorders>
              <w:top w:val="single" w:sz="8" w:space="0" w:color="auto"/>
              <w:left w:val="single" w:sz="8" w:space="0" w:color="auto"/>
              <w:bottom w:val="single" w:sz="8" w:space="0" w:color="000000"/>
              <w:right w:val="single" w:sz="8" w:space="0" w:color="auto"/>
            </w:tcBorders>
            <w:vAlign w:val="center"/>
            <w:hideMark/>
          </w:tcPr>
          <w:p w:rsidR="00C61CA7" w:rsidRPr="00044D1D" w:rsidRDefault="00C61CA7" w:rsidP="00A816E4">
            <w:pPr>
              <w:rPr>
                <w:b/>
                <w:bCs/>
                <w:color w:val="FFFFFF"/>
                <w:sz w:val="20"/>
                <w:szCs w:val="22"/>
                <w:lang w:val="es-GT" w:eastAsia="es-GT"/>
              </w:rPr>
            </w:pPr>
          </w:p>
        </w:tc>
        <w:tc>
          <w:tcPr>
            <w:tcW w:w="998" w:type="dxa"/>
            <w:tcBorders>
              <w:top w:val="nil"/>
              <w:left w:val="nil"/>
              <w:bottom w:val="single" w:sz="8" w:space="0" w:color="auto"/>
              <w:right w:val="single" w:sz="8" w:space="0" w:color="auto"/>
            </w:tcBorders>
            <w:shd w:val="clear" w:color="000000" w:fill="1F497D"/>
            <w:vAlign w:val="center"/>
            <w:hideMark/>
          </w:tcPr>
          <w:p w:rsidR="00C61CA7" w:rsidRPr="00044D1D" w:rsidRDefault="00C61CA7" w:rsidP="00A816E4">
            <w:pPr>
              <w:jc w:val="center"/>
              <w:rPr>
                <w:b/>
                <w:bCs/>
                <w:color w:val="FFFFFF"/>
                <w:sz w:val="20"/>
                <w:szCs w:val="22"/>
                <w:lang w:val="es-GT" w:eastAsia="es-GT"/>
              </w:rPr>
            </w:pPr>
            <w:r w:rsidRPr="00044D1D">
              <w:rPr>
                <w:b/>
                <w:bCs/>
                <w:color w:val="FFFFFF"/>
                <w:sz w:val="20"/>
                <w:szCs w:val="22"/>
                <w:lang w:val="es-GT" w:eastAsia="es-GT"/>
              </w:rPr>
              <w:t>Absoluta</w:t>
            </w:r>
          </w:p>
        </w:tc>
        <w:tc>
          <w:tcPr>
            <w:tcW w:w="1239" w:type="dxa"/>
            <w:tcBorders>
              <w:top w:val="nil"/>
              <w:left w:val="nil"/>
              <w:bottom w:val="single" w:sz="8" w:space="0" w:color="auto"/>
              <w:right w:val="nil"/>
            </w:tcBorders>
            <w:shd w:val="clear" w:color="000000" w:fill="1F497D"/>
            <w:vAlign w:val="center"/>
            <w:hideMark/>
          </w:tcPr>
          <w:p w:rsidR="00C61CA7" w:rsidRPr="00044D1D" w:rsidRDefault="00C61CA7" w:rsidP="00A816E4">
            <w:pPr>
              <w:jc w:val="center"/>
              <w:rPr>
                <w:b/>
                <w:bCs/>
                <w:color w:val="FFFFFF"/>
                <w:sz w:val="20"/>
                <w:szCs w:val="22"/>
                <w:lang w:val="es-GT" w:eastAsia="es-GT"/>
              </w:rPr>
            </w:pPr>
            <w:r w:rsidRPr="00044D1D">
              <w:rPr>
                <w:b/>
                <w:bCs/>
                <w:color w:val="FFFFFF"/>
                <w:sz w:val="20"/>
                <w:szCs w:val="22"/>
                <w:lang w:val="es-GT" w:eastAsia="es-GT"/>
              </w:rPr>
              <w:t>Relativa</w:t>
            </w:r>
          </w:p>
        </w:tc>
      </w:tr>
      <w:tr w:rsidR="00C61CA7" w:rsidRPr="00044D1D" w:rsidTr="002A6FBF">
        <w:trPr>
          <w:trHeight w:val="679"/>
        </w:trPr>
        <w:tc>
          <w:tcPr>
            <w:tcW w:w="4701" w:type="dxa"/>
            <w:tcBorders>
              <w:top w:val="nil"/>
              <w:left w:val="nil"/>
              <w:bottom w:val="single" w:sz="8" w:space="0" w:color="auto"/>
              <w:right w:val="single" w:sz="8" w:space="0" w:color="auto"/>
            </w:tcBorders>
            <w:shd w:val="clear" w:color="000000" w:fill="1F497D"/>
            <w:vAlign w:val="center"/>
            <w:hideMark/>
          </w:tcPr>
          <w:p w:rsidR="00C61CA7" w:rsidRPr="00044D1D" w:rsidRDefault="00C61CA7" w:rsidP="002A6FBF">
            <w:pPr>
              <w:ind w:firstLineChars="100" w:firstLine="201"/>
              <w:rPr>
                <w:b/>
                <w:bCs/>
                <w:color w:val="FFFFFF"/>
                <w:sz w:val="20"/>
                <w:szCs w:val="22"/>
                <w:lang w:val="es-GT" w:eastAsia="es-GT"/>
              </w:rPr>
            </w:pPr>
            <w:r w:rsidRPr="00044D1D">
              <w:rPr>
                <w:b/>
                <w:bCs/>
                <w:color w:val="FFFFFF"/>
                <w:sz w:val="20"/>
                <w:szCs w:val="22"/>
                <w:lang w:val="es-GT" w:eastAsia="es-GT"/>
              </w:rPr>
              <w:t>IMPUESTOS ASOCIADOS AL COMERCIO EXTERIOR</w:t>
            </w:r>
          </w:p>
        </w:tc>
        <w:tc>
          <w:tcPr>
            <w:tcW w:w="998" w:type="dxa"/>
            <w:tcBorders>
              <w:top w:val="nil"/>
              <w:left w:val="nil"/>
              <w:bottom w:val="single" w:sz="8" w:space="0" w:color="auto"/>
              <w:right w:val="single" w:sz="8" w:space="0" w:color="auto"/>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18,020.4</w:t>
            </w:r>
          </w:p>
        </w:tc>
        <w:tc>
          <w:tcPr>
            <w:tcW w:w="1078" w:type="dxa"/>
            <w:tcBorders>
              <w:top w:val="nil"/>
              <w:left w:val="nil"/>
              <w:bottom w:val="single" w:sz="8" w:space="0" w:color="auto"/>
              <w:right w:val="single" w:sz="8" w:space="0" w:color="auto"/>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16,575.3</w:t>
            </w:r>
          </w:p>
        </w:tc>
        <w:tc>
          <w:tcPr>
            <w:tcW w:w="998" w:type="dxa"/>
            <w:tcBorders>
              <w:top w:val="nil"/>
              <w:left w:val="nil"/>
              <w:bottom w:val="single" w:sz="8" w:space="0" w:color="auto"/>
              <w:right w:val="single" w:sz="8" w:space="0" w:color="auto"/>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-1,445.1</w:t>
            </w:r>
          </w:p>
        </w:tc>
        <w:tc>
          <w:tcPr>
            <w:tcW w:w="1239" w:type="dxa"/>
            <w:tcBorders>
              <w:top w:val="nil"/>
              <w:left w:val="nil"/>
              <w:bottom w:val="single" w:sz="8" w:space="0" w:color="auto"/>
              <w:right w:val="nil"/>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-8.0%</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Impuesto al Valor Agregado de Importaciones</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15,308.9</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14,087.9</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-1,220.9</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-8.0%</w:t>
            </w:r>
          </w:p>
        </w:tc>
      </w:tr>
      <w:tr w:rsidR="00C61CA7" w:rsidRPr="00044D1D" w:rsidTr="00A816E4">
        <w:trPr>
          <w:trHeight w:val="264"/>
        </w:trPr>
        <w:tc>
          <w:tcPr>
            <w:tcW w:w="4701" w:type="dxa"/>
            <w:tcBorders>
              <w:top w:val="nil"/>
              <w:left w:val="nil"/>
              <w:bottom w:val="single" w:sz="8" w:space="0" w:color="auto"/>
              <w:right w:val="nil"/>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Derechos Arancelarios a la Importación</w:t>
            </w:r>
          </w:p>
        </w:tc>
        <w:tc>
          <w:tcPr>
            <w:tcW w:w="998" w:type="dxa"/>
            <w:tcBorders>
              <w:top w:val="nil"/>
              <w:left w:val="single" w:sz="8" w:space="0" w:color="auto"/>
              <w:bottom w:val="single" w:sz="8" w:space="0" w:color="auto"/>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2,711.5</w:t>
            </w:r>
          </w:p>
        </w:tc>
        <w:tc>
          <w:tcPr>
            <w:tcW w:w="1078" w:type="dxa"/>
            <w:tcBorders>
              <w:top w:val="nil"/>
              <w:left w:val="nil"/>
              <w:bottom w:val="single" w:sz="8" w:space="0" w:color="auto"/>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2,487.4</w:t>
            </w:r>
          </w:p>
        </w:tc>
        <w:tc>
          <w:tcPr>
            <w:tcW w:w="998" w:type="dxa"/>
            <w:tcBorders>
              <w:top w:val="nil"/>
              <w:left w:val="nil"/>
              <w:bottom w:val="single" w:sz="8" w:space="0" w:color="auto"/>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-224.2</w:t>
            </w:r>
          </w:p>
        </w:tc>
        <w:tc>
          <w:tcPr>
            <w:tcW w:w="1239" w:type="dxa"/>
            <w:tcBorders>
              <w:top w:val="nil"/>
              <w:left w:val="nil"/>
              <w:bottom w:val="single" w:sz="8" w:space="0" w:color="auto"/>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-8.3%</w:t>
            </w:r>
          </w:p>
        </w:tc>
      </w:tr>
      <w:tr w:rsidR="00C61CA7" w:rsidRPr="00044D1D" w:rsidTr="002A6FBF">
        <w:trPr>
          <w:trHeight w:val="428"/>
        </w:trPr>
        <w:tc>
          <w:tcPr>
            <w:tcW w:w="4701" w:type="dxa"/>
            <w:tcBorders>
              <w:top w:val="nil"/>
              <w:left w:val="nil"/>
              <w:bottom w:val="single" w:sz="8" w:space="0" w:color="auto"/>
              <w:right w:val="single" w:sz="8" w:space="0" w:color="auto"/>
            </w:tcBorders>
            <w:shd w:val="clear" w:color="000000" w:fill="1F497D"/>
            <w:vAlign w:val="center"/>
            <w:hideMark/>
          </w:tcPr>
          <w:p w:rsidR="00C61CA7" w:rsidRPr="00044D1D" w:rsidRDefault="00C61CA7" w:rsidP="00A816E4">
            <w:pPr>
              <w:ind w:firstLineChars="100" w:firstLine="201"/>
              <w:rPr>
                <w:b/>
                <w:bCs/>
                <w:color w:val="FFFFFF"/>
                <w:sz w:val="20"/>
                <w:szCs w:val="22"/>
                <w:lang w:val="es-GT" w:eastAsia="es-GT"/>
              </w:rPr>
            </w:pPr>
            <w:r w:rsidRPr="00044D1D">
              <w:rPr>
                <w:b/>
                <w:bCs/>
                <w:color w:val="FFFFFF"/>
                <w:sz w:val="20"/>
                <w:szCs w:val="22"/>
                <w:lang w:val="es-GT" w:eastAsia="es-GT"/>
              </w:rPr>
              <w:t>IMPUESTOS INTERNOS</w:t>
            </w:r>
          </w:p>
        </w:tc>
        <w:tc>
          <w:tcPr>
            <w:tcW w:w="998" w:type="dxa"/>
            <w:tcBorders>
              <w:top w:val="single" w:sz="8" w:space="0" w:color="auto"/>
              <w:left w:val="nil"/>
              <w:bottom w:val="single" w:sz="8" w:space="0" w:color="auto"/>
              <w:right w:val="single" w:sz="8" w:space="0" w:color="auto"/>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44,573.2</w:t>
            </w:r>
          </w:p>
        </w:tc>
        <w:tc>
          <w:tcPr>
            <w:tcW w:w="1078" w:type="dxa"/>
            <w:tcBorders>
              <w:top w:val="single" w:sz="8" w:space="0" w:color="auto"/>
              <w:left w:val="nil"/>
              <w:bottom w:val="single" w:sz="8" w:space="0" w:color="auto"/>
              <w:right w:val="single" w:sz="8" w:space="0" w:color="auto"/>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43,704.1</w:t>
            </w:r>
          </w:p>
        </w:tc>
        <w:tc>
          <w:tcPr>
            <w:tcW w:w="998" w:type="dxa"/>
            <w:tcBorders>
              <w:top w:val="nil"/>
              <w:left w:val="nil"/>
              <w:bottom w:val="single" w:sz="8" w:space="0" w:color="auto"/>
              <w:right w:val="single" w:sz="8" w:space="0" w:color="auto"/>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-869.1</w:t>
            </w:r>
          </w:p>
        </w:tc>
        <w:tc>
          <w:tcPr>
            <w:tcW w:w="1239" w:type="dxa"/>
            <w:tcBorders>
              <w:top w:val="nil"/>
              <w:left w:val="nil"/>
              <w:bottom w:val="single" w:sz="8" w:space="0" w:color="auto"/>
              <w:right w:val="nil"/>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-1.9%</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Sobre la Renta</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17,098.6</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16,749.0</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-349.6</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-2.0%</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Sobre Inmuebles y Otros sobre el Patrimonio</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42.2</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12.4</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-29.8</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-70.7%</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A las Empresas Mercantiles y Agropecuarias</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2.1</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1.9</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-0.2</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-8.2%</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Extraordinarios y Temporal de Apoyo a los Acuerdos de Paz</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63.1</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2.7</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-60.5</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-95.8%</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 xml:space="preserve">Impuesto de Solidaridad </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4,766.0</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5,067.4</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301.4</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6.3%</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Impuesto al Valor Agregado Doméstico</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14,611.2</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14,671.8</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60.6</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0.4%</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Distribución de Petróleo y sus Derivados</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3,743.4</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3,484.7</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-258.7</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-6.9%</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Timbres Fiscales</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451.5</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391.6</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-59.9</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-13.3%</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Circulación de Vehículos</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909.3</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903.0</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-6.3</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-0.7%</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Impuesto a la Primera Matrícula</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998.8</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835.8</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-163.1</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-16.3%</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Regalías e Hidrocarburos compartibles</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178.2</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117.8</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-60.4</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-33.9%</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Salidas del País</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338.1</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117.2</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-220.9</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-65.3%</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Distribución de Bebidas</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869.6</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895.4</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25.8</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3.0%</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Tabacos</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362.5</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298.6</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-63.9</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-17.6%</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Distribución de Cemento</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131.4</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147.2</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15.8</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12.1%</w:t>
            </w:r>
          </w:p>
        </w:tc>
      </w:tr>
      <w:tr w:rsidR="00C61CA7" w:rsidRPr="00044D1D" w:rsidTr="00A816E4">
        <w:trPr>
          <w:trHeight w:val="264"/>
        </w:trPr>
        <w:tc>
          <w:tcPr>
            <w:tcW w:w="4701" w:type="dxa"/>
            <w:tcBorders>
              <w:top w:val="nil"/>
              <w:left w:val="nil"/>
              <w:bottom w:val="nil"/>
              <w:right w:val="single" w:sz="8" w:space="0" w:color="auto"/>
            </w:tcBorders>
            <w:shd w:val="clear" w:color="000000" w:fill="F2F2F2"/>
            <w:vAlign w:val="center"/>
            <w:hideMark/>
          </w:tcPr>
          <w:p w:rsidR="00C61CA7" w:rsidRPr="00044D1D" w:rsidRDefault="00C61CA7" w:rsidP="00A816E4">
            <w:pPr>
              <w:rPr>
                <w:sz w:val="20"/>
                <w:szCs w:val="22"/>
                <w:lang w:val="es-GT" w:eastAsia="es-GT"/>
              </w:rPr>
            </w:pPr>
            <w:r w:rsidRPr="00044D1D">
              <w:rPr>
                <w:sz w:val="20"/>
                <w:szCs w:val="22"/>
                <w:lang w:val="es-GT" w:eastAsia="es-GT"/>
              </w:rPr>
              <w:t>Otros</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7.1</w:t>
            </w:r>
          </w:p>
        </w:tc>
        <w:tc>
          <w:tcPr>
            <w:tcW w:w="107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7.5</w:t>
            </w:r>
          </w:p>
        </w:tc>
        <w:tc>
          <w:tcPr>
            <w:tcW w:w="998" w:type="dxa"/>
            <w:tcBorders>
              <w:top w:val="nil"/>
              <w:left w:val="nil"/>
              <w:bottom w:val="nil"/>
              <w:right w:val="single" w:sz="8" w:space="0" w:color="auto"/>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0.4</w:t>
            </w:r>
          </w:p>
        </w:tc>
        <w:tc>
          <w:tcPr>
            <w:tcW w:w="1239" w:type="dxa"/>
            <w:tcBorders>
              <w:top w:val="nil"/>
              <w:left w:val="nil"/>
              <w:bottom w:val="nil"/>
              <w:right w:val="nil"/>
            </w:tcBorders>
            <w:shd w:val="clear" w:color="000000" w:fill="F2F2F2"/>
            <w:vAlign w:val="center"/>
            <w:hideMark/>
          </w:tcPr>
          <w:p w:rsidR="00C61CA7" w:rsidRPr="00044D1D" w:rsidRDefault="00C61CA7" w:rsidP="00A816E4">
            <w:pPr>
              <w:jc w:val="right"/>
              <w:rPr>
                <w:sz w:val="20"/>
                <w:szCs w:val="22"/>
                <w:lang w:val="es-GT" w:eastAsia="es-GT"/>
              </w:rPr>
            </w:pPr>
            <w:r w:rsidRPr="00044D1D">
              <w:rPr>
                <w:sz w:val="20"/>
                <w:szCs w:val="22"/>
                <w:lang w:val="es-GT" w:eastAsia="es-GT"/>
              </w:rPr>
              <w:t>5.9%</w:t>
            </w:r>
          </w:p>
        </w:tc>
      </w:tr>
      <w:tr w:rsidR="00C61CA7" w:rsidRPr="00044D1D" w:rsidTr="002A6FBF">
        <w:trPr>
          <w:trHeight w:val="380"/>
        </w:trPr>
        <w:tc>
          <w:tcPr>
            <w:tcW w:w="4701" w:type="dxa"/>
            <w:tcBorders>
              <w:top w:val="single" w:sz="8" w:space="0" w:color="auto"/>
              <w:left w:val="nil"/>
              <w:bottom w:val="single" w:sz="8" w:space="0" w:color="auto"/>
              <w:right w:val="single" w:sz="8" w:space="0" w:color="auto"/>
            </w:tcBorders>
            <w:shd w:val="clear" w:color="000000" w:fill="1F497D"/>
            <w:vAlign w:val="center"/>
            <w:hideMark/>
          </w:tcPr>
          <w:p w:rsidR="00C61CA7" w:rsidRPr="00044D1D" w:rsidRDefault="00C61CA7" w:rsidP="00A816E4">
            <w:pPr>
              <w:ind w:firstLineChars="100" w:firstLine="201"/>
              <w:rPr>
                <w:b/>
                <w:bCs/>
                <w:color w:val="FFFFFF"/>
                <w:sz w:val="20"/>
                <w:szCs w:val="22"/>
                <w:lang w:val="es-GT" w:eastAsia="es-GT"/>
              </w:rPr>
            </w:pPr>
            <w:r w:rsidRPr="00044D1D">
              <w:rPr>
                <w:b/>
                <w:bCs/>
                <w:color w:val="FFFFFF"/>
                <w:sz w:val="20"/>
                <w:szCs w:val="22"/>
                <w:lang w:val="es-GT" w:eastAsia="es-GT"/>
              </w:rPr>
              <w:t>TOTAL DE INGRESOS TRIBUTARIOS</w:t>
            </w:r>
          </w:p>
        </w:tc>
        <w:tc>
          <w:tcPr>
            <w:tcW w:w="998" w:type="dxa"/>
            <w:tcBorders>
              <w:top w:val="single" w:sz="8" w:space="0" w:color="auto"/>
              <w:left w:val="nil"/>
              <w:bottom w:val="single" w:sz="8" w:space="0" w:color="auto"/>
              <w:right w:val="single" w:sz="8" w:space="0" w:color="auto"/>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62,593.6</w:t>
            </w:r>
          </w:p>
        </w:tc>
        <w:tc>
          <w:tcPr>
            <w:tcW w:w="1078" w:type="dxa"/>
            <w:tcBorders>
              <w:top w:val="single" w:sz="8" w:space="0" w:color="auto"/>
              <w:left w:val="nil"/>
              <w:bottom w:val="single" w:sz="8" w:space="0" w:color="auto"/>
              <w:right w:val="single" w:sz="8" w:space="0" w:color="auto"/>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60,279.4</w:t>
            </w:r>
          </w:p>
        </w:tc>
        <w:tc>
          <w:tcPr>
            <w:tcW w:w="998" w:type="dxa"/>
            <w:tcBorders>
              <w:top w:val="single" w:sz="8" w:space="0" w:color="auto"/>
              <w:left w:val="nil"/>
              <w:bottom w:val="single" w:sz="8" w:space="0" w:color="auto"/>
              <w:right w:val="single" w:sz="8" w:space="0" w:color="auto"/>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-2,314.2</w:t>
            </w:r>
          </w:p>
        </w:tc>
        <w:tc>
          <w:tcPr>
            <w:tcW w:w="1239" w:type="dxa"/>
            <w:tcBorders>
              <w:top w:val="single" w:sz="8" w:space="0" w:color="auto"/>
              <w:left w:val="nil"/>
              <w:bottom w:val="single" w:sz="8" w:space="0" w:color="auto"/>
              <w:right w:val="nil"/>
            </w:tcBorders>
            <w:shd w:val="clear" w:color="000000" w:fill="1F497D"/>
            <w:vAlign w:val="center"/>
            <w:hideMark/>
          </w:tcPr>
          <w:p w:rsidR="00C61CA7" w:rsidRPr="00044D1D" w:rsidRDefault="00C61CA7" w:rsidP="00A816E4">
            <w:pPr>
              <w:jc w:val="right"/>
              <w:rPr>
                <w:b/>
                <w:bCs/>
                <w:color w:val="FFFFFF"/>
                <w:sz w:val="20"/>
                <w:szCs w:val="22"/>
                <w:lang w:val="es-GT" w:eastAsia="es-GT"/>
              </w:rPr>
            </w:pPr>
            <w:r w:rsidRPr="00044D1D">
              <w:rPr>
                <w:b/>
                <w:bCs/>
                <w:color w:val="FFFFFF"/>
                <w:sz w:val="20"/>
                <w:szCs w:val="22"/>
                <w:lang w:val="es-GT" w:eastAsia="es-GT"/>
              </w:rPr>
              <w:t>-3.7%</w:t>
            </w:r>
          </w:p>
        </w:tc>
      </w:tr>
    </w:tbl>
    <w:p w:rsidR="00C61CA7" w:rsidRPr="00F377B1" w:rsidRDefault="00C61CA7" w:rsidP="00C61CA7">
      <w:pPr>
        <w:tabs>
          <w:tab w:val="left" w:pos="426"/>
        </w:tabs>
        <w:rPr>
          <w:sz w:val="8"/>
        </w:rPr>
      </w:pPr>
    </w:p>
    <w:p w:rsidR="00C61CA7" w:rsidRPr="00DF1F42" w:rsidRDefault="00C61CA7" w:rsidP="00C61CA7">
      <w:pPr>
        <w:tabs>
          <w:tab w:val="left" w:pos="426"/>
        </w:tabs>
        <w:rPr>
          <w:sz w:val="18"/>
        </w:rPr>
      </w:pPr>
      <w:r w:rsidRPr="00DF1F42">
        <w:rPr>
          <w:sz w:val="18"/>
        </w:rPr>
        <w:t>* Cifras preliminares</w:t>
      </w:r>
    </w:p>
    <w:p w:rsidR="00C61CA7" w:rsidRPr="00DF1F42" w:rsidRDefault="00F167AA" w:rsidP="00C61CA7">
      <w:pPr>
        <w:rPr>
          <w:sz w:val="18"/>
          <w:lang w:val="es-GT"/>
        </w:rPr>
      </w:pPr>
      <w:r>
        <w:rPr>
          <w:sz w:val="18"/>
        </w:rPr>
        <w:t xml:space="preserve">   </w:t>
      </w:r>
      <w:r w:rsidR="00C61CA7" w:rsidRPr="00DF1F42">
        <w:rPr>
          <w:sz w:val="18"/>
        </w:rPr>
        <w:t>Fuente: Ministerio de Finanzas Públicas.</w:t>
      </w:r>
    </w:p>
    <w:p w:rsidR="00C61CA7" w:rsidRDefault="00C61CA7" w:rsidP="00C61CA7">
      <w:pPr>
        <w:autoSpaceDE w:val="0"/>
        <w:autoSpaceDN w:val="0"/>
        <w:adjustRightInd w:val="0"/>
        <w:jc w:val="both"/>
      </w:pPr>
    </w:p>
    <w:p w:rsidR="00C61CA7" w:rsidRPr="002A6FBF" w:rsidRDefault="00C61CA7" w:rsidP="00C61CA7">
      <w:pPr>
        <w:autoSpaceDE w:val="0"/>
        <w:autoSpaceDN w:val="0"/>
        <w:adjustRightInd w:val="0"/>
        <w:jc w:val="both"/>
        <w:rPr>
          <w:sz w:val="14"/>
        </w:rPr>
      </w:pPr>
    </w:p>
    <w:p w:rsidR="00C61CA7" w:rsidRPr="00F377B1" w:rsidRDefault="00C61CA7" w:rsidP="00C61CA7">
      <w:pPr>
        <w:jc w:val="both"/>
      </w:pPr>
      <w:r w:rsidRPr="00BC5DA6">
        <w:t xml:space="preserve">Como resultado </w:t>
      </w:r>
      <w:r>
        <w:t xml:space="preserve">de la disminución de </w:t>
      </w:r>
      <w:r w:rsidRPr="00CC4977">
        <w:rPr>
          <w:rFonts w:eastAsia="OptimaLTStd"/>
          <w:color w:val="000000"/>
          <w:lang w:val="es-MX"/>
        </w:rPr>
        <w:t xml:space="preserve">los ingresos </w:t>
      </w:r>
      <w:r>
        <w:rPr>
          <w:rFonts w:eastAsia="OptimaLTStd"/>
          <w:color w:val="000000"/>
          <w:lang w:val="es-MX"/>
        </w:rPr>
        <w:t>tributarios</w:t>
      </w:r>
      <w:r w:rsidRPr="00BC5DA6">
        <w:t>, la carga tributaria mostró una caída de 0.</w:t>
      </w:r>
      <w:r>
        <w:t>7</w:t>
      </w:r>
      <w:r w:rsidRPr="00BC5DA6">
        <w:t xml:space="preserve">% respecto de 2019, producto de una serie de factores que afectaron el nivel de recaudación; entre estos se destacan: </w:t>
      </w:r>
      <w:r w:rsidRPr="00CC4977">
        <w:rPr>
          <w:rFonts w:eastAsia="OptimaLTStd"/>
          <w:color w:val="000000"/>
          <w:lang w:val="es-MX"/>
        </w:rPr>
        <w:t>la fuerte contracción de la actividad económica</w:t>
      </w:r>
      <w:r>
        <w:rPr>
          <w:rFonts w:eastAsia="OptimaLTStd"/>
          <w:color w:val="000000"/>
          <w:lang w:val="es-MX"/>
        </w:rPr>
        <w:t xml:space="preserve"> por las restricciones a la movilidad para la contención de la pandemia</w:t>
      </w:r>
      <w:r w:rsidR="00EA26AF">
        <w:rPr>
          <w:rFonts w:eastAsia="OptimaLTStd"/>
          <w:color w:val="000000"/>
          <w:lang w:val="es-MX"/>
        </w:rPr>
        <w:t xml:space="preserve"> del Covid-19</w:t>
      </w:r>
      <w:r>
        <w:rPr>
          <w:rFonts w:eastAsia="OptimaLTStd"/>
          <w:color w:val="000000"/>
          <w:lang w:val="es-MX"/>
        </w:rPr>
        <w:t xml:space="preserve">, disminución en los </w:t>
      </w:r>
      <w:r w:rsidRPr="00CC4977">
        <w:rPr>
          <w:rFonts w:eastAsia="OptimaLTStd"/>
          <w:color w:val="000000"/>
          <w:lang w:val="es-MX"/>
        </w:rPr>
        <w:t>precios de las materias primas</w:t>
      </w:r>
      <w:r>
        <w:rPr>
          <w:rFonts w:eastAsia="OptimaLTStd"/>
          <w:color w:val="000000"/>
          <w:lang w:val="es-MX"/>
        </w:rPr>
        <w:t>, particularmente los combustibles, y la reducción en el flujo de importaciones</w:t>
      </w:r>
      <w:r w:rsidRPr="00BC5DA6">
        <w:t xml:space="preserve">, elementos </w:t>
      </w:r>
      <w:r>
        <w:t>que influyeron negativamente en el comportamiento del</w:t>
      </w:r>
      <w:r w:rsidRPr="00BC5DA6">
        <w:t xml:space="preserve"> indicador.</w:t>
      </w:r>
    </w:p>
    <w:p w:rsidR="00C61CA7" w:rsidRDefault="00C61CA7" w:rsidP="00C61CA7">
      <w:pPr>
        <w:jc w:val="both"/>
        <w:rPr>
          <w:rFonts w:eastAsia="Calibri"/>
          <w:lang w:val="es-GT" w:eastAsia="es-GT"/>
        </w:rPr>
      </w:pPr>
    </w:p>
    <w:p w:rsidR="002A6FBF" w:rsidRDefault="002A6FBF" w:rsidP="00C61CA7">
      <w:pPr>
        <w:jc w:val="both"/>
        <w:rPr>
          <w:rFonts w:eastAsia="Calibri"/>
          <w:lang w:val="es-GT" w:eastAsia="es-GT"/>
        </w:rPr>
      </w:pPr>
    </w:p>
    <w:p w:rsidR="002A6FBF" w:rsidRDefault="002A6FBF" w:rsidP="00C61CA7">
      <w:pPr>
        <w:jc w:val="both"/>
        <w:rPr>
          <w:rFonts w:eastAsia="Calibri"/>
          <w:lang w:val="es-GT" w:eastAsia="es-GT"/>
        </w:rPr>
      </w:pPr>
    </w:p>
    <w:p w:rsidR="002A6FBF" w:rsidRDefault="002A6FBF" w:rsidP="00C61CA7">
      <w:pPr>
        <w:jc w:val="both"/>
        <w:rPr>
          <w:rFonts w:eastAsia="Calibri"/>
          <w:lang w:val="es-GT" w:eastAsia="es-GT"/>
        </w:rPr>
      </w:pPr>
    </w:p>
    <w:p w:rsidR="00C61CA7" w:rsidRPr="00124AD6" w:rsidRDefault="00C61CA7" w:rsidP="00C61CA7">
      <w:pPr>
        <w:jc w:val="center"/>
        <w:rPr>
          <w:b/>
          <w:lang w:val="es-GT"/>
        </w:rPr>
      </w:pPr>
      <w:r w:rsidRPr="00124AD6">
        <w:rPr>
          <w:b/>
          <w:lang w:val="es-GT"/>
        </w:rPr>
        <w:t xml:space="preserve">Gráfica </w:t>
      </w:r>
      <w:r>
        <w:rPr>
          <w:b/>
          <w:lang w:val="es-GT"/>
        </w:rPr>
        <w:t>10</w:t>
      </w:r>
    </w:p>
    <w:p w:rsidR="00C61CA7" w:rsidRPr="00124AD6" w:rsidRDefault="00C61CA7" w:rsidP="00C61CA7">
      <w:pPr>
        <w:pStyle w:val="NormalWeb"/>
        <w:spacing w:before="0" w:beforeAutospacing="0" w:after="0" w:afterAutospacing="0"/>
        <w:jc w:val="center"/>
        <w:rPr>
          <w:rFonts w:eastAsia="+mn-ea"/>
          <w:b/>
          <w:bCs/>
          <w:color w:val="000000"/>
          <w:kern w:val="24"/>
        </w:rPr>
      </w:pPr>
      <w:r w:rsidRPr="00124AD6">
        <w:rPr>
          <w:rFonts w:eastAsia="+mn-ea"/>
          <w:b/>
          <w:bCs/>
          <w:color w:val="000000"/>
          <w:kern w:val="24"/>
        </w:rPr>
        <w:t>Carga Tributaria 20</w:t>
      </w:r>
      <w:r>
        <w:rPr>
          <w:rFonts w:eastAsia="+mn-ea"/>
          <w:b/>
          <w:bCs/>
          <w:color w:val="000000"/>
          <w:kern w:val="24"/>
        </w:rPr>
        <w:t xml:space="preserve">13 </w:t>
      </w:r>
      <w:r w:rsidR="00EA26AF">
        <w:rPr>
          <w:rFonts w:eastAsia="+mn-ea"/>
          <w:b/>
          <w:bCs/>
          <w:color w:val="000000"/>
          <w:kern w:val="24"/>
        </w:rPr>
        <w:t>-</w:t>
      </w:r>
      <w:r>
        <w:rPr>
          <w:rFonts w:eastAsia="+mn-ea"/>
          <w:b/>
          <w:bCs/>
          <w:color w:val="000000"/>
          <w:kern w:val="24"/>
        </w:rPr>
        <w:t xml:space="preserve"> 2020*</w:t>
      </w:r>
    </w:p>
    <w:p w:rsidR="00C61CA7" w:rsidRPr="00124AD6" w:rsidRDefault="00C61CA7" w:rsidP="00C61CA7">
      <w:pPr>
        <w:pStyle w:val="NormalWeb"/>
        <w:spacing w:before="0" w:beforeAutospacing="0" w:after="0" w:afterAutospacing="0"/>
        <w:jc w:val="center"/>
      </w:pPr>
      <w:r>
        <w:rPr>
          <w:rFonts w:eastAsia="+mn-ea"/>
          <w:b/>
          <w:bCs/>
          <w:color w:val="000000"/>
          <w:kern w:val="24"/>
        </w:rPr>
        <w:t>Porcentaje</w:t>
      </w:r>
      <w:r w:rsidR="00EA26AF">
        <w:rPr>
          <w:rFonts w:eastAsia="+mn-ea"/>
          <w:b/>
          <w:bCs/>
          <w:color w:val="000000"/>
          <w:kern w:val="24"/>
        </w:rPr>
        <w:t>s</w:t>
      </w:r>
      <w:r>
        <w:rPr>
          <w:rFonts w:eastAsia="+mn-ea"/>
          <w:b/>
          <w:bCs/>
          <w:color w:val="000000"/>
          <w:kern w:val="24"/>
        </w:rPr>
        <w:t xml:space="preserve"> del PIB</w:t>
      </w:r>
    </w:p>
    <w:p w:rsidR="00C61CA7" w:rsidRDefault="00C61CA7" w:rsidP="00C61CA7">
      <w:pPr>
        <w:ind w:firstLine="66"/>
      </w:pPr>
      <w:r>
        <w:rPr>
          <w:noProof/>
          <w:lang w:val="es-GT" w:eastAsia="es-GT"/>
        </w:rPr>
        <w:drawing>
          <wp:inline distT="0" distB="0" distL="0" distR="0" wp14:anchorId="705FBA40" wp14:editId="23791DB1">
            <wp:extent cx="5983834" cy="3730752"/>
            <wp:effectExtent l="0" t="0" r="0" b="3175"/>
            <wp:docPr id="24" name="Gráfico 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61CA7" w:rsidRPr="00DF1F42" w:rsidRDefault="004E1914" w:rsidP="00C61CA7">
      <w:pPr>
        <w:ind w:firstLine="66"/>
        <w:rPr>
          <w:sz w:val="18"/>
        </w:rPr>
      </w:pPr>
      <w:r w:rsidRPr="00DF1F42">
        <w:rPr>
          <w:sz w:val="18"/>
        </w:rPr>
        <w:t xml:space="preserve">                       </w:t>
      </w:r>
      <w:r w:rsidR="00C61CA7" w:rsidRPr="00DF1F42">
        <w:rPr>
          <w:sz w:val="18"/>
        </w:rPr>
        <w:t>*Cifras preliminares</w:t>
      </w:r>
    </w:p>
    <w:p w:rsidR="00C61CA7" w:rsidRPr="00DF1F42" w:rsidRDefault="004E1914" w:rsidP="00C61CA7">
      <w:pPr>
        <w:ind w:firstLine="66"/>
        <w:rPr>
          <w:sz w:val="18"/>
        </w:rPr>
      </w:pPr>
      <w:r w:rsidRPr="00DF1F42">
        <w:rPr>
          <w:sz w:val="18"/>
        </w:rPr>
        <w:t xml:space="preserve">                         </w:t>
      </w:r>
      <w:r w:rsidR="00C61CA7" w:rsidRPr="00DF1F42">
        <w:rPr>
          <w:sz w:val="18"/>
        </w:rPr>
        <w:t>Fuente: Ministerio de Finanzas Públicas.</w:t>
      </w:r>
      <w:bookmarkEnd w:id="3"/>
    </w:p>
    <w:p w:rsidR="00C61CA7" w:rsidRDefault="00C61CA7"/>
    <w:p w:rsidR="003E15D6" w:rsidRPr="00927B21" w:rsidRDefault="003E15D6">
      <w:pPr>
        <w:rPr>
          <w:sz w:val="28"/>
        </w:rPr>
      </w:pPr>
    </w:p>
    <w:p w:rsidR="006A75DE" w:rsidRPr="00927B21" w:rsidRDefault="006A75DE" w:rsidP="00C774F3">
      <w:pPr>
        <w:pStyle w:val="Ttulo2"/>
        <w:numPr>
          <w:ilvl w:val="0"/>
          <w:numId w:val="3"/>
        </w:numPr>
        <w:spacing w:line="276" w:lineRule="auto"/>
        <w:ind w:left="567" w:hanging="567"/>
        <w:rPr>
          <w:rFonts w:ascii="Times New Roman" w:hAnsi="Times New Roman"/>
          <w:color w:val="000000" w:themeColor="text1"/>
          <w:sz w:val="24"/>
          <w:szCs w:val="24"/>
        </w:rPr>
      </w:pPr>
      <w:bookmarkStart w:id="20" w:name="_Toc514399371"/>
      <w:bookmarkStart w:id="21" w:name="_Toc441675753"/>
      <w:bookmarkStart w:id="22" w:name="_Toc482339305"/>
      <w:bookmarkStart w:id="23" w:name="_Toc65826754"/>
      <w:bookmarkEnd w:id="0"/>
      <w:r w:rsidRPr="00927B21">
        <w:rPr>
          <w:rFonts w:ascii="Times New Roman" w:hAnsi="Times New Roman"/>
          <w:color w:val="000000" w:themeColor="text1"/>
          <w:sz w:val="24"/>
          <w:szCs w:val="24"/>
        </w:rPr>
        <w:t>Deuda Pública</w:t>
      </w:r>
      <w:bookmarkEnd w:id="20"/>
      <w:bookmarkEnd w:id="23"/>
    </w:p>
    <w:p w:rsidR="006A75DE" w:rsidRDefault="006A75DE" w:rsidP="006A75DE"/>
    <w:p w:rsidR="00D548CF" w:rsidRDefault="00D548CF" w:rsidP="00D548CF">
      <w:pPr>
        <w:jc w:val="both"/>
      </w:pPr>
      <w:r>
        <w:t>Para 2019 el promedio de la deuda pública como porcentaje del PIB se mantuvo en 24.6%; para este mismo año la deuda llegó al 26.6% y al 31 de diciembre de 2020, de forma preliminar el porcentaje pasó a 31.6%, por lo que el promedio se incrementó a 25.1%, esto como resultado de la crisis provocada por la pandemia del Covid-19, que ocasionó que a partir de marzo</w:t>
      </w:r>
      <w:r w:rsidR="0075298C">
        <w:t xml:space="preserve"> de 2020</w:t>
      </w:r>
      <w:r>
        <w:t xml:space="preserve"> los ingresos empezaran a debilitarse, por lo que fue necesario acudir al endeudamiento público bajo el programa “</w:t>
      </w:r>
      <w:r w:rsidRPr="00557291">
        <w:rPr>
          <w:i/>
        </w:rPr>
        <w:t>Atención por Desastres Naturales y Calamidades Públicas</w:t>
      </w:r>
      <w:r>
        <w:rPr>
          <w:i/>
        </w:rPr>
        <w:t>”</w:t>
      </w:r>
      <w:r>
        <w:t>, sub programa “</w:t>
      </w:r>
      <w:r w:rsidRPr="00557291">
        <w:rPr>
          <w:i/>
        </w:rPr>
        <w:t>Estado de Calamidad Pública por Emergencia C</w:t>
      </w:r>
      <w:r>
        <w:rPr>
          <w:i/>
        </w:rPr>
        <w:t>ovid</w:t>
      </w:r>
      <w:r w:rsidRPr="00557291">
        <w:rPr>
          <w:i/>
        </w:rPr>
        <w:t>-19 (DG 5-2020)</w:t>
      </w:r>
      <w:r>
        <w:rPr>
          <w:i/>
        </w:rPr>
        <w:t>”</w:t>
      </w:r>
      <w:r>
        <w:t xml:space="preserve"> y bajo la actividad</w:t>
      </w:r>
      <w:r w:rsidR="0075298C">
        <w:t xml:space="preserve"> específica</w:t>
      </w:r>
      <w:r>
        <w:t xml:space="preserve"> “</w:t>
      </w:r>
      <w:r w:rsidRPr="00557291">
        <w:rPr>
          <w:i/>
        </w:rPr>
        <w:t xml:space="preserve">Intervenciones </w:t>
      </w:r>
      <w:r w:rsidR="0075298C">
        <w:rPr>
          <w:i/>
        </w:rPr>
        <w:t>r</w:t>
      </w:r>
      <w:r w:rsidRPr="00557291">
        <w:rPr>
          <w:i/>
        </w:rPr>
        <w:t>ealizadas para la atención de la emergencia C</w:t>
      </w:r>
      <w:r>
        <w:rPr>
          <w:i/>
        </w:rPr>
        <w:t>ovid</w:t>
      </w:r>
      <w:r w:rsidRPr="00557291">
        <w:rPr>
          <w:i/>
        </w:rPr>
        <w:t>-19</w:t>
      </w:r>
      <w:r>
        <w:rPr>
          <w:i/>
        </w:rPr>
        <w:t xml:space="preserve">”.  </w:t>
      </w:r>
      <w:r>
        <w:t>Vale indicar que el saldo de la deuda tuvo un incremento de Q.11,305.3 millones al 31 de diciembre de 2019, con un monto al cierre de Q.157,325.9 millones</w:t>
      </w:r>
      <w:r w:rsidR="0075298C">
        <w:t>;</w:t>
      </w:r>
      <w:r>
        <w:t xml:space="preserve"> en tanto que, al 31 de diciembre de 2020 se tiene un registro preliminar en el saldo de Q.189,189.5 millones, es decir, que el aumento (según el Reporte de Operaciones de Crédito Público), de forma preliminar es de Q.31,863.6 millones.</w:t>
      </w:r>
    </w:p>
    <w:p w:rsidR="00D548CF" w:rsidRDefault="00D548CF" w:rsidP="006A75DE"/>
    <w:p w:rsidR="00D01337" w:rsidRPr="002A6FBF" w:rsidRDefault="00D01337" w:rsidP="00011502">
      <w:pPr>
        <w:jc w:val="both"/>
        <w:rPr>
          <w:sz w:val="20"/>
        </w:rPr>
      </w:pPr>
    </w:p>
    <w:p w:rsidR="00011502" w:rsidRPr="00253E46" w:rsidRDefault="00011502" w:rsidP="00011502">
      <w:pPr>
        <w:jc w:val="center"/>
        <w:rPr>
          <w:b/>
          <w:lang w:val="es-MX"/>
        </w:rPr>
      </w:pPr>
      <w:r w:rsidRPr="00253E46">
        <w:rPr>
          <w:b/>
          <w:lang w:val="es-MX"/>
        </w:rPr>
        <w:t>Gráfica 11</w:t>
      </w:r>
    </w:p>
    <w:p w:rsidR="00011502" w:rsidRPr="00253E46" w:rsidRDefault="00011502" w:rsidP="00011502">
      <w:pPr>
        <w:jc w:val="center"/>
        <w:rPr>
          <w:b/>
          <w:lang w:val="es-MX"/>
        </w:rPr>
      </w:pPr>
      <w:r w:rsidRPr="00253E46">
        <w:rPr>
          <w:b/>
          <w:lang w:val="es-MX"/>
        </w:rPr>
        <w:t xml:space="preserve">Situación de la Deuda Pública; </w:t>
      </w:r>
      <w:r>
        <w:rPr>
          <w:b/>
          <w:lang w:val="es-MX"/>
        </w:rPr>
        <w:t>(P</w:t>
      </w:r>
      <w:r w:rsidRPr="00253E46">
        <w:rPr>
          <w:b/>
          <w:lang w:val="es-MX"/>
        </w:rPr>
        <w:t xml:space="preserve">orcentaje respecto </w:t>
      </w:r>
      <w:r>
        <w:rPr>
          <w:b/>
          <w:lang w:val="es-MX"/>
        </w:rPr>
        <w:t>del</w:t>
      </w:r>
      <w:r w:rsidRPr="00253E46">
        <w:rPr>
          <w:b/>
          <w:lang w:val="es-MX"/>
        </w:rPr>
        <w:t xml:space="preserve"> PIB</w:t>
      </w:r>
      <w:r>
        <w:rPr>
          <w:b/>
          <w:lang w:val="es-MX"/>
        </w:rPr>
        <w:t>)</w:t>
      </w:r>
    </w:p>
    <w:p w:rsidR="00011502" w:rsidRDefault="00011502" w:rsidP="00011502">
      <w:pPr>
        <w:jc w:val="center"/>
        <w:rPr>
          <w:b/>
          <w:lang w:val="es-MX"/>
        </w:rPr>
      </w:pPr>
      <w:r w:rsidRPr="00253E46">
        <w:rPr>
          <w:b/>
          <w:lang w:val="es-MX"/>
        </w:rPr>
        <w:t xml:space="preserve">2008 </w:t>
      </w:r>
      <w:r w:rsidR="00591B18">
        <w:rPr>
          <w:b/>
          <w:lang w:val="es-MX"/>
        </w:rPr>
        <w:t>-</w:t>
      </w:r>
      <w:r w:rsidRPr="00253E46">
        <w:rPr>
          <w:b/>
          <w:lang w:val="es-MX"/>
        </w:rPr>
        <w:t xml:space="preserve"> 20</w:t>
      </w:r>
      <w:r w:rsidR="00D548CF">
        <w:rPr>
          <w:b/>
          <w:lang w:val="es-MX"/>
        </w:rPr>
        <w:t>20</w:t>
      </w:r>
      <w:r w:rsidR="009D6339">
        <w:rPr>
          <w:b/>
          <w:lang w:val="es-MX"/>
        </w:rPr>
        <w:t>*</w:t>
      </w:r>
    </w:p>
    <w:p w:rsidR="00D548CF" w:rsidRDefault="00D548CF" w:rsidP="00011502">
      <w:pPr>
        <w:jc w:val="center"/>
        <w:rPr>
          <w:b/>
          <w:lang w:val="es-MX"/>
        </w:rPr>
      </w:pPr>
      <w:r>
        <w:rPr>
          <w:noProof/>
          <w:lang w:val="es-GT" w:eastAsia="es-GT"/>
        </w:rPr>
        <w:drawing>
          <wp:inline distT="0" distB="0" distL="0" distR="0" wp14:anchorId="7874CD1D" wp14:editId="33EDCC1E">
            <wp:extent cx="5947257" cy="3701491"/>
            <wp:effectExtent l="0" t="0" r="0" b="0"/>
            <wp:docPr id="3" name="Gráfico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EC62FAA0-64AA-4346-AFF4-9DF3D0D91F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11502" w:rsidRPr="00CF14DC" w:rsidRDefault="00011502" w:rsidP="00011502">
      <w:pPr>
        <w:ind w:firstLine="567"/>
        <w:rPr>
          <w:sz w:val="18"/>
          <w:lang w:val="es-MX"/>
        </w:rPr>
      </w:pPr>
      <w:r w:rsidRPr="00CF14DC">
        <w:rPr>
          <w:sz w:val="18"/>
          <w:lang w:val="es-MX"/>
        </w:rPr>
        <w:t>* Cifras preliminares</w:t>
      </w:r>
    </w:p>
    <w:p w:rsidR="00011502" w:rsidRDefault="0065502C" w:rsidP="00011502">
      <w:pPr>
        <w:ind w:firstLine="567"/>
        <w:rPr>
          <w:sz w:val="16"/>
          <w:lang w:val="es-MX"/>
        </w:rPr>
      </w:pPr>
      <w:r>
        <w:rPr>
          <w:sz w:val="18"/>
          <w:lang w:val="es-MX"/>
        </w:rPr>
        <w:t xml:space="preserve">   </w:t>
      </w:r>
      <w:r w:rsidR="00011502" w:rsidRPr="00CF14DC">
        <w:rPr>
          <w:sz w:val="18"/>
          <w:lang w:val="es-MX"/>
        </w:rPr>
        <w:t>Fuente: Ministerio de Finanzas Públicas</w:t>
      </w:r>
      <w:r w:rsidR="00011502">
        <w:rPr>
          <w:sz w:val="16"/>
          <w:lang w:val="es-MX"/>
        </w:rPr>
        <w:t>.</w:t>
      </w:r>
    </w:p>
    <w:p w:rsidR="00011502" w:rsidRPr="0003319E" w:rsidRDefault="00011502" w:rsidP="00011502">
      <w:pPr>
        <w:ind w:firstLine="567"/>
        <w:rPr>
          <w:lang w:val="es-MX"/>
        </w:rPr>
      </w:pPr>
    </w:p>
    <w:p w:rsidR="00011502" w:rsidRPr="0003319E" w:rsidRDefault="00011502" w:rsidP="00011502">
      <w:pPr>
        <w:ind w:firstLine="567"/>
        <w:rPr>
          <w:lang w:val="es-MX"/>
        </w:rPr>
      </w:pPr>
    </w:p>
    <w:p w:rsidR="00011502" w:rsidRPr="0050490D" w:rsidRDefault="0050490D" w:rsidP="0050490D">
      <w:pPr>
        <w:pStyle w:val="Ttulo3"/>
        <w:numPr>
          <w:ilvl w:val="0"/>
          <w:numId w:val="0"/>
        </w:numPr>
        <w:ind w:left="993" w:hanging="437"/>
        <w:rPr>
          <w:color w:val="auto"/>
        </w:rPr>
      </w:pPr>
      <w:bookmarkStart w:id="24" w:name="_Toc65826755"/>
      <w:r w:rsidRPr="0050490D">
        <w:rPr>
          <w:color w:val="auto"/>
        </w:rPr>
        <w:t>1</w:t>
      </w:r>
      <w:r w:rsidRPr="0050490D">
        <w:rPr>
          <w:color w:val="auto"/>
        </w:rPr>
        <w:tab/>
      </w:r>
      <w:r w:rsidR="00011502" w:rsidRPr="0050490D">
        <w:rPr>
          <w:color w:val="auto"/>
        </w:rPr>
        <w:t>Indicadores de la Deuda Pública</w:t>
      </w:r>
      <w:bookmarkEnd w:id="24"/>
    </w:p>
    <w:p w:rsidR="00011502" w:rsidRDefault="00011502" w:rsidP="00011502"/>
    <w:p w:rsidR="005E7C13" w:rsidRDefault="005E7C13" w:rsidP="005E7C13">
      <w:pPr>
        <w:pStyle w:val="Sinespaciado"/>
        <w:jc w:val="both"/>
        <w:rPr>
          <w:rFonts w:ascii="Times New Roman" w:hAnsi="Times New Roman" w:cs="Times New Roman"/>
        </w:rPr>
      </w:pPr>
      <w:r w:rsidRPr="00FA6B0D">
        <w:rPr>
          <w:rFonts w:ascii="Times New Roman" w:hAnsi="Times New Roman" w:cs="Times New Roman"/>
        </w:rPr>
        <w:t xml:space="preserve">Guatemala se </w:t>
      </w:r>
      <w:r>
        <w:rPr>
          <w:rFonts w:ascii="Times New Roman" w:hAnsi="Times New Roman" w:cs="Times New Roman"/>
        </w:rPr>
        <w:t xml:space="preserve">ubica en el límite de los </w:t>
      </w:r>
      <w:r w:rsidRPr="00FA6B0D">
        <w:rPr>
          <w:rFonts w:ascii="Times New Roman" w:hAnsi="Times New Roman" w:cs="Times New Roman"/>
        </w:rPr>
        <w:t>niveles</w:t>
      </w:r>
      <w:r>
        <w:rPr>
          <w:rFonts w:ascii="Times New Roman" w:hAnsi="Times New Roman" w:cs="Times New Roman"/>
        </w:rPr>
        <w:t xml:space="preserve"> máximos </w:t>
      </w:r>
      <w:r w:rsidRPr="00FA6B0D">
        <w:rPr>
          <w:rFonts w:ascii="Times New Roman" w:hAnsi="Times New Roman" w:cs="Times New Roman"/>
        </w:rPr>
        <w:t xml:space="preserve">de endeudamiento, </w:t>
      </w:r>
      <w:r>
        <w:rPr>
          <w:rFonts w:ascii="Times New Roman" w:hAnsi="Times New Roman" w:cs="Times New Roman"/>
        </w:rPr>
        <w:t xml:space="preserve">según lo establecen </w:t>
      </w:r>
      <w:r w:rsidRPr="00FA6B0D">
        <w:rPr>
          <w:rFonts w:ascii="Times New Roman" w:hAnsi="Times New Roman" w:cs="Times New Roman"/>
        </w:rPr>
        <w:t xml:space="preserve">los estándares internacionalmente aceptados, tanto en la proporción de los ingresos </w:t>
      </w:r>
      <w:r>
        <w:rPr>
          <w:rFonts w:ascii="Times New Roman" w:hAnsi="Times New Roman" w:cs="Times New Roman"/>
        </w:rPr>
        <w:t>tributarios,</w:t>
      </w:r>
      <w:r w:rsidRPr="00FA6B0D">
        <w:rPr>
          <w:rFonts w:ascii="Times New Roman" w:hAnsi="Times New Roman" w:cs="Times New Roman"/>
        </w:rPr>
        <w:t xml:space="preserve"> como en lo que respecta al porcentaje</w:t>
      </w:r>
      <w:r>
        <w:rPr>
          <w:rFonts w:ascii="Times New Roman" w:hAnsi="Times New Roman" w:cs="Times New Roman"/>
        </w:rPr>
        <w:t xml:space="preserve"> de la deuda sobre </w:t>
      </w:r>
      <w:r w:rsidRPr="00FA6B0D">
        <w:rPr>
          <w:rFonts w:ascii="Times New Roman" w:hAnsi="Times New Roman" w:cs="Times New Roman"/>
        </w:rPr>
        <w:t>el P</w:t>
      </w:r>
      <w:r w:rsidR="0033237C">
        <w:rPr>
          <w:rFonts w:ascii="Times New Roman" w:hAnsi="Times New Roman" w:cs="Times New Roman"/>
        </w:rPr>
        <w:t>roducto Interno Bruto (P</w:t>
      </w:r>
      <w:r w:rsidRPr="00FA6B0D">
        <w:rPr>
          <w:rFonts w:ascii="Times New Roman" w:hAnsi="Times New Roman" w:cs="Times New Roman"/>
        </w:rPr>
        <w:t>IB</w:t>
      </w:r>
      <w:r w:rsidR="0033237C">
        <w:rPr>
          <w:rFonts w:ascii="Times New Roman" w:hAnsi="Times New Roman" w:cs="Times New Roman"/>
        </w:rPr>
        <w:t>)</w:t>
      </w:r>
      <w:r w:rsidRPr="00FA6B0D">
        <w:rPr>
          <w:rFonts w:ascii="Times New Roman" w:hAnsi="Times New Roman" w:cs="Times New Roman"/>
        </w:rPr>
        <w:t>.</w:t>
      </w:r>
    </w:p>
    <w:p w:rsidR="005E7C13" w:rsidRDefault="005E7C13" w:rsidP="005E7C13">
      <w:pPr>
        <w:pStyle w:val="Sinespaciado"/>
        <w:jc w:val="both"/>
        <w:rPr>
          <w:rFonts w:ascii="Times New Roman" w:hAnsi="Times New Roman" w:cs="Times New Roman"/>
        </w:rPr>
      </w:pPr>
    </w:p>
    <w:p w:rsidR="005E7C13" w:rsidRPr="00954BC4" w:rsidRDefault="005E7C13" w:rsidP="005E7C13">
      <w:pPr>
        <w:pStyle w:val="Sinespaciado"/>
        <w:jc w:val="both"/>
        <w:rPr>
          <w:rFonts w:ascii="Times New Roman" w:hAnsi="Times New Roman" w:cs="Times New Roman"/>
          <w:b/>
        </w:rPr>
      </w:pPr>
      <w:r w:rsidRPr="00954BC4">
        <w:rPr>
          <w:rFonts w:ascii="Times New Roman" w:hAnsi="Times New Roman" w:cs="Times New Roman"/>
          <w:b/>
        </w:rPr>
        <w:t>Datos preliminares al 3</w:t>
      </w:r>
      <w:r>
        <w:rPr>
          <w:rFonts w:ascii="Times New Roman" w:hAnsi="Times New Roman" w:cs="Times New Roman"/>
          <w:b/>
        </w:rPr>
        <w:t>1</w:t>
      </w:r>
      <w:r w:rsidRPr="00954BC4">
        <w:rPr>
          <w:rFonts w:ascii="Times New Roman" w:hAnsi="Times New Roman" w:cs="Times New Roman"/>
          <w:b/>
        </w:rPr>
        <w:t xml:space="preserve"> de </w:t>
      </w:r>
      <w:r>
        <w:rPr>
          <w:rFonts w:ascii="Times New Roman" w:hAnsi="Times New Roman" w:cs="Times New Roman"/>
          <w:b/>
        </w:rPr>
        <w:t>dic</w:t>
      </w:r>
      <w:r w:rsidRPr="00954BC4">
        <w:rPr>
          <w:rFonts w:ascii="Times New Roman" w:hAnsi="Times New Roman" w:cs="Times New Roman"/>
          <w:b/>
        </w:rPr>
        <w:t>iembre de 20</w:t>
      </w:r>
      <w:r>
        <w:rPr>
          <w:rFonts w:ascii="Times New Roman" w:hAnsi="Times New Roman" w:cs="Times New Roman"/>
          <w:b/>
        </w:rPr>
        <w:t>20</w:t>
      </w:r>
    </w:p>
    <w:p w:rsidR="005E7C13" w:rsidRPr="00124AD6" w:rsidRDefault="005E7C13" w:rsidP="005E7C13">
      <w:pPr>
        <w:autoSpaceDE w:val="0"/>
        <w:autoSpaceDN w:val="0"/>
        <w:adjustRightInd w:val="0"/>
        <w:jc w:val="both"/>
      </w:pPr>
    </w:p>
    <w:p w:rsidR="005E7C13" w:rsidRDefault="005E7C13" w:rsidP="005E7C13">
      <w:pPr>
        <w:jc w:val="both"/>
        <w:rPr>
          <w:lang w:val="es-MX"/>
        </w:rPr>
      </w:pPr>
      <w:r w:rsidRPr="00124AD6">
        <w:rPr>
          <w:lang w:val="es-MX"/>
        </w:rPr>
        <w:t xml:space="preserve">La distribución porcentual de la deuda </w:t>
      </w:r>
      <w:r>
        <w:rPr>
          <w:lang w:val="es-MX"/>
        </w:rPr>
        <w:t xml:space="preserve">interna y </w:t>
      </w:r>
      <w:r w:rsidRPr="00124AD6">
        <w:rPr>
          <w:lang w:val="es-MX"/>
        </w:rPr>
        <w:t>externa</w:t>
      </w:r>
      <w:r>
        <w:rPr>
          <w:lang w:val="es-MX"/>
        </w:rPr>
        <w:t xml:space="preserve"> </w:t>
      </w:r>
      <w:r w:rsidRPr="00124AD6">
        <w:rPr>
          <w:lang w:val="es-MX"/>
        </w:rPr>
        <w:t xml:space="preserve">se </w:t>
      </w:r>
      <w:r>
        <w:rPr>
          <w:lang w:val="es-MX"/>
        </w:rPr>
        <w:t xml:space="preserve">ubicó </w:t>
      </w:r>
      <w:r w:rsidRPr="00124AD6">
        <w:rPr>
          <w:lang w:val="es-MX"/>
        </w:rPr>
        <w:t>en 5</w:t>
      </w:r>
      <w:r>
        <w:rPr>
          <w:lang w:val="es-MX"/>
        </w:rPr>
        <w:t>5.4% y 44.6%, respectivamente</w:t>
      </w:r>
      <w:r w:rsidR="00521500">
        <w:rPr>
          <w:lang w:val="es-MX"/>
        </w:rPr>
        <w:t>,</w:t>
      </w:r>
      <w:r>
        <w:rPr>
          <w:lang w:val="es-MX"/>
        </w:rPr>
        <w:t xml:space="preserve"> en</w:t>
      </w:r>
      <w:r w:rsidR="00521500">
        <w:rPr>
          <w:lang w:val="es-MX"/>
        </w:rPr>
        <w:t xml:space="preserve"> el año</w:t>
      </w:r>
      <w:r>
        <w:rPr>
          <w:lang w:val="es-MX"/>
        </w:rPr>
        <w:t xml:space="preserve"> 2019</w:t>
      </w:r>
      <w:r w:rsidR="00521500">
        <w:rPr>
          <w:lang w:val="es-MX"/>
        </w:rPr>
        <w:t>;</w:t>
      </w:r>
      <w:r>
        <w:rPr>
          <w:lang w:val="es-MX"/>
        </w:rPr>
        <w:t xml:space="preserve"> en tanto que para finales del 2020 fue de 57.0</w:t>
      </w:r>
      <w:r w:rsidRPr="00124AD6">
        <w:rPr>
          <w:lang w:val="es-MX"/>
        </w:rPr>
        <w:t>% y 4</w:t>
      </w:r>
      <w:r>
        <w:rPr>
          <w:lang w:val="es-MX"/>
        </w:rPr>
        <w:t>3.0</w:t>
      </w:r>
      <w:r w:rsidRPr="00124AD6">
        <w:rPr>
          <w:lang w:val="es-MX"/>
        </w:rPr>
        <w:t>%</w:t>
      </w:r>
      <w:r>
        <w:rPr>
          <w:lang w:val="es-MX"/>
        </w:rPr>
        <w:t>, evidenciando el impacto de la crisis en la deuda interna</w:t>
      </w:r>
      <w:r w:rsidR="00521500">
        <w:rPr>
          <w:lang w:val="es-MX"/>
        </w:rPr>
        <w:t>, tomando como</w:t>
      </w:r>
      <w:r>
        <w:rPr>
          <w:lang w:val="es-MX"/>
        </w:rPr>
        <w:t xml:space="preserve"> base la información publicada en el Reporte de Operaciones de Crédito Público (ROCP)</w:t>
      </w:r>
      <w:r w:rsidR="00521500">
        <w:rPr>
          <w:lang w:val="es-MX"/>
        </w:rPr>
        <w:t>,</w:t>
      </w:r>
      <w:r>
        <w:rPr>
          <w:lang w:val="es-MX"/>
        </w:rPr>
        <w:t xml:space="preserve"> al 31 de diciembre de 2020.</w:t>
      </w:r>
    </w:p>
    <w:p w:rsidR="005E7C13" w:rsidRDefault="005E7C13" w:rsidP="005E7C13">
      <w:pPr>
        <w:jc w:val="both"/>
        <w:rPr>
          <w:lang w:val="es-MX"/>
        </w:rPr>
      </w:pPr>
    </w:p>
    <w:p w:rsidR="005E7C13" w:rsidRDefault="005E7C13" w:rsidP="005E7C13">
      <w:pPr>
        <w:jc w:val="both"/>
        <w:rPr>
          <w:lang w:val="es-MX"/>
        </w:rPr>
      </w:pPr>
      <w:r>
        <w:rPr>
          <w:lang w:val="es-MX"/>
        </w:rPr>
        <w:t xml:space="preserve">La composición de la deuda pública por tasa de interés, preliminarmente es de 81.3% a tasa fija y de 18.7% a tasa variable, según el informe de </w:t>
      </w:r>
      <w:r w:rsidR="00660B94">
        <w:rPr>
          <w:lang w:val="es-MX"/>
        </w:rPr>
        <w:t xml:space="preserve">la Dirección de </w:t>
      </w:r>
      <w:r>
        <w:rPr>
          <w:lang w:val="es-MX"/>
        </w:rPr>
        <w:t>Crédito Público</w:t>
      </w:r>
      <w:r w:rsidR="00660B94">
        <w:rPr>
          <w:lang w:val="es-MX"/>
        </w:rPr>
        <w:t xml:space="preserve"> </w:t>
      </w:r>
      <w:r>
        <w:rPr>
          <w:lang w:val="es-MX"/>
        </w:rPr>
        <w:t xml:space="preserve">al cierre </w:t>
      </w:r>
      <w:r>
        <w:rPr>
          <w:lang w:val="es-MX"/>
        </w:rPr>
        <w:lastRenderedPageBreak/>
        <w:t>preliminar de 2020</w:t>
      </w:r>
      <w:r w:rsidR="00660B94">
        <w:rPr>
          <w:lang w:val="es-MX"/>
        </w:rPr>
        <w:t>;</w:t>
      </w:r>
      <w:r>
        <w:rPr>
          <w:lang w:val="es-MX"/>
        </w:rPr>
        <w:t xml:space="preserve"> en tanto que para finales de 2019 se ubic</w:t>
      </w:r>
      <w:r w:rsidR="00660B94">
        <w:rPr>
          <w:lang w:val="es-MX"/>
        </w:rPr>
        <w:t>aba</w:t>
      </w:r>
      <w:r>
        <w:rPr>
          <w:lang w:val="es-MX"/>
        </w:rPr>
        <w:t xml:space="preserve"> así:</w:t>
      </w:r>
      <w:r w:rsidRPr="00124AD6">
        <w:rPr>
          <w:lang w:val="es-MX"/>
        </w:rPr>
        <w:t xml:space="preserve"> 7</w:t>
      </w:r>
      <w:r>
        <w:rPr>
          <w:lang w:val="es-MX"/>
        </w:rPr>
        <w:t>8.9</w:t>
      </w:r>
      <w:r w:rsidRPr="00124AD6">
        <w:rPr>
          <w:lang w:val="es-MX"/>
        </w:rPr>
        <w:t xml:space="preserve">% con tasa de interés fija </w:t>
      </w:r>
      <w:r>
        <w:rPr>
          <w:lang w:val="es-MX"/>
        </w:rPr>
        <w:t xml:space="preserve">y de </w:t>
      </w:r>
      <w:r w:rsidRPr="00124AD6">
        <w:rPr>
          <w:lang w:val="es-MX"/>
        </w:rPr>
        <w:t>2</w:t>
      </w:r>
      <w:r>
        <w:rPr>
          <w:lang w:val="es-MX"/>
        </w:rPr>
        <w:t>1.1</w:t>
      </w:r>
      <w:r w:rsidRPr="00124AD6">
        <w:rPr>
          <w:lang w:val="es-MX"/>
        </w:rPr>
        <w:t xml:space="preserve">% </w:t>
      </w:r>
      <w:r>
        <w:rPr>
          <w:lang w:val="es-MX"/>
        </w:rPr>
        <w:t>con tasa de interés variable</w:t>
      </w:r>
      <w:r w:rsidRPr="00124AD6">
        <w:rPr>
          <w:lang w:val="es-MX"/>
        </w:rPr>
        <w:t>.</w:t>
      </w:r>
    </w:p>
    <w:p w:rsidR="0096573F" w:rsidRDefault="0096573F" w:rsidP="005E7C13">
      <w:pPr>
        <w:jc w:val="both"/>
        <w:rPr>
          <w:lang w:val="es-MX"/>
        </w:rPr>
      </w:pPr>
    </w:p>
    <w:p w:rsidR="005E7C13" w:rsidRDefault="005E7C13" w:rsidP="005E7C13">
      <w:pPr>
        <w:jc w:val="both"/>
        <w:rPr>
          <w:lang w:val="es-MX"/>
        </w:rPr>
      </w:pPr>
      <w:r>
        <w:rPr>
          <w:lang w:val="es-MX"/>
        </w:rPr>
        <w:t xml:space="preserve">Asimismo, por tipo de moneda, el registro preliminar indica que la composición en moneda nacional es de 53.4% y en moneda extranjera es de 46.6%, mientras que, según el </w:t>
      </w:r>
      <w:r w:rsidR="009C2199">
        <w:rPr>
          <w:lang w:val="es-MX"/>
        </w:rPr>
        <w:t>Reporte de Operaciones de Crédito Público (</w:t>
      </w:r>
      <w:r>
        <w:rPr>
          <w:lang w:val="es-MX"/>
        </w:rPr>
        <w:t>ROCP</w:t>
      </w:r>
      <w:r w:rsidR="009C2199">
        <w:rPr>
          <w:lang w:val="es-MX"/>
        </w:rPr>
        <w:t>)</w:t>
      </w:r>
      <w:r>
        <w:rPr>
          <w:lang w:val="es-MX"/>
        </w:rPr>
        <w:t>, para 2019 fue así: en moneda nacional 51.4% y 48.6% en moneda extranjera.</w:t>
      </w:r>
    </w:p>
    <w:p w:rsidR="005E7C13" w:rsidRPr="0096573F" w:rsidRDefault="005E7C13" w:rsidP="005E7C13">
      <w:pPr>
        <w:jc w:val="both"/>
        <w:rPr>
          <w:sz w:val="32"/>
          <w:lang w:val="es-MX"/>
        </w:rPr>
      </w:pPr>
    </w:p>
    <w:p w:rsidR="005E7C13" w:rsidRDefault="005E7C13" w:rsidP="005E7C13">
      <w:pPr>
        <w:jc w:val="both"/>
        <w:rPr>
          <w:lang w:val="es-MX"/>
        </w:rPr>
      </w:pPr>
      <w:r>
        <w:rPr>
          <w:lang w:val="es-MX"/>
        </w:rPr>
        <w:t xml:space="preserve">En lo referente a la fuente de donde provienen los recursos, sea de Colocación de Bonos del Tesoro </w:t>
      </w:r>
      <w:r w:rsidR="009C2199">
        <w:rPr>
          <w:lang w:val="es-MX"/>
        </w:rPr>
        <w:t>o</w:t>
      </w:r>
      <w:r>
        <w:rPr>
          <w:lang w:val="es-MX"/>
        </w:rPr>
        <w:t xml:space="preserve"> de </w:t>
      </w:r>
      <w:r w:rsidR="009C2199">
        <w:rPr>
          <w:lang w:val="es-MX"/>
        </w:rPr>
        <w:t>p</w:t>
      </w:r>
      <w:r>
        <w:rPr>
          <w:lang w:val="es-MX"/>
        </w:rPr>
        <w:t>réstamos</w:t>
      </w:r>
      <w:r w:rsidR="009C2199">
        <w:rPr>
          <w:lang w:val="es-MX"/>
        </w:rPr>
        <w:t xml:space="preserve"> externos</w:t>
      </w:r>
      <w:r>
        <w:rPr>
          <w:lang w:val="es-MX"/>
        </w:rPr>
        <w:t>, preliminarmente se ubica en 78.9% y en 21.1%</w:t>
      </w:r>
      <w:r w:rsidR="009C2199">
        <w:rPr>
          <w:lang w:val="es-MX"/>
        </w:rPr>
        <w:t>,</w:t>
      </w:r>
      <w:r>
        <w:rPr>
          <w:lang w:val="es-MX"/>
        </w:rPr>
        <w:t xml:space="preserve"> respectivamente, mientras que a finales de 2019</w:t>
      </w:r>
      <w:r w:rsidR="009C2199">
        <w:rPr>
          <w:lang w:val="es-MX"/>
        </w:rPr>
        <w:t>,</w:t>
      </w:r>
      <w:r>
        <w:rPr>
          <w:lang w:val="es-MX"/>
        </w:rPr>
        <w:t xml:space="preserve"> la composición fue de 75.7% y 24.3%</w:t>
      </w:r>
      <w:r w:rsidR="009C2199">
        <w:rPr>
          <w:lang w:val="es-MX"/>
        </w:rPr>
        <w:t>,</w:t>
      </w:r>
      <w:r>
        <w:rPr>
          <w:lang w:val="es-MX"/>
        </w:rPr>
        <w:t xml:space="preserve"> en el mismo orden.</w:t>
      </w:r>
    </w:p>
    <w:p w:rsidR="005E7C13" w:rsidRDefault="005E7C13" w:rsidP="00011502">
      <w:pPr>
        <w:rPr>
          <w:lang w:val="es-MX"/>
        </w:rPr>
      </w:pPr>
    </w:p>
    <w:p w:rsidR="005E7C13" w:rsidRDefault="005E7C13" w:rsidP="00011502">
      <w:pPr>
        <w:rPr>
          <w:lang w:val="es-MX"/>
        </w:rPr>
      </w:pPr>
    </w:p>
    <w:p w:rsidR="0096573F" w:rsidRPr="005E7C13" w:rsidRDefault="0096573F" w:rsidP="00011502">
      <w:pPr>
        <w:rPr>
          <w:lang w:val="es-MX"/>
        </w:rPr>
      </w:pPr>
    </w:p>
    <w:p w:rsidR="00011502" w:rsidRPr="00253E46" w:rsidRDefault="00011502" w:rsidP="00011502">
      <w:pPr>
        <w:jc w:val="center"/>
        <w:rPr>
          <w:b/>
          <w:lang w:val="es-MX"/>
        </w:rPr>
      </w:pPr>
      <w:r w:rsidRPr="00253E46">
        <w:rPr>
          <w:b/>
          <w:lang w:val="es-MX"/>
        </w:rPr>
        <w:t>Gráfica 12</w:t>
      </w:r>
    </w:p>
    <w:p w:rsidR="00011502" w:rsidRDefault="00011502" w:rsidP="00011502">
      <w:pPr>
        <w:jc w:val="center"/>
        <w:rPr>
          <w:b/>
          <w:lang w:val="es-MX"/>
        </w:rPr>
      </w:pPr>
      <w:r w:rsidRPr="00253E46">
        <w:rPr>
          <w:b/>
          <w:lang w:val="es-MX"/>
        </w:rPr>
        <w:t>Composición de la Deuda Pública en Interna y Externa</w:t>
      </w:r>
    </w:p>
    <w:p w:rsidR="009C2199" w:rsidRPr="00253E46" w:rsidRDefault="009C2199" w:rsidP="00011502">
      <w:pPr>
        <w:jc w:val="center"/>
        <w:rPr>
          <w:b/>
          <w:lang w:val="es-MX"/>
        </w:rPr>
      </w:pPr>
      <w:r>
        <w:rPr>
          <w:noProof/>
          <w:lang w:val="es-GT" w:eastAsia="es-GT"/>
        </w:rPr>
        <w:drawing>
          <wp:inline distT="0" distB="0" distL="0" distR="0" wp14:anchorId="44BC7B08" wp14:editId="0DC8BD79">
            <wp:extent cx="2662733" cy="1931213"/>
            <wp:effectExtent l="0" t="0" r="4445" b="0"/>
            <wp:docPr id="9" name="Gráfico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C8DDF43-647E-4D4A-BBE6-DA91961D11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11502" w:rsidRPr="00DF1F42" w:rsidRDefault="00011502" w:rsidP="00011502">
      <w:pPr>
        <w:ind w:firstLine="567"/>
        <w:rPr>
          <w:sz w:val="18"/>
          <w:lang w:val="es-MX"/>
        </w:rPr>
      </w:pPr>
      <w:r w:rsidRPr="00DF1F42">
        <w:rPr>
          <w:sz w:val="18"/>
          <w:lang w:val="es-MX"/>
        </w:rPr>
        <w:t xml:space="preserve">                      </w:t>
      </w:r>
      <w:r w:rsidR="009519E5" w:rsidRPr="00DF1F42">
        <w:rPr>
          <w:sz w:val="18"/>
          <w:lang w:val="es-MX"/>
        </w:rPr>
        <w:t xml:space="preserve">      </w:t>
      </w:r>
      <w:r w:rsidR="009E2F0B">
        <w:rPr>
          <w:sz w:val="18"/>
          <w:lang w:val="es-MX"/>
        </w:rPr>
        <w:t xml:space="preserve">     </w:t>
      </w:r>
      <w:r w:rsidR="00DF1F42">
        <w:rPr>
          <w:sz w:val="18"/>
          <w:lang w:val="es-MX"/>
        </w:rPr>
        <w:t xml:space="preserve">   </w:t>
      </w:r>
      <w:r w:rsidR="009519E5" w:rsidRPr="00DF1F42">
        <w:rPr>
          <w:sz w:val="18"/>
          <w:lang w:val="es-MX"/>
        </w:rPr>
        <w:t xml:space="preserve">               </w:t>
      </w:r>
      <w:r w:rsidRPr="00DF1F42">
        <w:rPr>
          <w:sz w:val="18"/>
          <w:lang w:val="es-MX"/>
        </w:rPr>
        <w:t xml:space="preserve">     Fuente: Ministerio de Finanzas Públicas.</w:t>
      </w:r>
    </w:p>
    <w:p w:rsidR="00011502" w:rsidRDefault="00011502" w:rsidP="00011502">
      <w:pPr>
        <w:jc w:val="both"/>
        <w:rPr>
          <w:lang w:val="es-MX"/>
        </w:rPr>
      </w:pPr>
    </w:p>
    <w:p w:rsidR="00011502" w:rsidRDefault="00011502" w:rsidP="00011502">
      <w:pPr>
        <w:jc w:val="both"/>
        <w:rPr>
          <w:lang w:val="es-MX"/>
        </w:rPr>
      </w:pPr>
    </w:p>
    <w:p w:rsidR="0096573F" w:rsidRDefault="0096573F" w:rsidP="00011502">
      <w:pPr>
        <w:jc w:val="both"/>
        <w:rPr>
          <w:lang w:val="es-MX"/>
        </w:rPr>
      </w:pPr>
    </w:p>
    <w:p w:rsidR="00011502" w:rsidRPr="00D01337" w:rsidRDefault="00011502" w:rsidP="00011502">
      <w:pPr>
        <w:jc w:val="both"/>
        <w:rPr>
          <w:sz w:val="10"/>
          <w:lang w:val="es-MX"/>
        </w:rPr>
      </w:pPr>
    </w:p>
    <w:p w:rsidR="00011502" w:rsidRDefault="00011502" w:rsidP="00011502">
      <w:pPr>
        <w:jc w:val="center"/>
        <w:rPr>
          <w:b/>
          <w:sz w:val="22"/>
          <w:lang w:val="es-MX"/>
        </w:rPr>
      </w:pPr>
      <w:r w:rsidRPr="0046725D">
        <w:rPr>
          <w:b/>
          <w:sz w:val="22"/>
          <w:lang w:val="es-MX"/>
        </w:rPr>
        <w:t>Gráfica 1</w:t>
      </w:r>
      <w:r>
        <w:rPr>
          <w:b/>
          <w:sz w:val="22"/>
          <w:lang w:val="es-MX"/>
        </w:rPr>
        <w:t>3</w:t>
      </w:r>
    </w:p>
    <w:p w:rsidR="00011502" w:rsidRDefault="00011502" w:rsidP="00011502">
      <w:pPr>
        <w:jc w:val="center"/>
        <w:rPr>
          <w:b/>
          <w:sz w:val="22"/>
          <w:lang w:val="es-MX"/>
        </w:rPr>
      </w:pPr>
      <w:r>
        <w:rPr>
          <w:b/>
          <w:sz w:val="22"/>
          <w:lang w:val="es-MX"/>
        </w:rPr>
        <w:t xml:space="preserve">Composición </w:t>
      </w:r>
      <w:r w:rsidRPr="0046725D">
        <w:rPr>
          <w:b/>
          <w:sz w:val="22"/>
          <w:lang w:val="es-MX"/>
        </w:rPr>
        <w:t>de la Deuda Pública</w:t>
      </w:r>
      <w:r>
        <w:rPr>
          <w:b/>
          <w:sz w:val="22"/>
          <w:lang w:val="es-MX"/>
        </w:rPr>
        <w:t xml:space="preserve"> por Tasa de Interés</w:t>
      </w:r>
    </w:p>
    <w:p w:rsidR="009C2199" w:rsidRPr="0046725D" w:rsidRDefault="009C2199" w:rsidP="00011502">
      <w:pPr>
        <w:jc w:val="center"/>
        <w:rPr>
          <w:b/>
          <w:sz w:val="22"/>
          <w:lang w:val="es-MX"/>
        </w:rPr>
      </w:pPr>
      <w:r>
        <w:rPr>
          <w:noProof/>
          <w:lang w:val="es-GT" w:eastAsia="es-GT"/>
        </w:rPr>
        <w:drawing>
          <wp:inline distT="0" distB="0" distL="0" distR="0" wp14:anchorId="69197D15" wp14:editId="11E07C54">
            <wp:extent cx="2435962" cy="1719072"/>
            <wp:effectExtent l="0" t="0" r="2540" b="0"/>
            <wp:docPr id="10" name="Gráfico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5CAE272-BAAA-46FD-ABAB-335C22BA98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11502" w:rsidRPr="00DF1F42" w:rsidRDefault="00011502" w:rsidP="00011502">
      <w:pPr>
        <w:ind w:firstLine="567"/>
        <w:rPr>
          <w:sz w:val="18"/>
          <w:lang w:val="es-MX"/>
        </w:rPr>
      </w:pPr>
      <w:r w:rsidRPr="00DF1F42">
        <w:rPr>
          <w:sz w:val="18"/>
          <w:lang w:val="es-MX"/>
        </w:rPr>
        <w:t xml:space="preserve">                      </w:t>
      </w:r>
      <w:r w:rsidR="00040E5B" w:rsidRPr="00DF1F42">
        <w:rPr>
          <w:sz w:val="18"/>
          <w:lang w:val="es-MX"/>
        </w:rPr>
        <w:t xml:space="preserve">  </w:t>
      </w:r>
      <w:r w:rsidR="00FD6759" w:rsidRPr="00DF1F42">
        <w:rPr>
          <w:sz w:val="18"/>
          <w:lang w:val="es-MX"/>
        </w:rPr>
        <w:t xml:space="preserve">  </w:t>
      </w:r>
      <w:r w:rsidR="00DF1F42">
        <w:rPr>
          <w:sz w:val="18"/>
          <w:lang w:val="es-MX"/>
        </w:rPr>
        <w:t xml:space="preserve">    </w:t>
      </w:r>
      <w:r w:rsidR="009E2F0B">
        <w:rPr>
          <w:sz w:val="18"/>
          <w:lang w:val="es-MX"/>
        </w:rPr>
        <w:t xml:space="preserve">         </w:t>
      </w:r>
      <w:r w:rsidR="00040E5B" w:rsidRPr="00DF1F42">
        <w:rPr>
          <w:sz w:val="18"/>
          <w:lang w:val="es-MX"/>
        </w:rPr>
        <w:t xml:space="preserve">         </w:t>
      </w:r>
      <w:r w:rsidRPr="00DF1F42">
        <w:rPr>
          <w:sz w:val="18"/>
          <w:lang w:val="es-MX"/>
        </w:rPr>
        <w:t xml:space="preserve">        Fuente: Ministerio de Finanzas Públicas.</w:t>
      </w:r>
    </w:p>
    <w:p w:rsidR="009A6DD6" w:rsidRPr="00124AD6" w:rsidRDefault="009A6DD6" w:rsidP="00011502">
      <w:pPr>
        <w:jc w:val="both"/>
        <w:rPr>
          <w:lang w:val="es-MX"/>
        </w:rPr>
      </w:pPr>
    </w:p>
    <w:p w:rsidR="00011502" w:rsidRPr="00253E46" w:rsidRDefault="00011502" w:rsidP="00011502">
      <w:pPr>
        <w:jc w:val="center"/>
        <w:rPr>
          <w:b/>
          <w:lang w:val="es-MX"/>
        </w:rPr>
      </w:pPr>
      <w:r w:rsidRPr="00253E46">
        <w:rPr>
          <w:b/>
          <w:lang w:val="es-MX"/>
        </w:rPr>
        <w:t>Gráfica 14</w:t>
      </w:r>
    </w:p>
    <w:p w:rsidR="00011502" w:rsidRDefault="00011502" w:rsidP="00011502">
      <w:pPr>
        <w:jc w:val="center"/>
        <w:rPr>
          <w:b/>
          <w:lang w:val="es-MX"/>
        </w:rPr>
      </w:pPr>
      <w:r w:rsidRPr="00253E46">
        <w:rPr>
          <w:b/>
          <w:lang w:val="es-MX"/>
        </w:rPr>
        <w:t>Composición de la Deuda Pública en Quetzales y Moneda Extranjera</w:t>
      </w:r>
    </w:p>
    <w:p w:rsidR="009C2199" w:rsidRPr="00253E46" w:rsidRDefault="009C2199" w:rsidP="00011502">
      <w:pPr>
        <w:jc w:val="center"/>
        <w:rPr>
          <w:b/>
          <w:lang w:val="es-MX"/>
        </w:rPr>
      </w:pPr>
      <w:r>
        <w:rPr>
          <w:noProof/>
          <w:lang w:val="es-GT" w:eastAsia="es-GT"/>
        </w:rPr>
        <w:drawing>
          <wp:inline distT="0" distB="0" distL="0" distR="0" wp14:anchorId="6C0E52FE" wp14:editId="7C92C81D">
            <wp:extent cx="2509114" cy="1821485"/>
            <wp:effectExtent l="0" t="0" r="5715" b="7620"/>
            <wp:docPr id="11" name="Gráfico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2542D2E-1156-4255-BB53-06D0FD0AF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11502" w:rsidRPr="00DF1F42" w:rsidRDefault="00011502" w:rsidP="00011502">
      <w:pPr>
        <w:ind w:firstLine="567"/>
        <w:rPr>
          <w:sz w:val="18"/>
          <w:lang w:val="es-MX"/>
        </w:rPr>
      </w:pPr>
      <w:r w:rsidRPr="00DF1F42">
        <w:rPr>
          <w:sz w:val="18"/>
          <w:lang w:val="es-MX"/>
        </w:rPr>
        <w:t xml:space="preserve">                       </w:t>
      </w:r>
      <w:r w:rsidR="00DF1F42">
        <w:rPr>
          <w:sz w:val="18"/>
          <w:lang w:val="es-MX"/>
        </w:rPr>
        <w:t xml:space="preserve">    </w:t>
      </w:r>
      <w:r w:rsidR="0065502C" w:rsidRPr="00DF1F42">
        <w:rPr>
          <w:sz w:val="18"/>
          <w:lang w:val="es-MX"/>
        </w:rPr>
        <w:t xml:space="preserve">      </w:t>
      </w:r>
      <w:r w:rsidR="00040E5B" w:rsidRPr="00DF1F42">
        <w:rPr>
          <w:sz w:val="18"/>
          <w:lang w:val="es-MX"/>
        </w:rPr>
        <w:t xml:space="preserve">    </w:t>
      </w:r>
      <w:r w:rsidR="00FD6759" w:rsidRPr="00DF1F42">
        <w:rPr>
          <w:sz w:val="18"/>
          <w:lang w:val="es-MX"/>
        </w:rPr>
        <w:t xml:space="preserve">       </w:t>
      </w:r>
      <w:r w:rsidR="00040E5B" w:rsidRPr="00DF1F42">
        <w:rPr>
          <w:sz w:val="18"/>
          <w:lang w:val="es-MX"/>
        </w:rPr>
        <w:t xml:space="preserve">       </w:t>
      </w:r>
      <w:r w:rsidRPr="00DF1F42">
        <w:rPr>
          <w:sz w:val="18"/>
          <w:lang w:val="es-MX"/>
        </w:rPr>
        <w:t xml:space="preserve">       Fuente: Ministerio de Finanzas Públicas.</w:t>
      </w:r>
    </w:p>
    <w:p w:rsidR="005432D7" w:rsidRDefault="005432D7" w:rsidP="00011502">
      <w:pPr>
        <w:jc w:val="center"/>
        <w:rPr>
          <w:b/>
          <w:lang w:val="es-MX"/>
        </w:rPr>
      </w:pPr>
    </w:p>
    <w:p w:rsidR="009A6DD6" w:rsidRDefault="009A6DD6" w:rsidP="00011502">
      <w:pPr>
        <w:jc w:val="center"/>
        <w:rPr>
          <w:b/>
          <w:lang w:val="es-MX"/>
        </w:rPr>
      </w:pPr>
    </w:p>
    <w:p w:rsidR="00DF1F42" w:rsidRDefault="00DF1F42" w:rsidP="00011502">
      <w:pPr>
        <w:jc w:val="center"/>
        <w:rPr>
          <w:b/>
          <w:lang w:val="es-MX"/>
        </w:rPr>
      </w:pPr>
    </w:p>
    <w:p w:rsidR="009C2199" w:rsidRDefault="009C2199" w:rsidP="00011502">
      <w:pPr>
        <w:jc w:val="center"/>
        <w:rPr>
          <w:b/>
          <w:lang w:val="es-MX"/>
        </w:rPr>
      </w:pPr>
    </w:p>
    <w:p w:rsidR="00011502" w:rsidRPr="002C4C3E" w:rsidRDefault="00040E5B" w:rsidP="00011502">
      <w:pPr>
        <w:jc w:val="center"/>
        <w:rPr>
          <w:b/>
          <w:lang w:val="es-MX"/>
        </w:rPr>
      </w:pPr>
      <w:r>
        <w:rPr>
          <w:b/>
          <w:lang w:val="es-MX"/>
        </w:rPr>
        <w:t>Gráfica 15</w:t>
      </w:r>
    </w:p>
    <w:p w:rsidR="00011502" w:rsidRDefault="00011502" w:rsidP="00011502">
      <w:pPr>
        <w:jc w:val="center"/>
        <w:rPr>
          <w:b/>
          <w:lang w:val="es-MX"/>
        </w:rPr>
      </w:pPr>
      <w:r w:rsidRPr="00BD6097">
        <w:rPr>
          <w:b/>
          <w:lang w:val="es-MX"/>
        </w:rPr>
        <w:t xml:space="preserve">Composición de la Deuda Pública en Bonos </w:t>
      </w:r>
      <w:r w:rsidR="00FD6759">
        <w:rPr>
          <w:b/>
          <w:lang w:val="es-MX"/>
        </w:rPr>
        <w:t xml:space="preserve">del Tesoro </w:t>
      </w:r>
      <w:r w:rsidRPr="00BD6097">
        <w:rPr>
          <w:b/>
          <w:lang w:val="es-MX"/>
        </w:rPr>
        <w:t>y Préstamos</w:t>
      </w:r>
      <w:r w:rsidR="00FD6759">
        <w:rPr>
          <w:b/>
          <w:lang w:val="es-MX"/>
        </w:rPr>
        <w:t xml:space="preserve"> Externos</w:t>
      </w:r>
    </w:p>
    <w:p w:rsidR="009C2199" w:rsidRPr="00DF1F42" w:rsidRDefault="009C2199" w:rsidP="00011502">
      <w:pPr>
        <w:jc w:val="center"/>
        <w:rPr>
          <w:b/>
          <w:sz w:val="28"/>
          <w:lang w:val="es-MX"/>
        </w:rPr>
      </w:pPr>
      <w:r w:rsidRPr="00DF1F42">
        <w:rPr>
          <w:noProof/>
          <w:sz w:val="28"/>
          <w:lang w:val="es-GT" w:eastAsia="es-GT"/>
        </w:rPr>
        <w:drawing>
          <wp:inline distT="0" distB="0" distL="0" distR="0" wp14:anchorId="26140BAE" wp14:editId="6A10D186">
            <wp:extent cx="2055571" cy="1865376"/>
            <wp:effectExtent l="0" t="0" r="1905" b="1905"/>
            <wp:docPr id="12" name="Gráfico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CBBC02E-768B-42D0-BB5B-E92966FA61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40E5B" w:rsidRPr="00DF1F42" w:rsidRDefault="00DF1F42" w:rsidP="00040E5B">
      <w:pPr>
        <w:ind w:firstLine="567"/>
        <w:rPr>
          <w:sz w:val="18"/>
          <w:lang w:val="es-MX"/>
        </w:rPr>
      </w:pPr>
      <w:r>
        <w:rPr>
          <w:sz w:val="18"/>
          <w:lang w:val="es-MX"/>
        </w:rPr>
        <w:t xml:space="preserve">                    </w:t>
      </w:r>
      <w:r w:rsidR="0065502C" w:rsidRPr="00DF1F42">
        <w:rPr>
          <w:sz w:val="18"/>
          <w:lang w:val="es-MX"/>
        </w:rPr>
        <w:t xml:space="preserve">   </w:t>
      </w:r>
      <w:r>
        <w:rPr>
          <w:sz w:val="18"/>
          <w:lang w:val="es-MX"/>
        </w:rPr>
        <w:t xml:space="preserve"> </w:t>
      </w:r>
      <w:r w:rsidR="00040E5B" w:rsidRPr="00DF1F42">
        <w:rPr>
          <w:sz w:val="18"/>
          <w:lang w:val="es-MX"/>
        </w:rPr>
        <w:t xml:space="preserve">                                Fuente: Ministerio de Finanzas Públicas.</w:t>
      </w:r>
    </w:p>
    <w:p w:rsidR="00011502" w:rsidRDefault="00011502" w:rsidP="00011502">
      <w:pPr>
        <w:rPr>
          <w:b/>
          <w:bCs/>
          <w:lang w:val="es-MX"/>
        </w:rPr>
      </w:pPr>
    </w:p>
    <w:p w:rsidR="005432D7" w:rsidRPr="00DF1F42" w:rsidRDefault="005432D7" w:rsidP="00011502">
      <w:pPr>
        <w:rPr>
          <w:b/>
          <w:bCs/>
          <w:sz w:val="4"/>
          <w:lang w:val="es-MX"/>
        </w:rPr>
      </w:pPr>
    </w:p>
    <w:p w:rsidR="00F054CD" w:rsidRDefault="00F054CD" w:rsidP="00F054CD">
      <w:pPr>
        <w:jc w:val="both"/>
        <w:rPr>
          <w:bCs/>
        </w:rPr>
      </w:pPr>
      <w:r>
        <w:rPr>
          <w:bCs/>
        </w:rPr>
        <w:t>El resultado presupuestario del Ejercicio Fiscal 2020 fue financiado con recursos provenientes de fuentes externas (préstamos) y fuentes internas (</w:t>
      </w:r>
      <w:r w:rsidR="00A1714A">
        <w:rPr>
          <w:bCs/>
        </w:rPr>
        <w:t xml:space="preserve">colocación de </w:t>
      </w:r>
      <w:r>
        <w:rPr>
          <w:bCs/>
        </w:rPr>
        <w:t xml:space="preserve">bonos del tesoro), </w:t>
      </w:r>
      <w:r w:rsidR="007E34DB">
        <w:rPr>
          <w:bCs/>
        </w:rPr>
        <w:t>cuyo monto aprobado se plasmó en el</w:t>
      </w:r>
      <w:r>
        <w:rPr>
          <w:bCs/>
        </w:rPr>
        <w:t xml:space="preserve"> Decreto N</w:t>
      </w:r>
      <w:r w:rsidR="007E34DB">
        <w:rPr>
          <w:bCs/>
        </w:rPr>
        <w:t>o.</w:t>
      </w:r>
      <w:r>
        <w:rPr>
          <w:bCs/>
        </w:rPr>
        <w:t xml:space="preserve"> 25-2018 del Congreso de la República de Guatemala, Ley de Presupuesto General de Ingresos y Egresos del Estado para el </w:t>
      </w:r>
      <w:r w:rsidR="007E34DB">
        <w:rPr>
          <w:bCs/>
        </w:rPr>
        <w:t>E</w:t>
      </w:r>
      <w:r>
        <w:rPr>
          <w:bCs/>
        </w:rPr>
        <w:t xml:space="preserve">jercicio </w:t>
      </w:r>
      <w:r w:rsidR="007E34DB">
        <w:rPr>
          <w:bCs/>
        </w:rPr>
        <w:t>F</w:t>
      </w:r>
      <w:r>
        <w:rPr>
          <w:bCs/>
        </w:rPr>
        <w:t xml:space="preserve">iscal 2019, con vigencia para el </w:t>
      </w:r>
      <w:r w:rsidR="007E34DB">
        <w:rPr>
          <w:bCs/>
        </w:rPr>
        <w:t>E</w:t>
      </w:r>
      <w:r>
        <w:rPr>
          <w:bCs/>
        </w:rPr>
        <w:t xml:space="preserve">jercicio </w:t>
      </w:r>
      <w:r w:rsidR="007E34DB">
        <w:rPr>
          <w:bCs/>
        </w:rPr>
        <w:t>F</w:t>
      </w:r>
      <w:r>
        <w:rPr>
          <w:bCs/>
        </w:rPr>
        <w:t xml:space="preserve">iscal 2020, </w:t>
      </w:r>
      <w:r w:rsidR="007E34DB">
        <w:rPr>
          <w:bCs/>
        </w:rPr>
        <w:t xml:space="preserve">con </w:t>
      </w:r>
      <w:r>
        <w:rPr>
          <w:bCs/>
        </w:rPr>
        <w:t>un presupuesto de deuda aprobado de Q</w:t>
      </w:r>
      <w:r w:rsidR="007E34DB">
        <w:rPr>
          <w:bCs/>
        </w:rPr>
        <w:t>.</w:t>
      </w:r>
      <w:r>
        <w:rPr>
          <w:bCs/>
        </w:rPr>
        <w:t>15,800.2 millones, integrados de la siguiente manera: a) recursos de préstamos Q</w:t>
      </w:r>
      <w:r w:rsidR="007E34DB">
        <w:rPr>
          <w:bCs/>
        </w:rPr>
        <w:t>.</w:t>
      </w:r>
      <w:r>
        <w:rPr>
          <w:bCs/>
        </w:rPr>
        <w:t>1,592.6 millones y b) recursos provenientes de la colocación de bonos del tesoro Q</w:t>
      </w:r>
      <w:r w:rsidR="007E34DB">
        <w:rPr>
          <w:bCs/>
        </w:rPr>
        <w:t>.</w:t>
      </w:r>
      <w:r>
        <w:rPr>
          <w:bCs/>
        </w:rPr>
        <w:t xml:space="preserve">14,207.6 millones. </w:t>
      </w:r>
      <w:r w:rsidR="007E34DB">
        <w:rPr>
          <w:bCs/>
        </w:rPr>
        <w:t>Estos m</w:t>
      </w:r>
      <w:r>
        <w:rPr>
          <w:bCs/>
        </w:rPr>
        <w:t>ontos se vieron modificados como resultado</w:t>
      </w:r>
      <w:r w:rsidR="007E34DB">
        <w:rPr>
          <w:bCs/>
        </w:rPr>
        <w:t xml:space="preserve"> de ampliaciones presupuestarias en 2020 para atender la</w:t>
      </w:r>
      <w:r>
        <w:rPr>
          <w:bCs/>
        </w:rPr>
        <w:t xml:space="preserve"> crisis de la pandemia del C</w:t>
      </w:r>
      <w:r w:rsidR="007E34DB">
        <w:rPr>
          <w:bCs/>
        </w:rPr>
        <w:t>ovid</w:t>
      </w:r>
      <w:r>
        <w:rPr>
          <w:bCs/>
        </w:rPr>
        <w:t>-19, por lo que la ejecución de es</w:t>
      </w:r>
      <w:r w:rsidR="007E34DB">
        <w:rPr>
          <w:bCs/>
        </w:rPr>
        <w:t>t</w:t>
      </w:r>
      <w:r>
        <w:rPr>
          <w:bCs/>
        </w:rPr>
        <w:t>os recursos al cierre preliminar de 2020 quedó así: Q</w:t>
      </w:r>
      <w:r w:rsidR="007E34DB">
        <w:rPr>
          <w:bCs/>
        </w:rPr>
        <w:t>.</w:t>
      </w:r>
      <w:r>
        <w:rPr>
          <w:bCs/>
        </w:rPr>
        <w:t>13,433.3 millones de deuda externa, monto que incluye la colocación de Eurobonos y Q</w:t>
      </w:r>
      <w:r w:rsidR="007E34DB">
        <w:rPr>
          <w:bCs/>
        </w:rPr>
        <w:t>.</w:t>
      </w:r>
      <w:r>
        <w:rPr>
          <w:bCs/>
        </w:rPr>
        <w:t>22,272.1 millones de colocación de bonos</w:t>
      </w:r>
      <w:r w:rsidR="007E34DB">
        <w:rPr>
          <w:bCs/>
        </w:rPr>
        <w:t xml:space="preserve"> del tesoro</w:t>
      </w:r>
      <w:r>
        <w:rPr>
          <w:bCs/>
        </w:rPr>
        <w:t xml:space="preserve"> en el mercado doméstico</w:t>
      </w:r>
      <w:r w:rsidR="007E34DB">
        <w:rPr>
          <w:bCs/>
        </w:rPr>
        <w:t>,</w:t>
      </w:r>
      <w:r>
        <w:rPr>
          <w:bCs/>
        </w:rPr>
        <w:t xml:space="preserve"> más la colocación de primas.</w:t>
      </w:r>
    </w:p>
    <w:p w:rsidR="00F054CD" w:rsidRPr="00F054CD" w:rsidRDefault="00F054CD" w:rsidP="00011502">
      <w:pPr>
        <w:rPr>
          <w:b/>
          <w:bCs/>
        </w:rPr>
      </w:pPr>
    </w:p>
    <w:p w:rsidR="00F054CD" w:rsidRPr="009A6DD6" w:rsidRDefault="00F054CD" w:rsidP="00011502">
      <w:pPr>
        <w:rPr>
          <w:b/>
          <w:bCs/>
          <w:sz w:val="32"/>
          <w:lang w:val="es-MX"/>
        </w:rPr>
      </w:pPr>
    </w:p>
    <w:p w:rsidR="00011502" w:rsidRPr="00C10496" w:rsidRDefault="00011502" w:rsidP="00011502">
      <w:pPr>
        <w:jc w:val="center"/>
        <w:rPr>
          <w:b/>
        </w:rPr>
      </w:pPr>
      <w:r w:rsidRPr="00C10496">
        <w:rPr>
          <w:b/>
        </w:rPr>
        <w:t>Cuadro 4</w:t>
      </w:r>
    </w:p>
    <w:p w:rsidR="00011502" w:rsidRPr="00C10496" w:rsidRDefault="00011502" w:rsidP="00011502">
      <w:pPr>
        <w:jc w:val="center"/>
        <w:rPr>
          <w:b/>
        </w:rPr>
      </w:pPr>
      <w:r w:rsidRPr="00C10496">
        <w:rPr>
          <w:b/>
        </w:rPr>
        <w:t xml:space="preserve">Financiamiento del </w:t>
      </w:r>
      <w:r w:rsidR="00950730">
        <w:rPr>
          <w:b/>
        </w:rPr>
        <w:t xml:space="preserve">Resultado </w:t>
      </w:r>
      <w:r w:rsidRPr="00C10496">
        <w:rPr>
          <w:b/>
        </w:rPr>
        <w:t>Presupuest</w:t>
      </w:r>
      <w:r w:rsidR="00950730">
        <w:rPr>
          <w:b/>
        </w:rPr>
        <w:t>ario</w:t>
      </w:r>
      <w:r w:rsidRPr="00C10496">
        <w:rPr>
          <w:b/>
        </w:rPr>
        <w:t xml:space="preserve"> 20</w:t>
      </w:r>
      <w:r w:rsidR="00F054CD">
        <w:rPr>
          <w:b/>
        </w:rPr>
        <w:t>20</w:t>
      </w:r>
      <w:r w:rsidR="0011363F">
        <w:rPr>
          <w:b/>
        </w:rPr>
        <w:t>*</w:t>
      </w:r>
    </w:p>
    <w:p w:rsidR="00F054CD" w:rsidRDefault="00011502" w:rsidP="00011502">
      <w:pPr>
        <w:jc w:val="center"/>
        <w:rPr>
          <w:b/>
        </w:rPr>
      </w:pPr>
      <w:r w:rsidRPr="00C10496">
        <w:rPr>
          <w:b/>
        </w:rPr>
        <w:t>(Millones de Quetzales)</w:t>
      </w:r>
      <w:bookmarkStart w:id="25" w:name="_Hlk32399693"/>
    </w:p>
    <w:tbl>
      <w:tblPr>
        <w:tblW w:w="9426" w:type="dxa"/>
        <w:tblCellMar>
          <w:left w:w="70" w:type="dxa"/>
          <w:right w:w="70" w:type="dxa"/>
        </w:tblCellMar>
        <w:tblLook w:val="04A0" w:firstRow="1" w:lastRow="0" w:firstColumn="1" w:lastColumn="0" w:noHBand="0" w:noVBand="1"/>
      </w:tblPr>
      <w:tblGrid>
        <w:gridCol w:w="2480"/>
        <w:gridCol w:w="1701"/>
        <w:gridCol w:w="1985"/>
        <w:gridCol w:w="1559"/>
        <w:gridCol w:w="1701"/>
      </w:tblGrid>
      <w:tr w:rsidR="00F054CD" w:rsidRPr="0033337E" w:rsidTr="007B359F">
        <w:trPr>
          <w:trHeight w:val="450"/>
        </w:trPr>
        <w:tc>
          <w:tcPr>
            <w:tcW w:w="2480" w:type="dxa"/>
            <w:vMerge w:val="restart"/>
            <w:tcBorders>
              <w:top w:val="single" w:sz="8" w:space="0" w:color="auto"/>
              <w:left w:val="single" w:sz="8" w:space="0" w:color="auto"/>
              <w:bottom w:val="single" w:sz="8" w:space="0" w:color="000000"/>
              <w:right w:val="single" w:sz="4" w:space="0" w:color="auto"/>
            </w:tcBorders>
            <w:shd w:val="clear" w:color="000000" w:fill="8DB4E2"/>
            <w:vAlign w:val="center"/>
            <w:hideMark/>
          </w:tcPr>
          <w:p w:rsidR="00F054CD" w:rsidRPr="0033337E" w:rsidRDefault="00F054CD" w:rsidP="0005000D">
            <w:pPr>
              <w:jc w:val="center"/>
              <w:rPr>
                <w:b/>
                <w:bCs/>
                <w:color w:val="000000"/>
                <w:sz w:val="22"/>
                <w:szCs w:val="32"/>
                <w:lang w:val="es-GT" w:eastAsia="es-GT"/>
              </w:rPr>
            </w:pPr>
            <w:r w:rsidRPr="0033337E">
              <w:rPr>
                <w:b/>
                <w:bCs/>
                <w:color w:val="000000"/>
                <w:sz w:val="22"/>
                <w:szCs w:val="32"/>
                <w:lang w:val="es-GT" w:eastAsia="es-GT"/>
              </w:rPr>
              <w:t>Concepto</w:t>
            </w:r>
          </w:p>
        </w:tc>
        <w:tc>
          <w:tcPr>
            <w:tcW w:w="3686" w:type="dxa"/>
            <w:gridSpan w:val="2"/>
            <w:tcBorders>
              <w:top w:val="single" w:sz="8" w:space="0" w:color="auto"/>
              <w:left w:val="single" w:sz="4" w:space="0" w:color="auto"/>
              <w:bottom w:val="single" w:sz="4" w:space="0" w:color="auto"/>
              <w:right w:val="single" w:sz="4" w:space="0" w:color="000000"/>
            </w:tcBorders>
            <w:shd w:val="clear" w:color="000000" w:fill="8DB4E2"/>
            <w:noWrap/>
            <w:vAlign w:val="center"/>
            <w:hideMark/>
          </w:tcPr>
          <w:p w:rsidR="00F054CD" w:rsidRPr="0033337E" w:rsidRDefault="00F054CD" w:rsidP="0005000D">
            <w:pPr>
              <w:jc w:val="center"/>
              <w:rPr>
                <w:b/>
                <w:bCs/>
                <w:color w:val="000000"/>
                <w:sz w:val="22"/>
                <w:szCs w:val="32"/>
                <w:lang w:val="es-GT" w:eastAsia="es-GT"/>
              </w:rPr>
            </w:pPr>
            <w:r w:rsidRPr="0033337E">
              <w:rPr>
                <w:b/>
                <w:bCs/>
                <w:color w:val="000000"/>
                <w:sz w:val="22"/>
                <w:szCs w:val="32"/>
                <w:lang w:val="es-GT" w:eastAsia="es-GT"/>
              </w:rPr>
              <w:t>Presupuesto</w:t>
            </w:r>
          </w:p>
        </w:tc>
        <w:tc>
          <w:tcPr>
            <w:tcW w:w="3260" w:type="dxa"/>
            <w:gridSpan w:val="2"/>
            <w:tcBorders>
              <w:top w:val="single" w:sz="8" w:space="0" w:color="auto"/>
              <w:left w:val="single" w:sz="4" w:space="0" w:color="auto"/>
              <w:bottom w:val="single" w:sz="4" w:space="0" w:color="auto"/>
              <w:right w:val="single" w:sz="8" w:space="0" w:color="000000"/>
            </w:tcBorders>
            <w:shd w:val="clear" w:color="000000" w:fill="8DB4E2"/>
            <w:noWrap/>
            <w:vAlign w:val="center"/>
            <w:hideMark/>
          </w:tcPr>
          <w:p w:rsidR="00F054CD" w:rsidRPr="0033337E" w:rsidRDefault="00F054CD" w:rsidP="0005000D">
            <w:pPr>
              <w:jc w:val="center"/>
              <w:rPr>
                <w:b/>
                <w:bCs/>
                <w:color w:val="000000"/>
                <w:sz w:val="22"/>
                <w:szCs w:val="32"/>
                <w:lang w:val="es-GT" w:eastAsia="es-GT"/>
              </w:rPr>
            </w:pPr>
            <w:r w:rsidRPr="0033337E">
              <w:rPr>
                <w:b/>
                <w:bCs/>
                <w:color w:val="000000"/>
                <w:sz w:val="22"/>
                <w:szCs w:val="32"/>
                <w:lang w:val="es-GT" w:eastAsia="es-GT"/>
              </w:rPr>
              <w:t>Variación</w:t>
            </w:r>
          </w:p>
        </w:tc>
      </w:tr>
      <w:tr w:rsidR="00F054CD" w:rsidRPr="0033337E" w:rsidTr="007B359F">
        <w:trPr>
          <w:trHeight w:val="450"/>
        </w:trPr>
        <w:tc>
          <w:tcPr>
            <w:tcW w:w="2480" w:type="dxa"/>
            <w:vMerge/>
            <w:tcBorders>
              <w:top w:val="single" w:sz="8" w:space="0" w:color="auto"/>
              <w:left w:val="single" w:sz="8" w:space="0" w:color="auto"/>
              <w:bottom w:val="single" w:sz="8" w:space="0" w:color="000000"/>
              <w:right w:val="single" w:sz="4" w:space="0" w:color="auto"/>
            </w:tcBorders>
            <w:vAlign w:val="center"/>
            <w:hideMark/>
          </w:tcPr>
          <w:p w:rsidR="00F054CD" w:rsidRPr="0033337E" w:rsidRDefault="00F054CD" w:rsidP="0005000D">
            <w:pPr>
              <w:rPr>
                <w:b/>
                <w:bCs/>
                <w:color w:val="000000"/>
                <w:sz w:val="22"/>
                <w:szCs w:val="32"/>
                <w:lang w:val="es-GT" w:eastAsia="es-GT"/>
              </w:rPr>
            </w:pPr>
          </w:p>
        </w:tc>
        <w:tc>
          <w:tcPr>
            <w:tcW w:w="1701" w:type="dxa"/>
            <w:tcBorders>
              <w:top w:val="single" w:sz="4" w:space="0" w:color="auto"/>
              <w:left w:val="nil"/>
              <w:bottom w:val="single" w:sz="8" w:space="0" w:color="auto"/>
              <w:right w:val="nil"/>
            </w:tcBorders>
            <w:shd w:val="clear" w:color="000000" w:fill="8DB4E2"/>
            <w:noWrap/>
            <w:vAlign w:val="center"/>
            <w:hideMark/>
          </w:tcPr>
          <w:p w:rsidR="00F054CD" w:rsidRPr="0033337E" w:rsidRDefault="00F054CD" w:rsidP="0005000D">
            <w:pPr>
              <w:jc w:val="center"/>
              <w:rPr>
                <w:b/>
                <w:bCs/>
                <w:color w:val="000000"/>
                <w:sz w:val="22"/>
                <w:szCs w:val="32"/>
                <w:lang w:val="es-GT" w:eastAsia="es-GT"/>
              </w:rPr>
            </w:pPr>
            <w:r w:rsidRPr="0033337E">
              <w:rPr>
                <w:b/>
                <w:bCs/>
                <w:color w:val="000000"/>
                <w:sz w:val="22"/>
                <w:szCs w:val="32"/>
                <w:lang w:val="es-GT" w:eastAsia="es-GT"/>
              </w:rPr>
              <w:t>Aprobado</w:t>
            </w:r>
          </w:p>
        </w:tc>
        <w:tc>
          <w:tcPr>
            <w:tcW w:w="1985" w:type="dxa"/>
            <w:tcBorders>
              <w:top w:val="single" w:sz="4" w:space="0" w:color="auto"/>
              <w:left w:val="nil"/>
              <w:bottom w:val="single" w:sz="8" w:space="0" w:color="auto"/>
              <w:right w:val="single" w:sz="4" w:space="0" w:color="auto"/>
            </w:tcBorders>
            <w:shd w:val="clear" w:color="000000" w:fill="8DB4E2"/>
            <w:noWrap/>
            <w:vAlign w:val="center"/>
            <w:hideMark/>
          </w:tcPr>
          <w:p w:rsidR="00F054CD" w:rsidRPr="0033337E" w:rsidRDefault="00F054CD" w:rsidP="0005000D">
            <w:pPr>
              <w:jc w:val="center"/>
              <w:rPr>
                <w:b/>
                <w:bCs/>
                <w:color w:val="000000"/>
                <w:sz w:val="22"/>
                <w:szCs w:val="32"/>
                <w:lang w:val="es-GT" w:eastAsia="es-GT"/>
              </w:rPr>
            </w:pPr>
            <w:r w:rsidRPr="0033337E">
              <w:rPr>
                <w:b/>
                <w:bCs/>
                <w:color w:val="000000"/>
                <w:sz w:val="22"/>
                <w:szCs w:val="32"/>
                <w:lang w:val="es-GT" w:eastAsia="es-GT"/>
              </w:rPr>
              <w:t>Ejecutado</w:t>
            </w:r>
          </w:p>
        </w:tc>
        <w:tc>
          <w:tcPr>
            <w:tcW w:w="1559" w:type="dxa"/>
            <w:tcBorders>
              <w:top w:val="nil"/>
              <w:left w:val="single" w:sz="4" w:space="0" w:color="auto"/>
              <w:bottom w:val="single" w:sz="8" w:space="0" w:color="auto"/>
              <w:right w:val="nil"/>
            </w:tcBorders>
            <w:shd w:val="clear" w:color="000000" w:fill="8DB4E2"/>
            <w:noWrap/>
            <w:vAlign w:val="center"/>
            <w:hideMark/>
          </w:tcPr>
          <w:p w:rsidR="00F054CD" w:rsidRPr="0033337E" w:rsidRDefault="00F054CD" w:rsidP="0005000D">
            <w:pPr>
              <w:jc w:val="center"/>
              <w:rPr>
                <w:b/>
                <w:bCs/>
                <w:color w:val="000000"/>
                <w:sz w:val="22"/>
                <w:szCs w:val="32"/>
                <w:lang w:val="es-GT" w:eastAsia="es-GT"/>
              </w:rPr>
            </w:pPr>
            <w:r w:rsidRPr="0033337E">
              <w:rPr>
                <w:b/>
                <w:bCs/>
                <w:color w:val="000000"/>
                <w:sz w:val="22"/>
                <w:szCs w:val="32"/>
                <w:lang w:val="es-GT" w:eastAsia="es-GT"/>
              </w:rPr>
              <w:t>Absoluta</w:t>
            </w:r>
          </w:p>
        </w:tc>
        <w:tc>
          <w:tcPr>
            <w:tcW w:w="1701" w:type="dxa"/>
            <w:tcBorders>
              <w:top w:val="nil"/>
              <w:left w:val="nil"/>
              <w:bottom w:val="single" w:sz="8" w:space="0" w:color="auto"/>
              <w:right w:val="single" w:sz="8" w:space="0" w:color="auto"/>
            </w:tcBorders>
            <w:shd w:val="clear" w:color="000000" w:fill="8DB4E2"/>
            <w:noWrap/>
            <w:vAlign w:val="center"/>
            <w:hideMark/>
          </w:tcPr>
          <w:p w:rsidR="00F054CD" w:rsidRPr="0033337E" w:rsidRDefault="00F054CD" w:rsidP="0005000D">
            <w:pPr>
              <w:jc w:val="center"/>
              <w:rPr>
                <w:b/>
                <w:bCs/>
                <w:color w:val="000000"/>
                <w:sz w:val="22"/>
                <w:szCs w:val="32"/>
                <w:lang w:val="es-GT" w:eastAsia="es-GT"/>
              </w:rPr>
            </w:pPr>
            <w:r w:rsidRPr="0033337E">
              <w:rPr>
                <w:b/>
                <w:bCs/>
                <w:color w:val="000000"/>
                <w:sz w:val="22"/>
                <w:szCs w:val="32"/>
                <w:lang w:val="es-GT" w:eastAsia="es-GT"/>
              </w:rPr>
              <w:t>Relativa</w:t>
            </w:r>
          </w:p>
        </w:tc>
      </w:tr>
      <w:tr w:rsidR="00F054CD" w:rsidRPr="0033337E" w:rsidTr="007B359F">
        <w:trPr>
          <w:trHeight w:val="450"/>
        </w:trPr>
        <w:tc>
          <w:tcPr>
            <w:tcW w:w="2480" w:type="dxa"/>
            <w:tcBorders>
              <w:top w:val="nil"/>
              <w:left w:val="single" w:sz="8" w:space="0" w:color="auto"/>
              <w:bottom w:val="nil"/>
              <w:right w:val="single" w:sz="4" w:space="0" w:color="auto"/>
            </w:tcBorders>
            <w:shd w:val="clear" w:color="000000" w:fill="FFFFFF"/>
            <w:noWrap/>
            <w:vAlign w:val="center"/>
            <w:hideMark/>
          </w:tcPr>
          <w:p w:rsidR="00F054CD" w:rsidRPr="00E16FC2" w:rsidRDefault="00F054CD" w:rsidP="0005000D">
            <w:pPr>
              <w:jc w:val="center"/>
              <w:rPr>
                <w:b/>
                <w:bCs/>
                <w:color w:val="000000"/>
                <w:sz w:val="22"/>
                <w:szCs w:val="32"/>
                <w:lang w:val="es-GT" w:eastAsia="es-GT"/>
              </w:rPr>
            </w:pPr>
            <w:r w:rsidRPr="00E16FC2">
              <w:rPr>
                <w:b/>
                <w:bCs/>
                <w:color w:val="000000"/>
                <w:sz w:val="22"/>
                <w:szCs w:val="32"/>
              </w:rPr>
              <w:t>Total</w:t>
            </w:r>
          </w:p>
        </w:tc>
        <w:tc>
          <w:tcPr>
            <w:tcW w:w="1701" w:type="dxa"/>
            <w:tcBorders>
              <w:top w:val="nil"/>
              <w:left w:val="single" w:sz="4" w:space="0" w:color="auto"/>
              <w:bottom w:val="nil"/>
              <w:right w:val="nil"/>
            </w:tcBorders>
            <w:shd w:val="clear" w:color="000000" w:fill="FFFFFF"/>
            <w:noWrap/>
            <w:vAlign w:val="center"/>
            <w:hideMark/>
          </w:tcPr>
          <w:p w:rsidR="00F054CD" w:rsidRPr="00E16FC2" w:rsidRDefault="00F054CD" w:rsidP="0005000D">
            <w:pPr>
              <w:jc w:val="center"/>
              <w:rPr>
                <w:b/>
                <w:bCs/>
                <w:color w:val="000000"/>
                <w:sz w:val="22"/>
                <w:szCs w:val="32"/>
              </w:rPr>
            </w:pPr>
            <w:r w:rsidRPr="00E16FC2">
              <w:rPr>
                <w:b/>
                <w:bCs/>
                <w:color w:val="000000"/>
                <w:sz w:val="22"/>
                <w:szCs w:val="32"/>
              </w:rPr>
              <w:t>15,800.2</w:t>
            </w:r>
          </w:p>
        </w:tc>
        <w:tc>
          <w:tcPr>
            <w:tcW w:w="1985" w:type="dxa"/>
            <w:tcBorders>
              <w:top w:val="nil"/>
              <w:left w:val="nil"/>
              <w:bottom w:val="nil"/>
              <w:right w:val="single" w:sz="4" w:space="0" w:color="auto"/>
            </w:tcBorders>
            <w:shd w:val="clear" w:color="000000" w:fill="FFFFFF"/>
            <w:noWrap/>
            <w:vAlign w:val="center"/>
            <w:hideMark/>
          </w:tcPr>
          <w:p w:rsidR="00F054CD" w:rsidRPr="00E16FC2" w:rsidRDefault="00F054CD" w:rsidP="0005000D">
            <w:pPr>
              <w:jc w:val="center"/>
              <w:rPr>
                <w:b/>
                <w:bCs/>
                <w:color w:val="000000"/>
                <w:sz w:val="22"/>
                <w:szCs w:val="32"/>
              </w:rPr>
            </w:pPr>
            <w:r w:rsidRPr="00E16FC2">
              <w:rPr>
                <w:b/>
                <w:bCs/>
                <w:color w:val="000000"/>
                <w:sz w:val="22"/>
                <w:szCs w:val="32"/>
              </w:rPr>
              <w:t>35,705.4</w:t>
            </w:r>
          </w:p>
        </w:tc>
        <w:tc>
          <w:tcPr>
            <w:tcW w:w="1559" w:type="dxa"/>
            <w:tcBorders>
              <w:top w:val="nil"/>
              <w:left w:val="nil"/>
              <w:bottom w:val="nil"/>
              <w:right w:val="nil"/>
            </w:tcBorders>
            <w:shd w:val="clear" w:color="000000" w:fill="FFFFFF"/>
            <w:noWrap/>
            <w:vAlign w:val="center"/>
            <w:hideMark/>
          </w:tcPr>
          <w:p w:rsidR="00F054CD" w:rsidRPr="00E16FC2" w:rsidRDefault="00F054CD" w:rsidP="0005000D">
            <w:pPr>
              <w:jc w:val="center"/>
              <w:rPr>
                <w:b/>
                <w:bCs/>
                <w:color w:val="000000"/>
                <w:sz w:val="22"/>
                <w:szCs w:val="32"/>
              </w:rPr>
            </w:pPr>
            <w:r w:rsidRPr="00E16FC2">
              <w:rPr>
                <w:b/>
                <w:bCs/>
                <w:color w:val="000000"/>
                <w:sz w:val="22"/>
                <w:szCs w:val="32"/>
              </w:rPr>
              <w:t>19,905.2</w:t>
            </w:r>
          </w:p>
        </w:tc>
        <w:tc>
          <w:tcPr>
            <w:tcW w:w="1701" w:type="dxa"/>
            <w:tcBorders>
              <w:top w:val="nil"/>
              <w:left w:val="nil"/>
              <w:bottom w:val="nil"/>
              <w:right w:val="single" w:sz="8" w:space="0" w:color="auto"/>
            </w:tcBorders>
            <w:shd w:val="clear" w:color="000000" w:fill="FFFFFF"/>
            <w:noWrap/>
            <w:vAlign w:val="center"/>
            <w:hideMark/>
          </w:tcPr>
          <w:p w:rsidR="00F054CD" w:rsidRPr="00E16FC2" w:rsidRDefault="00F054CD" w:rsidP="0005000D">
            <w:pPr>
              <w:jc w:val="center"/>
              <w:rPr>
                <w:b/>
                <w:bCs/>
                <w:color w:val="000000"/>
                <w:sz w:val="22"/>
                <w:szCs w:val="32"/>
              </w:rPr>
            </w:pPr>
            <w:r w:rsidRPr="00E16FC2">
              <w:rPr>
                <w:b/>
                <w:bCs/>
                <w:color w:val="000000"/>
                <w:sz w:val="22"/>
                <w:szCs w:val="32"/>
              </w:rPr>
              <w:t>226.0%</w:t>
            </w:r>
          </w:p>
        </w:tc>
      </w:tr>
      <w:tr w:rsidR="00F054CD" w:rsidRPr="0033337E" w:rsidTr="007B359F">
        <w:trPr>
          <w:trHeight w:val="450"/>
        </w:trPr>
        <w:tc>
          <w:tcPr>
            <w:tcW w:w="2480" w:type="dxa"/>
            <w:tcBorders>
              <w:top w:val="nil"/>
              <w:left w:val="single" w:sz="8" w:space="0" w:color="auto"/>
              <w:bottom w:val="nil"/>
              <w:right w:val="single" w:sz="4" w:space="0" w:color="auto"/>
            </w:tcBorders>
            <w:shd w:val="clear" w:color="000000" w:fill="FFFFFF"/>
            <w:noWrap/>
            <w:vAlign w:val="center"/>
            <w:hideMark/>
          </w:tcPr>
          <w:p w:rsidR="00F054CD" w:rsidRPr="00E16FC2" w:rsidRDefault="00F054CD" w:rsidP="002D00D7">
            <w:pPr>
              <w:rPr>
                <w:color w:val="000000"/>
                <w:sz w:val="22"/>
                <w:szCs w:val="32"/>
              </w:rPr>
            </w:pPr>
            <w:r w:rsidRPr="00E16FC2">
              <w:rPr>
                <w:color w:val="000000"/>
                <w:sz w:val="22"/>
                <w:szCs w:val="32"/>
              </w:rPr>
              <w:t>Pr</w:t>
            </w:r>
            <w:r w:rsidR="002D00D7" w:rsidRPr="00E16FC2">
              <w:rPr>
                <w:color w:val="000000"/>
                <w:sz w:val="22"/>
                <w:szCs w:val="32"/>
              </w:rPr>
              <w:t>é</w:t>
            </w:r>
            <w:r w:rsidRPr="00E16FC2">
              <w:rPr>
                <w:color w:val="000000"/>
                <w:sz w:val="22"/>
                <w:szCs w:val="32"/>
              </w:rPr>
              <w:t>stamos</w:t>
            </w:r>
            <w:r w:rsidR="002D00D7" w:rsidRPr="00E16FC2">
              <w:rPr>
                <w:color w:val="000000"/>
                <w:sz w:val="22"/>
                <w:szCs w:val="32"/>
              </w:rPr>
              <w:t xml:space="preserve"> Externos</w:t>
            </w:r>
          </w:p>
        </w:tc>
        <w:tc>
          <w:tcPr>
            <w:tcW w:w="1701" w:type="dxa"/>
            <w:tcBorders>
              <w:top w:val="nil"/>
              <w:left w:val="single" w:sz="4" w:space="0" w:color="auto"/>
              <w:bottom w:val="nil"/>
              <w:right w:val="nil"/>
            </w:tcBorders>
            <w:shd w:val="clear" w:color="000000" w:fill="FFFFFF"/>
            <w:noWrap/>
            <w:vAlign w:val="center"/>
            <w:hideMark/>
          </w:tcPr>
          <w:p w:rsidR="00F054CD" w:rsidRPr="00E16FC2" w:rsidRDefault="00F054CD" w:rsidP="0005000D">
            <w:pPr>
              <w:jc w:val="center"/>
              <w:rPr>
                <w:color w:val="000000"/>
                <w:sz w:val="22"/>
                <w:szCs w:val="32"/>
              </w:rPr>
            </w:pPr>
            <w:r w:rsidRPr="00E16FC2">
              <w:rPr>
                <w:color w:val="000000"/>
                <w:sz w:val="22"/>
                <w:szCs w:val="32"/>
              </w:rPr>
              <w:t>1,592.6</w:t>
            </w:r>
          </w:p>
        </w:tc>
        <w:tc>
          <w:tcPr>
            <w:tcW w:w="1985" w:type="dxa"/>
            <w:tcBorders>
              <w:top w:val="nil"/>
              <w:left w:val="nil"/>
              <w:bottom w:val="nil"/>
              <w:right w:val="single" w:sz="4" w:space="0" w:color="auto"/>
            </w:tcBorders>
            <w:shd w:val="clear" w:color="000000" w:fill="FFFFFF"/>
            <w:noWrap/>
            <w:vAlign w:val="center"/>
            <w:hideMark/>
          </w:tcPr>
          <w:p w:rsidR="00F054CD" w:rsidRPr="00E16FC2" w:rsidRDefault="00F054CD" w:rsidP="0005000D">
            <w:pPr>
              <w:jc w:val="center"/>
              <w:rPr>
                <w:color w:val="000000"/>
                <w:sz w:val="22"/>
                <w:szCs w:val="32"/>
              </w:rPr>
            </w:pPr>
            <w:r w:rsidRPr="00E16FC2">
              <w:rPr>
                <w:color w:val="000000"/>
                <w:sz w:val="22"/>
                <w:szCs w:val="32"/>
              </w:rPr>
              <w:t>13,433.3</w:t>
            </w:r>
          </w:p>
        </w:tc>
        <w:tc>
          <w:tcPr>
            <w:tcW w:w="1559" w:type="dxa"/>
            <w:tcBorders>
              <w:top w:val="nil"/>
              <w:left w:val="nil"/>
              <w:bottom w:val="nil"/>
              <w:right w:val="nil"/>
            </w:tcBorders>
            <w:shd w:val="clear" w:color="000000" w:fill="FFFFFF"/>
            <w:noWrap/>
            <w:vAlign w:val="center"/>
            <w:hideMark/>
          </w:tcPr>
          <w:p w:rsidR="00F054CD" w:rsidRPr="00E16FC2" w:rsidRDefault="00F054CD" w:rsidP="0005000D">
            <w:pPr>
              <w:jc w:val="center"/>
              <w:rPr>
                <w:color w:val="000000"/>
                <w:sz w:val="22"/>
                <w:szCs w:val="32"/>
              </w:rPr>
            </w:pPr>
            <w:r w:rsidRPr="00E16FC2">
              <w:rPr>
                <w:color w:val="000000"/>
                <w:sz w:val="22"/>
                <w:szCs w:val="32"/>
              </w:rPr>
              <w:t>11,840.7</w:t>
            </w:r>
          </w:p>
        </w:tc>
        <w:tc>
          <w:tcPr>
            <w:tcW w:w="1701" w:type="dxa"/>
            <w:tcBorders>
              <w:top w:val="nil"/>
              <w:left w:val="nil"/>
              <w:bottom w:val="nil"/>
              <w:right w:val="single" w:sz="8" w:space="0" w:color="auto"/>
            </w:tcBorders>
            <w:shd w:val="clear" w:color="000000" w:fill="FFFFFF"/>
            <w:noWrap/>
            <w:vAlign w:val="center"/>
            <w:hideMark/>
          </w:tcPr>
          <w:p w:rsidR="00F054CD" w:rsidRPr="00E16FC2" w:rsidRDefault="00F054CD" w:rsidP="0005000D">
            <w:pPr>
              <w:jc w:val="center"/>
              <w:rPr>
                <w:color w:val="000000"/>
                <w:sz w:val="22"/>
                <w:szCs w:val="32"/>
              </w:rPr>
            </w:pPr>
            <w:r w:rsidRPr="00E16FC2">
              <w:rPr>
                <w:color w:val="000000"/>
                <w:sz w:val="22"/>
                <w:szCs w:val="32"/>
              </w:rPr>
              <w:t>743.5%</w:t>
            </w:r>
          </w:p>
        </w:tc>
      </w:tr>
      <w:tr w:rsidR="00F054CD" w:rsidRPr="0033337E" w:rsidTr="007B359F">
        <w:trPr>
          <w:trHeight w:val="450"/>
        </w:trPr>
        <w:tc>
          <w:tcPr>
            <w:tcW w:w="2480" w:type="dxa"/>
            <w:tcBorders>
              <w:top w:val="nil"/>
              <w:left w:val="single" w:sz="8" w:space="0" w:color="auto"/>
              <w:bottom w:val="single" w:sz="8" w:space="0" w:color="auto"/>
              <w:right w:val="single" w:sz="4" w:space="0" w:color="auto"/>
            </w:tcBorders>
            <w:shd w:val="clear" w:color="000000" w:fill="FFFFFF"/>
            <w:noWrap/>
            <w:vAlign w:val="center"/>
            <w:hideMark/>
          </w:tcPr>
          <w:p w:rsidR="00F054CD" w:rsidRPr="00E16FC2" w:rsidRDefault="00F054CD" w:rsidP="0005000D">
            <w:pPr>
              <w:rPr>
                <w:color w:val="000000"/>
                <w:sz w:val="22"/>
                <w:szCs w:val="32"/>
              </w:rPr>
            </w:pPr>
            <w:r w:rsidRPr="00E16FC2">
              <w:rPr>
                <w:color w:val="000000"/>
                <w:sz w:val="22"/>
                <w:szCs w:val="32"/>
              </w:rPr>
              <w:t>Bonos</w:t>
            </w:r>
            <w:r w:rsidR="002D00D7" w:rsidRPr="00E16FC2">
              <w:rPr>
                <w:color w:val="000000"/>
                <w:sz w:val="22"/>
                <w:szCs w:val="32"/>
              </w:rPr>
              <w:t xml:space="preserve"> del Tesoro</w:t>
            </w:r>
          </w:p>
        </w:tc>
        <w:tc>
          <w:tcPr>
            <w:tcW w:w="1701" w:type="dxa"/>
            <w:tcBorders>
              <w:top w:val="nil"/>
              <w:left w:val="single" w:sz="4" w:space="0" w:color="auto"/>
              <w:bottom w:val="single" w:sz="8" w:space="0" w:color="auto"/>
              <w:right w:val="nil"/>
            </w:tcBorders>
            <w:shd w:val="clear" w:color="000000" w:fill="FFFFFF"/>
            <w:noWrap/>
            <w:vAlign w:val="center"/>
            <w:hideMark/>
          </w:tcPr>
          <w:p w:rsidR="00F054CD" w:rsidRPr="00E16FC2" w:rsidRDefault="00F054CD" w:rsidP="0005000D">
            <w:pPr>
              <w:jc w:val="center"/>
              <w:rPr>
                <w:color w:val="000000"/>
                <w:sz w:val="22"/>
                <w:szCs w:val="32"/>
              </w:rPr>
            </w:pPr>
            <w:r w:rsidRPr="00E16FC2">
              <w:rPr>
                <w:color w:val="000000"/>
                <w:sz w:val="22"/>
                <w:szCs w:val="32"/>
              </w:rPr>
              <w:t>14,207.6</w:t>
            </w:r>
          </w:p>
        </w:tc>
        <w:tc>
          <w:tcPr>
            <w:tcW w:w="1985" w:type="dxa"/>
            <w:tcBorders>
              <w:top w:val="nil"/>
              <w:left w:val="nil"/>
              <w:bottom w:val="single" w:sz="8" w:space="0" w:color="auto"/>
              <w:right w:val="single" w:sz="4" w:space="0" w:color="auto"/>
            </w:tcBorders>
            <w:shd w:val="clear" w:color="000000" w:fill="FFFFFF"/>
            <w:noWrap/>
            <w:vAlign w:val="center"/>
            <w:hideMark/>
          </w:tcPr>
          <w:p w:rsidR="00F054CD" w:rsidRPr="00E16FC2" w:rsidRDefault="00F054CD" w:rsidP="0005000D">
            <w:pPr>
              <w:jc w:val="center"/>
              <w:rPr>
                <w:color w:val="000000"/>
                <w:sz w:val="22"/>
                <w:szCs w:val="32"/>
              </w:rPr>
            </w:pPr>
            <w:r w:rsidRPr="00E16FC2">
              <w:rPr>
                <w:color w:val="000000"/>
                <w:sz w:val="22"/>
                <w:szCs w:val="32"/>
              </w:rPr>
              <w:t>22,272.1</w:t>
            </w:r>
          </w:p>
        </w:tc>
        <w:tc>
          <w:tcPr>
            <w:tcW w:w="1559" w:type="dxa"/>
            <w:tcBorders>
              <w:top w:val="nil"/>
              <w:left w:val="nil"/>
              <w:bottom w:val="single" w:sz="8" w:space="0" w:color="auto"/>
              <w:right w:val="nil"/>
            </w:tcBorders>
            <w:shd w:val="clear" w:color="000000" w:fill="FFFFFF"/>
            <w:noWrap/>
            <w:vAlign w:val="center"/>
            <w:hideMark/>
          </w:tcPr>
          <w:p w:rsidR="00F054CD" w:rsidRPr="00E16FC2" w:rsidRDefault="00F054CD" w:rsidP="0005000D">
            <w:pPr>
              <w:jc w:val="center"/>
              <w:rPr>
                <w:color w:val="000000"/>
                <w:sz w:val="22"/>
                <w:szCs w:val="32"/>
              </w:rPr>
            </w:pPr>
            <w:r w:rsidRPr="00E16FC2">
              <w:rPr>
                <w:color w:val="000000"/>
                <w:sz w:val="22"/>
                <w:szCs w:val="32"/>
              </w:rPr>
              <w:t>8,064.4</w:t>
            </w:r>
          </w:p>
        </w:tc>
        <w:tc>
          <w:tcPr>
            <w:tcW w:w="1701" w:type="dxa"/>
            <w:tcBorders>
              <w:top w:val="nil"/>
              <w:left w:val="nil"/>
              <w:bottom w:val="single" w:sz="8" w:space="0" w:color="auto"/>
              <w:right w:val="single" w:sz="8" w:space="0" w:color="auto"/>
            </w:tcBorders>
            <w:shd w:val="clear" w:color="000000" w:fill="FFFFFF"/>
            <w:noWrap/>
            <w:vAlign w:val="center"/>
            <w:hideMark/>
          </w:tcPr>
          <w:p w:rsidR="00F054CD" w:rsidRPr="00E16FC2" w:rsidRDefault="00F054CD" w:rsidP="0005000D">
            <w:pPr>
              <w:jc w:val="center"/>
              <w:rPr>
                <w:color w:val="000000"/>
                <w:sz w:val="22"/>
                <w:szCs w:val="32"/>
              </w:rPr>
            </w:pPr>
            <w:r w:rsidRPr="00E16FC2">
              <w:rPr>
                <w:color w:val="000000"/>
                <w:sz w:val="22"/>
                <w:szCs w:val="32"/>
              </w:rPr>
              <w:t>56.8%</w:t>
            </w:r>
          </w:p>
        </w:tc>
      </w:tr>
    </w:tbl>
    <w:bookmarkEnd w:id="25"/>
    <w:p w:rsidR="0011363F" w:rsidRPr="0011363F" w:rsidRDefault="0011363F" w:rsidP="0011363F">
      <w:pPr>
        <w:rPr>
          <w:sz w:val="18"/>
        </w:rPr>
      </w:pPr>
      <w:r w:rsidRPr="0011363F">
        <w:rPr>
          <w:sz w:val="18"/>
        </w:rPr>
        <w:t>*Cifras preliminares</w:t>
      </w:r>
    </w:p>
    <w:p w:rsidR="00011502" w:rsidRPr="0011363F" w:rsidRDefault="007B359F" w:rsidP="0011363F">
      <w:pPr>
        <w:rPr>
          <w:sz w:val="18"/>
          <w:lang w:val="es-MX"/>
        </w:rPr>
      </w:pPr>
      <w:r>
        <w:rPr>
          <w:sz w:val="18"/>
          <w:lang w:val="es-MX"/>
        </w:rPr>
        <w:t xml:space="preserve">  </w:t>
      </w:r>
      <w:r w:rsidR="00011502" w:rsidRPr="0011363F">
        <w:rPr>
          <w:sz w:val="18"/>
          <w:lang w:val="es-MX"/>
        </w:rPr>
        <w:t>Fuente: Ministerio de Finanzas Públicas.</w:t>
      </w:r>
    </w:p>
    <w:p w:rsidR="00011502" w:rsidRDefault="00011502" w:rsidP="0011363F">
      <w:pPr>
        <w:rPr>
          <w:bCs/>
          <w:sz w:val="28"/>
          <w:lang w:val="es-MX"/>
        </w:rPr>
      </w:pPr>
    </w:p>
    <w:p w:rsidR="00D01337" w:rsidRPr="009A6DD6" w:rsidRDefault="00D01337" w:rsidP="00011502">
      <w:pPr>
        <w:jc w:val="both"/>
        <w:rPr>
          <w:bCs/>
          <w:sz w:val="28"/>
          <w:lang w:val="es-MX"/>
        </w:rPr>
      </w:pPr>
    </w:p>
    <w:p w:rsidR="00011502" w:rsidRPr="00DD5A28" w:rsidRDefault="00011502" w:rsidP="00C774F3">
      <w:pPr>
        <w:pStyle w:val="Ttulo2"/>
        <w:numPr>
          <w:ilvl w:val="0"/>
          <w:numId w:val="3"/>
        </w:numPr>
        <w:spacing w:line="276" w:lineRule="auto"/>
        <w:ind w:left="567" w:hanging="567"/>
        <w:rPr>
          <w:rFonts w:ascii="Times New Roman" w:hAnsi="Times New Roman"/>
          <w:color w:val="auto"/>
          <w:sz w:val="24"/>
          <w:szCs w:val="24"/>
        </w:rPr>
      </w:pPr>
      <w:bookmarkStart w:id="26" w:name="_Toc65826756"/>
      <w:r w:rsidRPr="00DD5A28">
        <w:rPr>
          <w:rFonts w:ascii="Times New Roman" w:hAnsi="Times New Roman"/>
          <w:color w:val="auto"/>
          <w:sz w:val="24"/>
          <w:szCs w:val="24"/>
        </w:rPr>
        <w:t xml:space="preserve">Ejecución del </w:t>
      </w:r>
      <w:r>
        <w:rPr>
          <w:rFonts w:ascii="Times New Roman" w:hAnsi="Times New Roman"/>
          <w:color w:val="auto"/>
          <w:sz w:val="24"/>
          <w:szCs w:val="24"/>
        </w:rPr>
        <w:t>G</w:t>
      </w:r>
      <w:r w:rsidRPr="00DD5A28">
        <w:rPr>
          <w:rFonts w:ascii="Times New Roman" w:hAnsi="Times New Roman"/>
          <w:color w:val="auto"/>
          <w:sz w:val="24"/>
          <w:szCs w:val="24"/>
        </w:rPr>
        <w:t xml:space="preserve">asto </w:t>
      </w:r>
      <w:r>
        <w:rPr>
          <w:rFonts w:ascii="Times New Roman" w:hAnsi="Times New Roman"/>
          <w:color w:val="auto"/>
          <w:sz w:val="24"/>
          <w:szCs w:val="24"/>
        </w:rPr>
        <w:t>P</w:t>
      </w:r>
      <w:r w:rsidRPr="00DD5A28">
        <w:rPr>
          <w:rFonts w:ascii="Times New Roman" w:hAnsi="Times New Roman"/>
          <w:color w:val="auto"/>
          <w:sz w:val="24"/>
          <w:szCs w:val="24"/>
        </w:rPr>
        <w:t>úblico</w:t>
      </w:r>
      <w:bookmarkEnd w:id="26"/>
    </w:p>
    <w:p w:rsidR="00011502" w:rsidRDefault="00011502" w:rsidP="00011502">
      <w:pPr>
        <w:rPr>
          <w:sz w:val="28"/>
        </w:rPr>
      </w:pPr>
    </w:p>
    <w:p w:rsidR="002C0DBF" w:rsidRDefault="002C0DBF" w:rsidP="002C0DBF">
      <w:pPr>
        <w:jc w:val="both"/>
      </w:pPr>
      <w:r>
        <w:t xml:space="preserve">El presupuesto aprobado </w:t>
      </w:r>
      <w:r w:rsidR="00BE0214">
        <w:t xml:space="preserve">de 2020 </w:t>
      </w:r>
      <w:r>
        <w:t>contemplaba un gasto total</w:t>
      </w:r>
      <w:r w:rsidR="001B65CE">
        <w:t>,</w:t>
      </w:r>
      <w:r>
        <w:t xml:space="preserve"> sin incluir amortizaciones</w:t>
      </w:r>
      <w:r w:rsidR="001B65CE">
        <w:t>,</w:t>
      </w:r>
      <w:r>
        <w:t xml:space="preserve"> de Q.83,750.7 millones y según las cifras observadas, la ejecución presupuestaria, de forma preliminar, fue de Q</w:t>
      </w:r>
      <w:r w:rsidR="00BE0214">
        <w:t>.</w:t>
      </w:r>
      <w:r>
        <w:t>93,529.0 millones, es decir, que la ejecución preliminar estuvo por arriba de lo presupuestado en un 11.7% de lo estimado. La incidencia del aumento se dio principalmente en los Gastos Corrientes con un a</w:t>
      </w:r>
      <w:r w:rsidR="00BE0214">
        <w:t>u</w:t>
      </w:r>
      <w:r>
        <w:t xml:space="preserve">mento en su ejecución, respecto </w:t>
      </w:r>
      <w:r w:rsidR="00BE0214">
        <w:t>de</w:t>
      </w:r>
      <w:r>
        <w:t xml:space="preserve"> lo observado en 2019, de Q</w:t>
      </w:r>
      <w:r w:rsidR="00BE0214">
        <w:t>.</w:t>
      </w:r>
      <w:r>
        <w:t xml:space="preserve">8,012.1 millones equivalentes al 11.9% más.  Por su parte, los </w:t>
      </w:r>
      <w:r w:rsidR="00BE0214">
        <w:t>G</w:t>
      </w:r>
      <w:r>
        <w:t xml:space="preserve">astos de </w:t>
      </w:r>
      <w:r w:rsidR="00BE0214">
        <w:t>C</w:t>
      </w:r>
      <w:r>
        <w:t>apital aumentaron Q</w:t>
      </w:r>
      <w:r w:rsidR="00BE0214">
        <w:t>.</w:t>
      </w:r>
      <w:r>
        <w:t>1,766.2 millones, al pasar de Q</w:t>
      </w:r>
      <w:r w:rsidR="00BE0214">
        <w:t>.</w:t>
      </w:r>
      <w:r>
        <w:t>16,193.8 millones en 2019 a Q</w:t>
      </w:r>
      <w:r w:rsidR="00BE0214">
        <w:t>.</w:t>
      </w:r>
      <w:r>
        <w:t>17,960.1 millones</w:t>
      </w:r>
      <w:r w:rsidR="002D00D7">
        <w:t>,</w:t>
      </w:r>
      <w:r>
        <w:t xml:space="preserve"> al cierre preliminar de 2020.</w:t>
      </w:r>
    </w:p>
    <w:p w:rsidR="002C0DBF" w:rsidRPr="00D01337" w:rsidRDefault="002C0DBF" w:rsidP="002C0DBF">
      <w:pPr>
        <w:jc w:val="both"/>
        <w:rPr>
          <w:sz w:val="28"/>
        </w:rPr>
      </w:pPr>
    </w:p>
    <w:p w:rsidR="002C0DBF" w:rsidRDefault="002C0DBF" w:rsidP="002C0DBF">
      <w:pPr>
        <w:jc w:val="both"/>
      </w:pPr>
      <w:r>
        <w:t>El presupuesto para 2020 no fue aprobado por</w:t>
      </w:r>
      <w:r w:rsidR="00BE0214">
        <w:t xml:space="preserve"> el Congreso de la República,</w:t>
      </w:r>
      <w:r>
        <w:t xml:space="preserve"> </w:t>
      </w:r>
      <w:r w:rsidR="00BE0214">
        <w:t>por lo que entró a regir el presupuesto en vigencia de 2019;</w:t>
      </w:r>
      <w:r>
        <w:t xml:space="preserve"> posteriormente por la crisis generada por la pandemia del C</w:t>
      </w:r>
      <w:r w:rsidR="00BE0214">
        <w:t>ovid</w:t>
      </w:r>
      <w:r>
        <w:t>-19</w:t>
      </w:r>
      <w:r w:rsidR="00BE0214">
        <w:t xml:space="preserve"> y su impacto negativo</w:t>
      </w:r>
      <w:r>
        <w:t xml:space="preserve"> en la recaudación</w:t>
      </w:r>
      <w:r w:rsidR="00BE0214">
        <w:t xml:space="preserve"> tributaria, motivó el</w:t>
      </w:r>
      <w:r>
        <w:t xml:space="preserve"> incremento de</w:t>
      </w:r>
      <w:r w:rsidR="00BE0214">
        <w:t xml:space="preserve">l </w:t>
      </w:r>
      <w:r>
        <w:t>endeudamiento</w:t>
      </w:r>
      <w:r w:rsidR="00BE0214">
        <w:t xml:space="preserve"> interno y externo</w:t>
      </w:r>
      <w:r>
        <w:t xml:space="preserve"> para a</w:t>
      </w:r>
      <w:r w:rsidR="00BE0214">
        <w:t>tender</w:t>
      </w:r>
      <w:r>
        <w:t xml:space="preserve"> las necesidades</w:t>
      </w:r>
      <w:r w:rsidR="00BE0214">
        <w:t xml:space="preserve"> prioritarias q</w:t>
      </w:r>
      <w:r>
        <w:t>ue af</w:t>
      </w:r>
      <w:r w:rsidR="00BE0214">
        <w:t>rontó</w:t>
      </w:r>
      <w:r>
        <w:t xml:space="preserve"> la población, principalmente l</w:t>
      </w:r>
      <w:r w:rsidR="00BE0214">
        <w:t>os grupos</w:t>
      </w:r>
      <w:r>
        <w:t xml:space="preserve"> en situación de vulnerabilidad</w:t>
      </w:r>
      <w:r w:rsidRPr="00253E46">
        <w:t>.</w:t>
      </w:r>
    </w:p>
    <w:p w:rsidR="002C0DBF" w:rsidRPr="00D01337" w:rsidRDefault="002C0DBF" w:rsidP="002C0DBF">
      <w:pPr>
        <w:jc w:val="both"/>
        <w:rPr>
          <w:sz w:val="28"/>
        </w:rPr>
      </w:pPr>
    </w:p>
    <w:p w:rsidR="002C0DBF" w:rsidRPr="00253E46" w:rsidRDefault="002C0DBF" w:rsidP="002C0DBF">
      <w:pPr>
        <w:jc w:val="both"/>
      </w:pPr>
      <w:r>
        <w:t>El presupuesto contemplaba ingresos totales por un monto de Q</w:t>
      </w:r>
      <w:r w:rsidR="00F7675B">
        <w:t>.</w:t>
      </w:r>
      <w:r>
        <w:t>68,547.4 millones y al cierre preliminar se reporta un monto de Q</w:t>
      </w:r>
      <w:r w:rsidR="00F7675B">
        <w:t>.</w:t>
      </w:r>
      <w:r>
        <w:t>64,051.3 millones, la disminución fue de Q</w:t>
      </w:r>
      <w:r w:rsidR="00F7675B">
        <w:t>.</w:t>
      </w:r>
      <w:r>
        <w:t>4</w:t>
      </w:r>
      <w:r w:rsidR="00AD1D7E">
        <w:t>,</w:t>
      </w:r>
      <w:r>
        <w:t>496.1 millones</w:t>
      </w:r>
      <w:r w:rsidR="006E5328">
        <w:t>. E</w:t>
      </w:r>
      <w:r>
        <w:t>l impacto en la disminución se observa en los ingresos tributarios indirectos, los cuales fueron menores en Q</w:t>
      </w:r>
      <w:r w:rsidR="006E5328">
        <w:t>.</w:t>
      </w:r>
      <w:r>
        <w:t>3,337.3 millones, como resultado del encierro de las familias para evitar el incremento en el contagio del C</w:t>
      </w:r>
      <w:r w:rsidR="006E5328">
        <w:t>ovid</w:t>
      </w:r>
      <w:r>
        <w:t>-19, lo cual generó que el consumo disminuyera drásticamente. Vale indicar que los impuestos directos también se redujeron en Q</w:t>
      </w:r>
      <w:r w:rsidR="006E5328">
        <w:t>.</w:t>
      </w:r>
      <w:r>
        <w:t>411.0 millones y los i</w:t>
      </w:r>
      <w:r w:rsidR="00AD1D7E">
        <w:t>ngresos</w:t>
      </w:r>
      <w:r>
        <w:t xml:space="preserve"> no tributarios y de capital en Q</w:t>
      </w:r>
      <w:r w:rsidR="006E5328">
        <w:t>.</w:t>
      </w:r>
      <w:r>
        <w:t>746.7 millones.</w:t>
      </w:r>
    </w:p>
    <w:p w:rsidR="002C0DBF" w:rsidRDefault="002C0DBF" w:rsidP="002C0DBF">
      <w:pPr>
        <w:jc w:val="both"/>
        <w:rPr>
          <w:sz w:val="28"/>
          <w:szCs w:val="23"/>
        </w:rPr>
      </w:pPr>
    </w:p>
    <w:p w:rsidR="008C5ECD" w:rsidRDefault="008C5ECD" w:rsidP="002C0DBF">
      <w:pPr>
        <w:jc w:val="both"/>
        <w:rPr>
          <w:sz w:val="28"/>
          <w:szCs w:val="23"/>
        </w:rPr>
      </w:pPr>
    </w:p>
    <w:p w:rsidR="008C5ECD" w:rsidRPr="007A2761" w:rsidRDefault="008C5ECD" w:rsidP="002C0DBF">
      <w:pPr>
        <w:jc w:val="both"/>
        <w:rPr>
          <w:sz w:val="28"/>
          <w:szCs w:val="23"/>
        </w:rPr>
      </w:pPr>
    </w:p>
    <w:p w:rsidR="002C0DBF" w:rsidRDefault="002C0DBF" w:rsidP="002C0DBF">
      <w:pPr>
        <w:jc w:val="both"/>
      </w:pPr>
      <w:r>
        <w:t>El gasto público por cuenta económica, es decir, que no incluye amortizaciones de préstamos, amortizaciones de primas por colocaciones ni el costo de la política monetaria, establecido en el presupuesto fue de Q</w:t>
      </w:r>
      <w:r w:rsidR="006E5328">
        <w:t>.</w:t>
      </w:r>
      <w:r>
        <w:t>83,750.7 millones, en tanto que la ejecución presupuestaria fue de Q</w:t>
      </w:r>
      <w:r w:rsidR="006E5328">
        <w:t>.</w:t>
      </w:r>
      <w:r>
        <w:t xml:space="preserve">93,529.0 millones, equivalentes al 11.7% por encima de lo establecido </w:t>
      </w:r>
      <w:r w:rsidR="002D00D7">
        <w:t>en</w:t>
      </w:r>
      <w:r>
        <w:t xml:space="preserve"> el presupuesto, equivalentes a Q</w:t>
      </w:r>
      <w:r w:rsidR="006E5328">
        <w:t>.</w:t>
      </w:r>
      <w:r>
        <w:t>9,778.3 millones, los cuales, afectaron en mayor proporción los gastos corrientes, que de acuerdo al presupuesto fueron mayores en Q</w:t>
      </w:r>
      <w:r w:rsidR="006E5328">
        <w:t>.</w:t>
      </w:r>
      <w:r>
        <w:t>8,012.1 millones, mientras que los gastos de capital fueron mayores en Q</w:t>
      </w:r>
      <w:r w:rsidR="006E5328">
        <w:t>.</w:t>
      </w:r>
      <w:r>
        <w:t>1,766.2 millones, ambos se ubicaron en alrededor del 10.0% por arriba de lo</w:t>
      </w:r>
      <w:r w:rsidR="006E5328">
        <w:t xml:space="preserve"> establecido</w:t>
      </w:r>
      <w:r>
        <w:t xml:space="preserve"> en el presupuesto</w:t>
      </w:r>
      <w:r w:rsidR="002D00D7">
        <w:t xml:space="preserve"> en vigencia para 2020</w:t>
      </w:r>
      <w:r w:rsidRPr="00253E46">
        <w:t>.</w:t>
      </w:r>
    </w:p>
    <w:p w:rsidR="002C0DBF" w:rsidRDefault="002C0DBF" w:rsidP="002C0DBF">
      <w:pPr>
        <w:jc w:val="both"/>
      </w:pPr>
    </w:p>
    <w:p w:rsidR="002C0DBF" w:rsidRDefault="002C0DBF" w:rsidP="002C0DBF">
      <w:pPr>
        <w:jc w:val="both"/>
        <w:rPr>
          <w:sz w:val="23"/>
          <w:szCs w:val="23"/>
        </w:rPr>
      </w:pPr>
      <w:r>
        <w:t xml:space="preserve">En los últimos 13 años, el </w:t>
      </w:r>
      <w:r w:rsidR="002B7208">
        <w:t xml:space="preserve">ejercicio fiscal </w:t>
      </w:r>
      <w:r>
        <w:t>2020 superó la ejecución presupuestaria como porcentaje del PIB al ubicarse en 15.6%, siendo el promedio</w:t>
      </w:r>
      <w:r w:rsidR="002B7208">
        <w:t xml:space="preserve"> de</w:t>
      </w:r>
      <w:r>
        <w:t xml:space="preserve"> 13.7%.  El presupuesto vigente al cierre preliminar de 2020 fue de Q</w:t>
      </w:r>
      <w:r w:rsidR="002B7208">
        <w:t>.</w:t>
      </w:r>
      <w:r>
        <w:t xml:space="preserve">107,760.7, después de las diferentes </w:t>
      </w:r>
      <w:r w:rsidR="002B7208">
        <w:t>ampliaciones</w:t>
      </w:r>
      <w:r>
        <w:t>, por lo que el porcentaje de ejecución presupuestaria alcanzó el 89.7%, equivalente a Q</w:t>
      </w:r>
      <w:r w:rsidR="002B7208">
        <w:t>.</w:t>
      </w:r>
      <w:r>
        <w:t>96,625.4 millones, quedando por debajo del promedio de los últimos 13 años que es de</w:t>
      </w:r>
      <w:r w:rsidR="002B7208">
        <w:t>l</w:t>
      </w:r>
      <w:r>
        <w:t xml:space="preserve"> 92.8%.</w:t>
      </w:r>
    </w:p>
    <w:p w:rsidR="00D30304" w:rsidRDefault="00D30304" w:rsidP="00011502">
      <w:pPr>
        <w:jc w:val="both"/>
        <w:rPr>
          <w:sz w:val="23"/>
          <w:szCs w:val="23"/>
        </w:rPr>
      </w:pPr>
    </w:p>
    <w:p w:rsidR="00D30304" w:rsidRDefault="00D30304" w:rsidP="00011502">
      <w:pPr>
        <w:jc w:val="both"/>
        <w:rPr>
          <w:sz w:val="23"/>
          <w:szCs w:val="23"/>
        </w:rPr>
      </w:pPr>
    </w:p>
    <w:p w:rsidR="00011502" w:rsidRPr="00124AD6" w:rsidRDefault="00011502" w:rsidP="00011502">
      <w:pPr>
        <w:pStyle w:val="NormalWeb"/>
        <w:spacing w:before="0" w:beforeAutospacing="0" w:after="0" w:afterAutospacing="0"/>
        <w:jc w:val="center"/>
        <w:rPr>
          <w:rFonts w:eastAsia="+mn-ea"/>
          <w:b/>
          <w:bCs/>
          <w:color w:val="000000"/>
          <w:kern w:val="24"/>
        </w:rPr>
      </w:pPr>
      <w:r w:rsidRPr="00124AD6">
        <w:rPr>
          <w:rFonts w:eastAsia="+mn-ea"/>
          <w:b/>
          <w:bCs/>
          <w:color w:val="000000"/>
          <w:kern w:val="24"/>
        </w:rPr>
        <w:t>Gráfica 1</w:t>
      </w:r>
      <w:r w:rsidR="00D30304">
        <w:rPr>
          <w:rFonts w:eastAsia="+mn-ea"/>
          <w:b/>
          <w:bCs/>
          <w:color w:val="000000"/>
          <w:kern w:val="24"/>
        </w:rPr>
        <w:t>6</w:t>
      </w:r>
    </w:p>
    <w:p w:rsidR="00011502" w:rsidRPr="00124AD6" w:rsidRDefault="00011502" w:rsidP="00011502">
      <w:pPr>
        <w:pStyle w:val="NormalWeb"/>
        <w:spacing w:before="0" w:beforeAutospacing="0" w:after="0" w:afterAutospacing="0"/>
        <w:jc w:val="center"/>
      </w:pPr>
      <w:r w:rsidRPr="00124AD6">
        <w:rPr>
          <w:rFonts w:eastAsia="+mn-ea"/>
          <w:b/>
          <w:bCs/>
          <w:color w:val="000000"/>
          <w:kern w:val="24"/>
        </w:rPr>
        <w:t>Comportamiento del Gasto Público* 2008</w:t>
      </w:r>
      <w:r>
        <w:rPr>
          <w:rFonts w:eastAsia="+mn-ea"/>
          <w:b/>
          <w:bCs/>
          <w:color w:val="000000"/>
          <w:kern w:val="24"/>
        </w:rPr>
        <w:t xml:space="preserve"> </w:t>
      </w:r>
      <w:r w:rsidR="00D30304">
        <w:rPr>
          <w:rFonts w:eastAsia="+mn-ea"/>
          <w:b/>
          <w:bCs/>
          <w:color w:val="000000"/>
          <w:kern w:val="24"/>
        </w:rPr>
        <w:t>-</w:t>
      </w:r>
      <w:r>
        <w:rPr>
          <w:rFonts w:eastAsia="+mn-ea"/>
          <w:b/>
          <w:bCs/>
          <w:color w:val="000000"/>
          <w:kern w:val="24"/>
        </w:rPr>
        <w:t xml:space="preserve"> </w:t>
      </w:r>
      <w:r w:rsidRPr="00124AD6">
        <w:rPr>
          <w:rFonts w:eastAsia="+mn-ea"/>
          <w:b/>
          <w:bCs/>
          <w:color w:val="000000"/>
          <w:kern w:val="24"/>
        </w:rPr>
        <w:t>20</w:t>
      </w:r>
      <w:r w:rsidR="00E6741B">
        <w:rPr>
          <w:rFonts w:eastAsia="+mn-ea"/>
          <w:b/>
          <w:bCs/>
          <w:color w:val="000000"/>
          <w:kern w:val="24"/>
        </w:rPr>
        <w:t>20</w:t>
      </w:r>
      <w:r w:rsidR="00D30304">
        <w:rPr>
          <w:rFonts w:eastAsia="+mn-ea"/>
          <w:b/>
          <w:bCs/>
          <w:color w:val="000000"/>
          <w:kern w:val="24"/>
        </w:rPr>
        <w:t>**</w:t>
      </w:r>
    </w:p>
    <w:p w:rsidR="00011502" w:rsidRDefault="00011502" w:rsidP="00011502">
      <w:pPr>
        <w:contextualSpacing/>
        <w:jc w:val="center"/>
        <w:rPr>
          <w:rFonts w:eastAsia="+mn-ea"/>
          <w:b/>
          <w:bCs/>
          <w:color w:val="000000"/>
          <w:kern w:val="24"/>
          <w:lang w:val="es-GT" w:eastAsia="es-GT"/>
        </w:rPr>
      </w:pPr>
      <w:r>
        <w:rPr>
          <w:rFonts w:eastAsia="+mn-ea"/>
          <w:b/>
          <w:bCs/>
          <w:color w:val="000000"/>
          <w:kern w:val="24"/>
          <w:lang w:val="es-GT" w:eastAsia="es-GT"/>
        </w:rPr>
        <w:t>(</w:t>
      </w:r>
      <w:r w:rsidR="00E82889">
        <w:rPr>
          <w:rFonts w:eastAsia="+mn-ea"/>
          <w:b/>
          <w:bCs/>
          <w:color w:val="000000"/>
          <w:kern w:val="24"/>
          <w:lang w:val="es-GT" w:eastAsia="es-GT"/>
        </w:rPr>
        <w:t xml:space="preserve">En </w:t>
      </w:r>
      <w:r>
        <w:rPr>
          <w:rFonts w:eastAsia="+mn-ea"/>
          <w:b/>
          <w:bCs/>
          <w:color w:val="000000"/>
          <w:kern w:val="24"/>
          <w:lang w:val="es-GT" w:eastAsia="es-GT"/>
        </w:rPr>
        <w:t>Porcentajes del PIB)</w:t>
      </w:r>
    </w:p>
    <w:p w:rsidR="00E6741B" w:rsidRDefault="00E6741B" w:rsidP="00011502">
      <w:pPr>
        <w:contextualSpacing/>
        <w:jc w:val="center"/>
        <w:rPr>
          <w:rFonts w:eastAsia="+mn-ea"/>
          <w:b/>
          <w:bCs/>
          <w:color w:val="000000"/>
          <w:kern w:val="24"/>
          <w:lang w:val="es-GT" w:eastAsia="es-GT"/>
        </w:rPr>
      </w:pPr>
      <w:r>
        <w:rPr>
          <w:noProof/>
          <w:lang w:val="es-GT" w:eastAsia="es-GT"/>
        </w:rPr>
        <w:drawing>
          <wp:inline distT="0" distB="0" distL="0" distR="0" wp14:anchorId="2242EE2E" wp14:editId="7CB80EC8">
            <wp:extent cx="5727802" cy="3811219"/>
            <wp:effectExtent l="0" t="0" r="6350" b="0"/>
            <wp:docPr id="6" name="Gráfico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11502" w:rsidRDefault="0065502C" w:rsidP="00011502">
      <w:pPr>
        <w:jc w:val="both"/>
        <w:rPr>
          <w:sz w:val="18"/>
        </w:rPr>
      </w:pPr>
      <w:r>
        <w:rPr>
          <w:sz w:val="18"/>
        </w:rPr>
        <w:t xml:space="preserve">               </w:t>
      </w:r>
      <w:r w:rsidR="00011502" w:rsidRPr="007774ED">
        <w:rPr>
          <w:sz w:val="18"/>
        </w:rPr>
        <w:t xml:space="preserve">* No incluye amortizaciones de </w:t>
      </w:r>
      <w:r w:rsidR="00011502">
        <w:rPr>
          <w:sz w:val="18"/>
        </w:rPr>
        <w:t>D</w:t>
      </w:r>
      <w:r w:rsidR="00011502" w:rsidRPr="007774ED">
        <w:rPr>
          <w:sz w:val="18"/>
        </w:rPr>
        <w:t xml:space="preserve">euda </w:t>
      </w:r>
      <w:r w:rsidR="00011502">
        <w:rPr>
          <w:sz w:val="18"/>
        </w:rPr>
        <w:t>P</w:t>
      </w:r>
      <w:r w:rsidR="00011502" w:rsidRPr="007774ED">
        <w:rPr>
          <w:sz w:val="18"/>
        </w:rPr>
        <w:t>ública</w:t>
      </w:r>
    </w:p>
    <w:p w:rsidR="00D30304" w:rsidRPr="000B60D0" w:rsidRDefault="0065502C" w:rsidP="00011502">
      <w:pPr>
        <w:jc w:val="both"/>
        <w:rPr>
          <w:sz w:val="23"/>
          <w:szCs w:val="23"/>
        </w:rPr>
      </w:pPr>
      <w:r>
        <w:rPr>
          <w:sz w:val="18"/>
        </w:rPr>
        <w:t xml:space="preserve">      </w:t>
      </w:r>
      <w:r w:rsidR="009E2F0B">
        <w:rPr>
          <w:sz w:val="18"/>
        </w:rPr>
        <w:t xml:space="preserve"> </w:t>
      </w:r>
      <w:r>
        <w:rPr>
          <w:sz w:val="18"/>
        </w:rPr>
        <w:t xml:space="preserve">      </w:t>
      </w:r>
      <w:r w:rsidR="00D30304">
        <w:rPr>
          <w:sz w:val="18"/>
        </w:rPr>
        <w:t>** Cifras preliminares</w:t>
      </w:r>
    </w:p>
    <w:p w:rsidR="00011502" w:rsidRPr="007774ED" w:rsidRDefault="00D30304" w:rsidP="00011502">
      <w:pPr>
        <w:ind w:left="142"/>
        <w:contextualSpacing/>
        <w:jc w:val="both"/>
        <w:rPr>
          <w:sz w:val="18"/>
        </w:rPr>
      </w:pPr>
      <w:r>
        <w:rPr>
          <w:sz w:val="18"/>
        </w:rPr>
        <w:t xml:space="preserve"> </w:t>
      </w:r>
      <w:r w:rsidR="0065502C">
        <w:rPr>
          <w:sz w:val="18"/>
        </w:rPr>
        <w:t xml:space="preserve">             </w:t>
      </w:r>
      <w:r>
        <w:rPr>
          <w:sz w:val="18"/>
        </w:rPr>
        <w:t xml:space="preserve"> </w:t>
      </w:r>
      <w:r w:rsidR="00011502" w:rsidRPr="007774ED">
        <w:rPr>
          <w:sz w:val="18"/>
        </w:rPr>
        <w:t>Fuente: Ministerio de Finanzas Públicas</w:t>
      </w:r>
      <w:r w:rsidR="00011502">
        <w:rPr>
          <w:sz w:val="18"/>
        </w:rPr>
        <w:t>.</w:t>
      </w:r>
    </w:p>
    <w:p w:rsidR="00011502" w:rsidRPr="00124AD6" w:rsidRDefault="00011502" w:rsidP="00011502">
      <w:pPr>
        <w:jc w:val="both"/>
      </w:pPr>
    </w:p>
    <w:p w:rsidR="00D30304" w:rsidRPr="008C5ECD" w:rsidRDefault="00D30304" w:rsidP="00011502">
      <w:pPr>
        <w:pStyle w:val="NormalWeb"/>
        <w:spacing w:before="0" w:beforeAutospacing="0" w:after="0" w:afterAutospacing="0"/>
        <w:jc w:val="center"/>
        <w:rPr>
          <w:rFonts w:eastAsia="+mn-ea"/>
          <w:b/>
          <w:bCs/>
          <w:color w:val="000000"/>
          <w:kern w:val="24"/>
          <w:sz w:val="10"/>
        </w:rPr>
      </w:pPr>
    </w:p>
    <w:p w:rsidR="00011502" w:rsidRPr="00124AD6" w:rsidRDefault="00011502" w:rsidP="00011502">
      <w:pPr>
        <w:pStyle w:val="NormalWeb"/>
        <w:spacing w:before="0" w:beforeAutospacing="0" w:after="0" w:afterAutospacing="0"/>
        <w:jc w:val="center"/>
        <w:rPr>
          <w:rFonts w:eastAsia="+mn-ea"/>
          <w:b/>
          <w:bCs/>
          <w:color w:val="000000"/>
          <w:kern w:val="24"/>
        </w:rPr>
      </w:pPr>
      <w:r w:rsidRPr="00124AD6">
        <w:rPr>
          <w:rFonts w:eastAsia="+mn-ea"/>
          <w:b/>
          <w:bCs/>
          <w:color w:val="000000"/>
          <w:kern w:val="24"/>
        </w:rPr>
        <w:t>Gráfica 1</w:t>
      </w:r>
      <w:r w:rsidR="00D30304">
        <w:rPr>
          <w:rFonts w:eastAsia="+mn-ea"/>
          <w:b/>
          <w:bCs/>
          <w:color w:val="000000"/>
          <w:kern w:val="24"/>
        </w:rPr>
        <w:t>7</w:t>
      </w:r>
      <w:r w:rsidRPr="00124AD6">
        <w:rPr>
          <w:rFonts w:eastAsia="+mn-ea"/>
          <w:b/>
          <w:bCs/>
          <w:color w:val="000000"/>
          <w:kern w:val="24"/>
        </w:rPr>
        <w:t xml:space="preserve"> </w:t>
      </w:r>
    </w:p>
    <w:p w:rsidR="00011502" w:rsidRDefault="00011502" w:rsidP="00011502">
      <w:pPr>
        <w:pStyle w:val="NormalWeb"/>
        <w:spacing w:before="0" w:beforeAutospacing="0" w:after="0" w:afterAutospacing="0"/>
        <w:jc w:val="center"/>
        <w:rPr>
          <w:rFonts w:eastAsia="+mn-ea"/>
          <w:b/>
          <w:bCs/>
          <w:color w:val="000000"/>
          <w:kern w:val="24"/>
        </w:rPr>
      </w:pPr>
      <w:r w:rsidRPr="00124AD6">
        <w:rPr>
          <w:rFonts w:eastAsia="+mn-ea"/>
          <w:b/>
          <w:bCs/>
          <w:color w:val="000000"/>
          <w:kern w:val="24"/>
        </w:rPr>
        <w:t xml:space="preserve">Ejecución </w:t>
      </w:r>
      <w:r>
        <w:rPr>
          <w:rFonts w:eastAsia="+mn-ea"/>
          <w:b/>
          <w:bCs/>
          <w:color w:val="000000"/>
          <w:kern w:val="24"/>
        </w:rPr>
        <w:t xml:space="preserve">Presupuestaria </w:t>
      </w:r>
      <w:r w:rsidRPr="00124AD6">
        <w:rPr>
          <w:rFonts w:eastAsia="+mn-ea"/>
          <w:b/>
          <w:bCs/>
          <w:color w:val="000000"/>
          <w:kern w:val="24"/>
        </w:rPr>
        <w:t>del Gasto Público 2008</w:t>
      </w:r>
      <w:r>
        <w:rPr>
          <w:rFonts w:eastAsia="+mn-ea"/>
          <w:b/>
          <w:bCs/>
          <w:color w:val="000000"/>
          <w:kern w:val="24"/>
        </w:rPr>
        <w:t xml:space="preserve"> </w:t>
      </w:r>
      <w:r w:rsidR="00D30304">
        <w:rPr>
          <w:rFonts w:eastAsia="+mn-ea"/>
          <w:b/>
          <w:bCs/>
          <w:color w:val="000000"/>
          <w:kern w:val="24"/>
        </w:rPr>
        <w:t>-</w:t>
      </w:r>
      <w:r>
        <w:rPr>
          <w:rFonts w:eastAsia="+mn-ea"/>
          <w:b/>
          <w:bCs/>
          <w:color w:val="000000"/>
          <w:kern w:val="24"/>
        </w:rPr>
        <w:t xml:space="preserve"> </w:t>
      </w:r>
      <w:r w:rsidRPr="00124AD6">
        <w:rPr>
          <w:rFonts w:eastAsia="+mn-ea"/>
          <w:b/>
          <w:bCs/>
          <w:color w:val="000000"/>
          <w:kern w:val="24"/>
        </w:rPr>
        <w:t>20</w:t>
      </w:r>
      <w:r w:rsidR="00E50345">
        <w:rPr>
          <w:rFonts w:eastAsia="+mn-ea"/>
          <w:b/>
          <w:bCs/>
          <w:color w:val="000000"/>
          <w:kern w:val="24"/>
        </w:rPr>
        <w:t>20</w:t>
      </w:r>
      <w:r>
        <w:rPr>
          <w:rFonts w:eastAsia="+mn-ea"/>
          <w:b/>
          <w:bCs/>
          <w:color w:val="000000"/>
          <w:kern w:val="24"/>
        </w:rPr>
        <w:t>*</w:t>
      </w:r>
    </w:p>
    <w:p w:rsidR="00011502" w:rsidRDefault="00011502" w:rsidP="00011502">
      <w:pPr>
        <w:pStyle w:val="NormalWeb"/>
        <w:spacing w:before="0" w:beforeAutospacing="0" w:after="0" w:afterAutospacing="0"/>
        <w:jc w:val="center"/>
        <w:rPr>
          <w:rFonts w:eastAsia="+mn-ea"/>
          <w:b/>
          <w:bCs/>
          <w:color w:val="000000"/>
          <w:kern w:val="24"/>
        </w:rPr>
      </w:pPr>
      <w:r>
        <w:rPr>
          <w:rFonts w:eastAsia="+mn-ea"/>
          <w:b/>
          <w:bCs/>
          <w:color w:val="000000"/>
          <w:kern w:val="24"/>
        </w:rPr>
        <w:t>(Cifras en Porcentajes)</w:t>
      </w:r>
    </w:p>
    <w:p w:rsidR="00E50345" w:rsidRDefault="00E50345" w:rsidP="00011502">
      <w:pPr>
        <w:pStyle w:val="NormalWeb"/>
        <w:spacing w:before="0" w:beforeAutospacing="0" w:after="0" w:afterAutospacing="0"/>
        <w:jc w:val="center"/>
        <w:rPr>
          <w:rFonts w:eastAsia="+mn-ea"/>
          <w:b/>
          <w:bCs/>
          <w:color w:val="000000"/>
          <w:kern w:val="24"/>
        </w:rPr>
      </w:pPr>
      <w:r>
        <w:rPr>
          <w:noProof/>
        </w:rPr>
        <w:drawing>
          <wp:inline distT="0" distB="0" distL="0" distR="0" wp14:anchorId="3C1C1813" wp14:editId="1CD46FB0">
            <wp:extent cx="5654650" cy="4103828"/>
            <wp:effectExtent l="0" t="0" r="3810" b="0"/>
            <wp:docPr id="8" name="Gráfico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1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11502" w:rsidRPr="00A22A6F" w:rsidRDefault="0065502C" w:rsidP="00011502">
      <w:pPr>
        <w:pStyle w:val="Prrafodelista"/>
        <w:ind w:left="502"/>
        <w:contextualSpacing/>
        <w:jc w:val="both"/>
        <w:rPr>
          <w:sz w:val="18"/>
        </w:rPr>
      </w:pPr>
      <w:r>
        <w:rPr>
          <w:sz w:val="18"/>
        </w:rPr>
        <w:t xml:space="preserve">     </w:t>
      </w:r>
      <w:r w:rsidR="00011502">
        <w:rPr>
          <w:sz w:val="18"/>
        </w:rPr>
        <w:t xml:space="preserve">* Cifras preliminares, incluyendo las amortizaciones de </w:t>
      </w:r>
      <w:r w:rsidR="00D30304">
        <w:rPr>
          <w:sz w:val="18"/>
        </w:rPr>
        <w:t>Deuda Pública</w:t>
      </w:r>
    </w:p>
    <w:p w:rsidR="00011502" w:rsidRPr="007774ED" w:rsidRDefault="00011502" w:rsidP="00011502">
      <w:pPr>
        <w:ind w:left="142"/>
        <w:contextualSpacing/>
        <w:jc w:val="both"/>
        <w:rPr>
          <w:sz w:val="18"/>
        </w:rPr>
      </w:pPr>
      <w:r>
        <w:rPr>
          <w:sz w:val="18"/>
        </w:rPr>
        <w:t xml:space="preserve">      </w:t>
      </w:r>
      <w:r w:rsidR="0065502C">
        <w:rPr>
          <w:sz w:val="18"/>
        </w:rPr>
        <w:t xml:space="preserve">  </w:t>
      </w:r>
      <w:r w:rsidR="00AD1D7E">
        <w:rPr>
          <w:sz w:val="18"/>
        </w:rPr>
        <w:t xml:space="preserve"> </w:t>
      </w:r>
      <w:r w:rsidR="0065502C">
        <w:rPr>
          <w:sz w:val="18"/>
        </w:rPr>
        <w:t xml:space="preserve">  </w:t>
      </w:r>
      <w:r>
        <w:rPr>
          <w:sz w:val="18"/>
        </w:rPr>
        <w:t xml:space="preserve">     </w:t>
      </w:r>
      <w:r w:rsidRPr="007774ED">
        <w:rPr>
          <w:sz w:val="18"/>
        </w:rPr>
        <w:t>Fuente: Ministerio de Finanzas Públicas</w:t>
      </w:r>
      <w:r>
        <w:rPr>
          <w:sz w:val="18"/>
        </w:rPr>
        <w:t>.</w:t>
      </w:r>
    </w:p>
    <w:p w:rsidR="00011502" w:rsidRPr="008C5ECD" w:rsidRDefault="00011502" w:rsidP="00011502">
      <w:pPr>
        <w:jc w:val="both"/>
        <w:rPr>
          <w:sz w:val="14"/>
        </w:rPr>
      </w:pPr>
    </w:p>
    <w:p w:rsidR="00DB2D4F" w:rsidRDefault="00DB2D4F" w:rsidP="00011502">
      <w:pPr>
        <w:jc w:val="both"/>
      </w:pPr>
    </w:p>
    <w:p w:rsidR="00DB2D4F" w:rsidRPr="00124AD6" w:rsidRDefault="00DB2D4F" w:rsidP="00DB2D4F">
      <w:pPr>
        <w:jc w:val="both"/>
      </w:pPr>
      <w:r>
        <w:t>La ejecución presupuestaria total del gasto incluyendo las amortizaciones de la deuda pública fue de 96.0% en 2018, en tanto que la del 2019 fue de 93.8% y para 2020 alcanzó el 89.7%. En lo referente al promedio durante el período de 2008 a 2020, éste se ubicó en 92.8%, quedando el 2020 por debajo</w:t>
      </w:r>
      <w:r w:rsidR="00653E9D">
        <w:t xml:space="preserve"> de este promedio</w:t>
      </w:r>
      <w:r>
        <w:t xml:space="preserve">, en virtud de las </w:t>
      </w:r>
      <w:r w:rsidR="00D047A3">
        <w:t>ampliaciones</w:t>
      </w:r>
      <w:r>
        <w:t xml:space="preserve"> presupuestarias aprobadas, con el objeto de hacer frente a la crisis provocada por la pandemia del C</w:t>
      </w:r>
      <w:r w:rsidR="00D047A3">
        <w:t>ovid</w:t>
      </w:r>
      <w:r>
        <w:t>-19, alcanzando el presupuesto vigente un monto de Q</w:t>
      </w:r>
      <w:r w:rsidR="00D047A3">
        <w:t>.</w:t>
      </w:r>
      <w:r>
        <w:t>107,760.7 millones, es decir, que tuvo un incremento de Q</w:t>
      </w:r>
      <w:r w:rsidR="00D047A3">
        <w:t>.</w:t>
      </w:r>
      <w:r>
        <w:t>20,045.7 millones, equivalentes a un aumento del 22.9%</w:t>
      </w:r>
      <w:r w:rsidRPr="00124AD6">
        <w:t>.</w:t>
      </w:r>
    </w:p>
    <w:p w:rsidR="00DB2D4F" w:rsidRDefault="00DB2D4F" w:rsidP="00011502">
      <w:pPr>
        <w:jc w:val="both"/>
      </w:pPr>
    </w:p>
    <w:p w:rsidR="00011502" w:rsidRPr="008C5ECD" w:rsidRDefault="00011502" w:rsidP="00011502">
      <w:pPr>
        <w:jc w:val="both"/>
        <w:rPr>
          <w:bCs/>
          <w:sz w:val="14"/>
        </w:rPr>
      </w:pPr>
    </w:p>
    <w:p w:rsidR="00011502" w:rsidRPr="0050490D" w:rsidRDefault="0050490D" w:rsidP="0050490D">
      <w:pPr>
        <w:pStyle w:val="Ttulo3"/>
        <w:numPr>
          <w:ilvl w:val="0"/>
          <w:numId w:val="0"/>
        </w:numPr>
        <w:ind w:left="851" w:hanging="437"/>
        <w:rPr>
          <w:color w:val="auto"/>
        </w:rPr>
      </w:pPr>
      <w:bookmarkStart w:id="27" w:name="_Toc65826757"/>
      <w:r>
        <w:rPr>
          <w:color w:val="auto"/>
        </w:rPr>
        <w:t>1</w:t>
      </w:r>
      <w:r>
        <w:rPr>
          <w:color w:val="auto"/>
        </w:rPr>
        <w:tab/>
      </w:r>
      <w:r w:rsidR="006B509B" w:rsidRPr="0050490D">
        <w:rPr>
          <w:color w:val="auto"/>
        </w:rPr>
        <w:t>Gasto Social y Acuerdos de Paz</w:t>
      </w:r>
      <w:bookmarkEnd w:id="27"/>
    </w:p>
    <w:p w:rsidR="00011502" w:rsidRDefault="00011502" w:rsidP="00011502">
      <w:pPr>
        <w:rPr>
          <w:lang w:val="es-GT"/>
        </w:rPr>
      </w:pPr>
    </w:p>
    <w:p w:rsidR="005C1637" w:rsidRPr="00124AD6" w:rsidRDefault="005C1637" w:rsidP="005C1637">
      <w:pPr>
        <w:jc w:val="both"/>
      </w:pPr>
      <w:r w:rsidRPr="00124AD6">
        <w:t>Dentro de la priorización del gasto público es importante señalar que el gasto orientado a los sectores sociales</w:t>
      </w:r>
      <w:r>
        <w:t>,</w:t>
      </w:r>
      <w:r w:rsidRPr="00124AD6">
        <w:t xml:space="preserve"> </w:t>
      </w:r>
      <w:r>
        <w:t>establecidos en</w:t>
      </w:r>
      <w:r w:rsidRPr="00124AD6">
        <w:t xml:space="preserve"> los Acuerdos de Paz</w:t>
      </w:r>
      <w:r>
        <w:t>, tales</w:t>
      </w:r>
      <w:r w:rsidRPr="00124AD6">
        <w:t xml:space="preserve"> como salud, educación, seguridad ciudadana y los aportes al Ministerio Público y </w:t>
      </w:r>
      <w:r w:rsidR="00E04F7D">
        <w:t>a</w:t>
      </w:r>
      <w:r w:rsidRPr="00124AD6">
        <w:t>l Organismo Judicial</w:t>
      </w:r>
      <w:r>
        <w:t>, incluyendo a la Corte de Constitucionalidad</w:t>
      </w:r>
      <w:r w:rsidRPr="00124AD6">
        <w:t xml:space="preserve">, mostraron </w:t>
      </w:r>
      <w:r>
        <w:t>un comportamiento dinámico, así:</w:t>
      </w:r>
    </w:p>
    <w:p w:rsidR="005C1637" w:rsidRPr="006A7754" w:rsidRDefault="005C1637" w:rsidP="005C1637">
      <w:pPr>
        <w:jc w:val="both"/>
        <w:rPr>
          <w:sz w:val="32"/>
          <w:lang w:val="es-GT"/>
        </w:rPr>
      </w:pPr>
    </w:p>
    <w:p w:rsidR="009B6C10" w:rsidRPr="00DD5DD7" w:rsidRDefault="009B6C10" w:rsidP="009B6C10">
      <w:pPr>
        <w:jc w:val="both"/>
        <w:rPr>
          <w:lang w:val="es-GT"/>
        </w:rPr>
      </w:pPr>
      <w:r w:rsidRPr="00DD5DD7">
        <w:t xml:space="preserve">Para el </w:t>
      </w:r>
      <w:r w:rsidR="00F37562">
        <w:t>E</w:t>
      </w:r>
      <w:r w:rsidRPr="00DD5DD7">
        <w:t xml:space="preserve">jercicio </w:t>
      </w:r>
      <w:r w:rsidR="00F37562">
        <w:t>F</w:t>
      </w:r>
      <w:r w:rsidRPr="00DD5DD7">
        <w:t>iscal 2020, el presupuesto vigente para los compromisos de los Acuerdos de Paz fue de Q</w:t>
      </w:r>
      <w:r>
        <w:t>.</w:t>
      </w:r>
      <w:r w:rsidRPr="00DD5DD7">
        <w:t>46,655.0 millones, de los cuales se ejecutaron Q</w:t>
      </w:r>
      <w:r>
        <w:t>.</w:t>
      </w:r>
      <w:r w:rsidRPr="00DD5DD7">
        <w:t xml:space="preserve">42,029.3 millones, equivalentes al 90.1%. Los sectores del gasto social ejecutaron como se muestra a continuación: el sector Salud y Asistencia Social ejecutó el 86.9%; el sector Educación, Ciencia y Cultura ejecutó el 93.0% y el sector Vivienda ejecutó 66.8%.  En lo relativo al sector </w:t>
      </w:r>
      <w:r>
        <w:t>J</w:t>
      </w:r>
      <w:r w:rsidRPr="00DD5DD7">
        <w:t>usticia, el comportamiento fue así: el sector de Seguridad Interna ejecutó el 86.0% y el Organismo Judicial y Corte de Constitucionalidad ejecut</w:t>
      </w:r>
      <w:r>
        <w:t>aron</w:t>
      </w:r>
      <w:r w:rsidRPr="00DD5DD7">
        <w:t xml:space="preserve"> el 99.2% y Ministerio Público ejecutó el 86.3%</w:t>
      </w:r>
      <w:r>
        <w:t>.</w:t>
      </w:r>
    </w:p>
    <w:p w:rsidR="009B6C10" w:rsidRDefault="009B6C10" w:rsidP="005C1637">
      <w:pPr>
        <w:jc w:val="both"/>
        <w:rPr>
          <w:lang w:val="es-GT"/>
        </w:rPr>
      </w:pPr>
    </w:p>
    <w:p w:rsidR="00011502" w:rsidRDefault="00011502" w:rsidP="00011502">
      <w:pPr>
        <w:jc w:val="center"/>
        <w:rPr>
          <w:b/>
        </w:rPr>
      </w:pPr>
    </w:p>
    <w:p w:rsidR="00011502" w:rsidRPr="00124AD6" w:rsidRDefault="00011502" w:rsidP="00011502">
      <w:pPr>
        <w:jc w:val="center"/>
        <w:rPr>
          <w:b/>
        </w:rPr>
      </w:pPr>
      <w:r w:rsidRPr="00124AD6">
        <w:rPr>
          <w:b/>
        </w:rPr>
        <w:t xml:space="preserve">Cuadro </w:t>
      </w:r>
      <w:r>
        <w:rPr>
          <w:b/>
        </w:rPr>
        <w:t>5</w:t>
      </w:r>
    </w:p>
    <w:p w:rsidR="00011502" w:rsidRPr="00124AD6" w:rsidRDefault="00011502" w:rsidP="00011502">
      <w:pPr>
        <w:jc w:val="center"/>
        <w:rPr>
          <w:b/>
        </w:rPr>
      </w:pPr>
      <w:r w:rsidRPr="00124AD6">
        <w:rPr>
          <w:b/>
        </w:rPr>
        <w:t>Ejecución del Gasto Social</w:t>
      </w:r>
    </w:p>
    <w:p w:rsidR="00011502" w:rsidRPr="00124AD6" w:rsidRDefault="00011502" w:rsidP="00011502">
      <w:pPr>
        <w:jc w:val="center"/>
        <w:rPr>
          <w:b/>
        </w:rPr>
      </w:pPr>
      <w:r w:rsidRPr="00124AD6">
        <w:rPr>
          <w:b/>
        </w:rPr>
        <w:t xml:space="preserve">Al 31 de diciembre </w:t>
      </w:r>
      <w:r w:rsidR="00591B18">
        <w:rPr>
          <w:b/>
        </w:rPr>
        <w:t xml:space="preserve">de </w:t>
      </w:r>
      <w:r w:rsidRPr="00124AD6">
        <w:rPr>
          <w:b/>
        </w:rPr>
        <w:t>20</w:t>
      </w:r>
      <w:r w:rsidR="009B6C10">
        <w:rPr>
          <w:b/>
        </w:rPr>
        <w:t>20</w:t>
      </w:r>
      <w:r>
        <w:rPr>
          <w:b/>
        </w:rPr>
        <w:t>*</w:t>
      </w:r>
    </w:p>
    <w:p w:rsidR="00011502" w:rsidRDefault="00011502" w:rsidP="00011502">
      <w:pPr>
        <w:jc w:val="center"/>
        <w:rPr>
          <w:b/>
        </w:rPr>
      </w:pPr>
      <w:r>
        <w:rPr>
          <w:b/>
        </w:rPr>
        <w:t>(</w:t>
      </w:r>
      <w:r w:rsidRPr="00124AD6">
        <w:rPr>
          <w:b/>
        </w:rPr>
        <w:t>Mill</w:t>
      </w:r>
      <w:r>
        <w:rPr>
          <w:b/>
        </w:rPr>
        <w:t>ones de Quetzales y Porcentajes)</w:t>
      </w:r>
    </w:p>
    <w:tbl>
      <w:tblPr>
        <w:tblW w:w="9371" w:type="dxa"/>
        <w:tblInd w:w="55" w:type="dxa"/>
        <w:tblCellMar>
          <w:left w:w="70" w:type="dxa"/>
          <w:right w:w="70" w:type="dxa"/>
        </w:tblCellMar>
        <w:tblLook w:val="04A0" w:firstRow="1" w:lastRow="0" w:firstColumn="1" w:lastColumn="0" w:noHBand="0" w:noVBand="1"/>
      </w:tblPr>
      <w:tblGrid>
        <w:gridCol w:w="3134"/>
        <w:gridCol w:w="1559"/>
        <w:gridCol w:w="1559"/>
        <w:gridCol w:w="1560"/>
        <w:gridCol w:w="1559"/>
      </w:tblGrid>
      <w:tr w:rsidR="00CC7348" w:rsidRPr="00CC7348" w:rsidTr="00E767D7">
        <w:trPr>
          <w:trHeight w:val="300"/>
        </w:trPr>
        <w:tc>
          <w:tcPr>
            <w:tcW w:w="3134" w:type="dxa"/>
            <w:vMerge w:val="restart"/>
            <w:tcBorders>
              <w:top w:val="single" w:sz="8" w:space="0" w:color="auto"/>
              <w:left w:val="single" w:sz="8" w:space="0" w:color="auto"/>
              <w:bottom w:val="single" w:sz="8" w:space="0" w:color="000000"/>
              <w:right w:val="nil"/>
            </w:tcBorders>
            <w:shd w:val="clear" w:color="000000" w:fill="8DB4E2"/>
            <w:vAlign w:val="center"/>
            <w:hideMark/>
          </w:tcPr>
          <w:p w:rsidR="00CC7348" w:rsidRPr="00CC7348" w:rsidRDefault="00CC7348" w:rsidP="00CC7348">
            <w:pPr>
              <w:jc w:val="center"/>
              <w:rPr>
                <w:b/>
                <w:bCs/>
                <w:sz w:val="22"/>
                <w:szCs w:val="22"/>
                <w:lang w:val="es-GT" w:eastAsia="es-GT"/>
              </w:rPr>
            </w:pPr>
            <w:r w:rsidRPr="00CC7348">
              <w:rPr>
                <w:b/>
                <w:bCs/>
                <w:sz w:val="22"/>
                <w:szCs w:val="22"/>
                <w:lang w:val="es-GT" w:eastAsia="es-GT"/>
              </w:rPr>
              <w:t>Sector</w:t>
            </w:r>
          </w:p>
        </w:tc>
        <w:tc>
          <w:tcPr>
            <w:tcW w:w="4678" w:type="dxa"/>
            <w:gridSpan w:val="3"/>
            <w:tcBorders>
              <w:top w:val="single" w:sz="8" w:space="0" w:color="auto"/>
              <w:left w:val="single" w:sz="4" w:space="0" w:color="auto"/>
              <w:bottom w:val="single" w:sz="4" w:space="0" w:color="auto"/>
              <w:right w:val="single" w:sz="4" w:space="0" w:color="000000"/>
            </w:tcBorders>
            <w:shd w:val="clear" w:color="000000" w:fill="8DB4E2"/>
            <w:noWrap/>
            <w:vAlign w:val="center"/>
            <w:hideMark/>
          </w:tcPr>
          <w:p w:rsidR="00CC7348" w:rsidRPr="00CC7348" w:rsidRDefault="00CC7348" w:rsidP="00CC7348">
            <w:pPr>
              <w:jc w:val="center"/>
              <w:rPr>
                <w:b/>
                <w:bCs/>
                <w:sz w:val="22"/>
                <w:szCs w:val="22"/>
                <w:lang w:val="es-GT" w:eastAsia="es-GT"/>
              </w:rPr>
            </w:pPr>
            <w:r w:rsidRPr="00CC7348">
              <w:rPr>
                <w:b/>
                <w:bCs/>
                <w:sz w:val="22"/>
                <w:szCs w:val="22"/>
                <w:lang w:val="es-GT" w:eastAsia="es-GT"/>
              </w:rPr>
              <w:t>Presupuesto</w:t>
            </w:r>
          </w:p>
        </w:tc>
        <w:tc>
          <w:tcPr>
            <w:tcW w:w="1559" w:type="dxa"/>
            <w:tcBorders>
              <w:top w:val="single" w:sz="8" w:space="0" w:color="auto"/>
              <w:left w:val="single" w:sz="4" w:space="0" w:color="auto"/>
              <w:bottom w:val="nil"/>
              <w:right w:val="single" w:sz="8" w:space="0" w:color="auto"/>
            </w:tcBorders>
            <w:shd w:val="clear" w:color="000000" w:fill="8DB4E2"/>
            <w:noWrap/>
            <w:vAlign w:val="center"/>
            <w:hideMark/>
          </w:tcPr>
          <w:p w:rsidR="00CC7348" w:rsidRPr="00CC7348" w:rsidRDefault="00CC7348" w:rsidP="00CC7348">
            <w:pPr>
              <w:jc w:val="center"/>
              <w:rPr>
                <w:b/>
                <w:bCs/>
                <w:sz w:val="22"/>
                <w:szCs w:val="22"/>
                <w:lang w:val="es-GT" w:eastAsia="es-GT"/>
              </w:rPr>
            </w:pPr>
            <w:r w:rsidRPr="00CC7348">
              <w:rPr>
                <w:b/>
                <w:bCs/>
                <w:sz w:val="22"/>
                <w:szCs w:val="22"/>
                <w:lang w:val="es-GT" w:eastAsia="es-GT"/>
              </w:rPr>
              <w:t>Porcentaje de</w:t>
            </w:r>
          </w:p>
        </w:tc>
      </w:tr>
      <w:tr w:rsidR="00E767D7" w:rsidRPr="00CC7348" w:rsidTr="00E767D7">
        <w:trPr>
          <w:trHeight w:val="270"/>
        </w:trPr>
        <w:tc>
          <w:tcPr>
            <w:tcW w:w="3134" w:type="dxa"/>
            <w:vMerge/>
            <w:tcBorders>
              <w:top w:val="single" w:sz="8" w:space="0" w:color="auto"/>
              <w:left w:val="single" w:sz="8" w:space="0" w:color="auto"/>
              <w:bottom w:val="single" w:sz="8" w:space="0" w:color="000000"/>
              <w:right w:val="nil"/>
            </w:tcBorders>
            <w:vAlign w:val="center"/>
            <w:hideMark/>
          </w:tcPr>
          <w:p w:rsidR="00CC7348" w:rsidRPr="00CC7348" w:rsidRDefault="00CC7348" w:rsidP="00CC7348">
            <w:pPr>
              <w:rPr>
                <w:b/>
                <w:bCs/>
                <w:sz w:val="22"/>
                <w:szCs w:val="22"/>
                <w:lang w:val="es-GT" w:eastAsia="es-GT"/>
              </w:rPr>
            </w:pPr>
          </w:p>
        </w:tc>
        <w:tc>
          <w:tcPr>
            <w:tcW w:w="1559"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CC7348" w:rsidRPr="00CC7348" w:rsidRDefault="00CC7348" w:rsidP="00CC7348">
            <w:pPr>
              <w:jc w:val="center"/>
              <w:rPr>
                <w:b/>
                <w:bCs/>
                <w:sz w:val="22"/>
                <w:szCs w:val="22"/>
                <w:lang w:val="es-GT" w:eastAsia="es-GT"/>
              </w:rPr>
            </w:pPr>
            <w:r w:rsidRPr="00CC7348">
              <w:rPr>
                <w:b/>
                <w:bCs/>
                <w:sz w:val="22"/>
                <w:szCs w:val="22"/>
                <w:lang w:val="es-GT" w:eastAsia="es-GT"/>
              </w:rPr>
              <w:t>Vigente</w:t>
            </w:r>
          </w:p>
        </w:tc>
        <w:tc>
          <w:tcPr>
            <w:tcW w:w="1559" w:type="dxa"/>
            <w:tcBorders>
              <w:top w:val="single" w:sz="4" w:space="0" w:color="auto"/>
              <w:left w:val="nil"/>
              <w:bottom w:val="single" w:sz="4" w:space="0" w:color="auto"/>
              <w:right w:val="single" w:sz="4" w:space="0" w:color="auto"/>
            </w:tcBorders>
            <w:shd w:val="clear" w:color="000000" w:fill="8DB4E2"/>
            <w:noWrap/>
            <w:vAlign w:val="center"/>
            <w:hideMark/>
          </w:tcPr>
          <w:p w:rsidR="00CC7348" w:rsidRPr="00CC7348" w:rsidRDefault="00CC7348" w:rsidP="00CC7348">
            <w:pPr>
              <w:jc w:val="center"/>
              <w:rPr>
                <w:b/>
                <w:bCs/>
                <w:sz w:val="22"/>
                <w:szCs w:val="22"/>
                <w:lang w:val="es-GT" w:eastAsia="es-GT"/>
              </w:rPr>
            </w:pPr>
            <w:r w:rsidRPr="00CC7348">
              <w:rPr>
                <w:b/>
                <w:bCs/>
                <w:sz w:val="22"/>
                <w:szCs w:val="22"/>
                <w:lang w:val="es-GT" w:eastAsia="es-GT"/>
              </w:rPr>
              <w:t>Ejecutado</w:t>
            </w:r>
          </w:p>
        </w:tc>
        <w:tc>
          <w:tcPr>
            <w:tcW w:w="1560" w:type="dxa"/>
            <w:tcBorders>
              <w:top w:val="single" w:sz="4" w:space="0" w:color="auto"/>
              <w:left w:val="nil"/>
              <w:bottom w:val="single" w:sz="4" w:space="0" w:color="auto"/>
              <w:right w:val="single" w:sz="4" w:space="0" w:color="auto"/>
            </w:tcBorders>
            <w:shd w:val="clear" w:color="000000" w:fill="8DB4E2"/>
            <w:vAlign w:val="center"/>
            <w:hideMark/>
          </w:tcPr>
          <w:p w:rsidR="00CC7348" w:rsidRPr="00CC7348" w:rsidRDefault="00CC7348" w:rsidP="00CC7348">
            <w:pPr>
              <w:jc w:val="center"/>
              <w:rPr>
                <w:b/>
                <w:bCs/>
                <w:sz w:val="22"/>
                <w:szCs w:val="22"/>
                <w:lang w:val="es-GT" w:eastAsia="es-GT"/>
              </w:rPr>
            </w:pPr>
            <w:r w:rsidRPr="00CC7348">
              <w:rPr>
                <w:b/>
                <w:bCs/>
                <w:sz w:val="22"/>
                <w:szCs w:val="22"/>
                <w:lang w:val="es-GT" w:eastAsia="es-GT"/>
              </w:rPr>
              <w:t>Por Ejecutar</w:t>
            </w:r>
          </w:p>
        </w:tc>
        <w:tc>
          <w:tcPr>
            <w:tcW w:w="1559" w:type="dxa"/>
            <w:tcBorders>
              <w:top w:val="nil"/>
              <w:left w:val="nil"/>
              <w:bottom w:val="single" w:sz="4" w:space="0" w:color="auto"/>
              <w:right w:val="single" w:sz="8" w:space="0" w:color="auto"/>
            </w:tcBorders>
            <w:shd w:val="clear" w:color="000000" w:fill="8DB4E2"/>
            <w:vAlign w:val="center"/>
            <w:hideMark/>
          </w:tcPr>
          <w:p w:rsidR="00CC7348" w:rsidRPr="00CC7348" w:rsidRDefault="00CC7348" w:rsidP="00CC7348">
            <w:pPr>
              <w:jc w:val="center"/>
              <w:rPr>
                <w:b/>
                <w:bCs/>
                <w:sz w:val="22"/>
                <w:szCs w:val="22"/>
                <w:lang w:val="es-GT" w:eastAsia="es-GT"/>
              </w:rPr>
            </w:pPr>
            <w:r w:rsidRPr="00CC7348">
              <w:rPr>
                <w:b/>
                <w:bCs/>
                <w:sz w:val="22"/>
                <w:szCs w:val="22"/>
                <w:lang w:val="es-GT" w:eastAsia="es-GT"/>
              </w:rPr>
              <w:t>Ejecución</w:t>
            </w:r>
          </w:p>
        </w:tc>
      </w:tr>
      <w:tr w:rsidR="00CC7348" w:rsidRPr="00CC7348" w:rsidTr="00E767D7">
        <w:trPr>
          <w:trHeight w:val="308"/>
        </w:trPr>
        <w:tc>
          <w:tcPr>
            <w:tcW w:w="3134" w:type="dxa"/>
            <w:tcBorders>
              <w:top w:val="nil"/>
              <w:left w:val="single" w:sz="8" w:space="0" w:color="auto"/>
              <w:bottom w:val="nil"/>
              <w:right w:val="nil"/>
            </w:tcBorders>
            <w:shd w:val="clear" w:color="auto" w:fill="auto"/>
            <w:noWrap/>
            <w:vAlign w:val="bottom"/>
            <w:hideMark/>
          </w:tcPr>
          <w:p w:rsidR="00CC7348" w:rsidRPr="00CC7348" w:rsidRDefault="00CC7348" w:rsidP="00CC7348">
            <w:pPr>
              <w:rPr>
                <w:sz w:val="22"/>
                <w:szCs w:val="22"/>
                <w:lang w:val="es-GT" w:eastAsia="es-GT"/>
              </w:rPr>
            </w:pPr>
            <w:r w:rsidRPr="00CC7348">
              <w:rPr>
                <w:sz w:val="22"/>
                <w:szCs w:val="22"/>
                <w:lang w:val="es-GT" w:eastAsia="es-GT"/>
              </w:rPr>
              <w:t>Salud y Asistencia Social</w:t>
            </w:r>
          </w:p>
        </w:tc>
        <w:tc>
          <w:tcPr>
            <w:tcW w:w="1559" w:type="dxa"/>
            <w:tcBorders>
              <w:top w:val="nil"/>
              <w:left w:val="single" w:sz="4" w:space="0" w:color="auto"/>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12,821.1</w:t>
            </w:r>
          </w:p>
        </w:tc>
        <w:tc>
          <w:tcPr>
            <w:tcW w:w="1559"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11,144.9</w:t>
            </w:r>
          </w:p>
        </w:tc>
        <w:tc>
          <w:tcPr>
            <w:tcW w:w="1560"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1,676.2</w:t>
            </w:r>
          </w:p>
        </w:tc>
        <w:tc>
          <w:tcPr>
            <w:tcW w:w="1559" w:type="dxa"/>
            <w:tcBorders>
              <w:top w:val="nil"/>
              <w:left w:val="nil"/>
              <w:bottom w:val="nil"/>
              <w:right w:val="single" w:sz="8"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86.9%</w:t>
            </w:r>
          </w:p>
        </w:tc>
      </w:tr>
      <w:tr w:rsidR="00CC7348" w:rsidRPr="00CC7348" w:rsidTr="00E767D7">
        <w:trPr>
          <w:trHeight w:val="417"/>
        </w:trPr>
        <w:tc>
          <w:tcPr>
            <w:tcW w:w="3134" w:type="dxa"/>
            <w:tcBorders>
              <w:top w:val="nil"/>
              <w:left w:val="single" w:sz="8" w:space="0" w:color="auto"/>
              <w:bottom w:val="nil"/>
              <w:right w:val="nil"/>
            </w:tcBorders>
            <w:shd w:val="clear" w:color="auto" w:fill="auto"/>
            <w:noWrap/>
            <w:vAlign w:val="bottom"/>
            <w:hideMark/>
          </w:tcPr>
          <w:p w:rsidR="00CC7348" w:rsidRPr="00CC7348" w:rsidRDefault="00CC7348" w:rsidP="00CC7348">
            <w:pPr>
              <w:rPr>
                <w:sz w:val="22"/>
                <w:szCs w:val="22"/>
                <w:lang w:val="es-GT" w:eastAsia="es-GT"/>
              </w:rPr>
            </w:pPr>
            <w:r w:rsidRPr="00CC7348">
              <w:rPr>
                <w:sz w:val="22"/>
                <w:szCs w:val="22"/>
                <w:lang w:val="es-GT" w:eastAsia="es-GT"/>
              </w:rPr>
              <w:t>Educación, Ciencia y Cultura</w:t>
            </w:r>
          </w:p>
        </w:tc>
        <w:tc>
          <w:tcPr>
            <w:tcW w:w="1559" w:type="dxa"/>
            <w:tcBorders>
              <w:top w:val="nil"/>
              <w:left w:val="single" w:sz="4" w:space="0" w:color="auto"/>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22,382.2</w:t>
            </w:r>
          </w:p>
        </w:tc>
        <w:tc>
          <w:tcPr>
            <w:tcW w:w="1559"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20,813.9</w:t>
            </w:r>
          </w:p>
        </w:tc>
        <w:tc>
          <w:tcPr>
            <w:tcW w:w="1560"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1,568.3</w:t>
            </w:r>
          </w:p>
        </w:tc>
        <w:tc>
          <w:tcPr>
            <w:tcW w:w="1559" w:type="dxa"/>
            <w:tcBorders>
              <w:top w:val="nil"/>
              <w:left w:val="nil"/>
              <w:bottom w:val="nil"/>
              <w:right w:val="single" w:sz="8"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93.0%</w:t>
            </w:r>
          </w:p>
        </w:tc>
      </w:tr>
      <w:tr w:rsidR="00CC7348" w:rsidRPr="00CC7348" w:rsidTr="00E767D7">
        <w:trPr>
          <w:trHeight w:val="424"/>
        </w:trPr>
        <w:tc>
          <w:tcPr>
            <w:tcW w:w="3134" w:type="dxa"/>
            <w:tcBorders>
              <w:top w:val="nil"/>
              <w:left w:val="single" w:sz="8" w:space="0" w:color="auto"/>
              <w:bottom w:val="nil"/>
              <w:right w:val="nil"/>
            </w:tcBorders>
            <w:shd w:val="clear" w:color="auto" w:fill="auto"/>
            <w:noWrap/>
            <w:vAlign w:val="bottom"/>
            <w:hideMark/>
          </w:tcPr>
          <w:p w:rsidR="00CC7348" w:rsidRPr="00CC7348" w:rsidRDefault="00CC7348" w:rsidP="00CC7348">
            <w:pPr>
              <w:rPr>
                <w:sz w:val="22"/>
                <w:szCs w:val="22"/>
                <w:lang w:val="es-GT" w:eastAsia="es-GT"/>
              </w:rPr>
            </w:pPr>
            <w:r w:rsidRPr="00CC7348">
              <w:rPr>
                <w:sz w:val="22"/>
                <w:szCs w:val="22"/>
                <w:lang w:val="es-GT" w:eastAsia="es-GT"/>
              </w:rPr>
              <w:t>Vivienda</w:t>
            </w:r>
          </w:p>
        </w:tc>
        <w:tc>
          <w:tcPr>
            <w:tcW w:w="1559" w:type="dxa"/>
            <w:tcBorders>
              <w:top w:val="nil"/>
              <w:left w:val="single" w:sz="4" w:space="0" w:color="auto"/>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612.1</w:t>
            </w:r>
          </w:p>
        </w:tc>
        <w:tc>
          <w:tcPr>
            <w:tcW w:w="1559"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408.9</w:t>
            </w:r>
          </w:p>
        </w:tc>
        <w:tc>
          <w:tcPr>
            <w:tcW w:w="1560"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203.2</w:t>
            </w:r>
          </w:p>
        </w:tc>
        <w:tc>
          <w:tcPr>
            <w:tcW w:w="1559" w:type="dxa"/>
            <w:tcBorders>
              <w:top w:val="nil"/>
              <w:left w:val="nil"/>
              <w:bottom w:val="nil"/>
              <w:right w:val="single" w:sz="8"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66.8%</w:t>
            </w:r>
          </w:p>
        </w:tc>
      </w:tr>
      <w:tr w:rsidR="00CC7348" w:rsidRPr="00CC7348" w:rsidTr="00E767D7">
        <w:trPr>
          <w:trHeight w:val="288"/>
        </w:trPr>
        <w:tc>
          <w:tcPr>
            <w:tcW w:w="3134" w:type="dxa"/>
            <w:tcBorders>
              <w:top w:val="nil"/>
              <w:left w:val="single" w:sz="8" w:space="0" w:color="auto"/>
              <w:bottom w:val="nil"/>
              <w:right w:val="nil"/>
            </w:tcBorders>
            <w:shd w:val="clear" w:color="auto" w:fill="auto"/>
            <w:noWrap/>
            <w:vAlign w:val="bottom"/>
            <w:hideMark/>
          </w:tcPr>
          <w:p w:rsidR="00CC7348" w:rsidRPr="00CC7348" w:rsidRDefault="00CC7348" w:rsidP="00CC7348">
            <w:pPr>
              <w:jc w:val="center"/>
              <w:rPr>
                <w:b/>
                <w:bCs/>
                <w:sz w:val="22"/>
                <w:szCs w:val="22"/>
                <w:lang w:val="es-GT" w:eastAsia="es-GT"/>
              </w:rPr>
            </w:pPr>
            <w:r w:rsidRPr="00CC7348">
              <w:rPr>
                <w:b/>
                <w:bCs/>
                <w:sz w:val="22"/>
                <w:szCs w:val="22"/>
                <w:lang w:val="es-GT" w:eastAsia="es-GT"/>
              </w:rPr>
              <w:t>Sub Total</w:t>
            </w:r>
          </w:p>
        </w:tc>
        <w:tc>
          <w:tcPr>
            <w:tcW w:w="1559" w:type="dxa"/>
            <w:tcBorders>
              <w:top w:val="nil"/>
              <w:left w:val="single" w:sz="4" w:space="0" w:color="auto"/>
              <w:bottom w:val="nil"/>
              <w:right w:val="single" w:sz="4" w:space="0" w:color="auto"/>
            </w:tcBorders>
            <w:shd w:val="clear" w:color="auto" w:fill="auto"/>
            <w:noWrap/>
            <w:vAlign w:val="bottom"/>
            <w:hideMark/>
          </w:tcPr>
          <w:p w:rsidR="00CC7348" w:rsidRPr="00CC7348" w:rsidRDefault="00CC7348" w:rsidP="00CC7348">
            <w:pPr>
              <w:jc w:val="center"/>
              <w:rPr>
                <w:b/>
                <w:bCs/>
                <w:sz w:val="22"/>
                <w:szCs w:val="22"/>
                <w:lang w:val="es-GT" w:eastAsia="es-GT"/>
              </w:rPr>
            </w:pPr>
            <w:r w:rsidRPr="00CC7348">
              <w:rPr>
                <w:b/>
                <w:bCs/>
                <w:sz w:val="22"/>
                <w:szCs w:val="22"/>
                <w:lang w:val="es-GT" w:eastAsia="es-GT"/>
              </w:rPr>
              <w:t>35,815.4</w:t>
            </w:r>
          </w:p>
        </w:tc>
        <w:tc>
          <w:tcPr>
            <w:tcW w:w="1559"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b/>
                <w:bCs/>
                <w:sz w:val="22"/>
                <w:szCs w:val="22"/>
                <w:lang w:val="es-GT" w:eastAsia="es-GT"/>
              </w:rPr>
            </w:pPr>
            <w:r w:rsidRPr="00CC7348">
              <w:rPr>
                <w:b/>
                <w:bCs/>
                <w:sz w:val="22"/>
                <w:szCs w:val="22"/>
                <w:lang w:val="es-GT" w:eastAsia="es-GT"/>
              </w:rPr>
              <w:t>32,367.7</w:t>
            </w:r>
          </w:p>
        </w:tc>
        <w:tc>
          <w:tcPr>
            <w:tcW w:w="1560"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b/>
                <w:bCs/>
                <w:sz w:val="22"/>
                <w:szCs w:val="22"/>
                <w:lang w:val="es-GT" w:eastAsia="es-GT"/>
              </w:rPr>
            </w:pPr>
            <w:r w:rsidRPr="00CC7348">
              <w:rPr>
                <w:b/>
                <w:bCs/>
                <w:sz w:val="22"/>
                <w:szCs w:val="22"/>
                <w:lang w:val="es-GT" w:eastAsia="es-GT"/>
              </w:rPr>
              <w:t>3,447.7</w:t>
            </w:r>
          </w:p>
        </w:tc>
        <w:tc>
          <w:tcPr>
            <w:tcW w:w="1559" w:type="dxa"/>
            <w:tcBorders>
              <w:top w:val="nil"/>
              <w:left w:val="nil"/>
              <w:bottom w:val="nil"/>
              <w:right w:val="single" w:sz="8" w:space="0" w:color="auto"/>
            </w:tcBorders>
            <w:shd w:val="clear" w:color="auto" w:fill="auto"/>
            <w:noWrap/>
            <w:vAlign w:val="bottom"/>
            <w:hideMark/>
          </w:tcPr>
          <w:p w:rsidR="00CC7348" w:rsidRPr="00CC7348" w:rsidRDefault="00CC7348" w:rsidP="00CC7348">
            <w:pPr>
              <w:jc w:val="center"/>
              <w:rPr>
                <w:b/>
                <w:bCs/>
                <w:sz w:val="22"/>
                <w:szCs w:val="22"/>
                <w:lang w:val="es-GT" w:eastAsia="es-GT"/>
              </w:rPr>
            </w:pPr>
            <w:r w:rsidRPr="00CC7348">
              <w:rPr>
                <w:b/>
                <w:bCs/>
                <w:sz w:val="22"/>
                <w:szCs w:val="22"/>
                <w:lang w:val="es-GT" w:eastAsia="es-GT"/>
              </w:rPr>
              <w:t>90.4%</w:t>
            </w:r>
          </w:p>
        </w:tc>
      </w:tr>
      <w:tr w:rsidR="00CC7348" w:rsidRPr="00CC7348" w:rsidTr="00E767D7">
        <w:trPr>
          <w:trHeight w:val="462"/>
        </w:trPr>
        <w:tc>
          <w:tcPr>
            <w:tcW w:w="3134" w:type="dxa"/>
            <w:tcBorders>
              <w:top w:val="nil"/>
              <w:left w:val="single" w:sz="8" w:space="0" w:color="auto"/>
              <w:bottom w:val="nil"/>
              <w:right w:val="nil"/>
            </w:tcBorders>
            <w:shd w:val="clear" w:color="auto" w:fill="auto"/>
            <w:noWrap/>
            <w:vAlign w:val="bottom"/>
            <w:hideMark/>
          </w:tcPr>
          <w:p w:rsidR="00CC7348" w:rsidRPr="00CC7348" w:rsidRDefault="00CC7348" w:rsidP="00CC7348">
            <w:pPr>
              <w:rPr>
                <w:sz w:val="22"/>
                <w:szCs w:val="22"/>
                <w:lang w:val="es-GT" w:eastAsia="es-GT"/>
              </w:rPr>
            </w:pPr>
            <w:r w:rsidRPr="00CC7348">
              <w:rPr>
                <w:sz w:val="22"/>
                <w:szCs w:val="22"/>
                <w:lang w:val="es-GT" w:eastAsia="es-GT"/>
              </w:rPr>
              <w:t>Seguridad Interna</w:t>
            </w:r>
          </w:p>
        </w:tc>
        <w:tc>
          <w:tcPr>
            <w:tcW w:w="1559" w:type="dxa"/>
            <w:tcBorders>
              <w:top w:val="nil"/>
              <w:left w:val="single" w:sz="4" w:space="0" w:color="auto"/>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6,230.1</w:t>
            </w:r>
          </w:p>
        </w:tc>
        <w:tc>
          <w:tcPr>
            <w:tcW w:w="1559"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5,359.7</w:t>
            </w:r>
          </w:p>
        </w:tc>
        <w:tc>
          <w:tcPr>
            <w:tcW w:w="1560"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870.4</w:t>
            </w:r>
          </w:p>
        </w:tc>
        <w:tc>
          <w:tcPr>
            <w:tcW w:w="1559" w:type="dxa"/>
            <w:tcBorders>
              <w:top w:val="nil"/>
              <w:left w:val="nil"/>
              <w:bottom w:val="nil"/>
              <w:right w:val="single" w:sz="8"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86.0%</w:t>
            </w:r>
          </w:p>
        </w:tc>
      </w:tr>
      <w:tr w:rsidR="00CC7348" w:rsidRPr="00CC7348" w:rsidTr="00E767D7">
        <w:trPr>
          <w:trHeight w:val="426"/>
        </w:trPr>
        <w:tc>
          <w:tcPr>
            <w:tcW w:w="3134" w:type="dxa"/>
            <w:tcBorders>
              <w:top w:val="nil"/>
              <w:left w:val="single" w:sz="8" w:space="0" w:color="auto"/>
              <w:bottom w:val="nil"/>
              <w:right w:val="nil"/>
            </w:tcBorders>
            <w:shd w:val="clear" w:color="auto" w:fill="auto"/>
            <w:noWrap/>
            <w:vAlign w:val="bottom"/>
            <w:hideMark/>
          </w:tcPr>
          <w:p w:rsidR="00CC7348" w:rsidRPr="00CC7348" w:rsidRDefault="00CC7348" w:rsidP="00CC7348">
            <w:pPr>
              <w:rPr>
                <w:sz w:val="22"/>
                <w:szCs w:val="22"/>
                <w:lang w:val="es-GT" w:eastAsia="es-GT"/>
              </w:rPr>
            </w:pPr>
            <w:r w:rsidRPr="00CC7348">
              <w:rPr>
                <w:sz w:val="22"/>
                <w:szCs w:val="22"/>
                <w:lang w:val="es-GT" w:eastAsia="es-GT"/>
              </w:rPr>
              <w:t>Organismo Judicial y C.C</w:t>
            </w:r>
            <w:r w:rsidR="00E04F7D">
              <w:rPr>
                <w:sz w:val="22"/>
                <w:szCs w:val="22"/>
                <w:lang w:val="es-GT" w:eastAsia="es-GT"/>
              </w:rPr>
              <w:t>.</w:t>
            </w:r>
          </w:p>
        </w:tc>
        <w:tc>
          <w:tcPr>
            <w:tcW w:w="1559" w:type="dxa"/>
            <w:tcBorders>
              <w:top w:val="nil"/>
              <w:left w:val="single" w:sz="4" w:space="0" w:color="auto"/>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2,503.1</w:t>
            </w:r>
          </w:p>
        </w:tc>
        <w:tc>
          <w:tcPr>
            <w:tcW w:w="1559"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2,483.3</w:t>
            </w:r>
          </w:p>
        </w:tc>
        <w:tc>
          <w:tcPr>
            <w:tcW w:w="1560"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19.8</w:t>
            </w:r>
          </w:p>
        </w:tc>
        <w:tc>
          <w:tcPr>
            <w:tcW w:w="1559" w:type="dxa"/>
            <w:tcBorders>
              <w:top w:val="nil"/>
              <w:left w:val="nil"/>
              <w:bottom w:val="nil"/>
              <w:right w:val="single" w:sz="8"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99.2%</w:t>
            </w:r>
          </w:p>
        </w:tc>
      </w:tr>
      <w:tr w:rsidR="00CC7348" w:rsidRPr="00CC7348" w:rsidTr="00E767D7">
        <w:trPr>
          <w:trHeight w:val="418"/>
        </w:trPr>
        <w:tc>
          <w:tcPr>
            <w:tcW w:w="3134" w:type="dxa"/>
            <w:tcBorders>
              <w:top w:val="nil"/>
              <w:left w:val="single" w:sz="8" w:space="0" w:color="auto"/>
              <w:bottom w:val="nil"/>
              <w:right w:val="nil"/>
            </w:tcBorders>
            <w:shd w:val="clear" w:color="auto" w:fill="auto"/>
            <w:noWrap/>
            <w:vAlign w:val="bottom"/>
            <w:hideMark/>
          </w:tcPr>
          <w:p w:rsidR="00CC7348" w:rsidRPr="00CC7348" w:rsidRDefault="00CC7348" w:rsidP="00CC7348">
            <w:pPr>
              <w:rPr>
                <w:sz w:val="22"/>
                <w:szCs w:val="22"/>
                <w:lang w:val="es-GT" w:eastAsia="es-GT"/>
              </w:rPr>
            </w:pPr>
            <w:r w:rsidRPr="00CC7348">
              <w:rPr>
                <w:sz w:val="22"/>
                <w:szCs w:val="22"/>
                <w:lang w:val="es-GT" w:eastAsia="es-GT"/>
              </w:rPr>
              <w:t>Ministerio Público</w:t>
            </w:r>
          </w:p>
        </w:tc>
        <w:tc>
          <w:tcPr>
            <w:tcW w:w="1559" w:type="dxa"/>
            <w:tcBorders>
              <w:top w:val="nil"/>
              <w:left w:val="single" w:sz="4" w:space="0" w:color="auto"/>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2,106.4</w:t>
            </w:r>
          </w:p>
        </w:tc>
        <w:tc>
          <w:tcPr>
            <w:tcW w:w="1559"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1,818.6</w:t>
            </w:r>
          </w:p>
        </w:tc>
        <w:tc>
          <w:tcPr>
            <w:tcW w:w="1560" w:type="dxa"/>
            <w:tcBorders>
              <w:top w:val="nil"/>
              <w:left w:val="nil"/>
              <w:bottom w:val="nil"/>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287.8</w:t>
            </w:r>
          </w:p>
        </w:tc>
        <w:tc>
          <w:tcPr>
            <w:tcW w:w="1559" w:type="dxa"/>
            <w:tcBorders>
              <w:top w:val="nil"/>
              <w:left w:val="nil"/>
              <w:bottom w:val="nil"/>
              <w:right w:val="single" w:sz="8"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86.3%</w:t>
            </w:r>
          </w:p>
        </w:tc>
      </w:tr>
      <w:tr w:rsidR="00CC7348" w:rsidRPr="00CC7348" w:rsidTr="00591B18">
        <w:trPr>
          <w:trHeight w:val="396"/>
        </w:trPr>
        <w:tc>
          <w:tcPr>
            <w:tcW w:w="3134" w:type="dxa"/>
            <w:tcBorders>
              <w:top w:val="nil"/>
              <w:left w:val="single" w:sz="8" w:space="0" w:color="auto"/>
              <w:bottom w:val="single" w:sz="8" w:space="0" w:color="auto"/>
              <w:right w:val="nil"/>
            </w:tcBorders>
            <w:shd w:val="clear" w:color="auto" w:fill="auto"/>
            <w:noWrap/>
            <w:vAlign w:val="bottom"/>
            <w:hideMark/>
          </w:tcPr>
          <w:p w:rsidR="00CC7348" w:rsidRPr="00CC7348" w:rsidRDefault="00CC7348" w:rsidP="00CC7348">
            <w:pPr>
              <w:jc w:val="center"/>
              <w:rPr>
                <w:b/>
                <w:bCs/>
                <w:sz w:val="22"/>
                <w:szCs w:val="22"/>
                <w:lang w:val="es-GT" w:eastAsia="es-GT"/>
              </w:rPr>
            </w:pPr>
            <w:r w:rsidRPr="00CC7348">
              <w:rPr>
                <w:b/>
                <w:bCs/>
                <w:sz w:val="22"/>
                <w:szCs w:val="22"/>
                <w:lang w:val="es-GT" w:eastAsia="es-GT"/>
              </w:rPr>
              <w:t>Total</w:t>
            </w:r>
          </w:p>
        </w:tc>
        <w:tc>
          <w:tcPr>
            <w:tcW w:w="1559" w:type="dxa"/>
            <w:tcBorders>
              <w:top w:val="nil"/>
              <w:left w:val="single" w:sz="4" w:space="0" w:color="auto"/>
              <w:bottom w:val="single" w:sz="8" w:space="0" w:color="auto"/>
              <w:right w:val="single" w:sz="4" w:space="0" w:color="auto"/>
            </w:tcBorders>
            <w:shd w:val="clear" w:color="auto" w:fill="auto"/>
            <w:noWrap/>
            <w:vAlign w:val="bottom"/>
            <w:hideMark/>
          </w:tcPr>
          <w:p w:rsidR="00CC7348" w:rsidRPr="00CC7348" w:rsidRDefault="00CC7348" w:rsidP="00CC7348">
            <w:pPr>
              <w:jc w:val="center"/>
              <w:rPr>
                <w:b/>
                <w:bCs/>
                <w:sz w:val="22"/>
                <w:szCs w:val="22"/>
                <w:lang w:val="es-GT" w:eastAsia="es-GT"/>
              </w:rPr>
            </w:pPr>
            <w:r w:rsidRPr="00CC7348">
              <w:rPr>
                <w:b/>
                <w:bCs/>
                <w:sz w:val="22"/>
                <w:szCs w:val="22"/>
                <w:lang w:val="es-GT" w:eastAsia="es-GT"/>
              </w:rPr>
              <w:t>46,655.0</w:t>
            </w:r>
          </w:p>
        </w:tc>
        <w:tc>
          <w:tcPr>
            <w:tcW w:w="1559" w:type="dxa"/>
            <w:tcBorders>
              <w:top w:val="nil"/>
              <w:left w:val="nil"/>
              <w:bottom w:val="single" w:sz="8" w:space="0" w:color="auto"/>
              <w:right w:val="single" w:sz="4" w:space="0" w:color="auto"/>
            </w:tcBorders>
            <w:shd w:val="clear" w:color="auto" w:fill="auto"/>
            <w:noWrap/>
            <w:vAlign w:val="bottom"/>
            <w:hideMark/>
          </w:tcPr>
          <w:p w:rsidR="00CC7348" w:rsidRPr="00CC7348" w:rsidRDefault="00CC7348" w:rsidP="00CC7348">
            <w:pPr>
              <w:jc w:val="center"/>
              <w:rPr>
                <w:b/>
                <w:bCs/>
                <w:sz w:val="22"/>
                <w:szCs w:val="22"/>
                <w:lang w:val="es-GT" w:eastAsia="es-GT"/>
              </w:rPr>
            </w:pPr>
            <w:r w:rsidRPr="00CC7348">
              <w:rPr>
                <w:b/>
                <w:bCs/>
                <w:sz w:val="22"/>
                <w:szCs w:val="22"/>
                <w:lang w:val="es-GT" w:eastAsia="es-GT"/>
              </w:rPr>
              <w:t>42,029.3</w:t>
            </w:r>
          </w:p>
        </w:tc>
        <w:tc>
          <w:tcPr>
            <w:tcW w:w="1560" w:type="dxa"/>
            <w:tcBorders>
              <w:top w:val="nil"/>
              <w:left w:val="nil"/>
              <w:bottom w:val="single" w:sz="8" w:space="0" w:color="auto"/>
              <w:right w:val="single" w:sz="4" w:space="0" w:color="auto"/>
            </w:tcBorders>
            <w:shd w:val="clear" w:color="auto" w:fill="auto"/>
            <w:noWrap/>
            <w:vAlign w:val="bottom"/>
            <w:hideMark/>
          </w:tcPr>
          <w:p w:rsidR="00CC7348" w:rsidRPr="00CC7348" w:rsidRDefault="00CC7348" w:rsidP="00CC7348">
            <w:pPr>
              <w:jc w:val="center"/>
              <w:rPr>
                <w:b/>
                <w:bCs/>
                <w:sz w:val="22"/>
                <w:szCs w:val="22"/>
                <w:lang w:val="es-GT" w:eastAsia="es-GT"/>
              </w:rPr>
            </w:pPr>
            <w:r w:rsidRPr="00CC7348">
              <w:rPr>
                <w:b/>
                <w:bCs/>
                <w:sz w:val="22"/>
                <w:szCs w:val="22"/>
                <w:lang w:val="es-GT" w:eastAsia="es-GT"/>
              </w:rPr>
              <w:t>4,625.7</w:t>
            </w:r>
          </w:p>
        </w:tc>
        <w:tc>
          <w:tcPr>
            <w:tcW w:w="1559" w:type="dxa"/>
            <w:tcBorders>
              <w:top w:val="nil"/>
              <w:left w:val="nil"/>
              <w:bottom w:val="single" w:sz="8" w:space="0" w:color="auto"/>
              <w:right w:val="single" w:sz="8" w:space="0" w:color="auto"/>
            </w:tcBorders>
            <w:shd w:val="clear" w:color="auto" w:fill="auto"/>
            <w:noWrap/>
            <w:vAlign w:val="bottom"/>
            <w:hideMark/>
          </w:tcPr>
          <w:p w:rsidR="00CC7348" w:rsidRPr="00CC7348" w:rsidRDefault="00CC7348" w:rsidP="00CC7348">
            <w:pPr>
              <w:jc w:val="center"/>
              <w:rPr>
                <w:b/>
                <w:bCs/>
                <w:sz w:val="22"/>
                <w:szCs w:val="22"/>
                <w:lang w:val="es-GT" w:eastAsia="es-GT"/>
              </w:rPr>
            </w:pPr>
            <w:r w:rsidRPr="00CC7348">
              <w:rPr>
                <w:b/>
                <w:bCs/>
                <w:sz w:val="22"/>
                <w:szCs w:val="22"/>
                <w:lang w:val="es-GT" w:eastAsia="es-GT"/>
              </w:rPr>
              <w:t>90.1%</w:t>
            </w:r>
          </w:p>
        </w:tc>
      </w:tr>
      <w:tr w:rsidR="00CC7348" w:rsidRPr="00CC7348" w:rsidTr="00E767D7">
        <w:trPr>
          <w:trHeight w:val="380"/>
        </w:trPr>
        <w:tc>
          <w:tcPr>
            <w:tcW w:w="3134" w:type="dxa"/>
            <w:tcBorders>
              <w:top w:val="single" w:sz="8" w:space="0" w:color="auto"/>
              <w:left w:val="single" w:sz="8" w:space="0" w:color="auto"/>
              <w:bottom w:val="single" w:sz="8" w:space="0" w:color="auto"/>
              <w:right w:val="nil"/>
            </w:tcBorders>
            <w:shd w:val="clear" w:color="auto" w:fill="auto"/>
            <w:noWrap/>
            <w:vAlign w:val="bottom"/>
            <w:hideMark/>
          </w:tcPr>
          <w:p w:rsidR="00CC7348" w:rsidRPr="00CC7348" w:rsidRDefault="00CC7348" w:rsidP="00CC7348">
            <w:pPr>
              <w:rPr>
                <w:sz w:val="22"/>
                <w:szCs w:val="22"/>
                <w:lang w:val="es-GT" w:eastAsia="es-GT"/>
              </w:rPr>
            </w:pPr>
            <w:r w:rsidRPr="00CC7348">
              <w:rPr>
                <w:sz w:val="22"/>
                <w:szCs w:val="22"/>
                <w:lang w:val="es-GT" w:eastAsia="es-GT"/>
              </w:rPr>
              <w:t>Ejército de Guatemala</w:t>
            </w:r>
          </w:p>
        </w:tc>
        <w:tc>
          <w:tcPr>
            <w:tcW w:w="1559"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2,646.5</w:t>
            </w:r>
          </w:p>
        </w:tc>
        <w:tc>
          <w:tcPr>
            <w:tcW w:w="1559" w:type="dxa"/>
            <w:tcBorders>
              <w:top w:val="single" w:sz="8" w:space="0" w:color="auto"/>
              <w:left w:val="nil"/>
              <w:bottom w:val="single" w:sz="8" w:space="0" w:color="auto"/>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2,509.9</w:t>
            </w:r>
          </w:p>
        </w:tc>
        <w:tc>
          <w:tcPr>
            <w:tcW w:w="1560" w:type="dxa"/>
            <w:tcBorders>
              <w:top w:val="single" w:sz="8" w:space="0" w:color="auto"/>
              <w:left w:val="nil"/>
              <w:bottom w:val="single" w:sz="8" w:space="0" w:color="auto"/>
              <w:right w:val="single" w:sz="4"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136.6</w:t>
            </w:r>
          </w:p>
        </w:tc>
        <w:tc>
          <w:tcPr>
            <w:tcW w:w="1559" w:type="dxa"/>
            <w:tcBorders>
              <w:top w:val="nil"/>
              <w:left w:val="nil"/>
              <w:bottom w:val="single" w:sz="8" w:space="0" w:color="auto"/>
              <w:right w:val="single" w:sz="8" w:space="0" w:color="auto"/>
            </w:tcBorders>
            <w:shd w:val="clear" w:color="auto" w:fill="auto"/>
            <w:noWrap/>
            <w:vAlign w:val="bottom"/>
            <w:hideMark/>
          </w:tcPr>
          <w:p w:rsidR="00CC7348" w:rsidRPr="00CC7348" w:rsidRDefault="00CC7348" w:rsidP="00CC7348">
            <w:pPr>
              <w:jc w:val="center"/>
              <w:rPr>
                <w:sz w:val="22"/>
                <w:szCs w:val="22"/>
                <w:lang w:val="es-GT" w:eastAsia="es-GT"/>
              </w:rPr>
            </w:pPr>
            <w:r w:rsidRPr="00CC7348">
              <w:rPr>
                <w:sz w:val="22"/>
                <w:szCs w:val="22"/>
                <w:lang w:val="es-GT" w:eastAsia="es-GT"/>
              </w:rPr>
              <w:t>94.8%</w:t>
            </w:r>
          </w:p>
        </w:tc>
      </w:tr>
    </w:tbl>
    <w:p w:rsidR="00011502" w:rsidRDefault="00011502" w:rsidP="00011502">
      <w:pPr>
        <w:jc w:val="both"/>
        <w:rPr>
          <w:sz w:val="18"/>
        </w:rPr>
      </w:pPr>
      <w:r>
        <w:rPr>
          <w:sz w:val="18"/>
        </w:rPr>
        <w:t>* Cifras preliminares</w:t>
      </w:r>
    </w:p>
    <w:p w:rsidR="00011502" w:rsidRPr="00245DF7" w:rsidRDefault="008C5ECD" w:rsidP="00011502">
      <w:pPr>
        <w:jc w:val="both"/>
        <w:rPr>
          <w:sz w:val="18"/>
        </w:rPr>
      </w:pPr>
      <w:r>
        <w:rPr>
          <w:sz w:val="18"/>
        </w:rPr>
        <w:t xml:space="preserve">   </w:t>
      </w:r>
      <w:r w:rsidR="00011502" w:rsidRPr="00245DF7">
        <w:rPr>
          <w:sz w:val="18"/>
        </w:rPr>
        <w:t>Fuente: Ministerio de Finanzas Públicas</w:t>
      </w:r>
      <w:r w:rsidR="00011502">
        <w:rPr>
          <w:sz w:val="18"/>
        </w:rPr>
        <w:t>.</w:t>
      </w:r>
    </w:p>
    <w:p w:rsidR="00011502" w:rsidRDefault="00011502" w:rsidP="00011502">
      <w:pPr>
        <w:jc w:val="both"/>
      </w:pPr>
    </w:p>
    <w:p w:rsidR="009A6DD6" w:rsidRPr="00124AD6" w:rsidRDefault="009A6DD6" w:rsidP="00011502">
      <w:pPr>
        <w:jc w:val="both"/>
      </w:pPr>
    </w:p>
    <w:p w:rsidR="00011502" w:rsidRPr="0050490D" w:rsidRDefault="0050490D" w:rsidP="0050490D">
      <w:pPr>
        <w:pStyle w:val="Ttulo3"/>
        <w:numPr>
          <w:ilvl w:val="0"/>
          <w:numId w:val="0"/>
        </w:numPr>
        <w:ind w:left="851" w:hanging="437"/>
        <w:rPr>
          <w:color w:val="auto"/>
        </w:rPr>
      </w:pPr>
      <w:bookmarkStart w:id="28" w:name="_Toc65826758"/>
      <w:r>
        <w:rPr>
          <w:color w:val="auto"/>
        </w:rPr>
        <w:t>2</w:t>
      </w:r>
      <w:r>
        <w:rPr>
          <w:color w:val="auto"/>
        </w:rPr>
        <w:tab/>
      </w:r>
      <w:r w:rsidR="00011502" w:rsidRPr="0050490D">
        <w:rPr>
          <w:color w:val="auto"/>
        </w:rPr>
        <w:t>Ejecución de los Fideicomisos para Programas de Protección Social</w:t>
      </w:r>
      <w:bookmarkEnd w:id="28"/>
    </w:p>
    <w:p w:rsidR="00011502" w:rsidRDefault="00011502" w:rsidP="00011502">
      <w:pPr>
        <w:jc w:val="both"/>
      </w:pPr>
    </w:p>
    <w:p w:rsidR="009B6C10" w:rsidRDefault="009B6C10" w:rsidP="00011502">
      <w:pPr>
        <w:jc w:val="both"/>
      </w:pPr>
      <w:r w:rsidRPr="009B6C10">
        <w:t>La ejecución a través de los fideicomisos al 31 de diciembre de 2020 fue de Q.738.6 millones, que representan el 75.4% de ejecución respecto del presupuesto vigente. La ejecución fue como sigue: el Fondo de Protección Social ejecutó el 92.1%; el Fondo de Inversión para la Vivienda con una ejecución del 68.8%; el Fondo Nacional para la Reactivación y Modernización de la Actividad Agropecuaria ejecutó el 67.9%; el Fondo de Desarrollo Indígena Guatemalteco ejecutó el 40.3%; el Fondo Nacional de Ciencia y Tecnología ejecutó el 11.1% y el Fondo Nacional para la Conservación de la Naturaleza ejecutó el 22.6</w:t>
      </w:r>
      <w:r w:rsidR="001706A9">
        <w:t>%</w:t>
      </w:r>
      <w:r>
        <w:t>.</w:t>
      </w:r>
    </w:p>
    <w:p w:rsidR="009B6C10" w:rsidRDefault="009B6C10" w:rsidP="00011502">
      <w:pPr>
        <w:jc w:val="both"/>
      </w:pPr>
    </w:p>
    <w:p w:rsidR="00011502" w:rsidRDefault="00011502" w:rsidP="00011502">
      <w:pPr>
        <w:jc w:val="center"/>
        <w:rPr>
          <w:b/>
        </w:rPr>
      </w:pPr>
    </w:p>
    <w:p w:rsidR="009A6DD6" w:rsidRDefault="009A6DD6" w:rsidP="00011502">
      <w:pPr>
        <w:jc w:val="center"/>
        <w:rPr>
          <w:b/>
        </w:rPr>
      </w:pPr>
    </w:p>
    <w:p w:rsidR="009A6DD6" w:rsidRDefault="009A6DD6" w:rsidP="00011502">
      <w:pPr>
        <w:jc w:val="center"/>
        <w:rPr>
          <w:b/>
        </w:rPr>
      </w:pPr>
    </w:p>
    <w:p w:rsidR="00011502" w:rsidRPr="00124AD6" w:rsidRDefault="00011502" w:rsidP="00011502">
      <w:pPr>
        <w:jc w:val="center"/>
        <w:rPr>
          <w:b/>
        </w:rPr>
      </w:pPr>
      <w:r w:rsidRPr="00124AD6">
        <w:rPr>
          <w:b/>
        </w:rPr>
        <w:t xml:space="preserve">Cuadro </w:t>
      </w:r>
      <w:r>
        <w:rPr>
          <w:b/>
        </w:rPr>
        <w:t>6</w:t>
      </w:r>
    </w:p>
    <w:p w:rsidR="00011502" w:rsidRPr="00124AD6" w:rsidRDefault="00011502" w:rsidP="00011502">
      <w:pPr>
        <w:jc w:val="center"/>
        <w:rPr>
          <w:b/>
        </w:rPr>
      </w:pPr>
      <w:r w:rsidRPr="00124AD6">
        <w:rPr>
          <w:b/>
        </w:rPr>
        <w:t xml:space="preserve">Ejecución a través de Fideicomisos al 31 de diciembre </w:t>
      </w:r>
      <w:r w:rsidR="00591B18">
        <w:rPr>
          <w:b/>
        </w:rPr>
        <w:t xml:space="preserve">de </w:t>
      </w:r>
      <w:r>
        <w:rPr>
          <w:b/>
        </w:rPr>
        <w:t>20</w:t>
      </w:r>
      <w:r w:rsidR="00135F8A">
        <w:rPr>
          <w:b/>
        </w:rPr>
        <w:t>20</w:t>
      </w:r>
      <w:r>
        <w:rPr>
          <w:b/>
        </w:rPr>
        <w:t>*</w:t>
      </w:r>
    </w:p>
    <w:p w:rsidR="00011502" w:rsidRDefault="00011502" w:rsidP="00011502">
      <w:pPr>
        <w:jc w:val="center"/>
        <w:rPr>
          <w:b/>
          <w:bCs/>
          <w:lang w:val="es-GT" w:eastAsia="es-GT"/>
        </w:rPr>
      </w:pPr>
      <w:r w:rsidRPr="00124AD6">
        <w:rPr>
          <w:b/>
          <w:bCs/>
          <w:lang w:val="es-GT" w:eastAsia="es-GT"/>
        </w:rPr>
        <w:t>(Millones de Quetzales y Porcentajes)</w:t>
      </w:r>
    </w:p>
    <w:p w:rsidR="006A7754" w:rsidRPr="006A7754" w:rsidRDefault="006A7754" w:rsidP="00011502">
      <w:pPr>
        <w:jc w:val="center"/>
        <w:rPr>
          <w:b/>
          <w:bCs/>
          <w:sz w:val="16"/>
          <w:lang w:val="es-GT" w:eastAsia="es-GT"/>
        </w:rPr>
      </w:pPr>
    </w:p>
    <w:tbl>
      <w:tblPr>
        <w:tblW w:w="9346" w:type="dxa"/>
        <w:tblInd w:w="80" w:type="dxa"/>
        <w:tblCellMar>
          <w:left w:w="70" w:type="dxa"/>
          <w:right w:w="70" w:type="dxa"/>
        </w:tblCellMar>
        <w:tblLook w:val="04A0" w:firstRow="1" w:lastRow="0" w:firstColumn="1" w:lastColumn="0" w:noHBand="0" w:noVBand="1"/>
      </w:tblPr>
      <w:tblGrid>
        <w:gridCol w:w="4358"/>
        <w:gridCol w:w="1431"/>
        <w:gridCol w:w="1289"/>
        <w:gridCol w:w="1114"/>
        <w:gridCol w:w="1154"/>
      </w:tblGrid>
      <w:tr w:rsidR="009B6C10" w:rsidRPr="00DD5DD7" w:rsidTr="001A4D17">
        <w:trPr>
          <w:trHeight w:val="310"/>
        </w:trPr>
        <w:tc>
          <w:tcPr>
            <w:tcW w:w="4358" w:type="dxa"/>
            <w:vMerge w:val="restart"/>
            <w:tcBorders>
              <w:top w:val="single" w:sz="8" w:space="0" w:color="auto"/>
              <w:left w:val="single" w:sz="8" w:space="0" w:color="auto"/>
              <w:bottom w:val="single" w:sz="4" w:space="0" w:color="000000"/>
              <w:right w:val="nil"/>
            </w:tcBorders>
            <w:shd w:val="clear" w:color="000000" w:fill="9BC2E6"/>
            <w:vAlign w:val="center"/>
            <w:hideMark/>
          </w:tcPr>
          <w:p w:rsidR="009B6C10" w:rsidRPr="00E16FC2" w:rsidRDefault="009B6C10" w:rsidP="00135F8A">
            <w:pPr>
              <w:jc w:val="center"/>
              <w:rPr>
                <w:b/>
                <w:bCs/>
                <w:sz w:val="22"/>
                <w:lang w:val="es-GT"/>
              </w:rPr>
            </w:pPr>
            <w:r w:rsidRPr="00E16FC2">
              <w:rPr>
                <w:b/>
                <w:bCs/>
                <w:sz w:val="22"/>
                <w:lang w:val="es-GT"/>
              </w:rPr>
              <w:t>Descripción</w:t>
            </w:r>
          </w:p>
        </w:tc>
        <w:tc>
          <w:tcPr>
            <w:tcW w:w="1431" w:type="dxa"/>
            <w:vMerge w:val="restart"/>
            <w:tcBorders>
              <w:top w:val="single" w:sz="8" w:space="0" w:color="auto"/>
              <w:left w:val="single" w:sz="4" w:space="0" w:color="auto"/>
              <w:bottom w:val="single" w:sz="4" w:space="0" w:color="000000"/>
              <w:right w:val="nil"/>
            </w:tcBorders>
            <w:shd w:val="clear" w:color="000000" w:fill="9BC2E6"/>
            <w:vAlign w:val="center"/>
            <w:hideMark/>
          </w:tcPr>
          <w:p w:rsidR="009B6C10" w:rsidRPr="00E16FC2" w:rsidRDefault="000A2FB2" w:rsidP="000A2FB2">
            <w:pPr>
              <w:jc w:val="center"/>
              <w:rPr>
                <w:b/>
                <w:bCs/>
                <w:sz w:val="22"/>
                <w:lang w:val="es-GT"/>
              </w:rPr>
            </w:pPr>
            <w:r w:rsidRPr="00E16FC2">
              <w:rPr>
                <w:b/>
                <w:bCs/>
                <w:sz w:val="22"/>
                <w:lang w:val="es-GT"/>
              </w:rPr>
              <w:t xml:space="preserve">Presupuesto </w:t>
            </w:r>
            <w:r w:rsidR="009B6C10" w:rsidRPr="00E16FC2">
              <w:rPr>
                <w:b/>
                <w:bCs/>
                <w:sz w:val="22"/>
                <w:lang w:val="es-GT"/>
              </w:rPr>
              <w:t>Vigente</w:t>
            </w:r>
          </w:p>
        </w:tc>
        <w:tc>
          <w:tcPr>
            <w:tcW w:w="1289" w:type="dxa"/>
            <w:vMerge w:val="restart"/>
            <w:tcBorders>
              <w:top w:val="single" w:sz="8" w:space="0" w:color="auto"/>
              <w:left w:val="single" w:sz="4" w:space="0" w:color="auto"/>
              <w:bottom w:val="single" w:sz="4" w:space="0" w:color="000000"/>
              <w:right w:val="single" w:sz="4" w:space="0" w:color="auto"/>
            </w:tcBorders>
            <w:shd w:val="clear" w:color="000000" w:fill="9BC2E6"/>
            <w:vAlign w:val="center"/>
            <w:hideMark/>
          </w:tcPr>
          <w:p w:rsidR="009B6C10" w:rsidRPr="00E16FC2" w:rsidRDefault="000A2FB2" w:rsidP="000A2FB2">
            <w:pPr>
              <w:jc w:val="center"/>
              <w:rPr>
                <w:b/>
                <w:bCs/>
                <w:sz w:val="22"/>
                <w:lang w:val="es-GT"/>
              </w:rPr>
            </w:pPr>
            <w:r w:rsidRPr="00E16FC2">
              <w:rPr>
                <w:b/>
                <w:bCs/>
                <w:sz w:val="22"/>
                <w:lang w:val="es-GT"/>
              </w:rPr>
              <w:t xml:space="preserve">Presupuesto </w:t>
            </w:r>
            <w:r w:rsidR="009B6C10" w:rsidRPr="00E16FC2">
              <w:rPr>
                <w:b/>
                <w:bCs/>
                <w:sz w:val="22"/>
                <w:lang w:val="es-GT"/>
              </w:rPr>
              <w:t>Ejecu</w:t>
            </w:r>
            <w:r w:rsidRPr="00E16FC2">
              <w:rPr>
                <w:b/>
                <w:bCs/>
                <w:sz w:val="22"/>
                <w:lang w:val="es-GT"/>
              </w:rPr>
              <w:t>tado</w:t>
            </w:r>
          </w:p>
        </w:tc>
        <w:tc>
          <w:tcPr>
            <w:tcW w:w="1114" w:type="dxa"/>
            <w:vMerge w:val="restart"/>
            <w:tcBorders>
              <w:top w:val="single" w:sz="8" w:space="0" w:color="auto"/>
              <w:left w:val="nil"/>
              <w:bottom w:val="single" w:sz="4" w:space="0" w:color="000000"/>
              <w:right w:val="single" w:sz="4" w:space="0" w:color="auto"/>
            </w:tcBorders>
            <w:shd w:val="clear" w:color="000000" w:fill="9BC2E6"/>
            <w:vAlign w:val="center"/>
            <w:hideMark/>
          </w:tcPr>
          <w:p w:rsidR="009B6C10" w:rsidRPr="00E16FC2" w:rsidRDefault="009B6C10" w:rsidP="00135F8A">
            <w:pPr>
              <w:jc w:val="center"/>
              <w:rPr>
                <w:b/>
                <w:bCs/>
                <w:sz w:val="22"/>
                <w:lang w:val="es-GT"/>
              </w:rPr>
            </w:pPr>
            <w:r w:rsidRPr="00E16FC2">
              <w:rPr>
                <w:b/>
                <w:bCs/>
                <w:sz w:val="22"/>
                <w:lang w:val="es-GT"/>
              </w:rPr>
              <w:t>Por Ejecutar</w:t>
            </w:r>
          </w:p>
        </w:tc>
        <w:tc>
          <w:tcPr>
            <w:tcW w:w="1154" w:type="dxa"/>
            <w:vMerge w:val="restart"/>
            <w:tcBorders>
              <w:top w:val="single" w:sz="8" w:space="0" w:color="auto"/>
              <w:left w:val="nil"/>
              <w:bottom w:val="single" w:sz="4" w:space="0" w:color="000000"/>
              <w:right w:val="single" w:sz="8" w:space="0" w:color="auto"/>
            </w:tcBorders>
            <w:shd w:val="clear" w:color="000000" w:fill="9BC2E6"/>
            <w:vAlign w:val="center"/>
            <w:hideMark/>
          </w:tcPr>
          <w:p w:rsidR="009B6C10" w:rsidRPr="00E16FC2" w:rsidRDefault="009B6C10" w:rsidP="00135F8A">
            <w:pPr>
              <w:jc w:val="center"/>
              <w:rPr>
                <w:b/>
                <w:bCs/>
                <w:sz w:val="22"/>
                <w:lang w:val="es-GT"/>
              </w:rPr>
            </w:pPr>
            <w:r w:rsidRPr="00E16FC2">
              <w:rPr>
                <w:b/>
                <w:bCs/>
                <w:sz w:val="22"/>
                <w:lang w:val="es-GT"/>
              </w:rPr>
              <w:t xml:space="preserve">% </w:t>
            </w:r>
            <w:r w:rsidR="00135F8A" w:rsidRPr="00E16FC2">
              <w:rPr>
                <w:b/>
                <w:bCs/>
                <w:sz w:val="22"/>
                <w:lang w:val="es-GT"/>
              </w:rPr>
              <w:t xml:space="preserve">de </w:t>
            </w:r>
            <w:r w:rsidRPr="00E16FC2">
              <w:rPr>
                <w:b/>
                <w:bCs/>
                <w:sz w:val="22"/>
                <w:lang w:val="es-GT"/>
              </w:rPr>
              <w:t>Ejecución</w:t>
            </w:r>
          </w:p>
        </w:tc>
      </w:tr>
      <w:tr w:rsidR="009B6C10" w:rsidRPr="00DD5DD7" w:rsidTr="009A6DD6">
        <w:trPr>
          <w:trHeight w:val="502"/>
        </w:trPr>
        <w:tc>
          <w:tcPr>
            <w:tcW w:w="4358" w:type="dxa"/>
            <w:vMerge/>
            <w:tcBorders>
              <w:top w:val="single" w:sz="8" w:space="0" w:color="auto"/>
              <w:left w:val="single" w:sz="8" w:space="0" w:color="auto"/>
              <w:bottom w:val="single" w:sz="4" w:space="0" w:color="000000"/>
              <w:right w:val="nil"/>
            </w:tcBorders>
            <w:vAlign w:val="center"/>
            <w:hideMark/>
          </w:tcPr>
          <w:p w:rsidR="009B6C10" w:rsidRPr="00E16FC2" w:rsidRDefault="009B6C10" w:rsidP="0005000D">
            <w:pPr>
              <w:jc w:val="both"/>
              <w:rPr>
                <w:b/>
                <w:bCs/>
                <w:sz w:val="22"/>
                <w:lang w:val="es-GT"/>
              </w:rPr>
            </w:pPr>
          </w:p>
        </w:tc>
        <w:tc>
          <w:tcPr>
            <w:tcW w:w="1431" w:type="dxa"/>
            <w:vMerge/>
            <w:tcBorders>
              <w:top w:val="single" w:sz="8" w:space="0" w:color="auto"/>
              <w:left w:val="single" w:sz="4" w:space="0" w:color="auto"/>
              <w:bottom w:val="single" w:sz="4" w:space="0" w:color="000000"/>
              <w:right w:val="nil"/>
            </w:tcBorders>
            <w:vAlign w:val="center"/>
            <w:hideMark/>
          </w:tcPr>
          <w:p w:rsidR="009B6C10" w:rsidRPr="00E16FC2" w:rsidRDefault="009B6C10" w:rsidP="0005000D">
            <w:pPr>
              <w:jc w:val="both"/>
              <w:rPr>
                <w:b/>
                <w:bCs/>
                <w:sz w:val="22"/>
                <w:lang w:val="es-GT"/>
              </w:rPr>
            </w:pPr>
          </w:p>
        </w:tc>
        <w:tc>
          <w:tcPr>
            <w:tcW w:w="1289" w:type="dxa"/>
            <w:vMerge/>
            <w:tcBorders>
              <w:top w:val="single" w:sz="8" w:space="0" w:color="auto"/>
              <w:left w:val="single" w:sz="4" w:space="0" w:color="auto"/>
              <w:bottom w:val="single" w:sz="4" w:space="0" w:color="000000"/>
              <w:right w:val="single" w:sz="4" w:space="0" w:color="auto"/>
            </w:tcBorders>
            <w:vAlign w:val="center"/>
            <w:hideMark/>
          </w:tcPr>
          <w:p w:rsidR="009B6C10" w:rsidRPr="00E16FC2" w:rsidRDefault="009B6C10" w:rsidP="0005000D">
            <w:pPr>
              <w:jc w:val="both"/>
              <w:rPr>
                <w:b/>
                <w:bCs/>
                <w:sz w:val="22"/>
                <w:lang w:val="es-GT"/>
              </w:rPr>
            </w:pPr>
          </w:p>
        </w:tc>
        <w:tc>
          <w:tcPr>
            <w:tcW w:w="1114" w:type="dxa"/>
            <w:vMerge/>
            <w:tcBorders>
              <w:top w:val="single" w:sz="8" w:space="0" w:color="auto"/>
              <w:left w:val="nil"/>
              <w:bottom w:val="single" w:sz="4" w:space="0" w:color="000000"/>
              <w:right w:val="single" w:sz="4" w:space="0" w:color="auto"/>
            </w:tcBorders>
            <w:vAlign w:val="center"/>
            <w:hideMark/>
          </w:tcPr>
          <w:p w:rsidR="009B6C10" w:rsidRPr="00E16FC2" w:rsidRDefault="009B6C10" w:rsidP="0005000D">
            <w:pPr>
              <w:jc w:val="both"/>
              <w:rPr>
                <w:b/>
                <w:bCs/>
                <w:sz w:val="22"/>
                <w:lang w:val="es-GT"/>
              </w:rPr>
            </w:pPr>
          </w:p>
        </w:tc>
        <w:tc>
          <w:tcPr>
            <w:tcW w:w="1154" w:type="dxa"/>
            <w:vMerge/>
            <w:tcBorders>
              <w:top w:val="single" w:sz="8" w:space="0" w:color="auto"/>
              <w:left w:val="nil"/>
              <w:bottom w:val="single" w:sz="4" w:space="0" w:color="000000"/>
              <w:right w:val="single" w:sz="8" w:space="0" w:color="auto"/>
            </w:tcBorders>
            <w:vAlign w:val="center"/>
            <w:hideMark/>
          </w:tcPr>
          <w:p w:rsidR="009B6C10" w:rsidRPr="00E16FC2" w:rsidRDefault="009B6C10" w:rsidP="0005000D">
            <w:pPr>
              <w:jc w:val="both"/>
              <w:rPr>
                <w:b/>
                <w:bCs/>
                <w:sz w:val="22"/>
                <w:lang w:val="es-GT"/>
              </w:rPr>
            </w:pPr>
          </w:p>
        </w:tc>
      </w:tr>
      <w:tr w:rsidR="009B6C10" w:rsidRPr="00DD5DD7" w:rsidTr="006A7754">
        <w:trPr>
          <w:trHeight w:val="438"/>
        </w:trPr>
        <w:tc>
          <w:tcPr>
            <w:tcW w:w="4358" w:type="dxa"/>
            <w:tcBorders>
              <w:top w:val="nil"/>
              <w:left w:val="single" w:sz="8" w:space="0" w:color="auto"/>
              <w:bottom w:val="nil"/>
              <w:right w:val="nil"/>
            </w:tcBorders>
            <w:shd w:val="clear" w:color="000000" w:fill="auto"/>
            <w:vAlign w:val="bottom"/>
            <w:hideMark/>
          </w:tcPr>
          <w:p w:rsidR="009B6C10" w:rsidRPr="00E16FC2" w:rsidRDefault="009B6C10" w:rsidP="000A2FB2">
            <w:pPr>
              <w:jc w:val="center"/>
              <w:rPr>
                <w:b/>
                <w:bCs/>
                <w:sz w:val="22"/>
                <w:lang w:val="es-GT"/>
              </w:rPr>
            </w:pPr>
            <w:r w:rsidRPr="00E16FC2">
              <w:rPr>
                <w:b/>
                <w:bCs/>
                <w:sz w:val="22"/>
                <w:lang w:val="es-GT"/>
              </w:rPr>
              <w:t>Total</w:t>
            </w:r>
          </w:p>
        </w:tc>
        <w:tc>
          <w:tcPr>
            <w:tcW w:w="1431" w:type="dxa"/>
            <w:tcBorders>
              <w:top w:val="nil"/>
              <w:left w:val="single" w:sz="4" w:space="0" w:color="auto"/>
              <w:bottom w:val="nil"/>
              <w:right w:val="single" w:sz="4" w:space="0" w:color="auto"/>
            </w:tcBorders>
            <w:shd w:val="clear" w:color="000000" w:fill="auto"/>
            <w:vAlign w:val="center"/>
            <w:hideMark/>
          </w:tcPr>
          <w:p w:rsidR="009B6C10" w:rsidRPr="00E16FC2" w:rsidRDefault="009B6C10" w:rsidP="0005000D">
            <w:pPr>
              <w:jc w:val="right"/>
              <w:rPr>
                <w:b/>
                <w:bCs/>
                <w:sz w:val="22"/>
                <w:lang w:val="es-GT"/>
              </w:rPr>
            </w:pPr>
            <w:r w:rsidRPr="00E16FC2">
              <w:rPr>
                <w:b/>
                <w:bCs/>
                <w:sz w:val="22"/>
                <w:lang w:val="es-GT"/>
              </w:rPr>
              <w:t>979.6</w:t>
            </w:r>
          </w:p>
        </w:tc>
        <w:tc>
          <w:tcPr>
            <w:tcW w:w="1289" w:type="dxa"/>
            <w:tcBorders>
              <w:top w:val="nil"/>
              <w:left w:val="nil"/>
              <w:bottom w:val="nil"/>
              <w:right w:val="single" w:sz="4" w:space="0" w:color="auto"/>
            </w:tcBorders>
            <w:shd w:val="clear" w:color="000000" w:fill="auto"/>
            <w:vAlign w:val="center"/>
            <w:hideMark/>
          </w:tcPr>
          <w:p w:rsidR="009B6C10" w:rsidRPr="00E16FC2" w:rsidRDefault="009B6C10" w:rsidP="0005000D">
            <w:pPr>
              <w:jc w:val="right"/>
              <w:rPr>
                <w:b/>
                <w:bCs/>
                <w:sz w:val="22"/>
                <w:lang w:val="es-GT"/>
              </w:rPr>
            </w:pPr>
            <w:r w:rsidRPr="00E16FC2">
              <w:rPr>
                <w:b/>
                <w:bCs/>
                <w:sz w:val="22"/>
                <w:lang w:val="es-GT"/>
              </w:rPr>
              <w:t>738.6</w:t>
            </w:r>
          </w:p>
        </w:tc>
        <w:tc>
          <w:tcPr>
            <w:tcW w:w="1114" w:type="dxa"/>
            <w:tcBorders>
              <w:top w:val="nil"/>
              <w:left w:val="nil"/>
              <w:bottom w:val="nil"/>
              <w:right w:val="single" w:sz="4" w:space="0" w:color="auto"/>
            </w:tcBorders>
            <w:shd w:val="clear" w:color="auto" w:fill="auto"/>
            <w:noWrap/>
            <w:vAlign w:val="center"/>
            <w:hideMark/>
          </w:tcPr>
          <w:p w:rsidR="009B6C10" w:rsidRPr="00E16FC2" w:rsidRDefault="009B6C10" w:rsidP="0005000D">
            <w:pPr>
              <w:jc w:val="right"/>
              <w:rPr>
                <w:b/>
                <w:bCs/>
                <w:sz w:val="22"/>
                <w:lang w:val="es-GT"/>
              </w:rPr>
            </w:pPr>
            <w:r w:rsidRPr="00E16FC2">
              <w:rPr>
                <w:b/>
                <w:bCs/>
                <w:sz w:val="22"/>
                <w:lang w:val="es-GT"/>
              </w:rPr>
              <w:t>241.0</w:t>
            </w:r>
          </w:p>
        </w:tc>
        <w:tc>
          <w:tcPr>
            <w:tcW w:w="1154" w:type="dxa"/>
            <w:tcBorders>
              <w:top w:val="nil"/>
              <w:left w:val="nil"/>
              <w:bottom w:val="nil"/>
              <w:right w:val="single" w:sz="8" w:space="0" w:color="auto"/>
            </w:tcBorders>
            <w:shd w:val="clear" w:color="auto" w:fill="auto"/>
            <w:noWrap/>
            <w:vAlign w:val="center"/>
            <w:hideMark/>
          </w:tcPr>
          <w:p w:rsidR="009B6C10" w:rsidRPr="00E16FC2" w:rsidRDefault="009B6C10" w:rsidP="0005000D">
            <w:pPr>
              <w:jc w:val="right"/>
              <w:rPr>
                <w:b/>
                <w:bCs/>
                <w:sz w:val="22"/>
                <w:lang w:val="es-GT"/>
              </w:rPr>
            </w:pPr>
            <w:r w:rsidRPr="00E16FC2">
              <w:rPr>
                <w:b/>
                <w:bCs/>
                <w:sz w:val="22"/>
                <w:lang w:val="es-GT"/>
              </w:rPr>
              <w:t>75.4%</w:t>
            </w:r>
          </w:p>
        </w:tc>
      </w:tr>
      <w:tr w:rsidR="009B6C10" w:rsidRPr="00DD5DD7" w:rsidTr="001A4D17">
        <w:trPr>
          <w:trHeight w:val="310"/>
        </w:trPr>
        <w:tc>
          <w:tcPr>
            <w:tcW w:w="4358" w:type="dxa"/>
            <w:tcBorders>
              <w:top w:val="nil"/>
              <w:left w:val="single" w:sz="8" w:space="0" w:color="auto"/>
              <w:bottom w:val="nil"/>
              <w:right w:val="nil"/>
            </w:tcBorders>
            <w:shd w:val="clear" w:color="000000" w:fill="auto"/>
            <w:hideMark/>
          </w:tcPr>
          <w:p w:rsidR="009B6C10" w:rsidRPr="00E16FC2" w:rsidRDefault="009B6C10" w:rsidP="0005000D">
            <w:pPr>
              <w:jc w:val="both"/>
              <w:rPr>
                <w:sz w:val="22"/>
                <w:lang w:val="es-GT"/>
              </w:rPr>
            </w:pPr>
            <w:r w:rsidRPr="00E16FC2">
              <w:rPr>
                <w:sz w:val="22"/>
                <w:lang w:val="es-GT"/>
              </w:rPr>
              <w:t xml:space="preserve">Fondo Nacional para la Conservación de </w:t>
            </w:r>
            <w:r w:rsidR="000A2FB2" w:rsidRPr="00E16FC2">
              <w:rPr>
                <w:sz w:val="22"/>
                <w:lang w:val="es-GT"/>
              </w:rPr>
              <w:t>la Naturaleza</w:t>
            </w:r>
          </w:p>
        </w:tc>
        <w:tc>
          <w:tcPr>
            <w:tcW w:w="1431" w:type="dxa"/>
            <w:tcBorders>
              <w:top w:val="nil"/>
              <w:left w:val="single" w:sz="4" w:space="0" w:color="auto"/>
              <w:bottom w:val="nil"/>
              <w:right w:val="single" w:sz="4" w:space="0" w:color="auto"/>
            </w:tcBorders>
            <w:shd w:val="clear" w:color="000000" w:fill="auto"/>
            <w:vAlign w:val="center"/>
            <w:hideMark/>
          </w:tcPr>
          <w:p w:rsidR="009B6C10" w:rsidRPr="00E16FC2" w:rsidRDefault="009B6C10" w:rsidP="0005000D">
            <w:pPr>
              <w:jc w:val="right"/>
              <w:rPr>
                <w:sz w:val="22"/>
                <w:lang w:val="es-GT"/>
              </w:rPr>
            </w:pPr>
            <w:r w:rsidRPr="00E16FC2">
              <w:rPr>
                <w:sz w:val="22"/>
                <w:lang w:val="es-GT"/>
              </w:rPr>
              <w:t>4.7</w:t>
            </w:r>
          </w:p>
        </w:tc>
        <w:tc>
          <w:tcPr>
            <w:tcW w:w="1289" w:type="dxa"/>
            <w:tcBorders>
              <w:top w:val="nil"/>
              <w:left w:val="nil"/>
              <w:bottom w:val="nil"/>
              <w:right w:val="single" w:sz="4" w:space="0" w:color="auto"/>
            </w:tcBorders>
            <w:shd w:val="clear" w:color="000000" w:fill="auto"/>
            <w:vAlign w:val="center"/>
            <w:hideMark/>
          </w:tcPr>
          <w:p w:rsidR="009B6C10" w:rsidRPr="00E16FC2" w:rsidRDefault="009B6C10" w:rsidP="0005000D">
            <w:pPr>
              <w:jc w:val="right"/>
              <w:rPr>
                <w:sz w:val="22"/>
                <w:lang w:val="es-GT"/>
              </w:rPr>
            </w:pPr>
            <w:r w:rsidRPr="00E16FC2">
              <w:rPr>
                <w:sz w:val="22"/>
                <w:lang w:val="es-GT"/>
              </w:rPr>
              <w:t>1.1</w:t>
            </w:r>
          </w:p>
        </w:tc>
        <w:tc>
          <w:tcPr>
            <w:tcW w:w="1114" w:type="dxa"/>
            <w:tcBorders>
              <w:top w:val="nil"/>
              <w:left w:val="nil"/>
              <w:bottom w:val="nil"/>
              <w:right w:val="single" w:sz="4"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3.6</w:t>
            </w:r>
          </w:p>
        </w:tc>
        <w:tc>
          <w:tcPr>
            <w:tcW w:w="1154" w:type="dxa"/>
            <w:tcBorders>
              <w:top w:val="nil"/>
              <w:left w:val="nil"/>
              <w:bottom w:val="nil"/>
              <w:right w:val="single" w:sz="8"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22.6%</w:t>
            </w:r>
          </w:p>
        </w:tc>
      </w:tr>
      <w:tr w:rsidR="009B6C10" w:rsidRPr="00DD5DD7" w:rsidTr="001A4D17">
        <w:trPr>
          <w:trHeight w:val="520"/>
        </w:trPr>
        <w:tc>
          <w:tcPr>
            <w:tcW w:w="4358" w:type="dxa"/>
            <w:tcBorders>
              <w:top w:val="nil"/>
              <w:left w:val="single" w:sz="8" w:space="0" w:color="auto"/>
              <w:bottom w:val="nil"/>
              <w:right w:val="nil"/>
            </w:tcBorders>
            <w:shd w:val="clear" w:color="000000" w:fill="auto"/>
            <w:hideMark/>
          </w:tcPr>
          <w:p w:rsidR="009B6C10" w:rsidRPr="00E16FC2" w:rsidRDefault="009B6C10" w:rsidP="0005000D">
            <w:pPr>
              <w:jc w:val="both"/>
              <w:rPr>
                <w:sz w:val="22"/>
                <w:lang w:val="es-GT"/>
              </w:rPr>
            </w:pPr>
            <w:r w:rsidRPr="00E16FC2">
              <w:rPr>
                <w:sz w:val="22"/>
                <w:lang w:val="es-GT"/>
              </w:rPr>
              <w:t>Fondo Nacional para la Reactivación y Modernización de la Actividad Agropecuaria</w:t>
            </w:r>
          </w:p>
        </w:tc>
        <w:tc>
          <w:tcPr>
            <w:tcW w:w="1431" w:type="dxa"/>
            <w:tcBorders>
              <w:top w:val="nil"/>
              <w:left w:val="single" w:sz="4" w:space="0" w:color="auto"/>
              <w:bottom w:val="nil"/>
              <w:right w:val="single" w:sz="4" w:space="0" w:color="auto"/>
            </w:tcBorders>
            <w:shd w:val="clear" w:color="000000" w:fill="auto"/>
            <w:vAlign w:val="center"/>
            <w:hideMark/>
          </w:tcPr>
          <w:p w:rsidR="009B6C10" w:rsidRPr="00E16FC2" w:rsidRDefault="009B6C10" w:rsidP="0005000D">
            <w:pPr>
              <w:jc w:val="right"/>
              <w:rPr>
                <w:sz w:val="22"/>
                <w:lang w:val="es-GT"/>
              </w:rPr>
            </w:pPr>
            <w:r w:rsidRPr="00E16FC2">
              <w:rPr>
                <w:sz w:val="22"/>
                <w:lang w:val="es-GT"/>
              </w:rPr>
              <w:t>47.6</w:t>
            </w:r>
          </w:p>
        </w:tc>
        <w:tc>
          <w:tcPr>
            <w:tcW w:w="1289" w:type="dxa"/>
            <w:tcBorders>
              <w:top w:val="nil"/>
              <w:left w:val="nil"/>
              <w:bottom w:val="nil"/>
              <w:right w:val="single" w:sz="4" w:space="0" w:color="auto"/>
            </w:tcBorders>
            <w:shd w:val="clear" w:color="000000" w:fill="auto"/>
            <w:noWrap/>
            <w:vAlign w:val="center"/>
            <w:hideMark/>
          </w:tcPr>
          <w:p w:rsidR="009B6C10" w:rsidRPr="00E16FC2" w:rsidRDefault="009B6C10" w:rsidP="0005000D">
            <w:pPr>
              <w:jc w:val="right"/>
              <w:rPr>
                <w:sz w:val="22"/>
                <w:lang w:val="es-GT"/>
              </w:rPr>
            </w:pPr>
            <w:r w:rsidRPr="00E16FC2">
              <w:rPr>
                <w:sz w:val="22"/>
                <w:lang w:val="es-GT"/>
              </w:rPr>
              <w:t>32.3</w:t>
            </w:r>
          </w:p>
        </w:tc>
        <w:tc>
          <w:tcPr>
            <w:tcW w:w="1114" w:type="dxa"/>
            <w:tcBorders>
              <w:top w:val="nil"/>
              <w:left w:val="nil"/>
              <w:bottom w:val="nil"/>
              <w:right w:val="single" w:sz="4"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15.3</w:t>
            </w:r>
          </w:p>
        </w:tc>
        <w:tc>
          <w:tcPr>
            <w:tcW w:w="1154" w:type="dxa"/>
            <w:tcBorders>
              <w:top w:val="nil"/>
              <w:left w:val="nil"/>
              <w:bottom w:val="nil"/>
              <w:right w:val="single" w:sz="8"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67.9%</w:t>
            </w:r>
          </w:p>
        </w:tc>
      </w:tr>
      <w:tr w:rsidR="009B6C10" w:rsidRPr="00DD5DD7" w:rsidTr="001A4D17">
        <w:trPr>
          <w:trHeight w:val="310"/>
        </w:trPr>
        <w:tc>
          <w:tcPr>
            <w:tcW w:w="4358" w:type="dxa"/>
            <w:tcBorders>
              <w:top w:val="nil"/>
              <w:left w:val="single" w:sz="8" w:space="0" w:color="auto"/>
              <w:bottom w:val="nil"/>
              <w:right w:val="nil"/>
            </w:tcBorders>
            <w:shd w:val="clear" w:color="000000" w:fill="auto"/>
            <w:vAlign w:val="bottom"/>
            <w:hideMark/>
          </w:tcPr>
          <w:p w:rsidR="009B6C10" w:rsidRPr="00E16FC2" w:rsidRDefault="009B6C10" w:rsidP="0005000D">
            <w:pPr>
              <w:jc w:val="both"/>
              <w:rPr>
                <w:sz w:val="22"/>
                <w:lang w:val="es-GT"/>
              </w:rPr>
            </w:pPr>
            <w:r w:rsidRPr="00E16FC2">
              <w:rPr>
                <w:sz w:val="22"/>
                <w:lang w:val="es-GT"/>
              </w:rPr>
              <w:t>Fondo de Protección Social</w:t>
            </w:r>
          </w:p>
        </w:tc>
        <w:tc>
          <w:tcPr>
            <w:tcW w:w="1431" w:type="dxa"/>
            <w:tcBorders>
              <w:top w:val="nil"/>
              <w:left w:val="single" w:sz="4" w:space="0" w:color="auto"/>
              <w:bottom w:val="nil"/>
              <w:right w:val="single" w:sz="4" w:space="0" w:color="auto"/>
            </w:tcBorders>
            <w:shd w:val="clear" w:color="000000" w:fill="auto"/>
            <w:vAlign w:val="center"/>
            <w:hideMark/>
          </w:tcPr>
          <w:p w:rsidR="009B6C10" w:rsidRPr="00E16FC2" w:rsidRDefault="009B6C10" w:rsidP="0005000D">
            <w:pPr>
              <w:jc w:val="right"/>
              <w:rPr>
                <w:sz w:val="22"/>
                <w:lang w:val="es-GT"/>
              </w:rPr>
            </w:pPr>
            <w:r w:rsidRPr="00E16FC2">
              <w:rPr>
                <w:sz w:val="22"/>
                <w:lang w:val="es-GT"/>
              </w:rPr>
              <w:t>337.2</w:t>
            </w:r>
          </w:p>
        </w:tc>
        <w:tc>
          <w:tcPr>
            <w:tcW w:w="1289" w:type="dxa"/>
            <w:tcBorders>
              <w:top w:val="nil"/>
              <w:left w:val="nil"/>
              <w:bottom w:val="nil"/>
              <w:right w:val="single" w:sz="4" w:space="0" w:color="auto"/>
            </w:tcBorders>
            <w:shd w:val="clear" w:color="000000" w:fill="auto"/>
            <w:noWrap/>
            <w:vAlign w:val="center"/>
            <w:hideMark/>
          </w:tcPr>
          <w:p w:rsidR="009B6C10" w:rsidRPr="00E16FC2" w:rsidRDefault="009B6C10" w:rsidP="0005000D">
            <w:pPr>
              <w:jc w:val="right"/>
              <w:rPr>
                <w:sz w:val="22"/>
                <w:lang w:val="es-GT"/>
              </w:rPr>
            </w:pPr>
            <w:r w:rsidRPr="00E16FC2">
              <w:rPr>
                <w:sz w:val="22"/>
                <w:lang w:val="es-GT"/>
              </w:rPr>
              <w:t>310.5</w:t>
            </w:r>
          </w:p>
        </w:tc>
        <w:tc>
          <w:tcPr>
            <w:tcW w:w="1114" w:type="dxa"/>
            <w:tcBorders>
              <w:top w:val="nil"/>
              <w:left w:val="nil"/>
              <w:bottom w:val="nil"/>
              <w:right w:val="single" w:sz="4"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26.6</w:t>
            </w:r>
          </w:p>
        </w:tc>
        <w:tc>
          <w:tcPr>
            <w:tcW w:w="1154" w:type="dxa"/>
            <w:tcBorders>
              <w:top w:val="nil"/>
              <w:left w:val="nil"/>
              <w:bottom w:val="nil"/>
              <w:right w:val="single" w:sz="8"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92.1%</w:t>
            </w:r>
          </w:p>
        </w:tc>
      </w:tr>
      <w:tr w:rsidR="009B6C10" w:rsidRPr="00DD5DD7" w:rsidTr="001A4D17">
        <w:trPr>
          <w:trHeight w:val="310"/>
        </w:trPr>
        <w:tc>
          <w:tcPr>
            <w:tcW w:w="4358" w:type="dxa"/>
            <w:tcBorders>
              <w:top w:val="nil"/>
              <w:left w:val="single" w:sz="8" w:space="0" w:color="auto"/>
              <w:bottom w:val="nil"/>
              <w:right w:val="nil"/>
            </w:tcBorders>
            <w:shd w:val="clear" w:color="000000" w:fill="auto"/>
            <w:vAlign w:val="bottom"/>
            <w:hideMark/>
          </w:tcPr>
          <w:p w:rsidR="009B6C10" w:rsidRPr="00E16FC2" w:rsidRDefault="009B6C10" w:rsidP="0005000D">
            <w:pPr>
              <w:jc w:val="both"/>
              <w:rPr>
                <w:sz w:val="22"/>
                <w:lang w:val="es-GT"/>
              </w:rPr>
            </w:pPr>
            <w:r w:rsidRPr="00E16FC2">
              <w:rPr>
                <w:sz w:val="22"/>
                <w:lang w:val="es-GT"/>
              </w:rPr>
              <w:t>Fondo de Desarrollo Indígena Guatemalteco</w:t>
            </w:r>
          </w:p>
        </w:tc>
        <w:tc>
          <w:tcPr>
            <w:tcW w:w="1431" w:type="dxa"/>
            <w:tcBorders>
              <w:top w:val="nil"/>
              <w:left w:val="single" w:sz="4" w:space="0" w:color="auto"/>
              <w:bottom w:val="nil"/>
              <w:right w:val="single" w:sz="4" w:space="0" w:color="auto"/>
            </w:tcBorders>
            <w:shd w:val="clear" w:color="000000" w:fill="auto"/>
            <w:vAlign w:val="center"/>
            <w:hideMark/>
          </w:tcPr>
          <w:p w:rsidR="009B6C10" w:rsidRPr="00E16FC2" w:rsidRDefault="009B6C10" w:rsidP="0005000D">
            <w:pPr>
              <w:jc w:val="right"/>
              <w:rPr>
                <w:sz w:val="22"/>
                <w:lang w:val="es-GT"/>
              </w:rPr>
            </w:pPr>
            <w:r w:rsidRPr="00E16FC2">
              <w:rPr>
                <w:sz w:val="22"/>
                <w:lang w:val="es-GT"/>
              </w:rPr>
              <w:t>16.9</w:t>
            </w:r>
          </w:p>
        </w:tc>
        <w:tc>
          <w:tcPr>
            <w:tcW w:w="1289" w:type="dxa"/>
            <w:tcBorders>
              <w:top w:val="nil"/>
              <w:left w:val="nil"/>
              <w:bottom w:val="nil"/>
              <w:right w:val="single" w:sz="4" w:space="0" w:color="auto"/>
            </w:tcBorders>
            <w:shd w:val="clear" w:color="000000" w:fill="auto"/>
            <w:noWrap/>
            <w:vAlign w:val="center"/>
            <w:hideMark/>
          </w:tcPr>
          <w:p w:rsidR="009B6C10" w:rsidRPr="00E16FC2" w:rsidRDefault="009B6C10" w:rsidP="0005000D">
            <w:pPr>
              <w:jc w:val="right"/>
              <w:rPr>
                <w:sz w:val="22"/>
                <w:lang w:val="es-GT"/>
              </w:rPr>
            </w:pPr>
            <w:r w:rsidRPr="00E16FC2">
              <w:rPr>
                <w:sz w:val="22"/>
                <w:lang w:val="es-GT"/>
              </w:rPr>
              <w:t>6.8</w:t>
            </w:r>
          </w:p>
        </w:tc>
        <w:tc>
          <w:tcPr>
            <w:tcW w:w="1114" w:type="dxa"/>
            <w:tcBorders>
              <w:top w:val="nil"/>
              <w:left w:val="nil"/>
              <w:bottom w:val="nil"/>
              <w:right w:val="single" w:sz="4"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10.1</w:t>
            </w:r>
          </w:p>
        </w:tc>
        <w:tc>
          <w:tcPr>
            <w:tcW w:w="1154" w:type="dxa"/>
            <w:tcBorders>
              <w:top w:val="nil"/>
              <w:left w:val="nil"/>
              <w:bottom w:val="nil"/>
              <w:right w:val="single" w:sz="8"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40.3%</w:t>
            </w:r>
          </w:p>
        </w:tc>
      </w:tr>
      <w:tr w:rsidR="009B6C10" w:rsidRPr="00DD5DD7" w:rsidTr="001A4D17">
        <w:trPr>
          <w:trHeight w:val="310"/>
        </w:trPr>
        <w:tc>
          <w:tcPr>
            <w:tcW w:w="4358" w:type="dxa"/>
            <w:tcBorders>
              <w:top w:val="nil"/>
              <w:left w:val="single" w:sz="8" w:space="0" w:color="auto"/>
              <w:bottom w:val="nil"/>
              <w:right w:val="nil"/>
            </w:tcBorders>
            <w:shd w:val="clear" w:color="000000" w:fill="auto"/>
            <w:vAlign w:val="bottom"/>
            <w:hideMark/>
          </w:tcPr>
          <w:p w:rsidR="009B6C10" w:rsidRPr="00E16FC2" w:rsidRDefault="009B6C10" w:rsidP="0005000D">
            <w:pPr>
              <w:jc w:val="both"/>
              <w:rPr>
                <w:sz w:val="22"/>
                <w:lang w:val="es-GT"/>
              </w:rPr>
            </w:pPr>
            <w:r w:rsidRPr="00E16FC2">
              <w:rPr>
                <w:sz w:val="22"/>
                <w:lang w:val="es-GT"/>
              </w:rPr>
              <w:t>Inversión para la Vivienda</w:t>
            </w:r>
          </w:p>
        </w:tc>
        <w:tc>
          <w:tcPr>
            <w:tcW w:w="1431" w:type="dxa"/>
            <w:tcBorders>
              <w:top w:val="nil"/>
              <w:left w:val="single" w:sz="4" w:space="0" w:color="auto"/>
              <w:bottom w:val="nil"/>
              <w:right w:val="single" w:sz="4" w:space="0" w:color="auto"/>
            </w:tcBorders>
            <w:shd w:val="clear" w:color="000000" w:fill="auto"/>
            <w:vAlign w:val="center"/>
            <w:hideMark/>
          </w:tcPr>
          <w:p w:rsidR="009B6C10" w:rsidRPr="00E16FC2" w:rsidRDefault="009B6C10" w:rsidP="0005000D">
            <w:pPr>
              <w:jc w:val="right"/>
              <w:rPr>
                <w:sz w:val="22"/>
                <w:lang w:val="es-GT"/>
              </w:rPr>
            </w:pPr>
            <w:r w:rsidRPr="00E16FC2">
              <w:rPr>
                <w:sz w:val="22"/>
                <w:lang w:val="es-GT"/>
              </w:rPr>
              <w:t>562.1</w:t>
            </w:r>
          </w:p>
        </w:tc>
        <w:tc>
          <w:tcPr>
            <w:tcW w:w="1289" w:type="dxa"/>
            <w:tcBorders>
              <w:top w:val="nil"/>
              <w:left w:val="nil"/>
              <w:bottom w:val="nil"/>
              <w:right w:val="single" w:sz="4" w:space="0" w:color="auto"/>
            </w:tcBorders>
            <w:shd w:val="clear" w:color="000000" w:fill="auto"/>
            <w:noWrap/>
            <w:vAlign w:val="center"/>
            <w:hideMark/>
          </w:tcPr>
          <w:p w:rsidR="009B6C10" w:rsidRPr="00E16FC2" w:rsidRDefault="009B6C10" w:rsidP="0005000D">
            <w:pPr>
              <w:jc w:val="right"/>
              <w:rPr>
                <w:sz w:val="22"/>
                <w:lang w:val="es-GT"/>
              </w:rPr>
            </w:pPr>
            <w:r w:rsidRPr="00E16FC2">
              <w:rPr>
                <w:sz w:val="22"/>
                <w:lang w:val="es-GT"/>
              </w:rPr>
              <w:t>386.7</w:t>
            </w:r>
          </w:p>
        </w:tc>
        <w:tc>
          <w:tcPr>
            <w:tcW w:w="1114" w:type="dxa"/>
            <w:tcBorders>
              <w:top w:val="nil"/>
              <w:left w:val="nil"/>
              <w:bottom w:val="nil"/>
              <w:right w:val="single" w:sz="4"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175.4</w:t>
            </w:r>
          </w:p>
        </w:tc>
        <w:tc>
          <w:tcPr>
            <w:tcW w:w="1154" w:type="dxa"/>
            <w:tcBorders>
              <w:top w:val="nil"/>
              <w:left w:val="nil"/>
              <w:bottom w:val="nil"/>
              <w:right w:val="single" w:sz="8"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68.8%</w:t>
            </w:r>
          </w:p>
        </w:tc>
      </w:tr>
      <w:tr w:rsidR="009B6C10" w:rsidRPr="00DD5DD7" w:rsidTr="001A4D17">
        <w:trPr>
          <w:trHeight w:val="320"/>
        </w:trPr>
        <w:tc>
          <w:tcPr>
            <w:tcW w:w="4358" w:type="dxa"/>
            <w:tcBorders>
              <w:top w:val="nil"/>
              <w:left w:val="single" w:sz="8" w:space="0" w:color="auto"/>
              <w:bottom w:val="single" w:sz="8" w:space="0" w:color="auto"/>
              <w:right w:val="nil"/>
            </w:tcBorders>
            <w:shd w:val="clear" w:color="000000" w:fill="auto"/>
            <w:vAlign w:val="bottom"/>
            <w:hideMark/>
          </w:tcPr>
          <w:p w:rsidR="009B6C10" w:rsidRPr="00E16FC2" w:rsidRDefault="009B6C10" w:rsidP="000A2FB2">
            <w:pPr>
              <w:jc w:val="both"/>
              <w:rPr>
                <w:sz w:val="22"/>
                <w:lang w:val="es-GT"/>
              </w:rPr>
            </w:pPr>
            <w:r w:rsidRPr="00E16FC2">
              <w:rPr>
                <w:sz w:val="22"/>
                <w:lang w:val="es-GT"/>
              </w:rPr>
              <w:t>Fondo Nacional de Ciencia y Tecnología</w:t>
            </w:r>
          </w:p>
        </w:tc>
        <w:tc>
          <w:tcPr>
            <w:tcW w:w="1431" w:type="dxa"/>
            <w:tcBorders>
              <w:top w:val="nil"/>
              <w:left w:val="single" w:sz="4" w:space="0" w:color="auto"/>
              <w:bottom w:val="single" w:sz="8" w:space="0" w:color="auto"/>
              <w:right w:val="single" w:sz="4" w:space="0" w:color="auto"/>
            </w:tcBorders>
            <w:shd w:val="clear" w:color="000000" w:fill="auto"/>
            <w:vAlign w:val="center"/>
            <w:hideMark/>
          </w:tcPr>
          <w:p w:rsidR="009B6C10" w:rsidRPr="00E16FC2" w:rsidRDefault="009B6C10" w:rsidP="0005000D">
            <w:pPr>
              <w:jc w:val="right"/>
              <w:rPr>
                <w:sz w:val="22"/>
                <w:lang w:val="es-GT"/>
              </w:rPr>
            </w:pPr>
            <w:r w:rsidRPr="00E16FC2">
              <w:rPr>
                <w:sz w:val="22"/>
                <w:lang w:val="es-GT"/>
              </w:rPr>
              <w:t>11.2</w:t>
            </w:r>
          </w:p>
        </w:tc>
        <w:tc>
          <w:tcPr>
            <w:tcW w:w="1289" w:type="dxa"/>
            <w:tcBorders>
              <w:top w:val="nil"/>
              <w:left w:val="nil"/>
              <w:bottom w:val="single" w:sz="8" w:space="0" w:color="auto"/>
              <w:right w:val="single" w:sz="4" w:space="0" w:color="auto"/>
            </w:tcBorders>
            <w:shd w:val="clear" w:color="000000" w:fill="auto"/>
            <w:noWrap/>
            <w:vAlign w:val="center"/>
            <w:hideMark/>
          </w:tcPr>
          <w:p w:rsidR="009B6C10" w:rsidRPr="00E16FC2" w:rsidRDefault="009B6C10" w:rsidP="0005000D">
            <w:pPr>
              <w:jc w:val="right"/>
              <w:rPr>
                <w:sz w:val="22"/>
                <w:lang w:val="es-GT"/>
              </w:rPr>
            </w:pPr>
            <w:r w:rsidRPr="00E16FC2">
              <w:rPr>
                <w:sz w:val="22"/>
                <w:lang w:val="es-GT"/>
              </w:rPr>
              <w:t>1.2</w:t>
            </w:r>
          </w:p>
        </w:tc>
        <w:tc>
          <w:tcPr>
            <w:tcW w:w="1114" w:type="dxa"/>
            <w:tcBorders>
              <w:top w:val="nil"/>
              <w:left w:val="nil"/>
              <w:bottom w:val="single" w:sz="8" w:space="0" w:color="auto"/>
              <w:right w:val="single" w:sz="4"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10.0</w:t>
            </w:r>
          </w:p>
        </w:tc>
        <w:tc>
          <w:tcPr>
            <w:tcW w:w="1154" w:type="dxa"/>
            <w:tcBorders>
              <w:top w:val="nil"/>
              <w:left w:val="nil"/>
              <w:bottom w:val="single" w:sz="8" w:space="0" w:color="auto"/>
              <w:right w:val="single" w:sz="8" w:space="0" w:color="auto"/>
            </w:tcBorders>
            <w:shd w:val="clear" w:color="auto" w:fill="auto"/>
            <w:noWrap/>
            <w:vAlign w:val="center"/>
            <w:hideMark/>
          </w:tcPr>
          <w:p w:rsidR="009B6C10" w:rsidRPr="00E16FC2" w:rsidRDefault="009B6C10" w:rsidP="0005000D">
            <w:pPr>
              <w:jc w:val="right"/>
              <w:rPr>
                <w:sz w:val="22"/>
                <w:lang w:val="es-GT"/>
              </w:rPr>
            </w:pPr>
            <w:r w:rsidRPr="00E16FC2">
              <w:rPr>
                <w:sz w:val="22"/>
                <w:lang w:val="es-GT"/>
              </w:rPr>
              <w:t>11.1%</w:t>
            </w:r>
          </w:p>
        </w:tc>
      </w:tr>
    </w:tbl>
    <w:p w:rsidR="00011502" w:rsidRDefault="00011502" w:rsidP="00011502">
      <w:pPr>
        <w:rPr>
          <w:sz w:val="18"/>
        </w:rPr>
      </w:pPr>
      <w:r>
        <w:rPr>
          <w:sz w:val="18"/>
        </w:rPr>
        <w:t>* Cifras preliminares</w:t>
      </w:r>
    </w:p>
    <w:p w:rsidR="00011502" w:rsidRPr="00CE76C6" w:rsidRDefault="000A2FB2" w:rsidP="00011502">
      <w:pPr>
        <w:rPr>
          <w:sz w:val="18"/>
        </w:rPr>
      </w:pPr>
      <w:r>
        <w:rPr>
          <w:sz w:val="18"/>
        </w:rPr>
        <w:t xml:space="preserve">   </w:t>
      </w:r>
      <w:r w:rsidR="00011502" w:rsidRPr="00CE76C6">
        <w:rPr>
          <w:sz w:val="18"/>
        </w:rPr>
        <w:t>Fuente: Ministerio de Finanzas Públicas</w:t>
      </w:r>
      <w:r w:rsidR="00011502">
        <w:rPr>
          <w:sz w:val="18"/>
        </w:rPr>
        <w:t>.</w:t>
      </w:r>
    </w:p>
    <w:p w:rsidR="00011502" w:rsidRDefault="00011502" w:rsidP="00011502"/>
    <w:p w:rsidR="00011502" w:rsidRDefault="00011502" w:rsidP="00011502"/>
    <w:p w:rsidR="00011502" w:rsidRPr="006A7754" w:rsidRDefault="00011502" w:rsidP="00011502">
      <w:pPr>
        <w:rPr>
          <w:sz w:val="36"/>
        </w:rPr>
      </w:pPr>
    </w:p>
    <w:p w:rsidR="00011502" w:rsidRPr="0050490D" w:rsidRDefault="0050490D" w:rsidP="0050490D">
      <w:pPr>
        <w:pStyle w:val="Ttulo3"/>
        <w:numPr>
          <w:ilvl w:val="0"/>
          <w:numId w:val="0"/>
        </w:numPr>
        <w:ind w:left="851" w:hanging="437"/>
        <w:rPr>
          <w:color w:val="auto"/>
        </w:rPr>
      </w:pPr>
      <w:bookmarkStart w:id="29" w:name="_Toc65826759"/>
      <w:r>
        <w:rPr>
          <w:color w:val="auto"/>
        </w:rPr>
        <w:t>3</w:t>
      </w:r>
      <w:r>
        <w:rPr>
          <w:color w:val="auto"/>
        </w:rPr>
        <w:tab/>
      </w:r>
      <w:r w:rsidR="00011502" w:rsidRPr="0050490D">
        <w:rPr>
          <w:color w:val="auto"/>
        </w:rPr>
        <w:t>Gasto Público Ejecutado a través de ONG</w:t>
      </w:r>
      <w:bookmarkEnd w:id="29"/>
    </w:p>
    <w:p w:rsidR="00011502" w:rsidRPr="006A7754" w:rsidRDefault="00011502" w:rsidP="00011502">
      <w:pPr>
        <w:rPr>
          <w:sz w:val="32"/>
          <w:lang w:val="es-MX" w:eastAsia="x-none"/>
        </w:rPr>
      </w:pPr>
    </w:p>
    <w:p w:rsidR="00E33F4D" w:rsidRDefault="00E33F4D" w:rsidP="000A2FB2">
      <w:pPr>
        <w:jc w:val="both"/>
        <w:rPr>
          <w:lang w:val="es-MX" w:eastAsia="x-none"/>
        </w:rPr>
      </w:pPr>
      <w:r w:rsidRPr="00DD5DD7">
        <w:t>El total de fondos ejecutados por medio de Organizaciones no Gubernamentales al 31 de diciembre de 2020 ascendió a Q.1,058.5 millones, que representa el 94.2% del presupuesto vigente. La entidad con mayor ejecución del total bajo esta modalidad fue el Ministerio de Salud Pública y Asistencia Social con un monto de Q.547.9 millones, equivalentes al 51.8% del monto total ejecutado; el Ministerio de Educación con un monto de Q.129.9 millones, equivalentes al 12.3% del total; a través de las Obligaciones del Estado a Cargo del Tesoro se ejecutaron Q.334.7 millones que equivalen al 31.6% del total; el Ministerio de Agricultura, Ganadería y Alimentación ejecutó Q.30.7 millones que representan el 2.9% del total ejecutado; el resto de instituciones ejecutaron en conjunto Q.15.3 millones que equivalen al 1.4% del total ejecutado</w:t>
      </w:r>
      <w:r w:rsidR="000A2FB2">
        <w:t>.</w:t>
      </w:r>
    </w:p>
    <w:p w:rsidR="002F6E1E" w:rsidRDefault="002F6E1E" w:rsidP="00011502">
      <w:pPr>
        <w:jc w:val="both"/>
      </w:pPr>
    </w:p>
    <w:p w:rsidR="006A7754" w:rsidRDefault="006A7754">
      <w:r>
        <w:br w:type="page"/>
      </w:r>
    </w:p>
    <w:p w:rsidR="002F6E1E" w:rsidRDefault="002F6E1E" w:rsidP="00011502">
      <w:pPr>
        <w:jc w:val="both"/>
      </w:pPr>
    </w:p>
    <w:p w:rsidR="00011502" w:rsidRPr="00124AD6" w:rsidRDefault="00011502" w:rsidP="00011502">
      <w:pPr>
        <w:jc w:val="center"/>
        <w:rPr>
          <w:b/>
        </w:rPr>
      </w:pPr>
      <w:r w:rsidRPr="00124AD6">
        <w:rPr>
          <w:b/>
        </w:rPr>
        <w:t xml:space="preserve">Cuadro </w:t>
      </w:r>
      <w:r>
        <w:rPr>
          <w:b/>
        </w:rPr>
        <w:t>7</w:t>
      </w:r>
    </w:p>
    <w:p w:rsidR="00011502" w:rsidRPr="00124AD6" w:rsidRDefault="00011502" w:rsidP="00011502">
      <w:pPr>
        <w:jc w:val="center"/>
        <w:rPr>
          <w:b/>
        </w:rPr>
      </w:pPr>
      <w:r w:rsidRPr="00124AD6">
        <w:rPr>
          <w:b/>
        </w:rPr>
        <w:t>Gasto Público Ejecutado a través de Aportes y Convenios</w:t>
      </w:r>
      <w:r>
        <w:rPr>
          <w:b/>
        </w:rPr>
        <w:t xml:space="preserve"> con ONG</w:t>
      </w:r>
    </w:p>
    <w:p w:rsidR="00011502" w:rsidRPr="00124AD6" w:rsidRDefault="00011502" w:rsidP="00011502">
      <w:pPr>
        <w:jc w:val="center"/>
        <w:rPr>
          <w:b/>
        </w:rPr>
      </w:pPr>
      <w:r w:rsidRPr="00124AD6">
        <w:rPr>
          <w:b/>
        </w:rPr>
        <w:t>Al 31 de diciembre de 20</w:t>
      </w:r>
      <w:r w:rsidR="00E33F4D">
        <w:rPr>
          <w:b/>
        </w:rPr>
        <w:t>20</w:t>
      </w:r>
      <w:r w:rsidRPr="00124AD6">
        <w:rPr>
          <w:b/>
        </w:rPr>
        <w:t>*</w:t>
      </w:r>
    </w:p>
    <w:p w:rsidR="00011502" w:rsidRDefault="00011502" w:rsidP="00011502">
      <w:pPr>
        <w:jc w:val="center"/>
        <w:rPr>
          <w:b/>
          <w:bCs/>
          <w:lang w:val="es-GT" w:eastAsia="es-GT"/>
        </w:rPr>
      </w:pPr>
      <w:r>
        <w:rPr>
          <w:b/>
          <w:bCs/>
          <w:lang w:val="es-GT" w:eastAsia="es-GT"/>
        </w:rPr>
        <w:t>(Millones de Quetzales)</w:t>
      </w:r>
    </w:p>
    <w:p w:rsidR="002E3A88" w:rsidRDefault="002E3A88" w:rsidP="00011502">
      <w:pPr>
        <w:jc w:val="center"/>
        <w:rPr>
          <w:b/>
          <w:bCs/>
          <w:lang w:val="es-GT" w:eastAsia="es-GT"/>
        </w:rPr>
      </w:pPr>
    </w:p>
    <w:tbl>
      <w:tblPr>
        <w:tblW w:w="9568" w:type="dxa"/>
        <w:tblCellMar>
          <w:left w:w="70" w:type="dxa"/>
          <w:right w:w="70" w:type="dxa"/>
        </w:tblCellMar>
        <w:tblLook w:val="04A0" w:firstRow="1" w:lastRow="0" w:firstColumn="1" w:lastColumn="0" w:noHBand="0" w:noVBand="1"/>
      </w:tblPr>
      <w:tblGrid>
        <w:gridCol w:w="4465"/>
        <w:gridCol w:w="1289"/>
        <w:gridCol w:w="1289"/>
        <w:gridCol w:w="1276"/>
        <w:gridCol w:w="1276"/>
      </w:tblGrid>
      <w:tr w:rsidR="00E33F4D" w:rsidRPr="00C354A0" w:rsidTr="00E33F4D">
        <w:trPr>
          <w:trHeight w:val="310"/>
        </w:trPr>
        <w:tc>
          <w:tcPr>
            <w:tcW w:w="4465" w:type="dxa"/>
            <w:vMerge w:val="restart"/>
            <w:tcBorders>
              <w:top w:val="single" w:sz="8" w:space="0" w:color="auto"/>
              <w:left w:val="single" w:sz="8" w:space="0" w:color="auto"/>
              <w:bottom w:val="single" w:sz="8" w:space="0" w:color="000000"/>
              <w:right w:val="nil"/>
            </w:tcBorders>
            <w:shd w:val="clear" w:color="000000" w:fill="9BC2E6"/>
            <w:vAlign w:val="center"/>
            <w:hideMark/>
          </w:tcPr>
          <w:p w:rsidR="00E33F4D" w:rsidRPr="00C354A0" w:rsidRDefault="00E33F4D" w:rsidP="00E33F4D">
            <w:pPr>
              <w:jc w:val="center"/>
              <w:rPr>
                <w:b/>
                <w:bCs/>
                <w:sz w:val="22"/>
                <w:lang w:val="es-GT"/>
              </w:rPr>
            </w:pPr>
            <w:r w:rsidRPr="00C354A0">
              <w:rPr>
                <w:b/>
                <w:bCs/>
                <w:sz w:val="22"/>
                <w:lang w:val="es-GT"/>
              </w:rPr>
              <w:t>Entidad</w:t>
            </w:r>
          </w:p>
        </w:tc>
        <w:tc>
          <w:tcPr>
            <w:tcW w:w="1275"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E33F4D" w:rsidRPr="00C354A0" w:rsidRDefault="000A2FB2" w:rsidP="00E33F4D">
            <w:pPr>
              <w:jc w:val="center"/>
              <w:rPr>
                <w:b/>
                <w:bCs/>
                <w:sz w:val="22"/>
                <w:lang w:val="es-GT"/>
              </w:rPr>
            </w:pPr>
            <w:r w:rsidRPr="00C354A0">
              <w:rPr>
                <w:b/>
                <w:bCs/>
                <w:sz w:val="22"/>
                <w:lang w:val="es-GT"/>
              </w:rPr>
              <w:t xml:space="preserve">Presupuesto </w:t>
            </w:r>
            <w:r w:rsidR="00E33F4D" w:rsidRPr="00C354A0">
              <w:rPr>
                <w:b/>
                <w:bCs/>
                <w:sz w:val="22"/>
                <w:lang w:val="es-GT"/>
              </w:rPr>
              <w:t>Vigente</w:t>
            </w:r>
          </w:p>
        </w:tc>
        <w:tc>
          <w:tcPr>
            <w:tcW w:w="1276"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E33F4D" w:rsidRPr="00C354A0" w:rsidRDefault="000A2FB2" w:rsidP="000A2FB2">
            <w:pPr>
              <w:jc w:val="center"/>
              <w:rPr>
                <w:b/>
                <w:bCs/>
                <w:sz w:val="22"/>
                <w:lang w:val="es-GT"/>
              </w:rPr>
            </w:pPr>
            <w:r w:rsidRPr="00C354A0">
              <w:rPr>
                <w:b/>
                <w:bCs/>
                <w:sz w:val="22"/>
                <w:lang w:val="es-GT"/>
              </w:rPr>
              <w:t xml:space="preserve">Presupuesto </w:t>
            </w:r>
            <w:r w:rsidR="00E33F4D" w:rsidRPr="00C354A0">
              <w:rPr>
                <w:b/>
                <w:bCs/>
                <w:sz w:val="22"/>
                <w:lang w:val="es-GT"/>
              </w:rPr>
              <w:t>Ejecu</w:t>
            </w:r>
            <w:r w:rsidRPr="00C354A0">
              <w:rPr>
                <w:b/>
                <w:bCs/>
                <w:sz w:val="22"/>
                <w:lang w:val="es-GT"/>
              </w:rPr>
              <w:t>tado</w:t>
            </w:r>
          </w:p>
        </w:tc>
        <w:tc>
          <w:tcPr>
            <w:tcW w:w="1276"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E33F4D" w:rsidRPr="00C354A0" w:rsidRDefault="00E33F4D" w:rsidP="00E33F4D">
            <w:pPr>
              <w:jc w:val="center"/>
              <w:rPr>
                <w:b/>
                <w:bCs/>
                <w:sz w:val="22"/>
                <w:lang w:val="es-GT"/>
              </w:rPr>
            </w:pPr>
            <w:r w:rsidRPr="00C354A0">
              <w:rPr>
                <w:b/>
                <w:bCs/>
                <w:sz w:val="22"/>
                <w:lang w:val="es-GT"/>
              </w:rPr>
              <w:t>Por Ejecutar</w:t>
            </w:r>
          </w:p>
        </w:tc>
        <w:tc>
          <w:tcPr>
            <w:tcW w:w="1276" w:type="dxa"/>
            <w:vMerge w:val="restart"/>
            <w:tcBorders>
              <w:top w:val="single" w:sz="8" w:space="0" w:color="auto"/>
              <w:left w:val="nil"/>
              <w:bottom w:val="single" w:sz="8" w:space="0" w:color="000000"/>
              <w:right w:val="single" w:sz="8" w:space="0" w:color="auto"/>
            </w:tcBorders>
            <w:shd w:val="clear" w:color="000000" w:fill="9BC2E6"/>
            <w:vAlign w:val="center"/>
            <w:hideMark/>
          </w:tcPr>
          <w:p w:rsidR="00E33F4D" w:rsidRPr="00C354A0" w:rsidRDefault="00E33F4D" w:rsidP="00E33F4D">
            <w:pPr>
              <w:jc w:val="center"/>
              <w:rPr>
                <w:b/>
                <w:bCs/>
                <w:sz w:val="22"/>
                <w:lang w:val="es-GT"/>
              </w:rPr>
            </w:pPr>
            <w:r w:rsidRPr="00C354A0">
              <w:rPr>
                <w:b/>
                <w:bCs/>
                <w:sz w:val="22"/>
                <w:lang w:val="es-GT"/>
              </w:rPr>
              <w:t>% de Ejecución</w:t>
            </w:r>
          </w:p>
        </w:tc>
      </w:tr>
      <w:tr w:rsidR="00E33F4D" w:rsidRPr="00DD5DD7" w:rsidTr="002E3A88">
        <w:trPr>
          <w:trHeight w:val="360"/>
        </w:trPr>
        <w:tc>
          <w:tcPr>
            <w:tcW w:w="4465" w:type="dxa"/>
            <w:vMerge/>
            <w:tcBorders>
              <w:top w:val="single" w:sz="8" w:space="0" w:color="auto"/>
              <w:left w:val="single" w:sz="8" w:space="0" w:color="auto"/>
              <w:bottom w:val="single" w:sz="8" w:space="0" w:color="000000"/>
              <w:right w:val="nil"/>
            </w:tcBorders>
            <w:vAlign w:val="center"/>
            <w:hideMark/>
          </w:tcPr>
          <w:p w:rsidR="00E33F4D" w:rsidRPr="00DD5DD7" w:rsidRDefault="00E33F4D" w:rsidP="0005000D">
            <w:pPr>
              <w:jc w:val="both"/>
              <w:rPr>
                <w:b/>
                <w:bCs/>
                <w:lang w:val="es-GT"/>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rsidR="00E33F4D" w:rsidRPr="00DD5DD7" w:rsidRDefault="00E33F4D" w:rsidP="0005000D">
            <w:pPr>
              <w:jc w:val="both"/>
              <w:rPr>
                <w:b/>
                <w:bCs/>
                <w:lang w:val="es-GT"/>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rsidR="00E33F4D" w:rsidRPr="00DD5DD7" w:rsidRDefault="00E33F4D" w:rsidP="0005000D">
            <w:pPr>
              <w:jc w:val="both"/>
              <w:rPr>
                <w:b/>
                <w:bCs/>
                <w:lang w:val="es-GT"/>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rsidR="00E33F4D" w:rsidRPr="00DD5DD7" w:rsidRDefault="00E33F4D" w:rsidP="0005000D">
            <w:pPr>
              <w:jc w:val="both"/>
              <w:rPr>
                <w:b/>
                <w:bCs/>
                <w:lang w:val="es-GT"/>
              </w:rPr>
            </w:pPr>
          </w:p>
        </w:tc>
        <w:tc>
          <w:tcPr>
            <w:tcW w:w="1276" w:type="dxa"/>
            <w:vMerge/>
            <w:tcBorders>
              <w:top w:val="single" w:sz="8" w:space="0" w:color="auto"/>
              <w:left w:val="nil"/>
              <w:bottom w:val="single" w:sz="8" w:space="0" w:color="000000"/>
              <w:right w:val="single" w:sz="8" w:space="0" w:color="auto"/>
            </w:tcBorders>
            <w:vAlign w:val="center"/>
            <w:hideMark/>
          </w:tcPr>
          <w:p w:rsidR="00E33F4D" w:rsidRPr="00DD5DD7" w:rsidRDefault="00E33F4D" w:rsidP="0005000D">
            <w:pPr>
              <w:jc w:val="both"/>
              <w:rPr>
                <w:b/>
                <w:bCs/>
                <w:lang w:val="es-GT"/>
              </w:rPr>
            </w:pPr>
          </w:p>
        </w:tc>
      </w:tr>
      <w:tr w:rsidR="00E33F4D" w:rsidRPr="00DD5DD7" w:rsidTr="00E33F4D">
        <w:trPr>
          <w:trHeight w:val="310"/>
        </w:trPr>
        <w:tc>
          <w:tcPr>
            <w:tcW w:w="4465" w:type="dxa"/>
            <w:tcBorders>
              <w:top w:val="nil"/>
              <w:left w:val="single" w:sz="8" w:space="0" w:color="auto"/>
              <w:bottom w:val="nil"/>
              <w:right w:val="nil"/>
            </w:tcBorders>
            <w:shd w:val="clear" w:color="auto" w:fill="auto"/>
            <w:vAlign w:val="bottom"/>
            <w:hideMark/>
          </w:tcPr>
          <w:p w:rsidR="00E33F4D" w:rsidRPr="00E33F4D" w:rsidRDefault="00E33F4D" w:rsidP="00E33F4D">
            <w:pPr>
              <w:jc w:val="center"/>
              <w:rPr>
                <w:b/>
                <w:bCs/>
                <w:sz w:val="22"/>
                <w:lang w:val="es-GT"/>
              </w:rPr>
            </w:pPr>
            <w:r w:rsidRPr="00E33F4D">
              <w:rPr>
                <w:b/>
                <w:bCs/>
                <w:sz w:val="22"/>
                <w:lang w:val="es-GT"/>
              </w:rPr>
              <w:t>Total</w:t>
            </w:r>
          </w:p>
        </w:tc>
        <w:tc>
          <w:tcPr>
            <w:tcW w:w="1275" w:type="dxa"/>
            <w:tcBorders>
              <w:top w:val="nil"/>
              <w:left w:val="single" w:sz="4" w:space="0" w:color="auto"/>
              <w:bottom w:val="nil"/>
              <w:right w:val="single" w:sz="4" w:space="0" w:color="auto"/>
            </w:tcBorders>
            <w:shd w:val="clear" w:color="auto" w:fill="auto"/>
            <w:vAlign w:val="center"/>
            <w:hideMark/>
          </w:tcPr>
          <w:p w:rsidR="00E33F4D" w:rsidRPr="00E33F4D" w:rsidRDefault="00E33F4D" w:rsidP="00E33F4D">
            <w:pPr>
              <w:jc w:val="right"/>
              <w:rPr>
                <w:b/>
                <w:bCs/>
                <w:sz w:val="22"/>
                <w:lang w:val="es-GT"/>
              </w:rPr>
            </w:pPr>
            <w:r w:rsidRPr="00E33F4D">
              <w:rPr>
                <w:b/>
                <w:bCs/>
                <w:sz w:val="22"/>
                <w:lang w:val="es-GT"/>
              </w:rPr>
              <w:t>1,124.0</w:t>
            </w:r>
          </w:p>
        </w:tc>
        <w:tc>
          <w:tcPr>
            <w:tcW w:w="1276" w:type="dxa"/>
            <w:tcBorders>
              <w:top w:val="nil"/>
              <w:left w:val="nil"/>
              <w:bottom w:val="nil"/>
              <w:right w:val="single" w:sz="4" w:space="0" w:color="auto"/>
            </w:tcBorders>
            <w:shd w:val="clear" w:color="auto" w:fill="auto"/>
            <w:vAlign w:val="center"/>
            <w:hideMark/>
          </w:tcPr>
          <w:p w:rsidR="00E33F4D" w:rsidRPr="00E33F4D" w:rsidRDefault="00E33F4D" w:rsidP="00E33F4D">
            <w:pPr>
              <w:jc w:val="right"/>
              <w:rPr>
                <w:b/>
                <w:bCs/>
                <w:sz w:val="22"/>
                <w:lang w:val="es-GT"/>
              </w:rPr>
            </w:pPr>
            <w:r w:rsidRPr="00E33F4D">
              <w:rPr>
                <w:b/>
                <w:bCs/>
                <w:sz w:val="22"/>
                <w:lang w:val="es-GT"/>
              </w:rPr>
              <w:t>1,058.5</w:t>
            </w:r>
          </w:p>
        </w:tc>
        <w:tc>
          <w:tcPr>
            <w:tcW w:w="1276" w:type="dxa"/>
            <w:tcBorders>
              <w:top w:val="nil"/>
              <w:left w:val="nil"/>
              <w:bottom w:val="nil"/>
              <w:right w:val="single" w:sz="4" w:space="0" w:color="auto"/>
            </w:tcBorders>
            <w:shd w:val="clear" w:color="auto" w:fill="auto"/>
            <w:noWrap/>
            <w:vAlign w:val="center"/>
            <w:hideMark/>
          </w:tcPr>
          <w:p w:rsidR="00E33F4D" w:rsidRPr="00E33F4D" w:rsidRDefault="00E33F4D" w:rsidP="00E33F4D">
            <w:pPr>
              <w:jc w:val="right"/>
              <w:rPr>
                <w:b/>
                <w:bCs/>
                <w:sz w:val="22"/>
                <w:lang w:val="es-GT"/>
              </w:rPr>
            </w:pPr>
            <w:r w:rsidRPr="00E33F4D">
              <w:rPr>
                <w:b/>
                <w:bCs/>
                <w:sz w:val="22"/>
                <w:lang w:val="es-GT"/>
              </w:rPr>
              <w:t>65.4</w:t>
            </w:r>
          </w:p>
        </w:tc>
        <w:tc>
          <w:tcPr>
            <w:tcW w:w="1276" w:type="dxa"/>
            <w:tcBorders>
              <w:top w:val="nil"/>
              <w:left w:val="nil"/>
              <w:bottom w:val="nil"/>
              <w:right w:val="single" w:sz="8" w:space="0" w:color="auto"/>
            </w:tcBorders>
            <w:shd w:val="clear" w:color="auto" w:fill="auto"/>
            <w:noWrap/>
            <w:vAlign w:val="center"/>
            <w:hideMark/>
          </w:tcPr>
          <w:p w:rsidR="00E33F4D" w:rsidRPr="00E33F4D" w:rsidRDefault="00E33F4D" w:rsidP="00E33F4D">
            <w:pPr>
              <w:jc w:val="right"/>
              <w:rPr>
                <w:b/>
                <w:bCs/>
                <w:sz w:val="22"/>
                <w:lang w:val="es-GT"/>
              </w:rPr>
            </w:pPr>
            <w:r w:rsidRPr="00E33F4D">
              <w:rPr>
                <w:b/>
                <w:bCs/>
                <w:sz w:val="22"/>
                <w:lang w:val="es-GT"/>
              </w:rPr>
              <w:t>94.2%</w:t>
            </w:r>
          </w:p>
        </w:tc>
      </w:tr>
      <w:tr w:rsidR="00E33F4D" w:rsidRPr="00DD5DD7" w:rsidTr="00E33F4D">
        <w:trPr>
          <w:trHeight w:val="310"/>
        </w:trPr>
        <w:tc>
          <w:tcPr>
            <w:tcW w:w="4465" w:type="dxa"/>
            <w:tcBorders>
              <w:top w:val="nil"/>
              <w:left w:val="single" w:sz="8" w:space="0" w:color="auto"/>
              <w:bottom w:val="nil"/>
              <w:right w:val="nil"/>
            </w:tcBorders>
            <w:shd w:val="clear" w:color="000000" w:fill="auto"/>
            <w:noWrap/>
            <w:vAlign w:val="bottom"/>
            <w:hideMark/>
          </w:tcPr>
          <w:p w:rsidR="00E33F4D" w:rsidRPr="00E33F4D" w:rsidRDefault="00E33F4D" w:rsidP="0005000D">
            <w:pPr>
              <w:jc w:val="both"/>
              <w:rPr>
                <w:sz w:val="22"/>
                <w:lang w:val="es-GT"/>
              </w:rPr>
            </w:pPr>
            <w:r w:rsidRPr="00E33F4D">
              <w:rPr>
                <w:sz w:val="22"/>
                <w:lang w:val="es-GT"/>
              </w:rPr>
              <w:t>Ministerio de Gobernación</w:t>
            </w:r>
          </w:p>
        </w:tc>
        <w:tc>
          <w:tcPr>
            <w:tcW w:w="1275" w:type="dxa"/>
            <w:tcBorders>
              <w:top w:val="nil"/>
              <w:left w:val="single" w:sz="4" w:space="0" w:color="auto"/>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9.5</w:t>
            </w:r>
          </w:p>
        </w:tc>
        <w:tc>
          <w:tcPr>
            <w:tcW w:w="1276" w:type="dxa"/>
            <w:tcBorders>
              <w:top w:val="nil"/>
              <w:left w:val="nil"/>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5.0</w:t>
            </w:r>
          </w:p>
        </w:tc>
        <w:tc>
          <w:tcPr>
            <w:tcW w:w="1276" w:type="dxa"/>
            <w:tcBorders>
              <w:top w:val="nil"/>
              <w:left w:val="nil"/>
              <w:bottom w:val="nil"/>
              <w:right w:val="single" w:sz="4"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4.5</w:t>
            </w:r>
          </w:p>
        </w:tc>
        <w:tc>
          <w:tcPr>
            <w:tcW w:w="1276" w:type="dxa"/>
            <w:tcBorders>
              <w:top w:val="nil"/>
              <w:left w:val="nil"/>
              <w:bottom w:val="nil"/>
              <w:right w:val="single" w:sz="8"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52.6%</w:t>
            </w:r>
          </w:p>
        </w:tc>
      </w:tr>
      <w:tr w:rsidR="00E33F4D" w:rsidRPr="00DD5DD7" w:rsidTr="00E33F4D">
        <w:trPr>
          <w:trHeight w:val="310"/>
        </w:trPr>
        <w:tc>
          <w:tcPr>
            <w:tcW w:w="4465" w:type="dxa"/>
            <w:tcBorders>
              <w:top w:val="nil"/>
              <w:left w:val="single" w:sz="8" w:space="0" w:color="auto"/>
              <w:bottom w:val="nil"/>
              <w:right w:val="nil"/>
            </w:tcBorders>
            <w:shd w:val="clear" w:color="000000" w:fill="auto"/>
            <w:noWrap/>
            <w:vAlign w:val="bottom"/>
            <w:hideMark/>
          </w:tcPr>
          <w:p w:rsidR="00E33F4D" w:rsidRPr="00E33F4D" w:rsidRDefault="00E33F4D" w:rsidP="0005000D">
            <w:pPr>
              <w:jc w:val="both"/>
              <w:rPr>
                <w:sz w:val="22"/>
                <w:lang w:val="es-GT"/>
              </w:rPr>
            </w:pPr>
            <w:r w:rsidRPr="00E33F4D">
              <w:rPr>
                <w:sz w:val="22"/>
                <w:lang w:val="es-GT"/>
              </w:rPr>
              <w:t>Ministerio de Educación</w:t>
            </w:r>
          </w:p>
        </w:tc>
        <w:tc>
          <w:tcPr>
            <w:tcW w:w="1275" w:type="dxa"/>
            <w:tcBorders>
              <w:top w:val="nil"/>
              <w:left w:val="single" w:sz="4" w:space="0" w:color="auto"/>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136.8</w:t>
            </w:r>
          </w:p>
        </w:tc>
        <w:tc>
          <w:tcPr>
            <w:tcW w:w="1276" w:type="dxa"/>
            <w:tcBorders>
              <w:top w:val="nil"/>
              <w:left w:val="nil"/>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129.9</w:t>
            </w:r>
          </w:p>
        </w:tc>
        <w:tc>
          <w:tcPr>
            <w:tcW w:w="1276" w:type="dxa"/>
            <w:tcBorders>
              <w:top w:val="nil"/>
              <w:left w:val="nil"/>
              <w:bottom w:val="nil"/>
              <w:right w:val="single" w:sz="4"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6.9</w:t>
            </w:r>
          </w:p>
        </w:tc>
        <w:tc>
          <w:tcPr>
            <w:tcW w:w="1276" w:type="dxa"/>
            <w:tcBorders>
              <w:top w:val="nil"/>
              <w:left w:val="nil"/>
              <w:bottom w:val="nil"/>
              <w:right w:val="single" w:sz="8"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95.0%</w:t>
            </w:r>
          </w:p>
        </w:tc>
      </w:tr>
      <w:tr w:rsidR="00E33F4D" w:rsidRPr="00DD5DD7" w:rsidTr="00E33F4D">
        <w:trPr>
          <w:trHeight w:val="310"/>
        </w:trPr>
        <w:tc>
          <w:tcPr>
            <w:tcW w:w="4465" w:type="dxa"/>
            <w:tcBorders>
              <w:top w:val="nil"/>
              <w:left w:val="single" w:sz="8" w:space="0" w:color="auto"/>
              <w:bottom w:val="nil"/>
              <w:right w:val="nil"/>
            </w:tcBorders>
            <w:shd w:val="clear" w:color="000000" w:fill="auto"/>
            <w:noWrap/>
            <w:vAlign w:val="bottom"/>
            <w:hideMark/>
          </w:tcPr>
          <w:p w:rsidR="00E33F4D" w:rsidRPr="00E33F4D" w:rsidRDefault="00E33F4D" w:rsidP="0005000D">
            <w:pPr>
              <w:jc w:val="both"/>
              <w:rPr>
                <w:sz w:val="22"/>
                <w:lang w:val="es-GT"/>
              </w:rPr>
            </w:pPr>
            <w:r w:rsidRPr="00E33F4D">
              <w:rPr>
                <w:sz w:val="22"/>
                <w:lang w:val="es-GT"/>
              </w:rPr>
              <w:t>Ministerio de Salud Pública y Asistencia Social</w:t>
            </w:r>
          </w:p>
        </w:tc>
        <w:tc>
          <w:tcPr>
            <w:tcW w:w="1275" w:type="dxa"/>
            <w:tcBorders>
              <w:top w:val="nil"/>
              <w:left w:val="single" w:sz="4" w:space="0" w:color="auto"/>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548.0</w:t>
            </w:r>
          </w:p>
        </w:tc>
        <w:tc>
          <w:tcPr>
            <w:tcW w:w="1276" w:type="dxa"/>
            <w:tcBorders>
              <w:top w:val="nil"/>
              <w:left w:val="nil"/>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547.9</w:t>
            </w:r>
          </w:p>
        </w:tc>
        <w:tc>
          <w:tcPr>
            <w:tcW w:w="1276" w:type="dxa"/>
            <w:tcBorders>
              <w:top w:val="nil"/>
              <w:left w:val="nil"/>
              <w:bottom w:val="nil"/>
              <w:right w:val="single" w:sz="4"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0.0</w:t>
            </w:r>
          </w:p>
        </w:tc>
        <w:tc>
          <w:tcPr>
            <w:tcW w:w="1276" w:type="dxa"/>
            <w:tcBorders>
              <w:top w:val="nil"/>
              <w:left w:val="nil"/>
              <w:bottom w:val="nil"/>
              <w:right w:val="single" w:sz="8"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100.0%</w:t>
            </w:r>
          </w:p>
        </w:tc>
      </w:tr>
      <w:tr w:rsidR="00E33F4D" w:rsidRPr="00DD5DD7" w:rsidTr="00E33F4D">
        <w:trPr>
          <w:trHeight w:val="310"/>
        </w:trPr>
        <w:tc>
          <w:tcPr>
            <w:tcW w:w="4465" w:type="dxa"/>
            <w:tcBorders>
              <w:top w:val="nil"/>
              <w:left w:val="single" w:sz="8" w:space="0" w:color="auto"/>
              <w:bottom w:val="nil"/>
              <w:right w:val="nil"/>
            </w:tcBorders>
            <w:shd w:val="clear" w:color="000000" w:fill="auto"/>
            <w:noWrap/>
            <w:vAlign w:val="bottom"/>
            <w:hideMark/>
          </w:tcPr>
          <w:p w:rsidR="00E33F4D" w:rsidRPr="00E33F4D" w:rsidRDefault="00E33F4D" w:rsidP="0005000D">
            <w:pPr>
              <w:jc w:val="both"/>
              <w:rPr>
                <w:sz w:val="22"/>
                <w:lang w:val="es-GT"/>
              </w:rPr>
            </w:pPr>
            <w:r w:rsidRPr="00E33F4D">
              <w:rPr>
                <w:sz w:val="22"/>
                <w:lang w:val="es-GT"/>
              </w:rPr>
              <w:t>Ministerio de Economía</w:t>
            </w:r>
          </w:p>
        </w:tc>
        <w:tc>
          <w:tcPr>
            <w:tcW w:w="1275" w:type="dxa"/>
            <w:tcBorders>
              <w:top w:val="nil"/>
              <w:left w:val="single" w:sz="4" w:space="0" w:color="auto"/>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2.0</w:t>
            </w:r>
          </w:p>
        </w:tc>
        <w:tc>
          <w:tcPr>
            <w:tcW w:w="1276" w:type="dxa"/>
            <w:tcBorders>
              <w:top w:val="nil"/>
              <w:left w:val="nil"/>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0.3</w:t>
            </w:r>
          </w:p>
        </w:tc>
        <w:tc>
          <w:tcPr>
            <w:tcW w:w="1276" w:type="dxa"/>
            <w:tcBorders>
              <w:top w:val="nil"/>
              <w:left w:val="nil"/>
              <w:bottom w:val="nil"/>
              <w:right w:val="single" w:sz="4"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1.8</w:t>
            </w:r>
          </w:p>
        </w:tc>
        <w:tc>
          <w:tcPr>
            <w:tcW w:w="1276" w:type="dxa"/>
            <w:tcBorders>
              <w:top w:val="nil"/>
              <w:left w:val="nil"/>
              <w:bottom w:val="nil"/>
              <w:right w:val="single" w:sz="8"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13.3%</w:t>
            </w:r>
          </w:p>
        </w:tc>
      </w:tr>
      <w:tr w:rsidR="00E33F4D" w:rsidRPr="00DD5DD7" w:rsidTr="00E33F4D">
        <w:trPr>
          <w:trHeight w:val="310"/>
        </w:trPr>
        <w:tc>
          <w:tcPr>
            <w:tcW w:w="4465" w:type="dxa"/>
            <w:tcBorders>
              <w:top w:val="nil"/>
              <w:left w:val="single" w:sz="8" w:space="0" w:color="auto"/>
              <w:bottom w:val="nil"/>
              <w:right w:val="nil"/>
            </w:tcBorders>
            <w:shd w:val="clear" w:color="000000" w:fill="auto"/>
            <w:noWrap/>
            <w:vAlign w:val="bottom"/>
            <w:hideMark/>
          </w:tcPr>
          <w:p w:rsidR="00E33F4D" w:rsidRPr="00E33F4D" w:rsidRDefault="00E33F4D" w:rsidP="0005000D">
            <w:pPr>
              <w:jc w:val="both"/>
              <w:rPr>
                <w:sz w:val="22"/>
                <w:lang w:val="es-GT"/>
              </w:rPr>
            </w:pPr>
            <w:r w:rsidRPr="00E33F4D">
              <w:rPr>
                <w:sz w:val="22"/>
                <w:lang w:val="es-GT"/>
              </w:rPr>
              <w:t>Ministerio de Agricultura</w:t>
            </w:r>
            <w:r w:rsidR="0057634E">
              <w:rPr>
                <w:sz w:val="22"/>
                <w:lang w:val="es-GT"/>
              </w:rPr>
              <w:t>, Ganadería y Alimentación</w:t>
            </w:r>
          </w:p>
        </w:tc>
        <w:tc>
          <w:tcPr>
            <w:tcW w:w="1275" w:type="dxa"/>
            <w:tcBorders>
              <w:top w:val="nil"/>
              <w:left w:val="single" w:sz="4" w:space="0" w:color="auto"/>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37.4</w:t>
            </w:r>
          </w:p>
        </w:tc>
        <w:tc>
          <w:tcPr>
            <w:tcW w:w="1276" w:type="dxa"/>
            <w:tcBorders>
              <w:top w:val="nil"/>
              <w:left w:val="nil"/>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30.7</w:t>
            </w:r>
          </w:p>
        </w:tc>
        <w:tc>
          <w:tcPr>
            <w:tcW w:w="1276" w:type="dxa"/>
            <w:tcBorders>
              <w:top w:val="nil"/>
              <w:left w:val="nil"/>
              <w:bottom w:val="nil"/>
              <w:right w:val="single" w:sz="4"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6.7</w:t>
            </w:r>
          </w:p>
        </w:tc>
        <w:tc>
          <w:tcPr>
            <w:tcW w:w="1276" w:type="dxa"/>
            <w:tcBorders>
              <w:top w:val="nil"/>
              <w:left w:val="nil"/>
              <w:bottom w:val="nil"/>
              <w:right w:val="single" w:sz="8"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82.2%</w:t>
            </w:r>
          </w:p>
        </w:tc>
      </w:tr>
      <w:tr w:rsidR="00E33F4D" w:rsidRPr="00DD5DD7" w:rsidTr="00E33F4D">
        <w:trPr>
          <w:trHeight w:val="310"/>
        </w:trPr>
        <w:tc>
          <w:tcPr>
            <w:tcW w:w="4465" w:type="dxa"/>
            <w:tcBorders>
              <w:top w:val="nil"/>
              <w:left w:val="single" w:sz="8" w:space="0" w:color="auto"/>
              <w:bottom w:val="nil"/>
              <w:right w:val="nil"/>
            </w:tcBorders>
            <w:shd w:val="clear" w:color="000000" w:fill="auto"/>
            <w:noWrap/>
            <w:vAlign w:val="bottom"/>
            <w:hideMark/>
          </w:tcPr>
          <w:p w:rsidR="00E33F4D" w:rsidRPr="00E33F4D" w:rsidRDefault="00E33F4D" w:rsidP="0005000D">
            <w:pPr>
              <w:jc w:val="both"/>
              <w:rPr>
                <w:sz w:val="22"/>
                <w:lang w:val="es-GT"/>
              </w:rPr>
            </w:pPr>
            <w:r w:rsidRPr="00E33F4D">
              <w:rPr>
                <w:sz w:val="22"/>
                <w:lang w:val="es-GT"/>
              </w:rPr>
              <w:t>Ministerio de Cultura y Deportes</w:t>
            </w:r>
          </w:p>
        </w:tc>
        <w:tc>
          <w:tcPr>
            <w:tcW w:w="1275" w:type="dxa"/>
            <w:tcBorders>
              <w:top w:val="nil"/>
              <w:left w:val="single" w:sz="4" w:space="0" w:color="auto"/>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11.0</w:t>
            </w:r>
          </w:p>
        </w:tc>
        <w:tc>
          <w:tcPr>
            <w:tcW w:w="1276" w:type="dxa"/>
            <w:tcBorders>
              <w:top w:val="nil"/>
              <w:left w:val="nil"/>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9.9</w:t>
            </w:r>
          </w:p>
        </w:tc>
        <w:tc>
          <w:tcPr>
            <w:tcW w:w="1276" w:type="dxa"/>
            <w:tcBorders>
              <w:top w:val="nil"/>
              <w:left w:val="nil"/>
              <w:bottom w:val="nil"/>
              <w:right w:val="single" w:sz="4"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1.1</w:t>
            </w:r>
          </w:p>
        </w:tc>
        <w:tc>
          <w:tcPr>
            <w:tcW w:w="1276" w:type="dxa"/>
            <w:tcBorders>
              <w:top w:val="nil"/>
              <w:left w:val="nil"/>
              <w:bottom w:val="nil"/>
              <w:right w:val="single" w:sz="8"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90.0%</w:t>
            </w:r>
          </w:p>
        </w:tc>
      </w:tr>
      <w:tr w:rsidR="00E33F4D" w:rsidRPr="00DD5DD7" w:rsidTr="00E33F4D">
        <w:trPr>
          <w:trHeight w:val="310"/>
        </w:trPr>
        <w:tc>
          <w:tcPr>
            <w:tcW w:w="4465" w:type="dxa"/>
            <w:tcBorders>
              <w:top w:val="nil"/>
              <w:left w:val="single" w:sz="8" w:space="0" w:color="auto"/>
              <w:bottom w:val="nil"/>
              <w:right w:val="nil"/>
            </w:tcBorders>
            <w:shd w:val="clear" w:color="000000" w:fill="auto"/>
            <w:noWrap/>
            <w:vAlign w:val="bottom"/>
            <w:hideMark/>
          </w:tcPr>
          <w:p w:rsidR="00E33F4D" w:rsidRPr="00E33F4D" w:rsidRDefault="00E33F4D" w:rsidP="0005000D">
            <w:pPr>
              <w:jc w:val="both"/>
              <w:rPr>
                <w:sz w:val="22"/>
                <w:lang w:val="es-GT"/>
              </w:rPr>
            </w:pPr>
            <w:r w:rsidRPr="00E33F4D">
              <w:rPr>
                <w:sz w:val="22"/>
                <w:lang w:val="es-GT"/>
              </w:rPr>
              <w:t>Secretaria y Otras Dependencias del Ejecutivo</w:t>
            </w:r>
          </w:p>
        </w:tc>
        <w:tc>
          <w:tcPr>
            <w:tcW w:w="1275" w:type="dxa"/>
            <w:tcBorders>
              <w:top w:val="nil"/>
              <w:left w:val="single" w:sz="4" w:space="0" w:color="auto"/>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0.2</w:t>
            </w:r>
          </w:p>
        </w:tc>
        <w:tc>
          <w:tcPr>
            <w:tcW w:w="1276" w:type="dxa"/>
            <w:tcBorders>
              <w:top w:val="nil"/>
              <w:left w:val="nil"/>
              <w:bottom w:val="nil"/>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0.1</w:t>
            </w:r>
          </w:p>
        </w:tc>
        <w:tc>
          <w:tcPr>
            <w:tcW w:w="1276" w:type="dxa"/>
            <w:tcBorders>
              <w:top w:val="nil"/>
              <w:left w:val="nil"/>
              <w:bottom w:val="nil"/>
              <w:right w:val="single" w:sz="4"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0.2</w:t>
            </w:r>
          </w:p>
        </w:tc>
        <w:tc>
          <w:tcPr>
            <w:tcW w:w="1276" w:type="dxa"/>
            <w:tcBorders>
              <w:top w:val="nil"/>
              <w:left w:val="nil"/>
              <w:bottom w:val="nil"/>
              <w:right w:val="single" w:sz="8"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30.0%</w:t>
            </w:r>
          </w:p>
        </w:tc>
      </w:tr>
      <w:tr w:rsidR="00E33F4D" w:rsidRPr="00DD5DD7" w:rsidTr="00E33F4D">
        <w:trPr>
          <w:trHeight w:val="320"/>
        </w:trPr>
        <w:tc>
          <w:tcPr>
            <w:tcW w:w="4465" w:type="dxa"/>
            <w:tcBorders>
              <w:top w:val="nil"/>
              <w:left w:val="single" w:sz="8" w:space="0" w:color="auto"/>
              <w:bottom w:val="single" w:sz="8" w:space="0" w:color="auto"/>
              <w:right w:val="nil"/>
            </w:tcBorders>
            <w:shd w:val="clear" w:color="000000" w:fill="auto"/>
            <w:noWrap/>
            <w:vAlign w:val="bottom"/>
            <w:hideMark/>
          </w:tcPr>
          <w:p w:rsidR="00E33F4D" w:rsidRPr="00E33F4D" w:rsidRDefault="00E33F4D" w:rsidP="0005000D">
            <w:pPr>
              <w:jc w:val="both"/>
              <w:rPr>
                <w:sz w:val="22"/>
                <w:lang w:val="es-GT"/>
              </w:rPr>
            </w:pPr>
            <w:r w:rsidRPr="00E33F4D">
              <w:rPr>
                <w:sz w:val="22"/>
                <w:lang w:val="es-GT"/>
              </w:rPr>
              <w:t>Obligaciones del Estado a Cargo del Tesoro</w:t>
            </w:r>
          </w:p>
        </w:tc>
        <w:tc>
          <w:tcPr>
            <w:tcW w:w="1275" w:type="dxa"/>
            <w:tcBorders>
              <w:top w:val="nil"/>
              <w:left w:val="single" w:sz="4" w:space="0" w:color="auto"/>
              <w:bottom w:val="single" w:sz="8" w:space="0" w:color="auto"/>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379.0</w:t>
            </w:r>
          </w:p>
        </w:tc>
        <w:tc>
          <w:tcPr>
            <w:tcW w:w="1276" w:type="dxa"/>
            <w:tcBorders>
              <w:top w:val="nil"/>
              <w:left w:val="nil"/>
              <w:bottom w:val="single" w:sz="8" w:space="0" w:color="auto"/>
              <w:right w:val="single" w:sz="4" w:space="0" w:color="auto"/>
            </w:tcBorders>
            <w:shd w:val="clear" w:color="000000" w:fill="auto"/>
            <w:noWrap/>
            <w:vAlign w:val="center"/>
            <w:hideMark/>
          </w:tcPr>
          <w:p w:rsidR="00E33F4D" w:rsidRPr="00E33F4D" w:rsidRDefault="00E33F4D" w:rsidP="00E33F4D">
            <w:pPr>
              <w:jc w:val="right"/>
              <w:rPr>
                <w:sz w:val="22"/>
                <w:lang w:val="es-GT"/>
              </w:rPr>
            </w:pPr>
            <w:r w:rsidRPr="00E33F4D">
              <w:rPr>
                <w:sz w:val="22"/>
                <w:lang w:val="es-GT"/>
              </w:rPr>
              <w:t>334.7</w:t>
            </w:r>
          </w:p>
        </w:tc>
        <w:tc>
          <w:tcPr>
            <w:tcW w:w="1276" w:type="dxa"/>
            <w:tcBorders>
              <w:top w:val="nil"/>
              <w:left w:val="nil"/>
              <w:bottom w:val="single" w:sz="8" w:space="0" w:color="auto"/>
              <w:right w:val="single" w:sz="4"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44.3</w:t>
            </w:r>
          </w:p>
        </w:tc>
        <w:tc>
          <w:tcPr>
            <w:tcW w:w="1276" w:type="dxa"/>
            <w:tcBorders>
              <w:top w:val="nil"/>
              <w:left w:val="nil"/>
              <w:bottom w:val="single" w:sz="8" w:space="0" w:color="auto"/>
              <w:right w:val="single" w:sz="8" w:space="0" w:color="auto"/>
            </w:tcBorders>
            <w:shd w:val="clear" w:color="auto" w:fill="auto"/>
            <w:noWrap/>
            <w:vAlign w:val="bottom"/>
            <w:hideMark/>
          </w:tcPr>
          <w:p w:rsidR="00E33F4D" w:rsidRPr="00E33F4D" w:rsidRDefault="00E33F4D" w:rsidP="00E33F4D">
            <w:pPr>
              <w:jc w:val="right"/>
              <w:rPr>
                <w:sz w:val="22"/>
                <w:lang w:val="es-GT"/>
              </w:rPr>
            </w:pPr>
            <w:r w:rsidRPr="00E33F4D">
              <w:rPr>
                <w:sz w:val="22"/>
                <w:lang w:val="es-GT"/>
              </w:rPr>
              <w:t>88.3%</w:t>
            </w:r>
          </w:p>
        </w:tc>
      </w:tr>
    </w:tbl>
    <w:p w:rsidR="00011502" w:rsidRDefault="00011502" w:rsidP="00011502">
      <w:pPr>
        <w:jc w:val="both"/>
        <w:rPr>
          <w:sz w:val="18"/>
        </w:rPr>
      </w:pPr>
      <w:r>
        <w:rPr>
          <w:sz w:val="18"/>
        </w:rPr>
        <w:t>* Cifras preliminares</w:t>
      </w:r>
    </w:p>
    <w:p w:rsidR="00011502" w:rsidRPr="00CE76C6" w:rsidRDefault="00527489" w:rsidP="00011502">
      <w:pPr>
        <w:jc w:val="both"/>
        <w:rPr>
          <w:sz w:val="18"/>
        </w:rPr>
      </w:pPr>
      <w:r>
        <w:rPr>
          <w:sz w:val="18"/>
        </w:rPr>
        <w:t xml:space="preserve">   </w:t>
      </w:r>
      <w:r w:rsidR="00011502" w:rsidRPr="00CE76C6">
        <w:rPr>
          <w:sz w:val="18"/>
        </w:rPr>
        <w:t>Fuente: Ministerio de Finanzas Públicas</w:t>
      </w:r>
      <w:r w:rsidR="00011502">
        <w:rPr>
          <w:sz w:val="18"/>
        </w:rPr>
        <w:t>.</w:t>
      </w:r>
    </w:p>
    <w:p w:rsidR="00011502" w:rsidRDefault="00011502" w:rsidP="00011502">
      <w:pPr>
        <w:jc w:val="center"/>
        <w:rPr>
          <w:b/>
        </w:rPr>
      </w:pPr>
    </w:p>
    <w:p w:rsidR="00EE4BF5" w:rsidRDefault="00EE4BF5" w:rsidP="00011502">
      <w:pPr>
        <w:jc w:val="center"/>
        <w:rPr>
          <w:b/>
        </w:rPr>
      </w:pPr>
    </w:p>
    <w:p w:rsidR="002E3A88" w:rsidRDefault="002E3A88" w:rsidP="00011502">
      <w:pPr>
        <w:jc w:val="center"/>
        <w:rPr>
          <w:b/>
        </w:rPr>
      </w:pPr>
    </w:p>
    <w:p w:rsidR="00EE4BF5" w:rsidRPr="0050490D" w:rsidRDefault="0050490D" w:rsidP="0050490D">
      <w:pPr>
        <w:pStyle w:val="Ttulo3"/>
        <w:numPr>
          <w:ilvl w:val="0"/>
          <w:numId w:val="0"/>
        </w:numPr>
        <w:ind w:left="851" w:hanging="437"/>
        <w:rPr>
          <w:color w:val="auto"/>
        </w:rPr>
      </w:pPr>
      <w:bookmarkStart w:id="30" w:name="_Toc65826760"/>
      <w:r>
        <w:rPr>
          <w:color w:val="auto"/>
        </w:rPr>
        <w:t>4</w:t>
      </w:r>
      <w:r>
        <w:rPr>
          <w:color w:val="auto"/>
        </w:rPr>
        <w:tab/>
      </w:r>
      <w:r w:rsidR="00EE4BF5" w:rsidRPr="0050490D">
        <w:rPr>
          <w:color w:val="auto"/>
        </w:rPr>
        <w:t>P</w:t>
      </w:r>
      <w:r w:rsidR="0005000D" w:rsidRPr="0050490D">
        <w:rPr>
          <w:color w:val="auto"/>
        </w:rPr>
        <w:t>rograma</w:t>
      </w:r>
      <w:r w:rsidR="00EE4BF5" w:rsidRPr="0050490D">
        <w:rPr>
          <w:color w:val="auto"/>
        </w:rPr>
        <w:t xml:space="preserve"> General de Atención a</w:t>
      </w:r>
      <w:r w:rsidR="0005000D" w:rsidRPr="0050490D">
        <w:rPr>
          <w:color w:val="auto"/>
        </w:rPr>
        <w:t>l</w:t>
      </w:r>
      <w:r w:rsidR="00EE4BF5" w:rsidRPr="0050490D">
        <w:rPr>
          <w:color w:val="auto"/>
        </w:rPr>
        <w:t xml:space="preserve"> C</w:t>
      </w:r>
      <w:r w:rsidR="0005000D" w:rsidRPr="0050490D">
        <w:rPr>
          <w:color w:val="auto"/>
        </w:rPr>
        <w:t>ovid</w:t>
      </w:r>
      <w:r w:rsidR="00EE4BF5" w:rsidRPr="0050490D">
        <w:rPr>
          <w:color w:val="auto"/>
        </w:rPr>
        <w:t>-19</w:t>
      </w:r>
      <w:bookmarkEnd w:id="30"/>
    </w:p>
    <w:p w:rsidR="00EE4BF5" w:rsidRDefault="00EE4BF5" w:rsidP="00EE4BF5">
      <w:pPr>
        <w:jc w:val="both"/>
        <w:rPr>
          <w:b/>
        </w:rPr>
      </w:pPr>
    </w:p>
    <w:p w:rsidR="002E3A88" w:rsidRPr="00DD5DD7" w:rsidRDefault="002E3A88" w:rsidP="00EE4BF5">
      <w:pPr>
        <w:jc w:val="both"/>
        <w:rPr>
          <w:b/>
        </w:rPr>
      </w:pPr>
    </w:p>
    <w:p w:rsidR="00EE4BF5" w:rsidRPr="008050B4" w:rsidRDefault="00EE4BF5" w:rsidP="00EE4BF5">
      <w:pPr>
        <w:pStyle w:val="Ttulo4"/>
        <w:numPr>
          <w:ilvl w:val="0"/>
          <w:numId w:val="0"/>
        </w:numPr>
        <w:ind w:left="426"/>
        <w:rPr>
          <w:rFonts w:ascii="Times New Roman" w:hAnsi="Times New Roman"/>
          <w:i w:val="0"/>
          <w:color w:val="auto"/>
        </w:rPr>
      </w:pPr>
      <w:r w:rsidRPr="008050B4">
        <w:rPr>
          <w:rFonts w:ascii="Times New Roman" w:hAnsi="Times New Roman"/>
          <w:i w:val="0"/>
          <w:color w:val="auto"/>
        </w:rPr>
        <w:t>4.1 Programas sociales y económicos</w:t>
      </w:r>
    </w:p>
    <w:p w:rsidR="00EE4BF5" w:rsidRPr="00DD5DD7" w:rsidRDefault="00EE4BF5" w:rsidP="00EE4BF5">
      <w:pPr>
        <w:jc w:val="both"/>
        <w:rPr>
          <w:b/>
        </w:rPr>
      </w:pPr>
    </w:p>
    <w:p w:rsidR="00EE4BF5" w:rsidRPr="00DD5DD7" w:rsidRDefault="00F55431" w:rsidP="00EE4BF5">
      <w:pPr>
        <w:jc w:val="both"/>
      </w:pPr>
      <w:r>
        <w:t xml:space="preserve">Aprobados mediante </w:t>
      </w:r>
      <w:r w:rsidR="00F67447">
        <w:t>tres</w:t>
      </w:r>
      <w:r>
        <w:t xml:space="preserve"> Decretos del Congreso de la República, estos programas fueron c</w:t>
      </w:r>
      <w:r w:rsidR="00EE4BF5" w:rsidRPr="00DD5DD7">
        <w:t xml:space="preserve">reados o fortalecidos para proteger a la población más vulnerable, fortalecer la respuesta del sistema de salud pública y minimizar el impacto negativo en la actividad económica </w:t>
      </w:r>
      <w:r w:rsidR="008F138B">
        <w:t xml:space="preserve">y social </w:t>
      </w:r>
      <w:r w:rsidR="00EE4BF5" w:rsidRPr="00DD5DD7">
        <w:t>derivado de la pandemia</w:t>
      </w:r>
      <w:r w:rsidR="0005000D">
        <w:t xml:space="preserve"> del Covid</w:t>
      </w:r>
      <w:r w:rsidR="00EE4BF5" w:rsidRPr="00DD5DD7">
        <w:t>-19.</w:t>
      </w:r>
    </w:p>
    <w:p w:rsidR="00EE4BF5" w:rsidRDefault="00EE4BF5" w:rsidP="00EE4BF5">
      <w:pPr>
        <w:jc w:val="both"/>
      </w:pPr>
    </w:p>
    <w:p w:rsidR="002E3A88" w:rsidRPr="00DD5DD7" w:rsidRDefault="002E3A88" w:rsidP="00EE4BF5">
      <w:pPr>
        <w:jc w:val="both"/>
      </w:pPr>
    </w:p>
    <w:p w:rsidR="00EE4BF5" w:rsidRPr="008050B4" w:rsidRDefault="00EE4BF5" w:rsidP="00EE4BF5">
      <w:pPr>
        <w:pStyle w:val="Ttulo4"/>
        <w:numPr>
          <w:ilvl w:val="0"/>
          <w:numId w:val="0"/>
        </w:numPr>
        <w:ind w:left="426"/>
        <w:rPr>
          <w:rFonts w:ascii="Times New Roman" w:hAnsi="Times New Roman"/>
          <w:i w:val="0"/>
          <w:color w:val="auto"/>
        </w:rPr>
      </w:pPr>
      <w:r w:rsidRPr="008050B4">
        <w:rPr>
          <w:rFonts w:ascii="Times New Roman" w:hAnsi="Times New Roman"/>
          <w:i w:val="0"/>
          <w:color w:val="auto"/>
        </w:rPr>
        <w:t xml:space="preserve">4.2 Ampliaciones presupuestarias para </w:t>
      </w:r>
      <w:r w:rsidR="0005000D" w:rsidRPr="008050B4">
        <w:rPr>
          <w:rFonts w:ascii="Times New Roman" w:hAnsi="Times New Roman"/>
          <w:i w:val="0"/>
          <w:color w:val="auto"/>
        </w:rPr>
        <w:t xml:space="preserve">la </w:t>
      </w:r>
      <w:r w:rsidRPr="008050B4">
        <w:rPr>
          <w:rFonts w:ascii="Times New Roman" w:hAnsi="Times New Roman"/>
          <w:i w:val="0"/>
          <w:color w:val="auto"/>
        </w:rPr>
        <w:t>atención de</w:t>
      </w:r>
      <w:r w:rsidR="0005000D" w:rsidRPr="008050B4">
        <w:rPr>
          <w:rFonts w:ascii="Times New Roman" w:hAnsi="Times New Roman"/>
          <w:i w:val="0"/>
          <w:color w:val="auto"/>
        </w:rPr>
        <w:t>l</w:t>
      </w:r>
      <w:r w:rsidRPr="008050B4">
        <w:rPr>
          <w:rFonts w:ascii="Times New Roman" w:hAnsi="Times New Roman"/>
          <w:i w:val="0"/>
          <w:color w:val="auto"/>
        </w:rPr>
        <w:t xml:space="preserve"> C</w:t>
      </w:r>
      <w:r w:rsidR="0005000D" w:rsidRPr="008050B4">
        <w:rPr>
          <w:rFonts w:ascii="Times New Roman" w:hAnsi="Times New Roman"/>
          <w:i w:val="0"/>
          <w:color w:val="auto"/>
        </w:rPr>
        <w:t>ovid</w:t>
      </w:r>
      <w:r w:rsidRPr="008050B4">
        <w:rPr>
          <w:rFonts w:ascii="Times New Roman" w:hAnsi="Times New Roman"/>
          <w:i w:val="0"/>
          <w:color w:val="auto"/>
        </w:rPr>
        <w:t>-19</w:t>
      </w:r>
    </w:p>
    <w:p w:rsidR="00EE4BF5" w:rsidRPr="00DD5DD7" w:rsidRDefault="00EE4BF5" w:rsidP="00EE4BF5">
      <w:pPr>
        <w:jc w:val="both"/>
        <w:rPr>
          <w:b/>
        </w:rPr>
      </w:pPr>
    </w:p>
    <w:p w:rsidR="00EE4BF5" w:rsidRPr="00DD5DD7" w:rsidRDefault="00EE4BF5" w:rsidP="00EE4BF5">
      <w:pPr>
        <w:jc w:val="both"/>
      </w:pPr>
      <w:r w:rsidRPr="00DD5DD7">
        <w:t xml:space="preserve">El </w:t>
      </w:r>
      <w:r w:rsidR="0005000D">
        <w:t>P</w:t>
      </w:r>
      <w:r w:rsidRPr="00DD5DD7">
        <w:t xml:space="preserve">resupuesto </w:t>
      </w:r>
      <w:r w:rsidR="0005000D">
        <w:t>G</w:t>
      </w:r>
      <w:r w:rsidRPr="00DD5DD7">
        <w:t xml:space="preserve">eneral de </w:t>
      </w:r>
      <w:r w:rsidR="0005000D">
        <w:t>I</w:t>
      </w:r>
      <w:r w:rsidRPr="00DD5DD7">
        <w:t xml:space="preserve">ngresos y </w:t>
      </w:r>
      <w:r w:rsidR="0005000D">
        <w:t>E</w:t>
      </w:r>
      <w:r w:rsidRPr="00DD5DD7">
        <w:t>gresos de</w:t>
      </w:r>
      <w:r w:rsidR="0005000D">
        <w:t>l Estado para el Ejercicio Fiscal 2020</w:t>
      </w:r>
      <w:r w:rsidRPr="00DD5DD7">
        <w:t xml:space="preserve"> se amplió mediante</w:t>
      </w:r>
      <w:r w:rsidR="002957D7">
        <w:t xml:space="preserve"> 3 Decretos del Congreso de la República de la siguiente forma:</w:t>
      </w:r>
      <w:r w:rsidRPr="00DD5DD7">
        <w:t xml:space="preserve"> Decreto</w:t>
      </w:r>
      <w:r w:rsidR="0005000D">
        <w:t xml:space="preserve"> No.</w:t>
      </w:r>
      <w:r w:rsidRPr="00DD5DD7">
        <w:t xml:space="preserve"> 12-2020 </w:t>
      </w:r>
      <w:r w:rsidR="0005000D">
        <w:t xml:space="preserve">por </w:t>
      </w:r>
      <w:r w:rsidRPr="00DD5DD7">
        <w:t>Q.3</w:t>
      </w:r>
      <w:r w:rsidR="0005000D">
        <w:t>,</w:t>
      </w:r>
      <w:r w:rsidRPr="00DD5DD7">
        <w:t>6</w:t>
      </w:r>
      <w:r w:rsidR="00021DF4">
        <w:t>67.5</w:t>
      </w:r>
      <w:r w:rsidRPr="00DD5DD7">
        <w:t xml:space="preserve"> millones; Decreto</w:t>
      </w:r>
      <w:r w:rsidR="0005000D">
        <w:t xml:space="preserve"> No.</w:t>
      </w:r>
      <w:r w:rsidRPr="00DD5DD7">
        <w:t xml:space="preserve"> 13-2020 </w:t>
      </w:r>
      <w:r w:rsidR="0005000D">
        <w:t xml:space="preserve">por </w:t>
      </w:r>
      <w:r w:rsidRPr="00DD5DD7">
        <w:t>Q.11,000.0 millones y Decreto</w:t>
      </w:r>
      <w:r w:rsidR="0005000D">
        <w:t xml:space="preserve"> No.</w:t>
      </w:r>
      <w:r w:rsidRPr="00DD5DD7">
        <w:t xml:space="preserve"> 20-2020 </w:t>
      </w:r>
      <w:r w:rsidR="0005000D">
        <w:t xml:space="preserve">por </w:t>
      </w:r>
      <w:r w:rsidRPr="00DD5DD7">
        <w:t>Q</w:t>
      </w:r>
      <w:r w:rsidR="0005000D">
        <w:t>.</w:t>
      </w:r>
      <w:r w:rsidR="00021DF4">
        <w:t>5,138.9</w:t>
      </w:r>
      <w:r w:rsidRPr="00DD5DD7">
        <w:t xml:space="preserve"> millones.</w:t>
      </w:r>
    </w:p>
    <w:p w:rsidR="00EE4BF5" w:rsidRDefault="00EE4BF5" w:rsidP="00EE4BF5">
      <w:pPr>
        <w:jc w:val="center"/>
        <w:rPr>
          <w:b/>
        </w:rPr>
      </w:pPr>
    </w:p>
    <w:p w:rsidR="002E3A88" w:rsidRDefault="002E3A88" w:rsidP="00EE4BF5">
      <w:pPr>
        <w:jc w:val="center"/>
        <w:rPr>
          <w:b/>
        </w:rPr>
      </w:pPr>
    </w:p>
    <w:p w:rsidR="00EE4BF5" w:rsidRPr="00DD5DD7" w:rsidRDefault="00EE4BF5" w:rsidP="00EE4BF5">
      <w:pPr>
        <w:jc w:val="center"/>
        <w:rPr>
          <w:b/>
        </w:rPr>
      </w:pPr>
      <w:r w:rsidRPr="00DD5DD7">
        <w:rPr>
          <w:b/>
        </w:rPr>
        <w:lastRenderedPageBreak/>
        <w:t>Cuadro 8</w:t>
      </w:r>
    </w:p>
    <w:p w:rsidR="00EE4BF5" w:rsidRPr="00DD5DD7" w:rsidRDefault="00EE4BF5" w:rsidP="00EE4BF5">
      <w:pPr>
        <w:jc w:val="center"/>
        <w:rPr>
          <w:b/>
        </w:rPr>
      </w:pPr>
      <w:r w:rsidRPr="00DD5DD7">
        <w:rPr>
          <w:b/>
        </w:rPr>
        <w:t xml:space="preserve">Ampliaciones </w:t>
      </w:r>
      <w:r w:rsidR="0005000D">
        <w:rPr>
          <w:b/>
        </w:rPr>
        <w:t>P</w:t>
      </w:r>
      <w:r w:rsidRPr="00DD5DD7">
        <w:rPr>
          <w:b/>
        </w:rPr>
        <w:t xml:space="preserve">resupuestarias </w:t>
      </w:r>
      <w:r w:rsidR="0005000D">
        <w:rPr>
          <w:b/>
        </w:rPr>
        <w:t xml:space="preserve">del 2020 </w:t>
      </w:r>
      <w:r w:rsidRPr="00DD5DD7">
        <w:rPr>
          <w:b/>
        </w:rPr>
        <w:t>para Atención de</w:t>
      </w:r>
      <w:r w:rsidR="0005000D">
        <w:rPr>
          <w:b/>
        </w:rPr>
        <w:t>l Covid-</w:t>
      </w:r>
      <w:r w:rsidRPr="00DD5DD7">
        <w:rPr>
          <w:b/>
        </w:rPr>
        <w:t>19</w:t>
      </w:r>
    </w:p>
    <w:p w:rsidR="00EE4BF5" w:rsidRPr="00DD5DD7" w:rsidRDefault="00EE4BF5" w:rsidP="00EE4BF5">
      <w:pPr>
        <w:jc w:val="center"/>
        <w:rPr>
          <w:b/>
        </w:rPr>
      </w:pPr>
      <w:r w:rsidRPr="00DD5DD7">
        <w:rPr>
          <w:b/>
        </w:rPr>
        <w:t xml:space="preserve">Por </w:t>
      </w:r>
      <w:r w:rsidR="0005000D">
        <w:rPr>
          <w:b/>
        </w:rPr>
        <w:t>E</w:t>
      </w:r>
      <w:r w:rsidRPr="00DD5DD7">
        <w:rPr>
          <w:b/>
        </w:rPr>
        <w:t>ntidad y por Decreto de</w:t>
      </w:r>
      <w:r w:rsidR="0005000D">
        <w:rPr>
          <w:b/>
        </w:rPr>
        <w:t>l Congreso de la República</w:t>
      </w:r>
    </w:p>
    <w:p w:rsidR="00EE4BF5" w:rsidRDefault="0005000D" w:rsidP="00EE4BF5">
      <w:pPr>
        <w:jc w:val="center"/>
        <w:rPr>
          <w:b/>
        </w:rPr>
      </w:pPr>
      <w:r>
        <w:rPr>
          <w:b/>
        </w:rPr>
        <w:t>(En M</w:t>
      </w:r>
      <w:r w:rsidR="00EE4BF5" w:rsidRPr="00DD5DD7">
        <w:rPr>
          <w:b/>
        </w:rPr>
        <w:t>illones de Quetzales</w:t>
      </w:r>
      <w:r>
        <w:rPr>
          <w:b/>
        </w:rPr>
        <w:t>)</w:t>
      </w:r>
    </w:p>
    <w:tbl>
      <w:tblPr>
        <w:tblW w:w="9229" w:type="dxa"/>
        <w:tblInd w:w="55" w:type="dxa"/>
        <w:tblCellMar>
          <w:left w:w="70" w:type="dxa"/>
          <w:right w:w="70" w:type="dxa"/>
        </w:tblCellMar>
        <w:tblLook w:val="04A0" w:firstRow="1" w:lastRow="0" w:firstColumn="1" w:lastColumn="0" w:noHBand="0" w:noVBand="1"/>
      </w:tblPr>
      <w:tblGrid>
        <w:gridCol w:w="4126"/>
        <w:gridCol w:w="1276"/>
        <w:gridCol w:w="1276"/>
        <w:gridCol w:w="1275"/>
        <w:gridCol w:w="1276"/>
      </w:tblGrid>
      <w:tr w:rsidR="00CC7348" w:rsidRPr="00840BA9" w:rsidTr="00826DE0">
        <w:trPr>
          <w:trHeight w:val="300"/>
        </w:trPr>
        <w:tc>
          <w:tcPr>
            <w:tcW w:w="4126" w:type="dxa"/>
            <w:vMerge w:val="restart"/>
            <w:tcBorders>
              <w:top w:val="single" w:sz="8" w:space="0" w:color="auto"/>
              <w:left w:val="single" w:sz="8" w:space="0" w:color="auto"/>
              <w:bottom w:val="single" w:sz="4" w:space="0" w:color="000000"/>
              <w:right w:val="single" w:sz="4" w:space="0" w:color="auto"/>
            </w:tcBorders>
            <w:shd w:val="clear" w:color="000000" w:fill="9BC2E6"/>
            <w:vAlign w:val="center"/>
            <w:hideMark/>
          </w:tcPr>
          <w:p w:rsidR="00840BA9" w:rsidRPr="00840BA9" w:rsidRDefault="00840BA9" w:rsidP="00840BA9">
            <w:pPr>
              <w:jc w:val="center"/>
              <w:rPr>
                <w:b/>
                <w:bCs/>
                <w:color w:val="000000"/>
                <w:sz w:val="20"/>
                <w:szCs w:val="20"/>
                <w:lang w:val="es-GT" w:eastAsia="es-GT"/>
              </w:rPr>
            </w:pPr>
            <w:r w:rsidRPr="00840BA9">
              <w:rPr>
                <w:b/>
                <w:bCs/>
                <w:color w:val="000000"/>
                <w:sz w:val="20"/>
                <w:szCs w:val="20"/>
                <w:lang w:val="es-GT" w:eastAsia="es-GT"/>
              </w:rPr>
              <w:t>Entidad</w:t>
            </w:r>
          </w:p>
        </w:tc>
        <w:tc>
          <w:tcPr>
            <w:tcW w:w="3827" w:type="dxa"/>
            <w:gridSpan w:val="3"/>
            <w:tcBorders>
              <w:top w:val="single" w:sz="8" w:space="0" w:color="auto"/>
              <w:left w:val="nil"/>
              <w:bottom w:val="single" w:sz="4" w:space="0" w:color="auto"/>
              <w:right w:val="single" w:sz="4" w:space="0" w:color="auto"/>
            </w:tcBorders>
            <w:shd w:val="clear" w:color="000000" w:fill="9BC2E6"/>
            <w:vAlign w:val="center"/>
            <w:hideMark/>
          </w:tcPr>
          <w:p w:rsidR="00840BA9" w:rsidRPr="00840BA9" w:rsidRDefault="00840BA9" w:rsidP="00840BA9">
            <w:pPr>
              <w:jc w:val="center"/>
              <w:rPr>
                <w:b/>
                <w:bCs/>
                <w:color w:val="000000"/>
                <w:sz w:val="20"/>
                <w:szCs w:val="20"/>
                <w:lang w:val="es-GT" w:eastAsia="es-GT"/>
              </w:rPr>
            </w:pPr>
            <w:r w:rsidRPr="00840BA9">
              <w:rPr>
                <w:b/>
                <w:bCs/>
                <w:color w:val="000000"/>
                <w:sz w:val="20"/>
                <w:szCs w:val="20"/>
                <w:lang w:val="es-GT" w:eastAsia="es-GT"/>
              </w:rPr>
              <w:t>Decreto</w:t>
            </w:r>
            <w:r w:rsidR="008050B4">
              <w:rPr>
                <w:b/>
                <w:bCs/>
                <w:color w:val="000000"/>
                <w:sz w:val="20"/>
                <w:szCs w:val="20"/>
                <w:lang w:val="es-GT" w:eastAsia="es-GT"/>
              </w:rPr>
              <w:t>s</w:t>
            </w:r>
            <w:r w:rsidRPr="00840BA9">
              <w:rPr>
                <w:b/>
                <w:bCs/>
                <w:color w:val="000000"/>
                <w:sz w:val="20"/>
                <w:szCs w:val="20"/>
                <w:lang w:val="es-GT" w:eastAsia="es-GT"/>
              </w:rPr>
              <w:t xml:space="preserve"> de Ampliación 2020</w:t>
            </w:r>
          </w:p>
        </w:tc>
        <w:tc>
          <w:tcPr>
            <w:tcW w:w="1276" w:type="dxa"/>
            <w:vMerge w:val="restart"/>
            <w:tcBorders>
              <w:top w:val="single" w:sz="8" w:space="0" w:color="auto"/>
              <w:left w:val="single" w:sz="4" w:space="0" w:color="auto"/>
              <w:bottom w:val="single" w:sz="4" w:space="0" w:color="000000"/>
              <w:right w:val="single" w:sz="8" w:space="0" w:color="auto"/>
            </w:tcBorders>
            <w:shd w:val="clear" w:color="000000" w:fill="9BC2E6"/>
            <w:vAlign w:val="center"/>
            <w:hideMark/>
          </w:tcPr>
          <w:p w:rsidR="00840BA9" w:rsidRPr="00840BA9" w:rsidRDefault="00840BA9" w:rsidP="00840BA9">
            <w:pPr>
              <w:jc w:val="center"/>
              <w:rPr>
                <w:b/>
                <w:bCs/>
                <w:color w:val="000000"/>
                <w:sz w:val="20"/>
                <w:szCs w:val="20"/>
                <w:lang w:val="es-GT" w:eastAsia="es-GT"/>
              </w:rPr>
            </w:pPr>
            <w:r w:rsidRPr="00840BA9">
              <w:rPr>
                <w:b/>
                <w:bCs/>
                <w:color w:val="000000"/>
                <w:sz w:val="20"/>
                <w:szCs w:val="20"/>
                <w:lang w:val="es-GT" w:eastAsia="es-GT"/>
              </w:rPr>
              <w:t>Total</w:t>
            </w:r>
          </w:p>
        </w:tc>
      </w:tr>
      <w:tr w:rsidR="00840BA9" w:rsidRPr="00840BA9" w:rsidTr="00826DE0">
        <w:trPr>
          <w:trHeight w:val="300"/>
        </w:trPr>
        <w:tc>
          <w:tcPr>
            <w:tcW w:w="4126" w:type="dxa"/>
            <w:vMerge/>
            <w:tcBorders>
              <w:top w:val="single" w:sz="8" w:space="0" w:color="auto"/>
              <w:left w:val="single" w:sz="8" w:space="0" w:color="auto"/>
              <w:bottom w:val="single" w:sz="4" w:space="0" w:color="000000"/>
              <w:right w:val="single" w:sz="4" w:space="0" w:color="auto"/>
            </w:tcBorders>
            <w:vAlign w:val="center"/>
            <w:hideMark/>
          </w:tcPr>
          <w:p w:rsidR="00840BA9" w:rsidRPr="00840BA9" w:rsidRDefault="00840BA9" w:rsidP="00840BA9">
            <w:pPr>
              <w:rPr>
                <w:b/>
                <w:bCs/>
                <w:color w:val="000000"/>
                <w:sz w:val="20"/>
                <w:szCs w:val="20"/>
                <w:lang w:val="es-GT" w:eastAsia="es-GT"/>
              </w:rPr>
            </w:pPr>
          </w:p>
        </w:tc>
        <w:tc>
          <w:tcPr>
            <w:tcW w:w="1276" w:type="dxa"/>
            <w:tcBorders>
              <w:top w:val="nil"/>
              <w:left w:val="nil"/>
              <w:bottom w:val="single" w:sz="4" w:space="0" w:color="auto"/>
              <w:right w:val="single" w:sz="4" w:space="0" w:color="auto"/>
            </w:tcBorders>
            <w:shd w:val="clear" w:color="000000" w:fill="9BC2E6"/>
            <w:vAlign w:val="center"/>
            <w:hideMark/>
          </w:tcPr>
          <w:p w:rsidR="00840BA9" w:rsidRPr="00840BA9" w:rsidRDefault="00840BA9" w:rsidP="00840BA9">
            <w:pPr>
              <w:jc w:val="center"/>
              <w:rPr>
                <w:b/>
                <w:bCs/>
                <w:color w:val="000000"/>
                <w:sz w:val="20"/>
                <w:szCs w:val="20"/>
                <w:lang w:val="es-GT" w:eastAsia="es-GT"/>
              </w:rPr>
            </w:pPr>
            <w:r w:rsidRPr="00840BA9">
              <w:rPr>
                <w:b/>
                <w:bCs/>
                <w:color w:val="000000"/>
                <w:sz w:val="20"/>
                <w:szCs w:val="20"/>
                <w:lang w:val="es-GT" w:eastAsia="es-GT"/>
              </w:rPr>
              <w:t>12-2020</w:t>
            </w:r>
          </w:p>
        </w:tc>
        <w:tc>
          <w:tcPr>
            <w:tcW w:w="1276" w:type="dxa"/>
            <w:tcBorders>
              <w:top w:val="nil"/>
              <w:left w:val="nil"/>
              <w:bottom w:val="single" w:sz="4" w:space="0" w:color="auto"/>
              <w:right w:val="single" w:sz="4" w:space="0" w:color="auto"/>
            </w:tcBorders>
            <w:shd w:val="clear" w:color="000000" w:fill="9BC2E6"/>
            <w:vAlign w:val="center"/>
            <w:hideMark/>
          </w:tcPr>
          <w:p w:rsidR="00840BA9" w:rsidRPr="00840BA9" w:rsidRDefault="00840BA9" w:rsidP="00840BA9">
            <w:pPr>
              <w:jc w:val="center"/>
              <w:rPr>
                <w:b/>
                <w:bCs/>
                <w:color w:val="000000"/>
                <w:sz w:val="20"/>
                <w:szCs w:val="20"/>
                <w:lang w:val="es-GT" w:eastAsia="es-GT"/>
              </w:rPr>
            </w:pPr>
            <w:r w:rsidRPr="00840BA9">
              <w:rPr>
                <w:b/>
                <w:bCs/>
                <w:color w:val="000000"/>
                <w:sz w:val="20"/>
                <w:szCs w:val="20"/>
                <w:lang w:val="es-GT" w:eastAsia="es-GT"/>
              </w:rPr>
              <w:t>13-2020</w:t>
            </w:r>
          </w:p>
        </w:tc>
        <w:tc>
          <w:tcPr>
            <w:tcW w:w="1275" w:type="dxa"/>
            <w:tcBorders>
              <w:top w:val="nil"/>
              <w:left w:val="nil"/>
              <w:bottom w:val="single" w:sz="4" w:space="0" w:color="auto"/>
              <w:right w:val="single" w:sz="4" w:space="0" w:color="auto"/>
            </w:tcBorders>
            <w:shd w:val="clear" w:color="000000" w:fill="9BC2E6"/>
            <w:vAlign w:val="center"/>
            <w:hideMark/>
          </w:tcPr>
          <w:p w:rsidR="00840BA9" w:rsidRPr="00840BA9" w:rsidRDefault="00840BA9" w:rsidP="00840BA9">
            <w:pPr>
              <w:jc w:val="center"/>
              <w:rPr>
                <w:b/>
                <w:bCs/>
                <w:color w:val="000000"/>
                <w:sz w:val="20"/>
                <w:szCs w:val="20"/>
                <w:lang w:val="es-GT" w:eastAsia="es-GT"/>
              </w:rPr>
            </w:pPr>
            <w:r w:rsidRPr="00840BA9">
              <w:rPr>
                <w:b/>
                <w:bCs/>
                <w:color w:val="000000"/>
                <w:sz w:val="20"/>
                <w:szCs w:val="20"/>
                <w:lang w:val="es-GT" w:eastAsia="es-GT"/>
              </w:rPr>
              <w:t>20-2020</w:t>
            </w:r>
          </w:p>
        </w:tc>
        <w:tc>
          <w:tcPr>
            <w:tcW w:w="1276" w:type="dxa"/>
            <w:vMerge/>
            <w:tcBorders>
              <w:top w:val="single" w:sz="8" w:space="0" w:color="auto"/>
              <w:left w:val="single" w:sz="4" w:space="0" w:color="auto"/>
              <w:bottom w:val="single" w:sz="4" w:space="0" w:color="000000"/>
              <w:right w:val="single" w:sz="8" w:space="0" w:color="auto"/>
            </w:tcBorders>
            <w:vAlign w:val="center"/>
            <w:hideMark/>
          </w:tcPr>
          <w:p w:rsidR="00840BA9" w:rsidRPr="00840BA9" w:rsidRDefault="00840BA9" w:rsidP="00840BA9">
            <w:pPr>
              <w:rPr>
                <w:b/>
                <w:bCs/>
                <w:color w:val="000000"/>
                <w:sz w:val="20"/>
                <w:szCs w:val="20"/>
                <w:lang w:val="es-GT" w:eastAsia="es-GT"/>
              </w:rPr>
            </w:pPr>
          </w:p>
        </w:tc>
      </w:tr>
      <w:tr w:rsidR="00826DE0" w:rsidRPr="00840BA9" w:rsidTr="00826DE0">
        <w:trPr>
          <w:trHeight w:val="300"/>
        </w:trPr>
        <w:tc>
          <w:tcPr>
            <w:tcW w:w="4126" w:type="dxa"/>
            <w:tcBorders>
              <w:top w:val="nil"/>
              <w:left w:val="single" w:sz="8" w:space="0" w:color="auto"/>
              <w:bottom w:val="nil"/>
              <w:right w:val="single" w:sz="4" w:space="0" w:color="auto"/>
            </w:tcBorders>
            <w:shd w:val="clear" w:color="auto" w:fill="auto"/>
            <w:noWrap/>
            <w:vAlign w:val="center"/>
            <w:hideMark/>
          </w:tcPr>
          <w:p w:rsidR="00840BA9" w:rsidRPr="00840BA9" w:rsidRDefault="00840BA9" w:rsidP="00840BA9">
            <w:pPr>
              <w:jc w:val="center"/>
              <w:rPr>
                <w:b/>
                <w:bCs/>
                <w:color w:val="000000"/>
                <w:sz w:val="20"/>
                <w:szCs w:val="20"/>
                <w:lang w:val="es-GT" w:eastAsia="es-GT"/>
              </w:rPr>
            </w:pPr>
            <w:r w:rsidRPr="00840BA9">
              <w:rPr>
                <w:b/>
                <w:bCs/>
                <w:color w:val="000000"/>
                <w:sz w:val="20"/>
                <w:szCs w:val="20"/>
                <w:lang w:val="es-GT" w:eastAsia="es-GT"/>
              </w:rPr>
              <w:t>Total</w:t>
            </w:r>
          </w:p>
        </w:tc>
        <w:tc>
          <w:tcPr>
            <w:tcW w:w="1276" w:type="dxa"/>
            <w:tcBorders>
              <w:top w:val="nil"/>
              <w:left w:val="single" w:sz="4" w:space="0" w:color="auto"/>
              <w:bottom w:val="nil"/>
              <w:right w:val="single" w:sz="4" w:space="0" w:color="auto"/>
            </w:tcBorders>
            <w:shd w:val="clear" w:color="auto" w:fill="auto"/>
            <w:noWrap/>
            <w:vAlign w:val="bottom"/>
            <w:hideMark/>
          </w:tcPr>
          <w:p w:rsidR="00840BA9" w:rsidRPr="00840BA9" w:rsidRDefault="00840BA9" w:rsidP="00840BA9">
            <w:pPr>
              <w:jc w:val="right"/>
              <w:rPr>
                <w:b/>
                <w:bCs/>
                <w:color w:val="000000"/>
                <w:sz w:val="20"/>
                <w:szCs w:val="20"/>
                <w:lang w:val="es-GT" w:eastAsia="es-GT"/>
              </w:rPr>
            </w:pPr>
            <w:r w:rsidRPr="00840BA9">
              <w:rPr>
                <w:b/>
                <w:bCs/>
                <w:color w:val="000000"/>
                <w:sz w:val="20"/>
                <w:szCs w:val="20"/>
                <w:lang w:val="es-GT" w:eastAsia="es-GT"/>
              </w:rPr>
              <w:t>3,667.5</w:t>
            </w:r>
          </w:p>
        </w:tc>
        <w:tc>
          <w:tcPr>
            <w:tcW w:w="1276" w:type="dxa"/>
            <w:tcBorders>
              <w:top w:val="nil"/>
              <w:left w:val="nil"/>
              <w:bottom w:val="nil"/>
              <w:right w:val="single" w:sz="4" w:space="0" w:color="auto"/>
            </w:tcBorders>
            <w:shd w:val="clear" w:color="auto" w:fill="auto"/>
            <w:noWrap/>
            <w:vAlign w:val="bottom"/>
            <w:hideMark/>
          </w:tcPr>
          <w:p w:rsidR="00840BA9" w:rsidRPr="00840BA9" w:rsidRDefault="00840BA9" w:rsidP="00840BA9">
            <w:pPr>
              <w:jc w:val="right"/>
              <w:rPr>
                <w:b/>
                <w:bCs/>
                <w:color w:val="000000"/>
                <w:sz w:val="20"/>
                <w:szCs w:val="20"/>
                <w:lang w:val="es-GT" w:eastAsia="es-GT"/>
              </w:rPr>
            </w:pPr>
            <w:r w:rsidRPr="00840BA9">
              <w:rPr>
                <w:b/>
                <w:bCs/>
                <w:color w:val="000000"/>
                <w:sz w:val="20"/>
                <w:szCs w:val="20"/>
                <w:lang w:val="es-GT" w:eastAsia="es-GT"/>
              </w:rPr>
              <w:t>11,000.0</w:t>
            </w:r>
          </w:p>
        </w:tc>
        <w:tc>
          <w:tcPr>
            <w:tcW w:w="1275" w:type="dxa"/>
            <w:tcBorders>
              <w:top w:val="nil"/>
              <w:left w:val="nil"/>
              <w:bottom w:val="nil"/>
              <w:right w:val="single" w:sz="4" w:space="0" w:color="auto"/>
            </w:tcBorders>
            <w:shd w:val="clear" w:color="auto" w:fill="auto"/>
            <w:noWrap/>
            <w:vAlign w:val="bottom"/>
            <w:hideMark/>
          </w:tcPr>
          <w:p w:rsidR="00840BA9" w:rsidRPr="00840BA9" w:rsidRDefault="00840BA9" w:rsidP="00840BA9">
            <w:pPr>
              <w:jc w:val="right"/>
              <w:rPr>
                <w:b/>
                <w:bCs/>
                <w:color w:val="000000"/>
                <w:sz w:val="20"/>
                <w:szCs w:val="20"/>
                <w:lang w:val="es-GT" w:eastAsia="es-GT"/>
              </w:rPr>
            </w:pPr>
            <w:r w:rsidRPr="00840BA9">
              <w:rPr>
                <w:b/>
                <w:bCs/>
                <w:color w:val="000000"/>
                <w:sz w:val="20"/>
                <w:szCs w:val="20"/>
                <w:lang w:val="es-GT" w:eastAsia="es-GT"/>
              </w:rPr>
              <w:t>5,138.9</w:t>
            </w:r>
          </w:p>
        </w:tc>
        <w:tc>
          <w:tcPr>
            <w:tcW w:w="1276" w:type="dxa"/>
            <w:tcBorders>
              <w:top w:val="nil"/>
              <w:left w:val="single" w:sz="4" w:space="0" w:color="auto"/>
              <w:bottom w:val="nil"/>
              <w:right w:val="single" w:sz="8" w:space="0" w:color="auto"/>
            </w:tcBorders>
            <w:shd w:val="clear" w:color="auto" w:fill="auto"/>
            <w:noWrap/>
            <w:vAlign w:val="bottom"/>
            <w:hideMark/>
          </w:tcPr>
          <w:p w:rsidR="00840BA9" w:rsidRPr="00840BA9" w:rsidRDefault="00840BA9" w:rsidP="00840BA9">
            <w:pPr>
              <w:jc w:val="right"/>
              <w:rPr>
                <w:b/>
                <w:bCs/>
                <w:color w:val="000000"/>
                <w:sz w:val="20"/>
                <w:szCs w:val="20"/>
                <w:lang w:val="es-GT" w:eastAsia="es-GT"/>
              </w:rPr>
            </w:pPr>
            <w:r w:rsidRPr="00840BA9">
              <w:rPr>
                <w:b/>
                <w:bCs/>
                <w:color w:val="000000"/>
                <w:sz w:val="20"/>
                <w:szCs w:val="20"/>
                <w:lang w:val="es-GT" w:eastAsia="es-GT"/>
              </w:rPr>
              <w:t>19,806.4</w:t>
            </w:r>
          </w:p>
        </w:tc>
      </w:tr>
      <w:tr w:rsidR="00826DE0" w:rsidRPr="00840BA9" w:rsidTr="00826DE0">
        <w:trPr>
          <w:trHeight w:val="300"/>
        </w:trPr>
        <w:tc>
          <w:tcPr>
            <w:tcW w:w="4126" w:type="dxa"/>
            <w:tcBorders>
              <w:top w:val="nil"/>
              <w:left w:val="single" w:sz="8" w:space="0" w:color="auto"/>
              <w:bottom w:val="nil"/>
              <w:right w:val="single" w:sz="4" w:space="0" w:color="auto"/>
            </w:tcBorders>
            <w:shd w:val="clear" w:color="auto" w:fill="auto"/>
            <w:noWrap/>
            <w:vAlign w:val="center"/>
            <w:hideMark/>
          </w:tcPr>
          <w:p w:rsidR="00840BA9" w:rsidRPr="00840BA9" w:rsidRDefault="00840BA9" w:rsidP="00840BA9">
            <w:pPr>
              <w:jc w:val="both"/>
              <w:rPr>
                <w:color w:val="000000"/>
                <w:sz w:val="20"/>
                <w:szCs w:val="20"/>
                <w:lang w:val="es-GT" w:eastAsia="es-GT"/>
              </w:rPr>
            </w:pPr>
            <w:r w:rsidRPr="00840BA9">
              <w:rPr>
                <w:color w:val="000000"/>
                <w:sz w:val="20"/>
                <w:szCs w:val="20"/>
                <w:lang w:val="es-GT" w:eastAsia="es-GT"/>
              </w:rPr>
              <w:t>Ministerio de Gobernación</w:t>
            </w:r>
          </w:p>
        </w:tc>
        <w:tc>
          <w:tcPr>
            <w:tcW w:w="1276" w:type="dxa"/>
            <w:tcBorders>
              <w:top w:val="nil"/>
              <w:left w:val="single" w:sz="4" w:space="0" w:color="auto"/>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450.0</w:t>
            </w:r>
          </w:p>
        </w:tc>
        <w:tc>
          <w:tcPr>
            <w:tcW w:w="1276"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5" w:type="dxa"/>
            <w:tcBorders>
              <w:top w:val="nil"/>
              <w:left w:val="nil"/>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150.0</w:t>
            </w:r>
          </w:p>
        </w:tc>
        <w:tc>
          <w:tcPr>
            <w:tcW w:w="1276" w:type="dxa"/>
            <w:tcBorders>
              <w:top w:val="nil"/>
              <w:left w:val="single" w:sz="4" w:space="0" w:color="auto"/>
              <w:bottom w:val="nil"/>
              <w:right w:val="single" w:sz="8"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600.0</w:t>
            </w:r>
          </w:p>
        </w:tc>
      </w:tr>
      <w:tr w:rsidR="00826DE0" w:rsidRPr="00840BA9" w:rsidTr="00826DE0">
        <w:trPr>
          <w:trHeight w:val="300"/>
        </w:trPr>
        <w:tc>
          <w:tcPr>
            <w:tcW w:w="4126" w:type="dxa"/>
            <w:tcBorders>
              <w:top w:val="nil"/>
              <w:left w:val="single" w:sz="8" w:space="0" w:color="auto"/>
              <w:bottom w:val="nil"/>
              <w:right w:val="single" w:sz="4" w:space="0" w:color="auto"/>
            </w:tcBorders>
            <w:shd w:val="clear" w:color="auto" w:fill="auto"/>
            <w:noWrap/>
            <w:vAlign w:val="center"/>
            <w:hideMark/>
          </w:tcPr>
          <w:p w:rsidR="00840BA9" w:rsidRPr="00840BA9" w:rsidRDefault="00840BA9" w:rsidP="00840BA9">
            <w:pPr>
              <w:jc w:val="both"/>
              <w:rPr>
                <w:color w:val="000000"/>
                <w:sz w:val="20"/>
                <w:szCs w:val="20"/>
                <w:lang w:val="es-GT" w:eastAsia="es-GT"/>
              </w:rPr>
            </w:pPr>
            <w:r w:rsidRPr="00840BA9">
              <w:rPr>
                <w:color w:val="000000"/>
                <w:sz w:val="20"/>
                <w:szCs w:val="20"/>
                <w:lang w:val="es-GT" w:eastAsia="es-GT"/>
              </w:rPr>
              <w:t>Ministerio de Educación</w:t>
            </w:r>
          </w:p>
        </w:tc>
        <w:tc>
          <w:tcPr>
            <w:tcW w:w="1276" w:type="dxa"/>
            <w:tcBorders>
              <w:top w:val="nil"/>
              <w:left w:val="single" w:sz="4" w:space="0" w:color="auto"/>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567.5</w:t>
            </w:r>
          </w:p>
        </w:tc>
        <w:tc>
          <w:tcPr>
            <w:tcW w:w="1276"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5" w:type="dxa"/>
            <w:tcBorders>
              <w:top w:val="nil"/>
              <w:left w:val="nil"/>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500.0</w:t>
            </w:r>
          </w:p>
        </w:tc>
        <w:tc>
          <w:tcPr>
            <w:tcW w:w="1276" w:type="dxa"/>
            <w:tcBorders>
              <w:top w:val="nil"/>
              <w:left w:val="single" w:sz="4" w:space="0" w:color="auto"/>
              <w:bottom w:val="nil"/>
              <w:right w:val="single" w:sz="8"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1,067.5</w:t>
            </w:r>
          </w:p>
        </w:tc>
      </w:tr>
      <w:tr w:rsidR="00826DE0" w:rsidRPr="00840BA9" w:rsidTr="00826DE0">
        <w:trPr>
          <w:trHeight w:val="300"/>
        </w:trPr>
        <w:tc>
          <w:tcPr>
            <w:tcW w:w="4126" w:type="dxa"/>
            <w:tcBorders>
              <w:top w:val="nil"/>
              <w:left w:val="single" w:sz="8" w:space="0" w:color="auto"/>
              <w:bottom w:val="nil"/>
              <w:right w:val="single" w:sz="4" w:space="0" w:color="auto"/>
            </w:tcBorders>
            <w:shd w:val="clear" w:color="auto" w:fill="auto"/>
            <w:noWrap/>
            <w:vAlign w:val="center"/>
            <w:hideMark/>
          </w:tcPr>
          <w:p w:rsidR="00840BA9" w:rsidRPr="00840BA9" w:rsidRDefault="00840BA9" w:rsidP="00840BA9">
            <w:pPr>
              <w:jc w:val="both"/>
              <w:rPr>
                <w:color w:val="000000"/>
                <w:sz w:val="20"/>
                <w:szCs w:val="20"/>
                <w:lang w:val="es-GT" w:eastAsia="es-GT"/>
              </w:rPr>
            </w:pPr>
            <w:r w:rsidRPr="00840BA9">
              <w:rPr>
                <w:color w:val="000000"/>
                <w:sz w:val="20"/>
                <w:szCs w:val="20"/>
                <w:lang w:val="es-GT" w:eastAsia="es-GT"/>
              </w:rPr>
              <w:t>Ministerio de Salud Pública y Asistencia Social</w:t>
            </w:r>
          </w:p>
        </w:tc>
        <w:tc>
          <w:tcPr>
            <w:tcW w:w="1276" w:type="dxa"/>
            <w:tcBorders>
              <w:top w:val="nil"/>
              <w:left w:val="single" w:sz="4" w:space="0" w:color="auto"/>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1,200.0</w:t>
            </w:r>
          </w:p>
        </w:tc>
        <w:tc>
          <w:tcPr>
            <w:tcW w:w="1276"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5" w:type="dxa"/>
            <w:tcBorders>
              <w:top w:val="nil"/>
              <w:left w:val="nil"/>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426.0</w:t>
            </w:r>
          </w:p>
        </w:tc>
        <w:tc>
          <w:tcPr>
            <w:tcW w:w="1276" w:type="dxa"/>
            <w:tcBorders>
              <w:top w:val="nil"/>
              <w:left w:val="single" w:sz="4" w:space="0" w:color="auto"/>
              <w:bottom w:val="nil"/>
              <w:right w:val="single" w:sz="8"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1,626.0</w:t>
            </w:r>
          </w:p>
        </w:tc>
      </w:tr>
      <w:tr w:rsidR="00826DE0" w:rsidRPr="00840BA9" w:rsidTr="00826DE0">
        <w:trPr>
          <w:trHeight w:val="300"/>
        </w:trPr>
        <w:tc>
          <w:tcPr>
            <w:tcW w:w="4126" w:type="dxa"/>
            <w:tcBorders>
              <w:top w:val="nil"/>
              <w:left w:val="single" w:sz="8" w:space="0" w:color="auto"/>
              <w:bottom w:val="nil"/>
              <w:right w:val="single" w:sz="4" w:space="0" w:color="auto"/>
            </w:tcBorders>
            <w:shd w:val="clear" w:color="auto" w:fill="auto"/>
            <w:noWrap/>
            <w:vAlign w:val="center"/>
            <w:hideMark/>
          </w:tcPr>
          <w:p w:rsidR="00840BA9" w:rsidRPr="00840BA9" w:rsidRDefault="00840BA9" w:rsidP="00840BA9">
            <w:pPr>
              <w:jc w:val="both"/>
              <w:rPr>
                <w:color w:val="000000"/>
                <w:sz w:val="20"/>
                <w:szCs w:val="20"/>
                <w:lang w:val="es-GT" w:eastAsia="es-GT"/>
              </w:rPr>
            </w:pPr>
            <w:r w:rsidRPr="00840BA9">
              <w:rPr>
                <w:color w:val="000000"/>
                <w:sz w:val="20"/>
                <w:szCs w:val="20"/>
                <w:lang w:val="es-GT" w:eastAsia="es-GT"/>
              </w:rPr>
              <w:t>Ministerio de Trabajo y Previsión Social</w:t>
            </w:r>
          </w:p>
        </w:tc>
        <w:tc>
          <w:tcPr>
            <w:tcW w:w="1276" w:type="dxa"/>
            <w:tcBorders>
              <w:top w:val="nil"/>
              <w:left w:val="single" w:sz="4" w:space="0" w:color="auto"/>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50.0</w:t>
            </w:r>
          </w:p>
        </w:tc>
        <w:tc>
          <w:tcPr>
            <w:tcW w:w="1276"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5"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6" w:type="dxa"/>
            <w:tcBorders>
              <w:top w:val="nil"/>
              <w:left w:val="single" w:sz="4" w:space="0" w:color="auto"/>
              <w:bottom w:val="nil"/>
              <w:right w:val="single" w:sz="8"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50.0</w:t>
            </w:r>
          </w:p>
        </w:tc>
      </w:tr>
      <w:tr w:rsidR="00826DE0" w:rsidRPr="00840BA9" w:rsidTr="00826DE0">
        <w:trPr>
          <w:trHeight w:val="300"/>
        </w:trPr>
        <w:tc>
          <w:tcPr>
            <w:tcW w:w="4126" w:type="dxa"/>
            <w:tcBorders>
              <w:top w:val="nil"/>
              <w:left w:val="single" w:sz="8" w:space="0" w:color="auto"/>
              <w:bottom w:val="nil"/>
              <w:right w:val="single" w:sz="4" w:space="0" w:color="auto"/>
            </w:tcBorders>
            <w:shd w:val="clear" w:color="auto" w:fill="auto"/>
            <w:noWrap/>
            <w:vAlign w:val="center"/>
            <w:hideMark/>
          </w:tcPr>
          <w:p w:rsidR="00840BA9" w:rsidRPr="00840BA9" w:rsidRDefault="00840BA9" w:rsidP="00840BA9">
            <w:pPr>
              <w:jc w:val="both"/>
              <w:rPr>
                <w:color w:val="000000"/>
                <w:sz w:val="20"/>
                <w:szCs w:val="20"/>
                <w:lang w:val="es-GT" w:eastAsia="es-GT"/>
              </w:rPr>
            </w:pPr>
            <w:r w:rsidRPr="00840BA9">
              <w:rPr>
                <w:color w:val="000000"/>
                <w:sz w:val="20"/>
                <w:szCs w:val="20"/>
                <w:lang w:val="es-GT" w:eastAsia="es-GT"/>
              </w:rPr>
              <w:t>Ministerio de Economía</w:t>
            </w:r>
          </w:p>
        </w:tc>
        <w:tc>
          <w:tcPr>
            <w:tcW w:w="1276" w:type="dxa"/>
            <w:tcBorders>
              <w:top w:val="nil"/>
              <w:left w:val="single" w:sz="4" w:space="0" w:color="auto"/>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400.0</w:t>
            </w:r>
          </w:p>
        </w:tc>
        <w:tc>
          <w:tcPr>
            <w:tcW w:w="1276" w:type="dxa"/>
            <w:tcBorders>
              <w:top w:val="nil"/>
              <w:left w:val="nil"/>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2,000.0</w:t>
            </w:r>
          </w:p>
        </w:tc>
        <w:tc>
          <w:tcPr>
            <w:tcW w:w="1275"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6" w:type="dxa"/>
            <w:tcBorders>
              <w:top w:val="nil"/>
              <w:left w:val="single" w:sz="4" w:space="0" w:color="auto"/>
              <w:bottom w:val="nil"/>
              <w:right w:val="single" w:sz="8"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2,400.0</w:t>
            </w:r>
          </w:p>
        </w:tc>
      </w:tr>
      <w:tr w:rsidR="00826DE0" w:rsidRPr="00840BA9" w:rsidTr="00826DE0">
        <w:trPr>
          <w:trHeight w:val="285"/>
        </w:trPr>
        <w:tc>
          <w:tcPr>
            <w:tcW w:w="4126" w:type="dxa"/>
            <w:tcBorders>
              <w:top w:val="nil"/>
              <w:left w:val="single" w:sz="8" w:space="0" w:color="auto"/>
              <w:bottom w:val="nil"/>
              <w:right w:val="single" w:sz="4" w:space="0" w:color="auto"/>
            </w:tcBorders>
            <w:shd w:val="clear" w:color="auto" w:fill="auto"/>
            <w:noWrap/>
            <w:vAlign w:val="center"/>
            <w:hideMark/>
          </w:tcPr>
          <w:p w:rsidR="00840BA9" w:rsidRPr="00840BA9" w:rsidRDefault="00840BA9" w:rsidP="00840BA9">
            <w:pPr>
              <w:jc w:val="both"/>
              <w:rPr>
                <w:color w:val="000000"/>
                <w:sz w:val="20"/>
                <w:szCs w:val="20"/>
                <w:lang w:val="es-GT" w:eastAsia="es-GT"/>
              </w:rPr>
            </w:pPr>
            <w:r w:rsidRPr="00840BA9">
              <w:rPr>
                <w:color w:val="000000"/>
                <w:sz w:val="20"/>
                <w:szCs w:val="20"/>
                <w:lang w:val="es-GT" w:eastAsia="es-GT"/>
              </w:rPr>
              <w:t>Ministerio de Agricultura, Ganadería y Alimentación</w:t>
            </w:r>
          </w:p>
        </w:tc>
        <w:tc>
          <w:tcPr>
            <w:tcW w:w="1276" w:type="dxa"/>
            <w:tcBorders>
              <w:top w:val="nil"/>
              <w:left w:val="single" w:sz="4" w:space="0" w:color="auto"/>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400.0</w:t>
            </w:r>
          </w:p>
        </w:tc>
        <w:tc>
          <w:tcPr>
            <w:tcW w:w="1276"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5"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6" w:type="dxa"/>
            <w:tcBorders>
              <w:top w:val="nil"/>
              <w:left w:val="single" w:sz="4" w:space="0" w:color="auto"/>
              <w:bottom w:val="nil"/>
              <w:right w:val="single" w:sz="8"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400.0</w:t>
            </w:r>
          </w:p>
        </w:tc>
      </w:tr>
      <w:tr w:rsidR="00826DE0" w:rsidRPr="00840BA9" w:rsidTr="00826DE0">
        <w:trPr>
          <w:trHeight w:val="510"/>
        </w:trPr>
        <w:tc>
          <w:tcPr>
            <w:tcW w:w="4126" w:type="dxa"/>
            <w:tcBorders>
              <w:top w:val="nil"/>
              <w:left w:val="single" w:sz="8" w:space="0" w:color="auto"/>
              <w:bottom w:val="nil"/>
              <w:right w:val="single" w:sz="4" w:space="0" w:color="auto"/>
            </w:tcBorders>
            <w:shd w:val="clear" w:color="auto" w:fill="auto"/>
            <w:noWrap/>
            <w:vAlign w:val="center"/>
            <w:hideMark/>
          </w:tcPr>
          <w:p w:rsidR="00840BA9" w:rsidRPr="00840BA9" w:rsidRDefault="00840BA9" w:rsidP="00840BA9">
            <w:pPr>
              <w:jc w:val="both"/>
              <w:rPr>
                <w:color w:val="000000"/>
                <w:sz w:val="20"/>
                <w:szCs w:val="20"/>
                <w:lang w:val="es-GT" w:eastAsia="es-GT"/>
              </w:rPr>
            </w:pPr>
            <w:r w:rsidRPr="00840BA9">
              <w:rPr>
                <w:color w:val="000000"/>
                <w:sz w:val="20"/>
                <w:szCs w:val="20"/>
                <w:lang w:val="es-GT" w:eastAsia="es-GT"/>
              </w:rPr>
              <w:t>Ministerio de Comunicaciones, Infraestructura y Vivienda</w:t>
            </w:r>
          </w:p>
        </w:tc>
        <w:tc>
          <w:tcPr>
            <w:tcW w:w="1276" w:type="dxa"/>
            <w:tcBorders>
              <w:top w:val="nil"/>
              <w:left w:val="single" w:sz="4" w:space="0" w:color="auto"/>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6"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5" w:type="dxa"/>
            <w:tcBorders>
              <w:top w:val="nil"/>
              <w:left w:val="nil"/>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724.0</w:t>
            </w:r>
          </w:p>
        </w:tc>
        <w:tc>
          <w:tcPr>
            <w:tcW w:w="1276" w:type="dxa"/>
            <w:tcBorders>
              <w:top w:val="nil"/>
              <w:left w:val="single" w:sz="4" w:space="0" w:color="auto"/>
              <w:bottom w:val="nil"/>
              <w:right w:val="single" w:sz="8"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724.0</w:t>
            </w:r>
          </w:p>
        </w:tc>
      </w:tr>
      <w:tr w:rsidR="00826DE0" w:rsidRPr="00840BA9" w:rsidTr="00826DE0">
        <w:trPr>
          <w:trHeight w:val="300"/>
        </w:trPr>
        <w:tc>
          <w:tcPr>
            <w:tcW w:w="4126" w:type="dxa"/>
            <w:tcBorders>
              <w:top w:val="nil"/>
              <w:left w:val="single" w:sz="8" w:space="0" w:color="auto"/>
              <w:bottom w:val="nil"/>
              <w:right w:val="single" w:sz="4" w:space="0" w:color="auto"/>
            </w:tcBorders>
            <w:shd w:val="clear" w:color="auto" w:fill="auto"/>
            <w:noWrap/>
            <w:vAlign w:val="center"/>
            <w:hideMark/>
          </w:tcPr>
          <w:p w:rsidR="00840BA9" w:rsidRPr="00840BA9" w:rsidRDefault="00840BA9" w:rsidP="00840BA9">
            <w:pPr>
              <w:jc w:val="both"/>
              <w:rPr>
                <w:color w:val="000000"/>
                <w:sz w:val="20"/>
                <w:szCs w:val="20"/>
                <w:lang w:val="es-GT" w:eastAsia="es-GT"/>
              </w:rPr>
            </w:pPr>
            <w:r w:rsidRPr="00840BA9">
              <w:rPr>
                <w:color w:val="000000"/>
                <w:sz w:val="20"/>
                <w:szCs w:val="20"/>
                <w:lang w:val="es-GT" w:eastAsia="es-GT"/>
              </w:rPr>
              <w:t>Ministerio de Desarrollo Social</w:t>
            </w:r>
          </w:p>
        </w:tc>
        <w:tc>
          <w:tcPr>
            <w:tcW w:w="1276" w:type="dxa"/>
            <w:tcBorders>
              <w:top w:val="nil"/>
              <w:left w:val="single" w:sz="4" w:space="0" w:color="auto"/>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350.0</w:t>
            </w:r>
          </w:p>
        </w:tc>
        <w:tc>
          <w:tcPr>
            <w:tcW w:w="1276" w:type="dxa"/>
            <w:tcBorders>
              <w:top w:val="nil"/>
              <w:left w:val="nil"/>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6,000.0</w:t>
            </w:r>
          </w:p>
        </w:tc>
        <w:tc>
          <w:tcPr>
            <w:tcW w:w="1275"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6" w:type="dxa"/>
            <w:tcBorders>
              <w:top w:val="nil"/>
              <w:left w:val="single" w:sz="4" w:space="0" w:color="auto"/>
              <w:bottom w:val="nil"/>
              <w:right w:val="single" w:sz="8"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6,350.0</w:t>
            </w:r>
          </w:p>
        </w:tc>
      </w:tr>
      <w:tr w:rsidR="00826DE0" w:rsidRPr="00840BA9" w:rsidTr="00826DE0">
        <w:trPr>
          <w:trHeight w:val="300"/>
        </w:trPr>
        <w:tc>
          <w:tcPr>
            <w:tcW w:w="4126" w:type="dxa"/>
            <w:tcBorders>
              <w:top w:val="nil"/>
              <w:left w:val="single" w:sz="8" w:space="0" w:color="auto"/>
              <w:bottom w:val="nil"/>
              <w:right w:val="single" w:sz="4" w:space="0" w:color="auto"/>
            </w:tcBorders>
            <w:shd w:val="clear" w:color="auto" w:fill="auto"/>
            <w:noWrap/>
            <w:vAlign w:val="center"/>
            <w:hideMark/>
          </w:tcPr>
          <w:p w:rsidR="00840BA9" w:rsidRPr="00840BA9" w:rsidRDefault="00840BA9" w:rsidP="00840BA9">
            <w:pPr>
              <w:jc w:val="both"/>
              <w:rPr>
                <w:color w:val="000000"/>
                <w:sz w:val="20"/>
                <w:szCs w:val="20"/>
                <w:lang w:val="es-GT" w:eastAsia="es-GT"/>
              </w:rPr>
            </w:pPr>
            <w:r w:rsidRPr="00840BA9">
              <w:rPr>
                <w:color w:val="000000"/>
                <w:sz w:val="20"/>
                <w:szCs w:val="20"/>
                <w:lang w:val="es-GT" w:eastAsia="es-GT"/>
              </w:rPr>
              <w:t>Servicio</w:t>
            </w:r>
            <w:r w:rsidR="00826DE0">
              <w:rPr>
                <w:color w:val="000000"/>
                <w:sz w:val="20"/>
                <w:szCs w:val="20"/>
                <w:lang w:val="es-GT" w:eastAsia="es-GT"/>
              </w:rPr>
              <w:t>s</w:t>
            </w:r>
            <w:r w:rsidRPr="00840BA9">
              <w:rPr>
                <w:color w:val="000000"/>
                <w:sz w:val="20"/>
                <w:szCs w:val="20"/>
                <w:lang w:val="es-GT" w:eastAsia="es-GT"/>
              </w:rPr>
              <w:t xml:space="preserve"> de la Deuda Pública</w:t>
            </w:r>
          </w:p>
        </w:tc>
        <w:tc>
          <w:tcPr>
            <w:tcW w:w="1276" w:type="dxa"/>
            <w:tcBorders>
              <w:top w:val="nil"/>
              <w:left w:val="single" w:sz="4" w:space="0" w:color="auto"/>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6" w:type="dxa"/>
            <w:tcBorders>
              <w:top w:val="nil"/>
              <w:left w:val="nil"/>
              <w:bottom w:val="nil"/>
              <w:right w:val="single" w:sz="4" w:space="0" w:color="auto"/>
            </w:tcBorders>
            <w:shd w:val="clear" w:color="auto" w:fill="auto"/>
            <w:noWrap/>
            <w:vAlign w:val="bottom"/>
            <w:hideMark/>
          </w:tcPr>
          <w:p w:rsidR="00840BA9" w:rsidRPr="00840BA9" w:rsidRDefault="00840BA9" w:rsidP="00840BA9">
            <w:pPr>
              <w:rPr>
                <w:color w:val="000000"/>
                <w:sz w:val="20"/>
                <w:szCs w:val="20"/>
                <w:lang w:val="es-GT" w:eastAsia="es-GT"/>
              </w:rPr>
            </w:pPr>
            <w:r w:rsidRPr="00840BA9">
              <w:rPr>
                <w:color w:val="000000"/>
                <w:sz w:val="20"/>
                <w:szCs w:val="20"/>
                <w:lang w:val="es-GT" w:eastAsia="es-GT"/>
              </w:rPr>
              <w:t> </w:t>
            </w:r>
          </w:p>
        </w:tc>
        <w:tc>
          <w:tcPr>
            <w:tcW w:w="1275" w:type="dxa"/>
            <w:tcBorders>
              <w:top w:val="nil"/>
              <w:left w:val="nil"/>
              <w:bottom w:val="nil"/>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1,200.0</w:t>
            </w:r>
          </w:p>
        </w:tc>
        <w:tc>
          <w:tcPr>
            <w:tcW w:w="1276" w:type="dxa"/>
            <w:tcBorders>
              <w:top w:val="nil"/>
              <w:left w:val="single" w:sz="4" w:space="0" w:color="auto"/>
              <w:bottom w:val="nil"/>
              <w:right w:val="single" w:sz="8"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1,200.0</w:t>
            </w:r>
          </w:p>
        </w:tc>
      </w:tr>
      <w:tr w:rsidR="00826DE0" w:rsidRPr="00840BA9" w:rsidTr="00826DE0">
        <w:trPr>
          <w:trHeight w:val="315"/>
        </w:trPr>
        <w:tc>
          <w:tcPr>
            <w:tcW w:w="4126" w:type="dxa"/>
            <w:tcBorders>
              <w:top w:val="nil"/>
              <w:left w:val="single" w:sz="8" w:space="0" w:color="auto"/>
              <w:bottom w:val="single" w:sz="8" w:space="0" w:color="auto"/>
              <w:right w:val="single" w:sz="4" w:space="0" w:color="auto"/>
            </w:tcBorders>
            <w:shd w:val="clear" w:color="auto" w:fill="auto"/>
            <w:noWrap/>
            <w:vAlign w:val="center"/>
            <w:hideMark/>
          </w:tcPr>
          <w:p w:rsidR="00840BA9" w:rsidRPr="00840BA9" w:rsidRDefault="00840BA9" w:rsidP="00840BA9">
            <w:pPr>
              <w:jc w:val="both"/>
              <w:rPr>
                <w:color w:val="000000"/>
                <w:sz w:val="20"/>
                <w:szCs w:val="20"/>
                <w:lang w:val="es-GT" w:eastAsia="es-GT"/>
              </w:rPr>
            </w:pPr>
            <w:r w:rsidRPr="00840BA9">
              <w:rPr>
                <w:color w:val="000000"/>
                <w:sz w:val="20"/>
                <w:szCs w:val="20"/>
                <w:lang w:val="es-GT" w:eastAsia="es-GT"/>
              </w:rPr>
              <w:t>Obligaciones del Estado a Cargo del Tesoro</w:t>
            </w:r>
          </w:p>
        </w:tc>
        <w:tc>
          <w:tcPr>
            <w:tcW w:w="1276" w:type="dxa"/>
            <w:tcBorders>
              <w:top w:val="nil"/>
              <w:left w:val="single" w:sz="4" w:space="0" w:color="auto"/>
              <w:bottom w:val="single" w:sz="8" w:space="0" w:color="auto"/>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250.0</w:t>
            </w:r>
          </w:p>
        </w:tc>
        <w:tc>
          <w:tcPr>
            <w:tcW w:w="1276" w:type="dxa"/>
            <w:tcBorders>
              <w:top w:val="nil"/>
              <w:left w:val="nil"/>
              <w:bottom w:val="single" w:sz="8" w:space="0" w:color="auto"/>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3,000.0</w:t>
            </w:r>
          </w:p>
        </w:tc>
        <w:tc>
          <w:tcPr>
            <w:tcW w:w="1275" w:type="dxa"/>
            <w:tcBorders>
              <w:top w:val="nil"/>
              <w:left w:val="nil"/>
              <w:bottom w:val="single" w:sz="8" w:space="0" w:color="auto"/>
              <w:right w:val="single" w:sz="4"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2,138.9</w:t>
            </w:r>
          </w:p>
        </w:tc>
        <w:tc>
          <w:tcPr>
            <w:tcW w:w="1276" w:type="dxa"/>
            <w:tcBorders>
              <w:top w:val="nil"/>
              <w:left w:val="single" w:sz="4" w:space="0" w:color="auto"/>
              <w:bottom w:val="single" w:sz="8" w:space="0" w:color="auto"/>
              <w:right w:val="single" w:sz="8" w:space="0" w:color="auto"/>
            </w:tcBorders>
            <w:shd w:val="clear" w:color="auto" w:fill="auto"/>
            <w:noWrap/>
            <w:vAlign w:val="bottom"/>
            <w:hideMark/>
          </w:tcPr>
          <w:p w:rsidR="00840BA9" w:rsidRPr="00840BA9" w:rsidRDefault="00840BA9" w:rsidP="00840BA9">
            <w:pPr>
              <w:jc w:val="right"/>
              <w:rPr>
                <w:color w:val="000000"/>
                <w:sz w:val="20"/>
                <w:szCs w:val="20"/>
                <w:lang w:val="es-GT" w:eastAsia="es-GT"/>
              </w:rPr>
            </w:pPr>
            <w:r w:rsidRPr="00840BA9">
              <w:rPr>
                <w:color w:val="000000"/>
                <w:sz w:val="20"/>
                <w:szCs w:val="20"/>
                <w:lang w:val="es-GT" w:eastAsia="es-GT"/>
              </w:rPr>
              <w:t>5,388.9</w:t>
            </w:r>
          </w:p>
        </w:tc>
      </w:tr>
    </w:tbl>
    <w:p w:rsidR="00EE4BF5" w:rsidRPr="008C5ECD" w:rsidRDefault="00EE4BF5" w:rsidP="00EE4BF5">
      <w:pPr>
        <w:jc w:val="both"/>
        <w:rPr>
          <w:sz w:val="18"/>
        </w:rPr>
      </w:pPr>
      <w:r w:rsidRPr="008C5ECD">
        <w:rPr>
          <w:sz w:val="18"/>
        </w:rPr>
        <w:t xml:space="preserve">Fuente: </w:t>
      </w:r>
      <w:r w:rsidR="00896B8B" w:rsidRPr="008C5ECD">
        <w:rPr>
          <w:sz w:val="18"/>
        </w:rPr>
        <w:t>Ministerio de Finanzas Públicas.</w:t>
      </w:r>
    </w:p>
    <w:p w:rsidR="00EE4BF5" w:rsidRPr="002E3A88" w:rsidRDefault="00EE4BF5" w:rsidP="00EE4BF5">
      <w:pPr>
        <w:jc w:val="both"/>
        <w:rPr>
          <w:sz w:val="36"/>
        </w:rPr>
      </w:pPr>
    </w:p>
    <w:p w:rsidR="00EE4BF5" w:rsidRPr="008050B4" w:rsidRDefault="00EE4BF5" w:rsidP="00EE4BF5">
      <w:pPr>
        <w:pStyle w:val="Ttulo4"/>
        <w:numPr>
          <w:ilvl w:val="0"/>
          <w:numId w:val="0"/>
        </w:numPr>
        <w:ind w:left="426"/>
        <w:rPr>
          <w:rFonts w:ascii="Times New Roman" w:hAnsi="Times New Roman"/>
          <w:i w:val="0"/>
          <w:color w:val="auto"/>
        </w:rPr>
      </w:pPr>
      <w:r w:rsidRPr="008050B4">
        <w:rPr>
          <w:rFonts w:ascii="Times New Roman" w:hAnsi="Times New Roman"/>
          <w:i w:val="0"/>
          <w:color w:val="auto"/>
        </w:rPr>
        <w:t xml:space="preserve">4.3 Medidas </w:t>
      </w:r>
      <w:r w:rsidR="00847A5C">
        <w:rPr>
          <w:rFonts w:ascii="Times New Roman" w:hAnsi="Times New Roman"/>
          <w:i w:val="0"/>
          <w:color w:val="auto"/>
        </w:rPr>
        <w:t>S</w:t>
      </w:r>
      <w:r w:rsidRPr="008050B4">
        <w:rPr>
          <w:rFonts w:ascii="Times New Roman" w:hAnsi="Times New Roman"/>
          <w:i w:val="0"/>
          <w:color w:val="auto"/>
        </w:rPr>
        <w:t>ociales</w:t>
      </w:r>
    </w:p>
    <w:p w:rsidR="00EE4BF5" w:rsidRPr="00DD5DD7" w:rsidRDefault="00EE4BF5" w:rsidP="00EE4BF5">
      <w:pPr>
        <w:jc w:val="both"/>
        <w:rPr>
          <w:b/>
        </w:rPr>
      </w:pPr>
    </w:p>
    <w:p w:rsidR="00EE4BF5" w:rsidRPr="00DD5DD7" w:rsidRDefault="00BA79F1" w:rsidP="00EE4BF5">
      <w:pPr>
        <w:jc w:val="both"/>
      </w:pPr>
      <w:r>
        <w:t>En el</w:t>
      </w:r>
      <w:r w:rsidR="00EE4BF5" w:rsidRPr="00DD5DD7">
        <w:t xml:space="preserve"> Ministerio de Educación </w:t>
      </w:r>
      <w:r w:rsidR="006F4401">
        <w:t xml:space="preserve">se </w:t>
      </w:r>
      <w:r>
        <w:t xml:space="preserve">regularizó la nómina salarial y se facilitó la </w:t>
      </w:r>
      <w:r w:rsidR="006F4401">
        <w:t>ejecu</w:t>
      </w:r>
      <w:r>
        <w:t>ción de los</w:t>
      </w:r>
      <w:r w:rsidR="006F4401">
        <w:t xml:space="preserve"> programas de alimentación escolar</w:t>
      </w:r>
      <w:r w:rsidR="00EE4BF5" w:rsidRPr="00DD5DD7">
        <w:t>, seguro escolar, remozamiento</w:t>
      </w:r>
      <w:r w:rsidR="006F4401">
        <w:t xml:space="preserve"> de escuelas y</w:t>
      </w:r>
      <w:r w:rsidR="00EE4BF5" w:rsidRPr="00DD5DD7">
        <w:t xml:space="preserve"> programas didácticos</w:t>
      </w:r>
      <w:r w:rsidR="00021DF4">
        <w:t>. P</w:t>
      </w:r>
      <w:r w:rsidR="00EE4BF5" w:rsidRPr="00DD5DD7">
        <w:t>or medio del Ministerio de Desarrollo Social se canalizaron</w:t>
      </w:r>
      <w:r w:rsidR="006F4401">
        <w:t xml:space="preserve"> recursos</w:t>
      </w:r>
      <w:r w:rsidR="00EE4BF5" w:rsidRPr="00DD5DD7">
        <w:t xml:space="preserve"> para </w:t>
      </w:r>
      <w:r w:rsidR="006F4401">
        <w:t xml:space="preserve">el </w:t>
      </w:r>
      <w:r>
        <w:t xml:space="preserve">aporte del Bono Familia y el </w:t>
      </w:r>
      <w:r w:rsidR="006F4401">
        <w:t xml:space="preserve">Programa de </w:t>
      </w:r>
      <w:r>
        <w:t>Apoyo Alimentario.</w:t>
      </w:r>
      <w:r w:rsidR="00021DF4">
        <w:t xml:space="preserve"> E</w:t>
      </w:r>
      <w:r w:rsidR="00EE4BF5" w:rsidRPr="00DD5DD7">
        <w:t xml:space="preserve">l Ministerio de Economía </w:t>
      </w:r>
      <w:r>
        <w:t xml:space="preserve">ejecutó un fondo para créditos a las micro, pequeñas y medianas empresas y un fondo especial para protección del empleo. El Ministerio de Salud Pública y Asistencia Social </w:t>
      </w:r>
      <w:r w:rsidR="00266D17">
        <w:t xml:space="preserve">llevó a cabo el remozamiento de hospitales, centros y puestos de salud, pago de bono de riesgo para el personal </w:t>
      </w:r>
      <w:r w:rsidR="008F138B">
        <w:t xml:space="preserve">de primera línea </w:t>
      </w:r>
      <w:r w:rsidR="00266D17">
        <w:t>y para la adquisición de materiales, suministros y equipos médicos</w:t>
      </w:r>
      <w:r w:rsidR="00EE4BF5" w:rsidRPr="00DD5DD7">
        <w:t>.</w:t>
      </w:r>
    </w:p>
    <w:p w:rsidR="00EE4BF5" w:rsidRPr="002E3A88" w:rsidRDefault="00EE4BF5" w:rsidP="00EE4BF5">
      <w:pPr>
        <w:jc w:val="both"/>
        <w:rPr>
          <w:b/>
          <w:sz w:val="32"/>
        </w:rPr>
      </w:pPr>
    </w:p>
    <w:p w:rsidR="00EE4BF5" w:rsidRPr="008050B4" w:rsidRDefault="00EE4BF5" w:rsidP="00EE4BF5">
      <w:pPr>
        <w:pStyle w:val="Ttulo4"/>
        <w:numPr>
          <w:ilvl w:val="0"/>
          <w:numId w:val="0"/>
        </w:numPr>
        <w:ind w:left="426"/>
        <w:rPr>
          <w:rFonts w:ascii="Times New Roman" w:hAnsi="Times New Roman"/>
          <w:i w:val="0"/>
          <w:color w:val="auto"/>
        </w:rPr>
      </w:pPr>
      <w:r w:rsidRPr="008050B4">
        <w:rPr>
          <w:rFonts w:ascii="Times New Roman" w:hAnsi="Times New Roman"/>
          <w:i w:val="0"/>
          <w:color w:val="auto"/>
        </w:rPr>
        <w:t xml:space="preserve">4.4 Fondo de </w:t>
      </w:r>
      <w:r w:rsidR="002957D7" w:rsidRPr="008050B4">
        <w:rPr>
          <w:rFonts w:ascii="Times New Roman" w:hAnsi="Times New Roman"/>
          <w:i w:val="0"/>
          <w:color w:val="auto"/>
        </w:rPr>
        <w:t>E</w:t>
      </w:r>
      <w:r w:rsidRPr="008050B4">
        <w:rPr>
          <w:rFonts w:ascii="Times New Roman" w:hAnsi="Times New Roman"/>
          <w:i w:val="0"/>
          <w:color w:val="auto"/>
        </w:rPr>
        <w:t>mergencia</w:t>
      </w:r>
    </w:p>
    <w:p w:rsidR="00EE4BF5" w:rsidRPr="00DD5DD7" w:rsidRDefault="00EE4BF5" w:rsidP="00EE4BF5">
      <w:pPr>
        <w:jc w:val="both"/>
        <w:rPr>
          <w:b/>
        </w:rPr>
      </w:pPr>
    </w:p>
    <w:p w:rsidR="00EE4BF5" w:rsidRPr="00DD5DD7" w:rsidRDefault="00EE4BF5" w:rsidP="00EE4BF5">
      <w:pPr>
        <w:jc w:val="both"/>
      </w:pPr>
      <w:r w:rsidRPr="00DD5DD7">
        <w:t xml:space="preserve">El </w:t>
      </w:r>
      <w:r w:rsidR="006F0EE6">
        <w:t>F</w:t>
      </w:r>
      <w:r w:rsidRPr="00DD5DD7">
        <w:t xml:space="preserve">ondo de </w:t>
      </w:r>
      <w:r w:rsidR="006F0EE6">
        <w:t>E</w:t>
      </w:r>
      <w:r w:rsidRPr="00DD5DD7">
        <w:t xml:space="preserve">mergencia fue capitalizado por medio de los recursos aprobados mediante los Decretos </w:t>
      </w:r>
      <w:r w:rsidR="006F0EE6">
        <w:t xml:space="preserve">Nos. </w:t>
      </w:r>
      <w:r w:rsidRPr="00DD5DD7">
        <w:t>12-2020</w:t>
      </w:r>
      <w:r w:rsidR="006F0EE6">
        <w:t>,</w:t>
      </w:r>
      <w:r w:rsidRPr="00DD5DD7">
        <w:t xml:space="preserve"> 13-2020 y 20-2020, por un monto </w:t>
      </w:r>
      <w:r w:rsidR="006F0EE6">
        <w:t xml:space="preserve">total </w:t>
      </w:r>
      <w:r w:rsidRPr="00DD5DD7">
        <w:t>de Q.826.0 millones; los recursos se orientaron específicamente para llevar a cabo las siguientes</w:t>
      </w:r>
      <w:r w:rsidR="006F0EE6">
        <w:t xml:space="preserve"> actividades</w:t>
      </w:r>
      <w:r w:rsidRPr="00DD5DD7">
        <w:t>:</w:t>
      </w:r>
    </w:p>
    <w:p w:rsidR="00EE4BF5" w:rsidRPr="00DD5DD7" w:rsidRDefault="00EE4BF5" w:rsidP="00EE4BF5">
      <w:pPr>
        <w:numPr>
          <w:ilvl w:val="0"/>
          <w:numId w:val="13"/>
        </w:numPr>
        <w:jc w:val="both"/>
      </w:pPr>
      <w:r w:rsidRPr="00DD5DD7">
        <w:t xml:space="preserve">Remodelación </w:t>
      </w:r>
      <w:r w:rsidR="006F0EE6">
        <w:t>d</w:t>
      </w:r>
      <w:r w:rsidRPr="00DD5DD7">
        <w:t>e infraestructura de hospitales y centros de salud.</w:t>
      </w:r>
    </w:p>
    <w:p w:rsidR="00EE4BF5" w:rsidRPr="00DD5DD7" w:rsidRDefault="00EE4BF5" w:rsidP="00EE4BF5">
      <w:pPr>
        <w:numPr>
          <w:ilvl w:val="0"/>
          <w:numId w:val="13"/>
        </w:numPr>
        <w:jc w:val="both"/>
      </w:pPr>
      <w:r w:rsidRPr="00DD5DD7">
        <w:t xml:space="preserve">Equipamiento hospitalario e insumos sanitarios </w:t>
      </w:r>
      <w:r w:rsidR="00F64911">
        <w:t>(a</w:t>
      </w:r>
      <w:r w:rsidRPr="00DD5DD7">
        <w:t>tención y cobertura de primero y segundo nivel de atención</w:t>
      </w:r>
      <w:r w:rsidR="00F64911">
        <w:t>)</w:t>
      </w:r>
      <w:r w:rsidRPr="00DD5DD7">
        <w:t>.</w:t>
      </w:r>
    </w:p>
    <w:p w:rsidR="00EE4BF5" w:rsidRPr="00DD5DD7" w:rsidRDefault="00EE4BF5" w:rsidP="00EE4BF5">
      <w:pPr>
        <w:numPr>
          <w:ilvl w:val="0"/>
          <w:numId w:val="13"/>
        </w:numPr>
        <w:jc w:val="both"/>
      </w:pPr>
      <w:r w:rsidRPr="00DD5DD7">
        <w:t xml:space="preserve">Adecuación de </w:t>
      </w:r>
      <w:r w:rsidR="00F64911">
        <w:t>h</w:t>
      </w:r>
      <w:r w:rsidRPr="00DD5DD7">
        <w:t xml:space="preserve">ospitales, </w:t>
      </w:r>
      <w:r w:rsidR="00F64911">
        <w:t>c</w:t>
      </w:r>
      <w:r w:rsidRPr="00DD5DD7">
        <w:t>entros y puestos de salud.</w:t>
      </w:r>
    </w:p>
    <w:p w:rsidR="00EE4BF5" w:rsidRPr="00DD5DD7" w:rsidRDefault="00EE4BF5" w:rsidP="00EE4BF5">
      <w:pPr>
        <w:numPr>
          <w:ilvl w:val="0"/>
          <w:numId w:val="13"/>
        </w:numPr>
        <w:jc w:val="both"/>
      </w:pPr>
      <w:r w:rsidRPr="00DD5DD7">
        <w:lastRenderedPageBreak/>
        <w:t xml:space="preserve">Implementar en </w:t>
      </w:r>
      <w:r w:rsidR="00F64911">
        <w:t>la r</w:t>
      </w:r>
      <w:r w:rsidRPr="00DD5DD7">
        <w:t>ed hospitalaria, laboratorios específicos de prueba y otros medios para la detección de</w:t>
      </w:r>
      <w:r w:rsidR="00F64911">
        <w:t>l</w:t>
      </w:r>
      <w:r w:rsidRPr="00DD5DD7">
        <w:t xml:space="preserve"> C</w:t>
      </w:r>
      <w:r w:rsidR="00F64911">
        <w:t>ovid</w:t>
      </w:r>
      <w:r w:rsidRPr="00DD5DD7">
        <w:t>-19.</w:t>
      </w:r>
    </w:p>
    <w:p w:rsidR="00EE4BF5" w:rsidRPr="00DD5DD7" w:rsidRDefault="00EE4BF5" w:rsidP="00EE4BF5">
      <w:pPr>
        <w:numPr>
          <w:ilvl w:val="0"/>
          <w:numId w:val="13"/>
        </w:numPr>
        <w:jc w:val="both"/>
      </w:pPr>
      <w:r w:rsidRPr="00DD5DD7">
        <w:t>Difusión de los procedimientos de prevención y los cuidados durante la pandemia</w:t>
      </w:r>
      <w:r w:rsidR="00D022F2">
        <w:t xml:space="preserve"> del</w:t>
      </w:r>
      <w:r w:rsidRPr="00DD5DD7">
        <w:t xml:space="preserve"> C</w:t>
      </w:r>
      <w:r w:rsidR="00D022F2">
        <w:t>ovid</w:t>
      </w:r>
      <w:r w:rsidRPr="00DD5DD7">
        <w:t>-19</w:t>
      </w:r>
      <w:r w:rsidR="00D022F2">
        <w:t>,</w:t>
      </w:r>
      <w:r w:rsidRPr="00DD5DD7">
        <w:t xml:space="preserve"> en coordinación con el IGSS.</w:t>
      </w:r>
    </w:p>
    <w:p w:rsidR="00EE4BF5" w:rsidRPr="00DD5DD7" w:rsidRDefault="00EE4BF5" w:rsidP="00EE4BF5">
      <w:pPr>
        <w:numPr>
          <w:ilvl w:val="0"/>
          <w:numId w:val="13"/>
        </w:numPr>
        <w:jc w:val="both"/>
      </w:pPr>
      <w:r w:rsidRPr="00DD5DD7">
        <w:t>Bono de riesgo para trabajadores de salud.</w:t>
      </w:r>
    </w:p>
    <w:p w:rsidR="00EE4BF5" w:rsidRPr="002E3A88" w:rsidRDefault="00EE4BF5" w:rsidP="00EE4BF5">
      <w:pPr>
        <w:jc w:val="both"/>
      </w:pPr>
    </w:p>
    <w:p w:rsidR="00EE4BF5" w:rsidRPr="008050B4" w:rsidRDefault="00EE4BF5" w:rsidP="00EE4BF5">
      <w:pPr>
        <w:pStyle w:val="Ttulo4"/>
        <w:numPr>
          <w:ilvl w:val="0"/>
          <w:numId w:val="0"/>
        </w:numPr>
        <w:ind w:left="426"/>
        <w:rPr>
          <w:rFonts w:ascii="Times New Roman" w:hAnsi="Times New Roman"/>
          <w:i w:val="0"/>
          <w:color w:val="auto"/>
        </w:rPr>
      </w:pPr>
      <w:r w:rsidRPr="008050B4">
        <w:rPr>
          <w:rFonts w:ascii="Times New Roman" w:hAnsi="Times New Roman"/>
          <w:i w:val="0"/>
          <w:color w:val="auto"/>
        </w:rPr>
        <w:t>4.5 Medidas Sociales por cada Decreto Aprobado</w:t>
      </w:r>
    </w:p>
    <w:p w:rsidR="00EE4BF5" w:rsidRPr="00DD5DD7" w:rsidRDefault="00EE4BF5" w:rsidP="00EE4BF5">
      <w:pPr>
        <w:jc w:val="both"/>
        <w:rPr>
          <w:b/>
        </w:rPr>
      </w:pPr>
    </w:p>
    <w:p w:rsidR="00EE4BF5" w:rsidRPr="00DD5DD7" w:rsidRDefault="00EE4BF5" w:rsidP="00EE4BF5">
      <w:pPr>
        <w:numPr>
          <w:ilvl w:val="0"/>
          <w:numId w:val="14"/>
        </w:numPr>
        <w:jc w:val="both"/>
      </w:pPr>
      <w:r w:rsidRPr="00DD5DD7">
        <w:t>Programa Dotación Alimentaria y Prevención</w:t>
      </w:r>
      <w:r w:rsidR="00993037">
        <w:t>,</w:t>
      </w:r>
      <w:r w:rsidRPr="00DD5DD7">
        <w:t xml:space="preserve"> Decreto </w:t>
      </w:r>
      <w:r w:rsidR="00993037">
        <w:t xml:space="preserve">No. </w:t>
      </w:r>
      <w:r w:rsidRPr="00DD5DD7">
        <w:t>12-2020, ejecutado por el Ministerio de Agricultura</w:t>
      </w:r>
      <w:r w:rsidR="00993037">
        <w:t>, Ganadería y Alimentación</w:t>
      </w:r>
      <w:r w:rsidRPr="00DD5DD7">
        <w:t xml:space="preserve"> y el Ministerio de Desarrollo Social, por un monto de Q.700.0 millones; que está dirigido a la población vulnerable, pequeños productores en áreas de alta incidencia o riesgo</w:t>
      </w:r>
      <w:r w:rsidR="00993037">
        <w:t>. Reportó</w:t>
      </w:r>
      <w:r w:rsidRPr="00DD5DD7">
        <w:t xml:space="preserve"> una ejecución presupuestaria de</w:t>
      </w:r>
      <w:r w:rsidR="00993037">
        <w:t>l</w:t>
      </w:r>
      <w:r w:rsidRPr="00DD5DD7">
        <w:t xml:space="preserve"> 100</w:t>
      </w:r>
      <w:r w:rsidR="001032FE">
        <w:t>.0</w:t>
      </w:r>
      <w:r w:rsidRPr="00DD5DD7">
        <w:t>%.</w:t>
      </w:r>
    </w:p>
    <w:p w:rsidR="00EE4BF5" w:rsidRPr="00DD5DD7" w:rsidRDefault="00EE4BF5" w:rsidP="00EE4BF5">
      <w:pPr>
        <w:numPr>
          <w:ilvl w:val="0"/>
          <w:numId w:val="14"/>
        </w:numPr>
        <w:jc w:val="both"/>
      </w:pPr>
      <w:r w:rsidRPr="00DD5DD7">
        <w:t>Programa de Agricultura Campesina</w:t>
      </w:r>
      <w:r w:rsidR="00993037">
        <w:t>,</w:t>
      </w:r>
      <w:r w:rsidRPr="00DD5DD7">
        <w:t xml:space="preserve"> Decreto </w:t>
      </w:r>
      <w:r w:rsidR="00993037">
        <w:t xml:space="preserve">No. </w:t>
      </w:r>
      <w:r w:rsidRPr="00DD5DD7">
        <w:t>12-2020, ejecutado por el Ministerio de Agricultura,</w:t>
      </w:r>
      <w:r w:rsidR="00993037">
        <w:t xml:space="preserve"> Ganadería y Alimentación</w:t>
      </w:r>
      <w:r w:rsidRPr="00DD5DD7">
        <w:t xml:space="preserve"> por un monto de Q.50.0 millones; dirigido a productores rurales</w:t>
      </w:r>
      <w:r w:rsidR="00993037">
        <w:t>.</w:t>
      </w:r>
      <w:r w:rsidRPr="00DD5DD7">
        <w:t xml:space="preserve"> </w:t>
      </w:r>
      <w:r w:rsidR="00993037">
        <w:t>N</w:t>
      </w:r>
      <w:r w:rsidRPr="00DD5DD7">
        <w:t>o presenta ningún grado de ejecución.</w:t>
      </w:r>
    </w:p>
    <w:p w:rsidR="00EE4BF5" w:rsidRPr="00DD5DD7" w:rsidRDefault="00EE4BF5" w:rsidP="00EE4BF5">
      <w:pPr>
        <w:numPr>
          <w:ilvl w:val="0"/>
          <w:numId w:val="14"/>
        </w:numPr>
        <w:jc w:val="both"/>
      </w:pPr>
      <w:r w:rsidRPr="00DD5DD7">
        <w:t>Programa Bono Familia</w:t>
      </w:r>
      <w:r w:rsidR="00993037">
        <w:t>,</w:t>
      </w:r>
      <w:r w:rsidRPr="00DD5DD7">
        <w:t xml:space="preserve"> Decreto</w:t>
      </w:r>
      <w:r w:rsidR="00993037">
        <w:t xml:space="preserve"> No.</w:t>
      </w:r>
      <w:r w:rsidRPr="00DD5DD7">
        <w:t xml:space="preserve"> 13-2020, ejecutado por el Ministerio de Desarrollo Social, por un monto de Q.6,000.0 millones; Q</w:t>
      </w:r>
      <w:r w:rsidR="00993037">
        <w:t>.</w:t>
      </w:r>
      <w:r w:rsidRPr="00DD5DD7">
        <w:t>1mil por familia x 3 meses, se tomó en cuenta el consumo eléctrico y vulnerabilidad</w:t>
      </w:r>
      <w:r w:rsidR="00993037">
        <w:t>. S</w:t>
      </w:r>
      <w:r w:rsidRPr="00DD5DD7">
        <w:t>e ejecutó el 100</w:t>
      </w:r>
      <w:r w:rsidR="001032FE">
        <w:t>.0</w:t>
      </w:r>
      <w:r w:rsidRPr="00DD5DD7">
        <w:t>% de los recursos.</w:t>
      </w:r>
    </w:p>
    <w:p w:rsidR="00EE4BF5" w:rsidRPr="00DD5DD7" w:rsidRDefault="00EE4BF5" w:rsidP="00EE4BF5">
      <w:pPr>
        <w:numPr>
          <w:ilvl w:val="0"/>
          <w:numId w:val="14"/>
        </w:numPr>
        <w:jc w:val="both"/>
      </w:pPr>
      <w:r w:rsidRPr="00DD5DD7">
        <w:t>Programa de</w:t>
      </w:r>
      <w:r w:rsidR="00993037">
        <w:t>l</w:t>
      </w:r>
      <w:r w:rsidRPr="00DD5DD7">
        <w:t xml:space="preserve"> Adulto Mayor</w:t>
      </w:r>
      <w:r w:rsidR="00993037">
        <w:t>,</w:t>
      </w:r>
      <w:r w:rsidRPr="00DD5DD7">
        <w:t xml:space="preserve"> Decreto </w:t>
      </w:r>
      <w:r w:rsidR="00993037">
        <w:t xml:space="preserve">No. </w:t>
      </w:r>
      <w:r w:rsidRPr="00DD5DD7">
        <w:t>12-2020</w:t>
      </w:r>
      <w:r w:rsidR="00993037">
        <w:t xml:space="preserve">, ejecutado </w:t>
      </w:r>
      <w:r w:rsidRPr="00DD5DD7">
        <w:t>por medio del Ministerio de Trabajo</w:t>
      </w:r>
      <w:r w:rsidR="00993037">
        <w:t xml:space="preserve"> y Previsión Social</w:t>
      </w:r>
      <w:r w:rsidRPr="00DD5DD7">
        <w:t>, por un monto de Q.50.0 millones, Q</w:t>
      </w:r>
      <w:r w:rsidR="00993037">
        <w:t>.</w:t>
      </w:r>
      <w:r w:rsidRPr="00DD5DD7">
        <w:t>400 mensuales a personas mayore</w:t>
      </w:r>
      <w:r w:rsidR="00993037">
        <w:t>s de 65 años en pobreza extrema. T</w:t>
      </w:r>
      <w:r w:rsidRPr="00DD5DD7">
        <w:t>uvo una ejecución del 46.0%.</w:t>
      </w:r>
    </w:p>
    <w:p w:rsidR="00EE4BF5" w:rsidRPr="00DD5DD7" w:rsidRDefault="00EE4BF5" w:rsidP="00EE4BF5">
      <w:pPr>
        <w:numPr>
          <w:ilvl w:val="0"/>
          <w:numId w:val="14"/>
        </w:numPr>
        <w:jc w:val="both"/>
      </w:pPr>
      <w:r w:rsidRPr="00DD5DD7">
        <w:t xml:space="preserve">Subsidio a </w:t>
      </w:r>
      <w:r w:rsidR="00993037">
        <w:t>T</w:t>
      </w:r>
      <w:r w:rsidRPr="00DD5DD7">
        <w:t xml:space="preserve">arifa </w:t>
      </w:r>
      <w:r w:rsidR="00993037">
        <w:t>S</w:t>
      </w:r>
      <w:r w:rsidRPr="00DD5DD7">
        <w:t xml:space="preserve">ocial de </w:t>
      </w:r>
      <w:r w:rsidR="00993037">
        <w:t>E</w:t>
      </w:r>
      <w:r w:rsidRPr="00DD5DD7">
        <w:t xml:space="preserve">nergía </w:t>
      </w:r>
      <w:r w:rsidR="00993037">
        <w:t>E</w:t>
      </w:r>
      <w:r w:rsidRPr="00DD5DD7">
        <w:t>léctrica</w:t>
      </w:r>
      <w:r w:rsidR="00993037">
        <w:t>,</w:t>
      </w:r>
      <w:r w:rsidRPr="00DD5DD7">
        <w:t xml:space="preserve"> Decreto </w:t>
      </w:r>
      <w:r w:rsidR="00993037">
        <w:t xml:space="preserve">No. </w:t>
      </w:r>
      <w:r w:rsidRPr="00DD5DD7">
        <w:t xml:space="preserve">13-2020, transferido a través de Obligaciones del Estado a </w:t>
      </w:r>
      <w:r w:rsidR="001032FE">
        <w:t>C</w:t>
      </w:r>
      <w:r w:rsidRPr="00DD5DD7">
        <w:t>argo del Tesoro</w:t>
      </w:r>
      <w:r w:rsidR="001032FE">
        <w:t xml:space="preserve"> al Instituto Nacional de Electrificación (INDE)</w:t>
      </w:r>
      <w:r w:rsidRPr="00DD5DD7">
        <w:t xml:space="preserve">, por un monto de Q.270.0 millones, destinado a cubrir alrededor de 4 millones </w:t>
      </w:r>
      <w:r w:rsidR="00993037">
        <w:t xml:space="preserve">de </w:t>
      </w:r>
      <w:r w:rsidRPr="00DD5DD7">
        <w:t>beneficia</w:t>
      </w:r>
      <w:r w:rsidR="00993037">
        <w:t>rios</w:t>
      </w:r>
      <w:r w:rsidRPr="00DD5DD7">
        <w:t>. Se ejecutó el 100</w:t>
      </w:r>
      <w:r w:rsidR="00936510">
        <w:t>.0</w:t>
      </w:r>
      <w:r w:rsidRPr="00DD5DD7">
        <w:t>% de los recursos.</w:t>
      </w:r>
    </w:p>
    <w:p w:rsidR="00EE4BF5" w:rsidRPr="002E3A88" w:rsidRDefault="00EE4BF5" w:rsidP="00EE4BF5">
      <w:pPr>
        <w:jc w:val="both"/>
        <w:rPr>
          <w:b/>
        </w:rPr>
      </w:pPr>
    </w:p>
    <w:p w:rsidR="00EE4BF5" w:rsidRPr="008050B4" w:rsidRDefault="00EE4BF5" w:rsidP="00EE4BF5">
      <w:pPr>
        <w:pStyle w:val="Ttulo4"/>
        <w:numPr>
          <w:ilvl w:val="0"/>
          <w:numId w:val="0"/>
        </w:numPr>
        <w:ind w:left="426"/>
        <w:rPr>
          <w:rFonts w:ascii="Times New Roman" w:hAnsi="Times New Roman"/>
          <w:i w:val="0"/>
          <w:color w:val="auto"/>
        </w:rPr>
      </w:pPr>
      <w:r w:rsidRPr="008050B4">
        <w:rPr>
          <w:rFonts w:ascii="Times New Roman" w:hAnsi="Times New Roman"/>
          <w:i w:val="0"/>
          <w:color w:val="auto"/>
        </w:rPr>
        <w:t>4.6 Medidas Económicas por cada Decreto Aprobado</w:t>
      </w:r>
    </w:p>
    <w:p w:rsidR="00EE4BF5" w:rsidRPr="00DD5DD7" w:rsidRDefault="00EE4BF5" w:rsidP="00EE4BF5">
      <w:pPr>
        <w:jc w:val="both"/>
        <w:rPr>
          <w:b/>
        </w:rPr>
      </w:pPr>
    </w:p>
    <w:p w:rsidR="00EE4BF5" w:rsidRPr="00DD5DD7" w:rsidRDefault="00EE4BF5" w:rsidP="00E00BC8">
      <w:pPr>
        <w:pStyle w:val="Prrafodelista"/>
        <w:numPr>
          <w:ilvl w:val="0"/>
          <w:numId w:val="26"/>
        </w:numPr>
        <w:jc w:val="both"/>
      </w:pPr>
      <w:r w:rsidRPr="00DD5DD7">
        <w:t xml:space="preserve">Programa de Apoyo a MIPYMES, Decreto </w:t>
      </w:r>
      <w:r w:rsidR="00E00BC8">
        <w:t xml:space="preserve">No. </w:t>
      </w:r>
      <w:r w:rsidRPr="00DD5DD7">
        <w:t>12-2020, ejecutado por el Ministerio de Economía, por un monto de Q.400.0 millones, orientado a atender 1,600 MIPYMES por medio de</w:t>
      </w:r>
      <w:r w:rsidR="00936510">
        <w:t xml:space="preserve"> créditos a</w:t>
      </w:r>
      <w:r w:rsidRPr="00DD5DD7">
        <w:t xml:space="preserve"> tasas preferenciales. Presentó una ejecución presupuestaria de</w:t>
      </w:r>
      <w:r w:rsidR="00E00BC8">
        <w:t>l</w:t>
      </w:r>
      <w:r w:rsidRPr="00DD5DD7">
        <w:t xml:space="preserve"> 100.0%.</w:t>
      </w:r>
    </w:p>
    <w:p w:rsidR="00EE4BF5" w:rsidRPr="00DD5DD7" w:rsidRDefault="00EE4BF5" w:rsidP="00E00BC8">
      <w:pPr>
        <w:pStyle w:val="Prrafodelista"/>
        <w:numPr>
          <w:ilvl w:val="0"/>
          <w:numId w:val="26"/>
        </w:numPr>
        <w:jc w:val="both"/>
      </w:pPr>
      <w:r w:rsidRPr="00DD5DD7">
        <w:t xml:space="preserve">Fondo de Protección de Capitales, Decreto </w:t>
      </w:r>
      <w:r w:rsidR="00E00BC8">
        <w:t xml:space="preserve">No. </w:t>
      </w:r>
      <w:r w:rsidRPr="00DD5DD7">
        <w:t xml:space="preserve">12-2020, </w:t>
      </w:r>
      <w:r w:rsidR="00936510">
        <w:t xml:space="preserve">transferido </w:t>
      </w:r>
      <w:r w:rsidRPr="00DD5DD7">
        <w:t xml:space="preserve">a través de Obligaciones del Estado a </w:t>
      </w:r>
      <w:r w:rsidR="00936510">
        <w:t>C</w:t>
      </w:r>
      <w:r w:rsidRPr="00DD5DD7">
        <w:t>argo del Tesoro</w:t>
      </w:r>
      <w:r w:rsidR="00936510">
        <w:t xml:space="preserve"> al Crédito Hipotecario Nacional (CHN)</w:t>
      </w:r>
      <w:r w:rsidRPr="00DD5DD7">
        <w:t xml:space="preserve">, por un monto de Q.250.0 millones, dirigido a </w:t>
      </w:r>
      <w:r w:rsidR="00936510">
        <w:t xml:space="preserve">otorgar créditos para </w:t>
      </w:r>
      <w:r w:rsidRPr="00DD5DD7">
        <w:t>comerciantes, profesionales, empresas</w:t>
      </w:r>
      <w:r w:rsidR="00E00BC8">
        <w:t xml:space="preserve"> y</w:t>
      </w:r>
      <w:r w:rsidRPr="00DD5DD7">
        <w:t xml:space="preserve"> cooperativas. Tiene una ejecución presupuestaria de</w:t>
      </w:r>
      <w:r w:rsidR="00E00BC8">
        <w:t>l</w:t>
      </w:r>
      <w:r w:rsidRPr="00DD5DD7">
        <w:t xml:space="preserve"> 100.0%.</w:t>
      </w:r>
    </w:p>
    <w:p w:rsidR="00EE4BF5" w:rsidRPr="00DD5DD7" w:rsidRDefault="00EE4BF5" w:rsidP="00E00BC8">
      <w:pPr>
        <w:pStyle w:val="Prrafodelista"/>
        <w:numPr>
          <w:ilvl w:val="0"/>
          <w:numId w:val="26"/>
        </w:numPr>
        <w:jc w:val="both"/>
      </w:pPr>
      <w:r w:rsidRPr="00DD5DD7">
        <w:t xml:space="preserve">Bono de Protección </w:t>
      </w:r>
      <w:r w:rsidR="00E00BC8">
        <w:t>a</w:t>
      </w:r>
      <w:r w:rsidRPr="00DD5DD7">
        <w:t xml:space="preserve">l Empleo, Decreto </w:t>
      </w:r>
      <w:r w:rsidR="00E00BC8">
        <w:t xml:space="preserve">No. </w:t>
      </w:r>
      <w:r w:rsidRPr="00DD5DD7">
        <w:t>13-2020, a través del Ministerio de Economía, por un monto de Q.2,000.0 millones, para otorgar Q</w:t>
      </w:r>
      <w:r w:rsidR="00E00BC8">
        <w:t>.</w:t>
      </w:r>
      <w:r w:rsidRPr="00DD5DD7">
        <w:t>75 x día a los trabajadores con suspensión de contrato. Se ejecutó el 100.0% de los recursos.</w:t>
      </w:r>
    </w:p>
    <w:p w:rsidR="00EE4BF5" w:rsidRPr="00DD5DD7" w:rsidRDefault="00EE4BF5" w:rsidP="00E00BC8">
      <w:pPr>
        <w:pStyle w:val="Prrafodelista"/>
        <w:numPr>
          <w:ilvl w:val="0"/>
          <w:numId w:val="26"/>
        </w:numPr>
        <w:jc w:val="both"/>
      </w:pPr>
      <w:r w:rsidRPr="00DD5DD7">
        <w:t>Fondo de Crédito para Capital de Trabajo</w:t>
      </w:r>
      <w:r w:rsidR="00E00BC8">
        <w:t>,</w:t>
      </w:r>
      <w:r w:rsidRPr="00DD5DD7">
        <w:t xml:space="preserve"> Decreto</w:t>
      </w:r>
      <w:r w:rsidR="00E00BC8">
        <w:t xml:space="preserve"> No. </w:t>
      </w:r>
      <w:r w:rsidRPr="00DD5DD7">
        <w:t>13-2020</w:t>
      </w:r>
      <w:r w:rsidR="00E00BC8">
        <w:t xml:space="preserve">, </w:t>
      </w:r>
      <w:r w:rsidR="00936510">
        <w:t>transferido</w:t>
      </w:r>
      <w:r w:rsidR="00E00BC8">
        <w:t xml:space="preserve"> a</w:t>
      </w:r>
      <w:r w:rsidRPr="00DD5DD7">
        <w:t xml:space="preserve"> través de Obligaciones del Estado a </w:t>
      </w:r>
      <w:r w:rsidR="00936510">
        <w:t>C</w:t>
      </w:r>
      <w:r w:rsidRPr="00DD5DD7">
        <w:t>argo del Tesoro</w:t>
      </w:r>
      <w:r w:rsidR="00936510">
        <w:t xml:space="preserve"> al Crédito Hipotecario </w:t>
      </w:r>
      <w:r w:rsidR="00847A5C">
        <w:t>N</w:t>
      </w:r>
      <w:r w:rsidR="00936510">
        <w:t>acional (CHN)</w:t>
      </w:r>
      <w:r w:rsidRPr="00DD5DD7">
        <w:t xml:space="preserve">, por un monto de Q.2,730.0 millones, para capitalizar las PYMES, profesionales, trabajadores independientes hasta </w:t>
      </w:r>
      <w:r w:rsidR="00E00BC8">
        <w:t xml:space="preserve">por </w:t>
      </w:r>
      <w:r w:rsidRPr="00DD5DD7">
        <w:t>un monto de Q</w:t>
      </w:r>
      <w:r w:rsidR="00E00BC8">
        <w:t>.</w:t>
      </w:r>
      <w:r w:rsidRPr="00DD5DD7">
        <w:t>250.0 mil. Presenta una ejecución del 84.0%.</w:t>
      </w:r>
    </w:p>
    <w:p w:rsidR="00EE4BF5" w:rsidRPr="005502BE" w:rsidRDefault="00EE4BF5" w:rsidP="00EE4BF5">
      <w:pPr>
        <w:jc w:val="both"/>
        <w:rPr>
          <w:b/>
          <w:sz w:val="32"/>
        </w:rPr>
      </w:pPr>
    </w:p>
    <w:p w:rsidR="00EE4BF5" w:rsidRPr="0050490D" w:rsidRDefault="0050490D" w:rsidP="0050490D">
      <w:pPr>
        <w:pStyle w:val="Ttulo3"/>
        <w:numPr>
          <w:ilvl w:val="0"/>
          <w:numId w:val="0"/>
        </w:numPr>
        <w:ind w:left="851" w:hanging="437"/>
        <w:rPr>
          <w:color w:val="auto"/>
        </w:rPr>
      </w:pPr>
      <w:bookmarkStart w:id="31" w:name="_Toc65826761"/>
      <w:r>
        <w:rPr>
          <w:color w:val="auto"/>
        </w:rPr>
        <w:t>5</w:t>
      </w:r>
      <w:r>
        <w:rPr>
          <w:color w:val="auto"/>
        </w:rPr>
        <w:tab/>
      </w:r>
      <w:r w:rsidR="00EE4BF5" w:rsidRPr="0050490D">
        <w:rPr>
          <w:color w:val="auto"/>
        </w:rPr>
        <w:t xml:space="preserve">Informe de Gastos bajo el Programa 94 </w:t>
      </w:r>
      <w:r w:rsidR="001F24BD" w:rsidRPr="0050490D">
        <w:rPr>
          <w:color w:val="auto"/>
        </w:rPr>
        <w:t>“</w:t>
      </w:r>
      <w:r w:rsidR="00EE4BF5" w:rsidRPr="0050490D">
        <w:rPr>
          <w:color w:val="auto"/>
        </w:rPr>
        <w:t>Atención por Desastres Naturales y Calamidades Públicas</w:t>
      </w:r>
      <w:r w:rsidR="001F24BD" w:rsidRPr="0050490D">
        <w:rPr>
          <w:color w:val="auto"/>
        </w:rPr>
        <w:t>”</w:t>
      </w:r>
      <w:r w:rsidR="00EE4BF5" w:rsidRPr="0050490D">
        <w:rPr>
          <w:color w:val="auto"/>
        </w:rPr>
        <w:t xml:space="preserve">, Subprograma 11 </w:t>
      </w:r>
      <w:r w:rsidR="001F24BD" w:rsidRPr="0050490D">
        <w:rPr>
          <w:color w:val="auto"/>
        </w:rPr>
        <w:t>“</w:t>
      </w:r>
      <w:r w:rsidR="00EE4BF5" w:rsidRPr="0050490D">
        <w:rPr>
          <w:color w:val="auto"/>
        </w:rPr>
        <w:t>Depresión Tropical E</w:t>
      </w:r>
      <w:r w:rsidR="00191950" w:rsidRPr="0050490D">
        <w:rPr>
          <w:color w:val="auto"/>
        </w:rPr>
        <w:t>ta</w:t>
      </w:r>
      <w:r w:rsidR="001F24BD" w:rsidRPr="0050490D">
        <w:rPr>
          <w:color w:val="auto"/>
        </w:rPr>
        <w:t>”</w:t>
      </w:r>
      <w:bookmarkEnd w:id="31"/>
    </w:p>
    <w:p w:rsidR="00EE4BF5" w:rsidRPr="005502BE" w:rsidRDefault="00EE4BF5" w:rsidP="00EE4BF5">
      <w:pPr>
        <w:jc w:val="both"/>
        <w:rPr>
          <w:b/>
          <w:sz w:val="30"/>
          <w:szCs w:val="30"/>
        </w:rPr>
      </w:pPr>
    </w:p>
    <w:p w:rsidR="00EE4BF5" w:rsidRPr="00DD5DD7" w:rsidRDefault="00EE4BF5" w:rsidP="00EE4BF5">
      <w:pPr>
        <w:jc w:val="both"/>
        <w:rPr>
          <w:bCs/>
        </w:rPr>
      </w:pPr>
      <w:r w:rsidRPr="00DD5DD7">
        <w:t xml:space="preserve">El Ministerio de Finanzas Públicas a través del Sistema de Contabilidad Integrada </w:t>
      </w:r>
      <w:r w:rsidR="00191950">
        <w:t>(</w:t>
      </w:r>
      <w:r w:rsidRPr="00DD5DD7">
        <w:t>SICOIN</w:t>
      </w:r>
      <w:r w:rsidR="00191950">
        <w:t>)</w:t>
      </w:r>
      <w:r w:rsidRPr="00DD5DD7">
        <w:t xml:space="preserve"> cuenta con registros sobre la ejecución presupuestaria realizad</w:t>
      </w:r>
      <w:r w:rsidR="00191950">
        <w:t>a</w:t>
      </w:r>
      <w:r w:rsidRPr="00DD5DD7">
        <w:t xml:space="preserve"> para atender la emergencia provocada </w:t>
      </w:r>
      <w:r w:rsidRPr="00DD5DD7">
        <w:rPr>
          <w:bCs/>
        </w:rPr>
        <w:t>por la Depresión Tropical E</w:t>
      </w:r>
      <w:r w:rsidR="00191950">
        <w:rPr>
          <w:bCs/>
        </w:rPr>
        <w:t>ta</w:t>
      </w:r>
      <w:r w:rsidRPr="00DD5DD7">
        <w:rPr>
          <w:bCs/>
        </w:rPr>
        <w:t>.</w:t>
      </w:r>
    </w:p>
    <w:p w:rsidR="00EE4BF5" w:rsidRPr="005502BE" w:rsidRDefault="00EE4BF5" w:rsidP="00EE4BF5">
      <w:pPr>
        <w:jc w:val="both"/>
        <w:rPr>
          <w:bCs/>
          <w:sz w:val="30"/>
          <w:szCs w:val="30"/>
        </w:rPr>
      </w:pPr>
    </w:p>
    <w:p w:rsidR="00EE4BF5" w:rsidRPr="00DD5DD7" w:rsidRDefault="00EE4BF5" w:rsidP="00EE4BF5">
      <w:pPr>
        <w:jc w:val="both"/>
      </w:pPr>
      <w:r w:rsidRPr="00DD5DD7">
        <w:t>El presupuesto aprobado para atender los desastres provocados por la Depresión Tropical E</w:t>
      </w:r>
      <w:r w:rsidR="00191950">
        <w:t>ta</w:t>
      </w:r>
      <w:r w:rsidRPr="00DD5DD7">
        <w:t xml:space="preserve"> fue de Q.356.1 millones, asignado</w:t>
      </w:r>
      <w:r w:rsidR="00191950">
        <w:t>s así:</w:t>
      </w:r>
      <w:r w:rsidRPr="00DD5DD7">
        <w:t xml:space="preserve"> al Ministerio de Agricultura, Ganadería y Alimentación Q.26.3 millones; Ministerio de Comunicaciones, Infraestructura y Vivienda Q.276.7 millones; Ministerio de Cultura y Deportes Q.2.0 millones; Obligaciones del Estado a Cargo del Tesoro Q.10.0 millones y al Ministerio de Desarrollo Social Q.41.1 millones. Al 31 de diciembre de 2020 la ejecución total fue de Q.86.7 millones, equivalente</w:t>
      </w:r>
      <w:r w:rsidR="00191950">
        <w:t>s</w:t>
      </w:r>
      <w:r w:rsidRPr="00DD5DD7">
        <w:t xml:space="preserve"> al 24.3% de</w:t>
      </w:r>
      <w:r w:rsidR="00191950">
        <w:t xml:space="preserve"> ese</w:t>
      </w:r>
      <w:r w:rsidRPr="00DD5DD7">
        <w:t xml:space="preserve"> presupuesto vigente.</w:t>
      </w:r>
    </w:p>
    <w:p w:rsidR="00EE4BF5" w:rsidRPr="005502BE" w:rsidRDefault="00EE4BF5" w:rsidP="00EE4BF5">
      <w:pPr>
        <w:jc w:val="both"/>
        <w:rPr>
          <w:sz w:val="30"/>
          <w:szCs w:val="30"/>
        </w:rPr>
      </w:pPr>
    </w:p>
    <w:p w:rsidR="00EE4BF5" w:rsidRPr="00DD5DD7" w:rsidRDefault="00EE4BF5" w:rsidP="00EE4BF5">
      <w:pPr>
        <w:jc w:val="both"/>
      </w:pPr>
      <w:r w:rsidRPr="00DD5DD7">
        <w:t>Del total de recursos asignado</w:t>
      </w:r>
      <w:r w:rsidR="00191950">
        <w:t>s</w:t>
      </w:r>
      <w:r w:rsidRPr="00DD5DD7">
        <w:t xml:space="preserve"> al Ministerio de Agricultura</w:t>
      </w:r>
      <w:r w:rsidR="00191950">
        <w:t>, Ganadería y Alimentación</w:t>
      </w:r>
      <w:r w:rsidRPr="00DD5DD7">
        <w:t xml:space="preserve"> se dividieron en los renglones siguientes: Arrendamiento de Maquinaria y Equipo de Construcción Q.10.3 millones; Herramientas Menores Q.5.6 millones; Productos Agropecuarios para Comercialización Q.4.4 millones; Productos Plásticos, Nylon, Vinil y P.V.C. Q.4.1 millones; Otros Materiales y Suministros Q.1.8 millones.</w:t>
      </w:r>
    </w:p>
    <w:p w:rsidR="00EE4BF5" w:rsidRPr="005502BE" w:rsidRDefault="00EE4BF5" w:rsidP="00EE4BF5">
      <w:pPr>
        <w:jc w:val="both"/>
        <w:rPr>
          <w:sz w:val="30"/>
          <w:szCs w:val="30"/>
        </w:rPr>
      </w:pPr>
    </w:p>
    <w:p w:rsidR="00EE4BF5" w:rsidRPr="00DD5DD7" w:rsidRDefault="00EE4BF5" w:rsidP="00EE4BF5">
      <w:pPr>
        <w:jc w:val="both"/>
      </w:pPr>
      <w:r w:rsidRPr="00DD5DD7">
        <w:t>De los recursos asignados al Ministerio de Comunicaciones, Infraestructura y Vivienda los rubros más significativos son los siguientes: Mantenimiento y Reparación de Bienes Nacionales de Uso Común Q.159.7 millones; Arrendamiento de Maquinaria y Equipo de Construcción Q.97.3 millones; Construcción de Bienes Nacionales de Uso Común Q.8.9 millones; Servicios de Ingeniería</w:t>
      </w:r>
      <w:r w:rsidR="008E0614">
        <w:t>,</w:t>
      </w:r>
      <w:r w:rsidRPr="00DD5DD7">
        <w:t xml:space="preserve"> Arquitectura y Supervisión de Obras Q.6.4 millones y Otras Maquinarias y Equipos Q.4.5 millones.</w:t>
      </w:r>
    </w:p>
    <w:p w:rsidR="00EE4BF5" w:rsidRPr="005502BE" w:rsidRDefault="00EE4BF5" w:rsidP="00EE4BF5">
      <w:pPr>
        <w:jc w:val="both"/>
        <w:rPr>
          <w:sz w:val="30"/>
          <w:szCs w:val="30"/>
        </w:rPr>
      </w:pPr>
    </w:p>
    <w:p w:rsidR="00EE4BF5" w:rsidRDefault="00EE4BF5" w:rsidP="00EE4BF5">
      <w:pPr>
        <w:jc w:val="both"/>
      </w:pPr>
      <w:r w:rsidRPr="00DD5DD7">
        <w:t xml:space="preserve">Los recursos </w:t>
      </w:r>
      <w:r w:rsidR="00191950">
        <w:t>asignados</w:t>
      </w:r>
      <w:r w:rsidRPr="00DD5DD7">
        <w:t xml:space="preserve"> al Ministerio de Cultura y Deportes fueron </w:t>
      </w:r>
      <w:r w:rsidR="00191950">
        <w:t>orientados</w:t>
      </w:r>
      <w:r w:rsidRPr="00DD5DD7">
        <w:t xml:space="preserve"> al Mantenimiento y Reparación de Otras Obras e </w:t>
      </w:r>
      <w:r w:rsidR="00191950">
        <w:t>I</w:t>
      </w:r>
      <w:r w:rsidRPr="00DD5DD7">
        <w:t>nstalaciones Q.2.0 millones. Asimismo, para Obligaciones del Estado a Cargo del Tesoro se asignaron</w:t>
      </w:r>
      <w:r w:rsidR="00191950">
        <w:t xml:space="preserve"> Q.10.0 millones</w:t>
      </w:r>
      <w:r w:rsidRPr="00DD5DD7">
        <w:t xml:space="preserve"> </w:t>
      </w:r>
      <w:r w:rsidR="00191950">
        <w:t>para</w:t>
      </w:r>
      <w:r w:rsidRPr="00DD5DD7">
        <w:t xml:space="preserve"> Transferencias a la Administración Central.</w:t>
      </w:r>
    </w:p>
    <w:p w:rsidR="00191950" w:rsidRPr="005502BE" w:rsidRDefault="00191950" w:rsidP="00EE4BF5">
      <w:pPr>
        <w:jc w:val="both"/>
        <w:rPr>
          <w:sz w:val="30"/>
          <w:szCs w:val="30"/>
        </w:rPr>
      </w:pPr>
    </w:p>
    <w:p w:rsidR="00EE4BF5" w:rsidRPr="00DD5DD7" w:rsidRDefault="00EE4BF5" w:rsidP="00EE4BF5">
      <w:pPr>
        <w:jc w:val="both"/>
      </w:pPr>
      <w:r w:rsidRPr="00DD5DD7">
        <w:t xml:space="preserve">Los recursos asignados al Ministerio de Desarrollo Social fueron distribuidos en los rubros siguientes: Alimentos para Personas Q.19.1 millones; Estructuras Metálicas Acabadas Q.7.3 millones; Cemento Q.6.2 millones; Productos Siderúrgicos Q.5.4; </w:t>
      </w:r>
      <w:r w:rsidR="00191950">
        <w:t>O</w:t>
      </w:r>
      <w:r w:rsidRPr="00DD5DD7">
        <w:t xml:space="preserve">tros </w:t>
      </w:r>
      <w:r w:rsidR="00191950">
        <w:t>M</w:t>
      </w:r>
      <w:r w:rsidRPr="00DD5DD7">
        <w:t xml:space="preserve">ateriales y </w:t>
      </w:r>
      <w:r w:rsidR="00191950">
        <w:t>S</w:t>
      </w:r>
      <w:r w:rsidRPr="00DD5DD7">
        <w:t>uministros Q.2.5 millones y Divulgación e Información Q.0.6 millones.</w:t>
      </w:r>
    </w:p>
    <w:p w:rsidR="00EE4BF5" w:rsidRPr="00DD5DD7" w:rsidRDefault="00EE4BF5" w:rsidP="00EE4BF5">
      <w:pPr>
        <w:jc w:val="both"/>
        <w:rPr>
          <w:b/>
        </w:rPr>
      </w:pPr>
    </w:p>
    <w:p w:rsidR="00EE4BF5" w:rsidRDefault="00EE4BF5" w:rsidP="00EE4BF5">
      <w:pPr>
        <w:jc w:val="both"/>
        <w:rPr>
          <w:b/>
        </w:rPr>
      </w:pPr>
    </w:p>
    <w:p w:rsidR="005502BE" w:rsidRDefault="005502BE" w:rsidP="00EE4BF5">
      <w:pPr>
        <w:jc w:val="both"/>
        <w:rPr>
          <w:b/>
        </w:rPr>
      </w:pPr>
    </w:p>
    <w:p w:rsidR="005502BE" w:rsidRDefault="005502BE" w:rsidP="00EE4BF5">
      <w:pPr>
        <w:jc w:val="both"/>
        <w:rPr>
          <w:b/>
        </w:rPr>
      </w:pPr>
    </w:p>
    <w:p w:rsidR="005502BE" w:rsidRDefault="005502BE" w:rsidP="00EE4BF5">
      <w:pPr>
        <w:jc w:val="both"/>
        <w:rPr>
          <w:b/>
        </w:rPr>
      </w:pPr>
    </w:p>
    <w:p w:rsidR="005502BE" w:rsidRDefault="005502BE" w:rsidP="00EE4BF5">
      <w:pPr>
        <w:jc w:val="both"/>
        <w:rPr>
          <w:b/>
        </w:rPr>
      </w:pPr>
    </w:p>
    <w:p w:rsidR="005502BE" w:rsidRPr="005502BE" w:rsidRDefault="005502BE" w:rsidP="00EE4BF5">
      <w:pPr>
        <w:jc w:val="both"/>
        <w:rPr>
          <w:b/>
          <w:sz w:val="32"/>
        </w:rPr>
      </w:pPr>
    </w:p>
    <w:p w:rsidR="00EE4BF5" w:rsidRPr="00DD5DD7" w:rsidRDefault="00EE4BF5" w:rsidP="00EE4BF5">
      <w:pPr>
        <w:jc w:val="center"/>
        <w:rPr>
          <w:b/>
        </w:rPr>
      </w:pPr>
      <w:r w:rsidRPr="00DD5DD7">
        <w:rPr>
          <w:b/>
        </w:rPr>
        <w:t xml:space="preserve">Cuadro </w:t>
      </w:r>
      <w:r w:rsidR="00A861C2">
        <w:rPr>
          <w:b/>
        </w:rPr>
        <w:t>9</w:t>
      </w:r>
    </w:p>
    <w:p w:rsidR="00EE4BF5" w:rsidRPr="00DD5DD7" w:rsidRDefault="00EE4BF5" w:rsidP="00EE4BF5">
      <w:pPr>
        <w:jc w:val="center"/>
        <w:rPr>
          <w:b/>
        </w:rPr>
      </w:pPr>
      <w:r w:rsidRPr="00DD5DD7">
        <w:rPr>
          <w:b/>
        </w:rPr>
        <w:t>Estado de Calamidad Pública por Depresión Tropical E</w:t>
      </w:r>
      <w:r w:rsidR="00C4414F">
        <w:rPr>
          <w:b/>
        </w:rPr>
        <w:t>ta</w:t>
      </w:r>
    </w:p>
    <w:p w:rsidR="00EE4BF5" w:rsidRPr="00DD5DD7" w:rsidRDefault="00EE4BF5" w:rsidP="00EE4BF5">
      <w:pPr>
        <w:jc w:val="center"/>
        <w:rPr>
          <w:b/>
        </w:rPr>
      </w:pPr>
      <w:r w:rsidRPr="00DD5DD7">
        <w:rPr>
          <w:b/>
        </w:rPr>
        <w:t>Ejecución Presupuestaria Al 31 de diciembre de 2020</w:t>
      </w:r>
      <w:r w:rsidR="00D82B85">
        <w:rPr>
          <w:b/>
        </w:rPr>
        <w:t>*</w:t>
      </w:r>
    </w:p>
    <w:p w:rsidR="00EE4BF5" w:rsidRDefault="00D82B85" w:rsidP="00EE4BF5">
      <w:pPr>
        <w:jc w:val="center"/>
        <w:rPr>
          <w:b/>
        </w:rPr>
      </w:pPr>
      <w:r>
        <w:rPr>
          <w:b/>
        </w:rPr>
        <w:t>(</w:t>
      </w:r>
      <w:r w:rsidR="00EE4BF5" w:rsidRPr="00DD5DD7">
        <w:rPr>
          <w:b/>
        </w:rPr>
        <w:t xml:space="preserve">Millones de Quetzales y </w:t>
      </w:r>
      <w:r w:rsidR="00C4414F">
        <w:rPr>
          <w:b/>
        </w:rPr>
        <w:t>P</w:t>
      </w:r>
      <w:r w:rsidR="00EE4BF5" w:rsidRPr="00DD5DD7">
        <w:rPr>
          <w:b/>
        </w:rPr>
        <w:t>orcentaje</w:t>
      </w:r>
      <w:r>
        <w:rPr>
          <w:b/>
        </w:rPr>
        <w:t>)</w:t>
      </w:r>
    </w:p>
    <w:p w:rsidR="005502BE" w:rsidRPr="005502BE" w:rsidRDefault="005502BE" w:rsidP="00EE4BF5">
      <w:pPr>
        <w:jc w:val="center"/>
        <w:rPr>
          <w:b/>
          <w:sz w:val="18"/>
        </w:rPr>
      </w:pPr>
    </w:p>
    <w:tbl>
      <w:tblPr>
        <w:tblW w:w="9496" w:type="dxa"/>
        <w:tblCellMar>
          <w:left w:w="70" w:type="dxa"/>
          <w:right w:w="70" w:type="dxa"/>
        </w:tblCellMar>
        <w:tblLook w:val="04A0" w:firstRow="1" w:lastRow="0" w:firstColumn="1" w:lastColumn="0" w:noHBand="0" w:noVBand="1"/>
      </w:tblPr>
      <w:tblGrid>
        <w:gridCol w:w="852"/>
        <w:gridCol w:w="4747"/>
        <w:gridCol w:w="1419"/>
        <w:gridCol w:w="1302"/>
        <w:gridCol w:w="1176"/>
      </w:tblGrid>
      <w:tr w:rsidR="00D82B85" w:rsidRPr="00D82B85" w:rsidTr="005502BE">
        <w:trPr>
          <w:trHeight w:val="739"/>
        </w:trPr>
        <w:tc>
          <w:tcPr>
            <w:tcW w:w="852" w:type="dxa"/>
            <w:tcBorders>
              <w:top w:val="single" w:sz="8" w:space="0" w:color="auto"/>
              <w:left w:val="single" w:sz="8" w:space="0" w:color="auto"/>
              <w:bottom w:val="single" w:sz="4" w:space="0" w:color="auto"/>
              <w:right w:val="nil"/>
            </w:tcBorders>
            <w:shd w:val="clear" w:color="000000" w:fill="9BC2E6"/>
            <w:noWrap/>
            <w:vAlign w:val="center"/>
            <w:hideMark/>
          </w:tcPr>
          <w:p w:rsidR="00EE4BF5" w:rsidRPr="00D82B85" w:rsidRDefault="00EE4BF5" w:rsidP="00D82B85">
            <w:pPr>
              <w:jc w:val="center"/>
              <w:rPr>
                <w:b/>
                <w:bCs/>
                <w:sz w:val="20"/>
                <w:lang w:val="es-GT"/>
              </w:rPr>
            </w:pPr>
            <w:r w:rsidRPr="00D82B85">
              <w:rPr>
                <w:b/>
                <w:bCs/>
                <w:sz w:val="20"/>
                <w:lang w:val="es-GT"/>
              </w:rPr>
              <w:t>Renglón</w:t>
            </w:r>
          </w:p>
        </w:tc>
        <w:tc>
          <w:tcPr>
            <w:tcW w:w="4747" w:type="dxa"/>
            <w:tcBorders>
              <w:top w:val="single" w:sz="8" w:space="0" w:color="auto"/>
              <w:left w:val="single" w:sz="4" w:space="0" w:color="auto"/>
              <w:bottom w:val="single" w:sz="4" w:space="0" w:color="auto"/>
              <w:right w:val="single" w:sz="4" w:space="0" w:color="auto"/>
            </w:tcBorders>
            <w:shd w:val="clear" w:color="000000" w:fill="9BC2E6"/>
            <w:noWrap/>
            <w:vAlign w:val="center"/>
            <w:hideMark/>
          </w:tcPr>
          <w:p w:rsidR="00EE4BF5" w:rsidRPr="00D82B85" w:rsidRDefault="00D82B85" w:rsidP="00D82B85">
            <w:pPr>
              <w:jc w:val="center"/>
              <w:rPr>
                <w:b/>
                <w:bCs/>
                <w:sz w:val="20"/>
                <w:lang w:val="es-GT"/>
              </w:rPr>
            </w:pPr>
            <w:r>
              <w:rPr>
                <w:b/>
                <w:bCs/>
                <w:sz w:val="20"/>
                <w:lang w:val="es-GT"/>
              </w:rPr>
              <w:t>Entidad</w:t>
            </w:r>
          </w:p>
        </w:tc>
        <w:tc>
          <w:tcPr>
            <w:tcW w:w="1419" w:type="dxa"/>
            <w:tcBorders>
              <w:top w:val="single" w:sz="8" w:space="0" w:color="auto"/>
              <w:left w:val="nil"/>
              <w:bottom w:val="single" w:sz="4" w:space="0" w:color="auto"/>
              <w:right w:val="single" w:sz="4" w:space="0" w:color="auto"/>
            </w:tcBorders>
            <w:shd w:val="clear" w:color="000000" w:fill="9BC2E6"/>
            <w:vAlign w:val="center"/>
            <w:hideMark/>
          </w:tcPr>
          <w:p w:rsidR="00EE4BF5" w:rsidRPr="00D82B85" w:rsidRDefault="00EE4BF5" w:rsidP="00D82B85">
            <w:pPr>
              <w:jc w:val="center"/>
              <w:rPr>
                <w:b/>
                <w:bCs/>
                <w:sz w:val="20"/>
                <w:lang w:val="es-GT"/>
              </w:rPr>
            </w:pPr>
            <w:r w:rsidRPr="00D82B85">
              <w:rPr>
                <w:b/>
                <w:bCs/>
                <w:sz w:val="20"/>
                <w:lang w:val="es-GT"/>
              </w:rPr>
              <w:t>Presupuesto Vigente</w:t>
            </w:r>
          </w:p>
        </w:tc>
        <w:tc>
          <w:tcPr>
            <w:tcW w:w="1302" w:type="dxa"/>
            <w:tcBorders>
              <w:top w:val="single" w:sz="8" w:space="0" w:color="auto"/>
              <w:left w:val="nil"/>
              <w:bottom w:val="single" w:sz="4" w:space="0" w:color="auto"/>
              <w:right w:val="single" w:sz="4" w:space="0" w:color="auto"/>
            </w:tcBorders>
            <w:shd w:val="clear" w:color="000000" w:fill="9BC2E6"/>
            <w:noWrap/>
            <w:vAlign w:val="center"/>
            <w:hideMark/>
          </w:tcPr>
          <w:p w:rsidR="00EE4BF5" w:rsidRPr="00D82B85" w:rsidRDefault="00D82B85" w:rsidP="00D82B85">
            <w:pPr>
              <w:jc w:val="center"/>
              <w:rPr>
                <w:b/>
                <w:bCs/>
                <w:sz w:val="20"/>
                <w:lang w:val="es-GT"/>
              </w:rPr>
            </w:pPr>
            <w:r>
              <w:rPr>
                <w:b/>
                <w:bCs/>
                <w:sz w:val="20"/>
                <w:lang w:val="es-GT"/>
              </w:rPr>
              <w:t xml:space="preserve">Presupuesto </w:t>
            </w:r>
            <w:r w:rsidR="00EE4BF5" w:rsidRPr="00D82B85">
              <w:rPr>
                <w:b/>
                <w:bCs/>
                <w:sz w:val="20"/>
                <w:lang w:val="es-GT"/>
              </w:rPr>
              <w:t>Ejecutado</w:t>
            </w:r>
          </w:p>
        </w:tc>
        <w:tc>
          <w:tcPr>
            <w:tcW w:w="1176" w:type="dxa"/>
            <w:tcBorders>
              <w:top w:val="single" w:sz="8" w:space="0" w:color="auto"/>
              <w:left w:val="nil"/>
              <w:bottom w:val="single" w:sz="4" w:space="0" w:color="auto"/>
              <w:right w:val="single" w:sz="8" w:space="0" w:color="auto"/>
            </w:tcBorders>
            <w:shd w:val="clear" w:color="000000" w:fill="9BC2E6"/>
            <w:hideMark/>
          </w:tcPr>
          <w:p w:rsidR="00EE4BF5" w:rsidRPr="00D82B85" w:rsidRDefault="00EE4BF5" w:rsidP="00D82B85">
            <w:pPr>
              <w:jc w:val="center"/>
              <w:rPr>
                <w:b/>
                <w:bCs/>
                <w:sz w:val="20"/>
                <w:lang w:val="es-GT"/>
              </w:rPr>
            </w:pPr>
            <w:r w:rsidRPr="00D82B85">
              <w:rPr>
                <w:b/>
                <w:bCs/>
                <w:sz w:val="20"/>
                <w:lang w:val="es-GT"/>
              </w:rPr>
              <w:t xml:space="preserve">% </w:t>
            </w:r>
            <w:r w:rsidR="00D82B85">
              <w:rPr>
                <w:b/>
                <w:bCs/>
                <w:sz w:val="20"/>
                <w:lang w:val="es-GT"/>
              </w:rPr>
              <w:t xml:space="preserve">de </w:t>
            </w:r>
            <w:r w:rsidRPr="00D82B85">
              <w:rPr>
                <w:b/>
                <w:bCs/>
                <w:sz w:val="20"/>
                <w:lang w:val="es-GT"/>
              </w:rPr>
              <w:t>Ejecución</w:t>
            </w:r>
          </w:p>
        </w:tc>
      </w:tr>
      <w:tr w:rsidR="00D82B85" w:rsidRPr="00D82B85" w:rsidTr="00D82B85">
        <w:trPr>
          <w:trHeight w:val="260"/>
        </w:trPr>
        <w:tc>
          <w:tcPr>
            <w:tcW w:w="852" w:type="dxa"/>
            <w:tcBorders>
              <w:top w:val="nil"/>
              <w:left w:val="single" w:sz="8" w:space="0" w:color="auto"/>
              <w:bottom w:val="nil"/>
              <w:right w:val="nil"/>
            </w:tcBorders>
            <w:shd w:val="clear" w:color="auto" w:fill="auto"/>
            <w:noWrap/>
            <w:hideMark/>
          </w:tcPr>
          <w:p w:rsidR="00EE4BF5" w:rsidRPr="00D82B85" w:rsidRDefault="00EE4BF5" w:rsidP="0005000D">
            <w:pPr>
              <w:jc w:val="both"/>
              <w:rPr>
                <w:sz w:val="20"/>
                <w:lang w:val="es-GT"/>
              </w:rPr>
            </w:pPr>
            <w:r w:rsidRPr="00D82B85">
              <w:rPr>
                <w:sz w:val="20"/>
                <w:lang w:val="es-GT"/>
              </w:rPr>
              <w:t> </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Total</w:t>
            </w:r>
          </w:p>
        </w:tc>
        <w:tc>
          <w:tcPr>
            <w:tcW w:w="1419" w:type="dxa"/>
            <w:tcBorders>
              <w:top w:val="nil"/>
              <w:left w:val="nil"/>
              <w:bottom w:val="nil"/>
              <w:right w:val="single" w:sz="4" w:space="0" w:color="auto"/>
            </w:tcBorders>
            <w:shd w:val="clear" w:color="auto" w:fill="auto"/>
            <w:hideMark/>
          </w:tcPr>
          <w:p w:rsidR="00EE4BF5" w:rsidRPr="00D82B85" w:rsidRDefault="00EE4BF5" w:rsidP="00D82B85">
            <w:pPr>
              <w:jc w:val="center"/>
              <w:rPr>
                <w:b/>
                <w:bCs/>
                <w:sz w:val="20"/>
                <w:lang w:val="es-GT"/>
              </w:rPr>
            </w:pPr>
            <w:r w:rsidRPr="00D82B85">
              <w:rPr>
                <w:b/>
                <w:bCs/>
                <w:sz w:val="20"/>
                <w:lang w:val="es-GT"/>
              </w:rPr>
              <w:t>356.1</w:t>
            </w:r>
          </w:p>
        </w:tc>
        <w:tc>
          <w:tcPr>
            <w:tcW w:w="1302" w:type="dxa"/>
            <w:tcBorders>
              <w:top w:val="nil"/>
              <w:left w:val="nil"/>
              <w:bottom w:val="nil"/>
              <w:right w:val="single" w:sz="4" w:space="0" w:color="auto"/>
            </w:tcBorders>
            <w:shd w:val="clear" w:color="auto" w:fill="auto"/>
            <w:hideMark/>
          </w:tcPr>
          <w:p w:rsidR="00EE4BF5" w:rsidRPr="00D82B85" w:rsidRDefault="00EE4BF5" w:rsidP="00D82B85">
            <w:pPr>
              <w:jc w:val="center"/>
              <w:rPr>
                <w:b/>
                <w:bCs/>
                <w:sz w:val="20"/>
                <w:lang w:val="es-GT"/>
              </w:rPr>
            </w:pPr>
            <w:r w:rsidRPr="00D82B85">
              <w:rPr>
                <w:b/>
                <w:bCs/>
                <w:sz w:val="20"/>
                <w:lang w:val="es-GT"/>
              </w:rPr>
              <w:t>86.7</w:t>
            </w:r>
          </w:p>
        </w:tc>
        <w:tc>
          <w:tcPr>
            <w:tcW w:w="1176" w:type="dxa"/>
            <w:tcBorders>
              <w:top w:val="nil"/>
              <w:left w:val="nil"/>
              <w:bottom w:val="nil"/>
              <w:right w:val="single" w:sz="8" w:space="0" w:color="auto"/>
            </w:tcBorders>
            <w:shd w:val="clear" w:color="auto" w:fill="auto"/>
            <w:hideMark/>
          </w:tcPr>
          <w:p w:rsidR="00EE4BF5" w:rsidRPr="00D82B85" w:rsidRDefault="00EE4BF5" w:rsidP="00D82B85">
            <w:pPr>
              <w:jc w:val="center"/>
              <w:rPr>
                <w:b/>
                <w:bCs/>
                <w:sz w:val="20"/>
                <w:lang w:val="es-GT"/>
              </w:rPr>
            </w:pPr>
            <w:r w:rsidRPr="00D82B85">
              <w:rPr>
                <w:b/>
                <w:bCs/>
                <w:sz w:val="20"/>
                <w:lang w:val="es-GT"/>
              </w:rPr>
              <w:t>24.3%</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b/>
                <w:bCs/>
                <w:sz w:val="20"/>
                <w:lang w:val="es-GT"/>
              </w:rPr>
            </w:pPr>
            <w:r w:rsidRPr="00D82B85">
              <w:rPr>
                <w:b/>
                <w:bCs/>
                <w:sz w:val="20"/>
                <w:lang w:val="es-GT"/>
              </w:rPr>
              <w:t>Ministerio de Agricultura</w:t>
            </w:r>
            <w:r w:rsidR="00D82B85">
              <w:rPr>
                <w:b/>
                <w:bCs/>
                <w:sz w:val="20"/>
                <w:lang w:val="es-GT"/>
              </w:rPr>
              <w:t>, Ganadería y Alimentación</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26.3</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4.4</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16.8%</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154</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Arrendamiento de Maquinaria y Equipo de Construcción</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10.3</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173</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Mantenimiento y Reparación de Bienes Nacionales de Uso Común</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0.2</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215</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Productos Agropecuarios para Comercialización</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4.4</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4.4</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99.3%</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268</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8E0614">
            <w:pPr>
              <w:jc w:val="both"/>
              <w:rPr>
                <w:sz w:val="20"/>
                <w:lang w:val="es-GT"/>
              </w:rPr>
            </w:pPr>
            <w:r w:rsidRPr="00D82B85">
              <w:rPr>
                <w:sz w:val="20"/>
                <w:lang w:val="es-GT"/>
              </w:rPr>
              <w:t>Productos Plásticos, Nylon, Vinil y P</w:t>
            </w:r>
            <w:r w:rsidR="008E0614">
              <w:rPr>
                <w:sz w:val="20"/>
                <w:lang w:val="es-GT"/>
              </w:rPr>
              <w:t>.</w:t>
            </w:r>
            <w:r w:rsidRPr="00D82B85">
              <w:rPr>
                <w:sz w:val="20"/>
                <w:lang w:val="es-GT"/>
              </w:rPr>
              <w:t>V</w:t>
            </w:r>
            <w:r w:rsidR="008E0614">
              <w:rPr>
                <w:sz w:val="20"/>
                <w:lang w:val="es-GT"/>
              </w:rPr>
              <w:t>.</w:t>
            </w:r>
            <w:r w:rsidRPr="00D82B85">
              <w:rPr>
                <w:sz w:val="20"/>
                <w:lang w:val="es-GT"/>
              </w:rPr>
              <w:t>C</w:t>
            </w:r>
            <w:r w:rsidR="008E0614">
              <w:rPr>
                <w:sz w:val="20"/>
                <w:lang w:val="es-GT"/>
              </w:rPr>
              <w:t>.</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4.1</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286</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Herramientas Menores</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5.6</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299</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Otros Materiales y Suministros</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1.6</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b/>
                <w:bCs/>
                <w:sz w:val="20"/>
                <w:lang w:val="es-GT"/>
              </w:rPr>
            </w:pPr>
            <w:r w:rsidRPr="00D82B85">
              <w:rPr>
                <w:b/>
                <w:bCs/>
                <w:sz w:val="20"/>
                <w:lang w:val="es-GT"/>
              </w:rPr>
              <w:t>Ministerio de Comunicaciones, Infraestructura y Vivienda</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276.7</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49.4</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17.8%</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154</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Arrendamiento de Maquinaria y Equipo de Construcción</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97.3</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173</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Mantenimiento y Reparación de Bienes Nacionales de Uso Común</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159.7</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48.4</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30.3%</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188</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8E0614">
            <w:pPr>
              <w:jc w:val="both"/>
              <w:rPr>
                <w:sz w:val="20"/>
                <w:lang w:val="es-GT"/>
              </w:rPr>
            </w:pPr>
            <w:r w:rsidRPr="00D82B85">
              <w:rPr>
                <w:sz w:val="20"/>
                <w:lang w:val="es-GT"/>
              </w:rPr>
              <w:t>Servicios de Ingeniería</w:t>
            </w:r>
            <w:r w:rsidR="008E0614">
              <w:rPr>
                <w:sz w:val="20"/>
                <w:lang w:val="es-GT"/>
              </w:rPr>
              <w:t>,</w:t>
            </w:r>
            <w:r w:rsidRPr="00D82B85">
              <w:rPr>
                <w:sz w:val="20"/>
                <w:lang w:val="es-GT"/>
              </w:rPr>
              <w:t xml:space="preserve"> Arquitectura y Supervisión de Obras</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6.4</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0.9</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14.7%</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329</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Otras Maquinarias y Equipos</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4.5</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331</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Construcción de Bienes Nacionales de Uso Común</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8.9</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b/>
                <w:bCs/>
                <w:sz w:val="20"/>
                <w:lang w:val="es-GT"/>
              </w:rPr>
            </w:pPr>
            <w:r w:rsidRPr="00D82B85">
              <w:rPr>
                <w:b/>
                <w:bCs/>
                <w:sz w:val="20"/>
                <w:lang w:val="es-GT"/>
              </w:rPr>
              <w:t>Ministerio de Cultura y Deportes</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2.0</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174</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Mantenimiento y Reparación de Instalaciones</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0.1</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176</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D82B85">
            <w:pPr>
              <w:jc w:val="both"/>
              <w:rPr>
                <w:sz w:val="20"/>
                <w:lang w:val="es-GT"/>
              </w:rPr>
            </w:pPr>
            <w:r w:rsidRPr="00D82B85">
              <w:rPr>
                <w:sz w:val="20"/>
                <w:lang w:val="es-GT"/>
              </w:rPr>
              <w:t xml:space="preserve">Mantenimiento y Reparación de Otras Obras e </w:t>
            </w:r>
            <w:r w:rsidR="00D82B85">
              <w:rPr>
                <w:sz w:val="20"/>
                <w:lang w:val="es-GT"/>
              </w:rPr>
              <w:t>I</w:t>
            </w:r>
            <w:r w:rsidRPr="00D82B85">
              <w:rPr>
                <w:sz w:val="20"/>
                <w:lang w:val="es-GT"/>
              </w:rPr>
              <w:t>nstalaciones</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1.9</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b/>
                <w:bCs/>
                <w:sz w:val="20"/>
                <w:lang w:val="es-GT"/>
              </w:rPr>
            </w:pPr>
            <w:r w:rsidRPr="00D82B85">
              <w:rPr>
                <w:b/>
                <w:bCs/>
                <w:sz w:val="20"/>
                <w:lang w:val="es-GT"/>
              </w:rPr>
              <w:t>Obligaciones del Estado a Cargo del Tesoro</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10.0</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10.0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100.0%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451</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Transferencias a la Administración Central</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10.0</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10.0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100.0%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b/>
                <w:bCs/>
                <w:sz w:val="20"/>
                <w:lang w:val="es-GT"/>
              </w:rPr>
            </w:pPr>
            <w:r w:rsidRPr="00D82B85">
              <w:rPr>
                <w:b/>
                <w:bCs/>
                <w:sz w:val="20"/>
                <w:lang w:val="es-GT"/>
              </w:rPr>
              <w:t>Ministerio de Desarrollo Social</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41.1</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22.9</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b/>
                <w:bCs/>
                <w:sz w:val="20"/>
                <w:lang w:val="es-GT"/>
              </w:rPr>
            </w:pPr>
            <w:r w:rsidRPr="00D82B85">
              <w:rPr>
                <w:b/>
                <w:bCs/>
                <w:sz w:val="20"/>
                <w:lang w:val="es-GT"/>
              </w:rPr>
              <w:t>55.7%</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121</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Divulgación e Información</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0.6</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211</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Alimentos para Personas</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19.1</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17.9</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93.7%</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284</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Cemento</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6.2</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281</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Productos Siderúrgicos</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5.4</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2.1</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39.7%</w:t>
            </w:r>
          </w:p>
        </w:tc>
      </w:tr>
      <w:tr w:rsidR="00D82B85" w:rsidRPr="00D82B85" w:rsidTr="00D82B85">
        <w:trPr>
          <w:trHeight w:val="330"/>
        </w:trPr>
        <w:tc>
          <w:tcPr>
            <w:tcW w:w="852" w:type="dxa"/>
            <w:tcBorders>
              <w:top w:val="nil"/>
              <w:left w:val="single" w:sz="8" w:space="0" w:color="auto"/>
              <w:bottom w:val="nil"/>
              <w:right w:val="nil"/>
            </w:tcBorders>
            <w:shd w:val="clear" w:color="auto" w:fill="auto"/>
            <w:noWrap/>
            <w:hideMark/>
          </w:tcPr>
          <w:p w:rsidR="00EE4BF5" w:rsidRPr="00D82B85" w:rsidRDefault="00EE4BF5" w:rsidP="005502BE">
            <w:pPr>
              <w:jc w:val="center"/>
              <w:rPr>
                <w:sz w:val="20"/>
                <w:lang w:val="es-GT"/>
              </w:rPr>
            </w:pPr>
            <w:r w:rsidRPr="00D82B85">
              <w:rPr>
                <w:sz w:val="20"/>
                <w:lang w:val="es-GT"/>
              </w:rPr>
              <w:t>284</w:t>
            </w:r>
          </w:p>
        </w:tc>
        <w:tc>
          <w:tcPr>
            <w:tcW w:w="4747" w:type="dxa"/>
            <w:tcBorders>
              <w:top w:val="nil"/>
              <w:left w:val="single" w:sz="4" w:space="0" w:color="auto"/>
              <w:bottom w:val="nil"/>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Estructuras Metálicas Acabadas</w:t>
            </w:r>
          </w:p>
        </w:tc>
        <w:tc>
          <w:tcPr>
            <w:tcW w:w="1419"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7.3</w:t>
            </w:r>
          </w:p>
        </w:tc>
        <w:tc>
          <w:tcPr>
            <w:tcW w:w="1302" w:type="dxa"/>
            <w:tcBorders>
              <w:top w:val="nil"/>
              <w:left w:val="nil"/>
              <w:bottom w:val="nil"/>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2.8</w:t>
            </w:r>
          </w:p>
        </w:tc>
        <w:tc>
          <w:tcPr>
            <w:tcW w:w="1176" w:type="dxa"/>
            <w:tcBorders>
              <w:top w:val="nil"/>
              <w:left w:val="nil"/>
              <w:bottom w:val="nil"/>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38.7%</w:t>
            </w:r>
          </w:p>
        </w:tc>
      </w:tr>
      <w:tr w:rsidR="00D82B85" w:rsidRPr="00D82B85" w:rsidTr="00D82B85">
        <w:trPr>
          <w:trHeight w:val="330"/>
        </w:trPr>
        <w:tc>
          <w:tcPr>
            <w:tcW w:w="852" w:type="dxa"/>
            <w:tcBorders>
              <w:top w:val="nil"/>
              <w:left w:val="single" w:sz="8" w:space="0" w:color="auto"/>
              <w:bottom w:val="single" w:sz="8" w:space="0" w:color="auto"/>
              <w:right w:val="nil"/>
            </w:tcBorders>
            <w:shd w:val="clear" w:color="auto" w:fill="auto"/>
            <w:noWrap/>
            <w:hideMark/>
          </w:tcPr>
          <w:p w:rsidR="00EE4BF5" w:rsidRPr="00D82B85" w:rsidRDefault="00EE4BF5" w:rsidP="005502BE">
            <w:pPr>
              <w:jc w:val="center"/>
              <w:rPr>
                <w:sz w:val="20"/>
                <w:lang w:val="es-GT"/>
              </w:rPr>
            </w:pPr>
            <w:r w:rsidRPr="00D82B85">
              <w:rPr>
                <w:sz w:val="20"/>
                <w:lang w:val="es-GT"/>
              </w:rPr>
              <w:t>299</w:t>
            </w:r>
          </w:p>
        </w:tc>
        <w:tc>
          <w:tcPr>
            <w:tcW w:w="4747" w:type="dxa"/>
            <w:tcBorders>
              <w:top w:val="nil"/>
              <w:left w:val="single" w:sz="4" w:space="0" w:color="auto"/>
              <w:bottom w:val="single" w:sz="8" w:space="0" w:color="auto"/>
              <w:right w:val="single" w:sz="4" w:space="0" w:color="auto"/>
            </w:tcBorders>
            <w:shd w:val="clear" w:color="auto" w:fill="auto"/>
            <w:noWrap/>
            <w:hideMark/>
          </w:tcPr>
          <w:p w:rsidR="00EE4BF5" w:rsidRPr="00D82B85" w:rsidRDefault="00EE4BF5" w:rsidP="0005000D">
            <w:pPr>
              <w:jc w:val="both"/>
              <w:rPr>
                <w:sz w:val="20"/>
                <w:lang w:val="es-GT"/>
              </w:rPr>
            </w:pPr>
            <w:r w:rsidRPr="00D82B85">
              <w:rPr>
                <w:sz w:val="20"/>
                <w:lang w:val="es-GT"/>
              </w:rPr>
              <w:t>Otros Materiales y Suministros</w:t>
            </w:r>
          </w:p>
        </w:tc>
        <w:tc>
          <w:tcPr>
            <w:tcW w:w="1419" w:type="dxa"/>
            <w:tcBorders>
              <w:top w:val="nil"/>
              <w:left w:val="nil"/>
              <w:bottom w:val="single" w:sz="8" w:space="0" w:color="auto"/>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2.5</w:t>
            </w:r>
          </w:p>
        </w:tc>
        <w:tc>
          <w:tcPr>
            <w:tcW w:w="1302" w:type="dxa"/>
            <w:tcBorders>
              <w:top w:val="nil"/>
              <w:left w:val="nil"/>
              <w:bottom w:val="single" w:sz="8" w:space="0" w:color="auto"/>
              <w:right w:val="single" w:sz="4"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c>
          <w:tcPr>
            <w:tcW w:w="1176" w:type="dxa"/>
            <w:tcBorders>
              <w:top w:val="nil"/>
              <w:left w:val="nil"/>
              <w:bottom w:val="single" w:sz="8" w:space="0" w:color="auto"/>
              <w:right w:val="single" w:sz="8" w:space="0" w:color="auto"/>
            </w:tcBorders>
            <w:shd w:val="clear" w:color="auto" w:fill="auto"/>
            <w:noWrap/>
            <w:hideMark/>
          </w:tcPr>
          <w:p w:rsidR="00EE4BF5" w:rsidRPr="00D82B85" w:rsidRDefault="00EE4BF5" w:rsidP="00D82B85">
            <w:pPr>
              <w:jc w:val="center"/>
              <w:rPr>
                <w:sz w:val="20"/>
                <w:lang w:val="es-GT"/>
              </w:rPr>
            </w:pPr>
            <w:r w:rsidRPr="00D82B85">
              <w:rPr>
                <w:sz w:val="20"/>
                <w:lang w:val="es-GT"/>
              </w:rPr>
              <w:t>0.0%</w:t>
            </w:r>
          </w:p>
        </w:tc>
      </w:tr>
    </w:tbl>
    <w:p w:rsidR="00D82B85" w:rsidRPr="00A861C2" w:rsidRDefault="00D82B85" w:rsidP="00D82B85">
      <w:pPr>
        <w:jc w:val="both"/>
        <w:rPr>
          <w:sz w:val="18"/>
        </w:rPr>
      </w:pPr>
      <w:r w:rsidRPr="00A861C2">
        <w:rPr>
          <w:sz w:val="18"/>
        </w:rPr>
        <w:t>* Cifras preliminares</w:t>
      </w:r>
    </w:p>
    <w:p w:rsidR="00EE4BF5" w:rsidRPr="008C5ECD" w:rsidRDefault="00D82B85" w:rsidP="00EE4BF5">
      <w:pPr>
        <w:jc w:val="both"/>
        <w:rPr>
          <w:sz w:val="18"/>
        </w:rPr>
      </w:pPr>
      <w:r w:rsidRPr="008C5ECD">
        <w:rPr>
          <w:sz w:val="18"/>
        </w:rPr>
        <w:t xml:space="preserve">   </w:t>
      </w:r>
      <w:r w:rsidR="00EE4BF5" w:rsidRPr="008C5ECD">
        <w:rPr>
          <w:sz w:val="18"/>
        </w:rPr>
        <w:t xml:space="preserve">Fuente: </w:t>
      </w:r>
      <w:r w:rsidRPr="008C5ECD">
        <w:rPr>
          <w:sz w:val="18"/>
        </w:rPr>
        <w:t>Ministerio de Finanzas Públicas.</w:t>
      </w:r>
    </w:p>
    <w:p w:rsidR="00EE4BF5" w:rsidRDefault="00EE4BF5" w:rsidP="00EE4BF5">
      <w:pPr>
        <w:jc w:val="both"/>
      </w:pPr>
    </w:p>
    <w:p w:rsidR="00DF703E" w:rsidRPr="00DD5DD7" w:rsidRDefault="00DF703E" w:rsidP="00EE4BF5">
      <w:pPr>
        <w:jc w:val="both"/>
      </w:pPr>
    </w:p>
    <w:p w:rsidR="00EE4BF5" w:rsidRPr="00DD5DD7" w:rsidRDefault="00EE4BF5" w:rsidP="00EE4BF5">
      <w:pPr>
        <w:jc w:val="both"/>
      </w:pPr>
      <w:r w:rsidRPr="00DD5DD7">
        <w:t xml:space="preserve">El presupuesto asignado </w:t>
      </w:r>
      <w:r w:rsidR="00C4414F">
        <w:t>para la atención de</w:t>
      </w:r>
      <w:r w:rsidRPr="00DD5DD7">
        <w:t xml:space="preserve"> la Depresión Tropical E</w:t>
      </w:r>
      <w:r w:rsidR="00C4414F">
        <w:t>ta</w:t>
      </w:r>
      <w:r w:rsidRPr="00DD5DD7">
        <w:t xml:space="preserve"> es financiado principalmente con recursos provenientes </w:t>
      </w:r>
      <w:r w:rsidR="00C4414F">
        <w:t>de</w:t>
      </w:r>
      <w:r w:rsidRPr="00DD5DD7">
        <w:t xml:space="preserve"> donaciones internas Q.261.6 millones (73.5%); </w:t>
      </w:r>
      <w:r w:rsidR="00C4414F">
        <w:t>i</w:t>
      </w:r>
      <w:r w:rsidRPr="00DD5DD7">
        <w:t>ngresos corrientes Q.40.7 millones (11.4%); préstamos externos Q.28.2 millones (7.9%); col</w:t>
      </w:r>
      <w:r w:rsidR="00C4414F">
        <w:t>oc</w:t>
      </w:r>
      <w:r w:rsidRPr="00DD5DD7">
        <w:t>aci</w:t>
      </w:r>
      <w:r w:rsidR="00C4414F">
        <w:t>ones</w:t>
      </w:r>
      <w:r w:rsidRPr="00DD5DD7">
        <w:t xml:space="preserve"> </w:t>
      </w:r>
      <w:r w:rsidR="00C4414F">
        <w:t>internas</w:t>
      </w:r>
      <w:r w:rsidRPr="00DD5DD7">
        <w:t xml:space="preserve"> Q.24.0 millones, (6.7%); e ingresos tributarios IVA PAZ Q.1.6 millones 0.4%).</w:t>
      </w:r>
    </w:p>
    <w:p w:rsidR="00EE4BF5" w:rsidRDefault="00EE4BF5" w:rsidP="00EE4BF5">
      <w:pPr>
        <w:jc w:val="both"/>
      </w:pPr>
    </w:p>
    <w:p w:rsidR="00DF703E" w:rsidRPr="00DD5DD7" w:rsidRDefault="00DF703E" w:rsidP="00EE4BF5">
      <w:pPr>
        <w:jc w:val="both"/>
      </w:pPr>
    </w:p>
    <w:tbl>
      <w:tblPr>
        <w:tblW w:w="9496" w:type="dxa"/>
        <w:tblCellMar>
          <w:left w:w="70" w:type="dxa"/>
          <w:right w:w="70" w:type="dxa"/>
        </w:tblCellMar>
        <w:tblLook w:val="04A0" w:firstRow="1" w:lastRow="0" w:firstColumn="1" w:lastColumn="0" w:noHBand="0" w:noVBand="1"/>
      </w:tblPr>
      <w:tblGrid>
        <w:gridCol w:w="9496"/>
      </w:tblGrid>
      <w:tr w:rsidR="00EE4BF5" w:rsidRPr="00DD5DD7" w:rsidTr="00C4414F">
        <w:trPr>
          <w:trHeight w:val="260"/>
        </w:trPr>
        <w:tc>
          <w:tcPr>
            <w:tcW w:w="9496" w:type="dxa"/>
            <w:tcBorders>
              <w:top w:val="nil"/>
              <w:left w:val="nil"/>
              <w:bottom w:val="nil"/>
              <w:right w:val="nil"/>
            </w:tcBorders>
            <w:shd w:val="clear" w:color="auto" w:fill="auto"/>
            <w:noWrap/>
            <w:hideMark/>
          </w:tcPr>
          <w:p w:rsidR="00EE4BF5" w:rsidRPr="00DD5DD7" w:rsidRDefault="00EE4BF5" w:rsidP="0005000D">
            <w:pPr>
              <w:jc w:val="center"/>
              <w:rPr>
                <w:b/>
              </w:rPr>
            </w:pPr>
            <w:r w:rsidRPr="00DD5DD7">
              <w:rPr>
                <w:b/>
              </w:rPr>
              <w:t>Cuadro 1</w:t>
            </w:r>
            <w:r w:rsidR="00A861C2">
              <w:rPr>
                <w:b/>
              </w:rPr>
              <w:t>0</w:t>
            </w:r>
          </w:p>
          <w:p w:rsidR="00EE4BF5" w:rsidRPr="00DD5DD7" w:rsidRDefault="00EE4BF5" w:rsidP="00C4414F">
            <w:pPr>
              <w:jc w:val="center"/>
              <w:rPr>
                <w:b/>
                <w:bCs/>
              </w:rPr>
            </w:pPr>
            <w:r w:rsidRPr="00DD5DD7">
              <w:rPr>
                <w:b/>
                <w:bCs/>
              </w:rPr>
              <w:t>Estado de Calamidad Pública por Depresión Tropical E</w:t>
            </w:r>
            <w:r w:rsidR="00C4414F">
              <w:rPr>
                <w:b/>
                <w:bCs/>
              </w:rPr>
              <w:t>ta</w:t>
            </w:r>
          </w:p>
        </w:tc>
      </w:tr>
      <w:tr w:rsidR="00EE4BF5" w:rsidRPr="00DD5DD7" w:rsidTr="00C4414F">
        <w:trPr>
          <w:trHeight w:val="260"/>
        </w:trPr>
        <w:tc>
          <w:tcPr>
            <w:tcW w:w="9496" w:type="dxa"/>
            <w:tcBorders>
              <w:top w:val="nil"/>
              <w:left w:val="nil"/>
              <w:bottom w:val="nil"/>
              <w:right w:val="nil"/>
            </w:tcBorders>
            <w:shd w:val="clear" w:color="auto" w:fill="auto"/>
            <w:noWrap/>
            <w:hideMark/>
          </w:tcPr>
          <w:p w:rsidR="00EE4BF5" w:rsidRPr="00DD5DD7" w:rsidRDefault="008E0614" w:rsidP="0005000D">
            <w:pPr>
              <w:jc w:val="center"/>
              <w:rPr>
                <w:b/>
                <w:bCs/>
              </w:rPr>
            </w:pPr>
            <w:r>
              <w:rPr>
                <w:b/>
                <w:bCs/>
              </w:rPr>
              <w:t xml:space="preserve">Por </w:t>
            </w:r>
            <w:r w:rsidR="00EE4BF5" w:rsidRPr="00DD5DD7">
              <w:rPr>
                <w:b/>
                <w:bCs/>
              </w:rPr>
              <w:t>Fuente de Financiamiento</w:t>
            </w:r>
          </w:p>
        </w:tc>
      </w:tr>
      <w:tr w:rsidR="00EE4BF5" w:rsidRPr="00DD5DD7" w:rsidTr="00C4414F">
        <w:trPr>
          <w:trHeight w:val="260"/>
        </w:trPr>
        <w:tc>
          <w:tcPr>
            <w:tcW w:w="9496" w:type="dxa"/>
            <w:tcBorders>
              <w:top w:val="nil"/>
              <w:left w:val="nil"/>
              <w:bottom w:val="nil"/>
              <w:right w:val="nil"/>
            </w:tcBorders>
            <w:shd w:val="clear" w:color="auto" w:fill="auto"/>
            <w:noWrap/>
            <w:hideMark/>
          </w:tcPr>
          <w:p w:rsidR="00EE4BF5" w:rsidRPr="00DD5DD7" w:rsidRDefault="00EE4BF5" w:rsidP="0005000D">
            <w:pPr>
              <w:jc w:val="center"/>
              <w:rPr>
                <w:b/>
                <w:bCs/>
              </w:rPr>
            </w:pPr>
            <w:r w:rsidRPr="00DD5DD7">
              <w:rPr>
                <w:b/>
                <w:bCs/>
              </w:rPr>
              <w:t>Al 31 de diciembre de 2020</w:t>
            </w:r>
            <w:r w:rsidR="00C4414F">
              <w:rPr>
                <w:b/>
                <w:bCs/>
              </w:rPr>
              <w:t>*</w:t>
            </w:r>
          </w:p>
        </w:tc>
      </w:tr>
      <w:tr w:rsidR="00EE4BF5" w:rsidRPr="00DD5DD7" w:rsidTr="00C4414F">
        <w:trPr>
          <w:trHeight w:val="270"/>
        </w:trPr>
        <w:tc>
          <w:tcPr>
            <w:tcW w:w="9496" w:type="dxa"/>
            <w:tcBorders>
              <w:top w:val="nil"/>
              <w:left w:val="nil"/>
              <w:bottom w:val="nil"/>
              <w:right w:val="nil"/>
            </w:tcBorders>
            <w:shd w:val="clear" w:color="auto" w:fill="auto"/>
            <w:noWrap/>
            <w:hideMark/>
          </w:tcPr>
          <w:p w:rsidR="00EE4BF5" w:rsidRDefault="00C4414F" w:rsidP="00C4414F">
            <w:pPr>
              <w:jc w:val="center"/>
              <w:rPr>
                <w:b/>
                <w:bCs/>
              </w:rPr>
            </w:pPr>
            <w:r>
              <w:rPr>
                <w:b/>
                <w:bCs/>
              </w:rPr>
              <w:t>(</w:t>
            </w:r>
            <w:r w:rsidR="00EE4BF5" w:rsidRPr="00DD5DD7">
              <w:rPr>
                <w:b/>
                <w:bCs/>
              </w:rPr>
              <w:t xml:space="preserve">Millones de Quetzales y </w:t>
            </w:r>
            <w:r>
              <w:rPr>
                <w:b/>
                <w:bCs/>
              </w:rPr>
              <w:t>P</w:t>
            </w:r>
            <w:r w:rsidR="00EE4BF5" w:rsidRPr="00DD5DD7">
              <w:rPr>
                <w:b/>
                <w:bCs/>
              </w:rPr>
              <w:t>orcentaje</w:t>
            </w:r>
            <w:r>
              <w:rPr>
                <w:b/>
                <w:bCs/>
              </w:rPr>
              <w:t>)</w:t>
            </w:r>
          </w:p>
          <w:p w:rsidR="00DF703E" w:rsidRDefault="00DF703E" w:rsidP="00C4414F">
            <w:pPr>
              <w:jc w:val="center"/>
              <w:rPr>
                <w:b/>
                <w:bCs/>
              </w:rPr>
            </w:pPr>
          </w:p>
          <w:tbl>
            <w:tblPr>
              <w:tblW w:w="9336" w:type="dxa"/>
              <w:tblCellMar>
                <w:left w:w="70" w:type="dxa"/>
                <w:right w:w="70" w:type="dxa"/>
              </w:tblCellMar>
              <w:tblLook w:val="04A0" w:firstRow="1" w:lastRow="0" w:firstColumn="1" w:lastColumn="0" w:noHBand="0" w:noVBand="1"/>
            </w:tblPr>
            <w:tblGrid>
              <w:gridCol w:w="2777"/>
              <w:gridCol w:w="1539"/>
              <w:gridCol w:w="1185"/>
              <w:gridCol w:w="1274"/>
              <w:gridCol w:w="1295"/>
              <w:gridCol w:w="1266"/>
            </w:tblGrid>
            <w:tr w:rsidR="00C4414F" w:rsidRPr="00C4414F" w:rsidTr="00DF703E">
              <w:trPr>
                <w:trHeight w:val="760"/>
              </w:trPr>
              <w:tc>
                <w:tcPr>
                  <w:tcW w:w="2777"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C4414F" w:rsidRPr="00C4414F" w:rsidRDefault="00C4414F" w:rsidP="00C4414F">
                  <w:pPr>
                    <w:jc w:val="center"/>
                    <w:rPr>
                      <w:b/>
                      <w:bCs/>
                      <w:color w:val="000000"/>
                      <w:sz w:val="20"/>
                      <w:szCs w:val="20"/>
                      <w:lang w:val="es-GT" w:eastAsia="es-GT"/>
                    </w:rPr>
                  </w:pPr>
                  <w:r w:rsidRPr="00C4414F">
                    <w:rPr>
                      <w:b/>
                      <w:bCs/>
                      <w:color w:val="000000"/>
                      <w:sz w:val="20"/>
                      <w:szCs w:val="20"/>
                      <w:lang w:val="es-GT" w:eastAsia="es-GT"/>
                    </w:rPr>
                    <w:t>Fuente</w:t>
                  </w:r>
                </w:p>
              </w:tc>
              <w:tc>
                <w:tcPr>
                  <w:tcW w:w="1539" w:type="dxa"/>
                  <w:tcBorders>
                    <w:top w:val="single" w:sz="8" w:space="0" w:color="auto"/>
                    <w:left w:val="nil"/>
                    <w:bottom w:val="single" w:sz="4" w:space="0" w:color="auto"/>
                    <w:right w:val="nil"/>
                  </w:tcBorders>
                  <w:shd w:val="clear" w:color="000000" w:fill="8DB4E2"/>
                  <w:noWrap/>
                  <w:vAlign w:val="center"/>
                  <w:hideMark/>
                </w:tcPr>
                <w:p w:rsidR="00C4414F" w:rsidRPr="00C4414F" w:rsidRDefault="00C4414F" w:rsidP="00C4414F">
                  <w:pPr>
                    <w:jc w:val="center"/>
                    <w:rPr>
                      <w:b/>
                      <w:bCs/>
                      <w:color w:val="000000"/>
                      <w:sz w:val="20"/>
                      <w:szCs w:val="20"/>
                      <w:lang w:val="es-GT" w:eastAsia="es-GT"/>
                    </w:rPr>
                  </w:pPr>
                  <w:r w:rsidRPr="00C4414F">
                    <w:rPr>
                      <w:b/>
                      <w:bCs/>
                      <w:color w:val="000000"/>
                      <w:sz w:val="20"/>
                      <w:szCs w:val="20"/>
                      <w:lang w:val="es-GT" w:eastAsia="es-GT"/>
                    </w:rPr>
                    <w:t>Organismo</w:t>
                  </w:r>
                </w:p>
              </w:tc>
              <w:tc>
                <w:tcPr>
                  <w:tcW w:w="1185" w:type="dxa"/>
                  <w:tcBorders>
                    <w:top w:val="single" w:sz="8" w:space="0" w:color="auto"/>
                    <w:left w:val="single" w:sz="4" w:space="0" w:color="auto"/>
                    <w:bottom w:val="single" w:sz="4" w:space="0" w:color="auto"/>
                    <w:right w:val="single" w:sz="4" w:space="0" w:color="auto"/>
                  </w:tcBorders>
                  <w:shd w:val="clear" w:color="000000" w:fill="8DB4E2"/>
                  <w:vAlign w:val="center"/>
                  <w:hideMark/>
                </w:tcPr>
                <w:p w:rsidR="00C4414F" w:rsidRPr="00C4414F" w:rsidRDefault="00C4414F" w:rsidP="00C4414F">
                  <w:pPr>
                    <w:jc w:val="center"/>
                    <w:rPr>
                      <w:b/>
                      <w:bCs/>
                      <w:color w:val="000000"/>
                      <w:sz w:val="20"/>
                      <w:szCs w:val="20"/>
                      <w:lang w:val="es-GT" w:eastAsia="es-GT"/>
                    </w:rPr>
                  </w:pPr>
                  <w:r w:rsidRPr="00C4414F">
                    <w:rPr>
                      <w:b/>
                      <w:bCs/>
                      <w:color w:val="000000"/>
                      <w:sz w:val="20"/>
                      <w:szCs w:val="20"/>
                      <w:lang w:val="es-GT" w:eastAsia="es-GT"/>
                    </w:rPr>
                    <w:t>Presupuesto Vigente</w:t>
                  </w:r>
                </w:p>
              </w:tc>
              <w:tc>
                <w:tcPr>
                  <w:tcW w:w="1274" w:type="dxa"/>
                  <w:tcBorders>
                    <w:top w:val="single" w:sz="8" w:space="0" w:color="auto"/>
                    <w:left w:val="nil"/>
                    <w:bottom w:val="single" w:sz="4" w:space="0" w:color="auto"/>
                    <w:right w:val="single" w:sz="4" w:space="0" w:color="auto"/>
                  </w:tcBorders>
                  <w:shd w:val="clear" w:color="000000" w:fill="8DB4E2"/>
                  <w:vAlign w:val="center"/>
                  <w:hideMark/>
                </w:tcPr>
                <w:p w:rsidR="00C4414F" w:rsidRPr="00C4414F" w:rsidRDefault="00C4414F" w:rsidP="00C4414F">
                  <w:pPr>
                    <w:jc w:val="center"/>
                    <w:rPr>
                      <w:b/>
                      <w:bCs/>
                      <w:color w:val="000000"/>
                      <w:sz w:val="20"/>
                      <w:szCs w:val="20"/>
                      <w:lang w:val="es-GT" w:eastAsia="es-GT"/>
                    </w:rPr>
                  </w:pPr>
                  <w:r w:rsidRPr="00C4414F">
                    <w:rPr>
                      <w:b/>
                      <w:bCs/>
                      <w:color w:val="000000"/>
                      <w:sz w:val="20"/>
                      <w:szCs w:val="20"/>
                      <w:lang w:val="es-GT" w:eastAsia="es-GT"/>
                    </w:rPr>
                    <w:t>Presupuesto Ejecutado</w:t>
                  </w:r>
                </w:p>
              </w:tc>
              <w:tc>
                <w:tcPr>
                  <w:tcW w:w="1295" w:type="dxa"/>
                  <w:tcBorders>
                    <w:top w:val="single" w:sz="8" w:space="0" w:color="auto"/>
                    <w:left w:val="nil"/>
                    <w:bottom w:val="single" w:sz="4" w:space="0" w:color="auto"/>
                    <w:right w:val="single" w:sz="4" w:space="0" w:color="auto"/>
                  </w:tcBorders>
                  <w:shd w:val="clear" w:color="000000" w:fill="8DB4E2"/>
                  <w:vAlign w:val="center"/>
                  <w:hideMark/>
                </w:tcPr>
                <w:p w:rsidR="00C4414F" w:rsidRPr="00C4414F" w:rsidRDefault="00C4414F" w:rsidP="00C4414F">
                  <w:pPr>
                    <w:jc w:val="center"/>
                    <w:rPr>
                      <w:b/>
                      <w:bCs/>
                      <w:color w:val="000000"/>
                      <w:sz w:val="20"/>
                      <w:szCs w:val="20"/>
                      <w:lang w:val="es-GT" w:eastAsia="es-GT"/>
                    </w:rPr>
                  </w:pPr>
                  <w:r w:rsidRPr="00C4414F">
                    <w:rPr>
                      <w:b/>
                      <w:bCs/>
                      <w:color w:val="000000"/>
                      <w:sz w:val="20"/>
                      <w:szCs w:val="20"/>
                      <w:lang w:val="es-GT" w:eastAsia="es-GT"/>
                    </w:rPr>
                    <w:t>% de Ejecución</w:t>
                  </w:r>
                </w:p>
              </w:tc>
              <w:tc>
                <w:tcPr>
                  <w:tcW w:w="1266" w:type="dxa"/>
                  <w:tcBorders>
                    <w:top w:val="single" w:sz="8" w:space="0" w:color="auto"/>
                    <w:left w:val="single" w:sz="8" w:space="0" w:color="auto"/>
                    <w:bottom w:val="single" w:sz="4" w:space="0" w:color="auto"/>
                    <w:right w:val="single" w:sz="8" w:space="0" w:color="auto"/>
                  </w:tcBorders>
                  <w:shd w:val="clear" w:color="000000" w:fill="8DB4E2"/>
                  <w:noWrap/>
                  <w:vAlign w:val="center"/>
                  <w:hideMark/>
                </w:tcPr>
                <w:p w:rsidR="00C4414F" w:rsidRPr="00C4414F" w:rsidRDefault="00C4414F" w:rsidP="00C4414F">
                  <w:pPr>
                    <w:jc w:val="center"/>
                    <w:rPr>
                      <w:b/>
                      <w:bCs/>
                      <w:color w:val="000000"/>
                      <w:sz w:val="20"/>
                      <w:szCs w:val="20"/>
                      <w:lang w:val="es-GT" w:eastAsia="es-GT"/>
                    </w:rPr>
                  </w:pPr>
                  <w:r w:rsidRPr="00C4414F">
                    <w:rPr>
                      <w:b/>
                      <w:bCs/>
                      <w:color w:val="000000"/>
                      <w:sz w:val="20"/>
                      <w:szCs w:val="20"/>
                      <w:lang w:val="es-GT" w:eastAsia="es-GT"/>
                    </w:rPr>
                    <w:t>Estructura</w:t>
                  </w:r>
                </w:p>
              </w:tc>
            </w:tr>
            <w:tr w:rsidR="00C4414F" w:rsidRPr="00C4414F" w:rsidTr="00DF703E">
              <w:trPr>
                <w:trHeight w:val="412"/>
              </w:trPr>
              <w:tc>
                <w:tcPr>
                  <w:tcW w:w="2777" w:type="dxa"/>
                  <w:tcBorders>
                    <w:top w:val="nil"/>
                    <w:left w:val="single" w:sz="8" w:space="0" w:color="auto"/>
                    <w:bottom w:val="nil"/>
                    <w:right w:val="single" w:sz="4" w:space="0" w:color="auto"/>
                  </w:tcBorders>
                  <w:shd w:val="clear" w:color="auto" w:fill="auto"/>
                  <w:noWrap/>
                  <w:vAlign w:val="center"/>
                  <w:hideMark/>
                </w:tcPr>
                <w:p w:rsidR="00C4414F" w:rsidRPr="00C4414F" w:rsidRDefault="00C4414F" w:rsidP="00DF703E">
                  <w:pPr>
                    <w:jc w:val="center"/>
                    <w:rPr>
                      <w:b/>
                      <w:bCs/>
                      <w:color w:val="000000"/>
                      <w:sz w:val="20"/>
                      <w:szCs w:val="20"/>
                      <w:lang w:val="es-GT" w:eastAsia="es-GT"/>
                    </w:rPr>
                  </w:pPr>
                  <w:r w:rsidRPr="00C4414F">
                    <w:rPr>
                      <w:b/>
                      <w:bCs/>
                      <w:color w:val="000000"/>
                      <w:sz w:val="20"/>
                      <w:szCs w:val="20"/>
                      <w:lang w:val="es-GT" w:eastAsia="es-GT"/>
                    </w:rPr>
                    <w:t>Total</w:t>
                  </w:r>
                </w:p>
              </w:tc>
              <w:tc>
                <w:tcPr>
                  <w:tcW w:w="1539" w:type="dxa"/>
                  <w:tcBorders>
                    <w:top w:val="nil"/>
                    <w:left w:val="nil"/>
                    <w:bottom w:val="nil"/>
                    <w:right w:val="nil"/>
                  </w:tcBorders>
                  <w:shd w:val="clear" w:color="auto" w:fill="auto"/>
                  <w:noWrap/>
                  <w:vAlign w:val="center"/>
                  <w:hideMark/>
                </w:tcPr>
                <w:p w:rsidR="00C4414F" w:rsidRPr="00C4414F" w:rsidRDefault="00C4414F" w:rsidP="00DF703E">
                  <w:pPr>
                    <w:jc w:val="center"/>
                    <w:rPr>
                      <w:b/>
                      <w:bCs/>
                      <w:color w:val="000000"/>
                      <w:sz w:val="20"/>
                      <w:szCs w:val="20"/>
                      <w:lang w:val="es-GT" w:eastAsia="es-GT"/>
                    </w:rPr>
                  </w:pPr>
                </w:p>
              </w:tc>
              <w:tc>
                <w:tcPr>
                  <w:tcW w:w="1185" w:type="dxa"/>
                  <w:tcBorders>
                    <w:top w:val="nil"/>
                    <w:left w:val="single" w:sz="4" w:space="0" w:color="auto"/>
                    <w:bottom w:val="nil"/>
                    <w:right w:val="single" w:sz="4" w:space="0" w:color="auto"/>
                  </w:tcBorders>
                  <w:shd w:val="clear" w:color="auto" w:fill="auto"/>
                  <w:vAlign w:val="center"/>
                  <w:hideMark/>
                </w:tcPr>
                <w:p w:rsidR="00C4414F" w:rsidRPr="00C4414F" w:rsidRDefault="00C4414F" w:rsidP="00DF703E">
                  <w:pPr>
                    <w:jc w:val="center"/>
                    <w:rPr>
                      <w:b/>
                      <w:bCs/>
                      <w:color w:val="000000"/>
                      <w:sz w:val="20"/>
                      <w:szCs w:val="20"/>
                      <w:lang w:val="es-GT" w:eastAsia="es-GT"/>
                    </w:rPr>
                  </w:pPr>
                  <w:r w:rsidRPr="00C4414F">
                    <w:rPr>
                      <w:b/>
                      <w:bCs/>
                      <w:color w:val="000000"/>
                      <w:sz w:val="20"/>
                      <w:szCs w:val="20"/>
                      <w:lang w:val="es-GT" w:eastAsia="es-GT"/>
                    </w:rPr>
                    <w:t>356.1</w:t>
                  </w:r>
                </w:p>
              </w:tc>
              <w:tc>
                <w:tcPr>
                  <w:tcW w:w="1274" w:type="dxa"/>
                  <w:tcBorders>
                    <w:top w:val="nil"/>
                    <w:left w:val="nil"/>
                    <w:bottom w:val="nil"/>
                    <w:right w:val="single" w:sz="4" w:space="0" w:color="auto"/>
                  </w:tcBorders>
                  <w:shd w:val="clear" w:color="auto" w:fill="auto"/>
                  <w:vAlign w:val="center"/>
                  <w:hideMark/>
                </w:tcPr>
                <w:p w:rsidR="00C4414F" w:rsidRPr="00C4414F" w:rsidRDefault="00C4414F" w:rsidP="00DF703E">
                  <w:pPr>
                    <w:jc w:val="center"/>
                    <w:rPr>
                      <w:b/>
                      <w:bCs/>
                      <w:color w:val="000000"/>
                      <w:sz w:val="20"/>
                      <w:szCs w:val="20"/>
                      <w:lang w:val="es-GT" w:eastAsia="es-GT"/>
                    </w:rPr>
                  </w:pPr>
                  <w:r w:rsidRPr="00C4414F">
                    <w:rPr>
                      <w:b/>
                      <w:bCs/>
                      <w:color w:val="000000"/>
                      <w:sz w:val="20"/>
                      <w:szCs w:val="20"/>
                      <w:lang w:val="es-GT" w:eastAsia="es-GT"/>
                    </w:rPr>
                    <w:t>86.7</w:t>
                  </w:r>
                </w:p>
              </w:tc>
              <w:tc>
                <w:tcPr>
                  <w:tcW w:w="1295" w:type="dxa"/>
                  <w:tcBorders>
                    <w:top w:val="single" w:sz="4" w:space="0" w:color="auto"/>
                    <w:left w:val="nil"/>
                    <w:bottom w:val="nil"/>
                    <w:right w:val="single" w:sz="8" w:space="0" w:color="auto"/>
                  </w:tcBorders>
                  <w:shd w:val="clear" w:color="auto" w:fill="auto"/>
                  <w:vAlign w:val="center"/>
                  <w:hideMark/>
                </w:tcPr>
                <w:p w:rsidR="00C4414F" w:rsidRPr="00C4414F" w:rsidRDefault="00C4414F" w:rsidP="00DF703E">
                  <w:pPr>
                    <w:jc w:val="center"/>
                    <w:rPr>
                      <w:b/>
                      <w:bCs/>
                      <w:color w:val="000000"/>
                      <w:sz w:val="20"/>
                      <w:szCs w:val="20"/>
                      <w:lang w:val="es-GT" w:eastAsia="es-GT"/>
                    </w:rPr>
                  </w:pPr>
                  <w:r w:rsidRPr="00C4414F">
                    <w:rPr>
                      <w:b/>
                      <w:bCs/>
                      <w:color w:val="000000"/>
                      <w:sz w:val="20"/>
                      <w:szCs w:val="20"/>
                      <w:lang w:val="es-GT" w:eastAsia="es-GT"/>
                    </w:rPr>
                    <w:t>24.3%</w:t>
                  </w:r>
                </w:p>
              </w:tc>
              <w:tc>
                <w:tcPr>
                  <w:tcW w:w="1266" w:type="dxa"/>
                  <w:tcBorders>
                    <w:top w:val="nil"/>
                    <w:left w:val="nil"/>
                    <w:bottom w:val="nil"/>
                    <w:right w:val="single" w:sz="8" w:space="0" w:color="auto"/>
                  </w:tcBorders>
                  <w:shd w:val="clear" w:color="auto" w:fill="auto"/>
                  <w:noWrap/>
                  <w:vAlign w:val="center"/>
                  <w:hideMark/>
                </w:tcPr>
                <w:p w:rsidR="00C4414F" w:rsidRPr="00C354A0" w:rsidRDefault="00C4414F" w:rsidP="00DF703E">
                  <w:pPr>
                    <w:jc w:val="center"/>
                    <w:rPr>
                      <w:b/>
                      <w:color w:val="000000"/>
                      <w:sz w:val="20"/>
                      <w:szCs w:val="20"/>
                      <w:lang w:val="es-GT" w:eastAsia="es-GT"/>
                    </w:rPr>
                  </w:pPr>
                  <w:r w:rsidRPr="00C354A0">
                    <w:rPr>
                      <w:b/>
                      <w:color w:val="000000"/>
                      <w:sz w:val="20"/>
                      <w:szCs w:val="20"/>
                      <w:lang w:val="es-GT" w:eastAsia="es-GT"/>
                    </w:rPr>
                    <w:t>100.0%</w:t>
                  </w:r>
                </w:p>
              </w:tc>
            </w:tr>
            <w:tr w:rsidR="00C4414F" w:rsidRPr="00C4414F" w:rsidTr="00C4414F">
              <w:trPr>
                <w:trHeight w:val="330"/>
              </w:trPr>
              <w:tc>
                <w:tcPr>
                  <w:tcW w:w="2777" w:type="dxa"/>
                  <w:tcBorders>
                    <w:top w:val="nil"/>
                    <w:left w:val="single" w:sz="8" w:space="0" w:color="auto"/>
                    <w:bottom w:val="nil"/>
                    <w:right w:val="single" w:sz="4" w:space="0" w:color="auto"/>
                  </w:tcBorders>
                  <w:shd w:val="clear" w:color="auto" w:fill="auto"/>
                  <w:noWrap/>
                  <w:hideMark/>
                </w:tcPr>
                <w:p w:rsidR="00C4414F" w:rsidRPr="00C4414F" w:rsidRDefault="00C4414F" w:rsidP="00C4414F">
                  <w:pPr>
                    <w:rPr>
                      <w:color w:val="000000"/>
                      <w:sz w:val="20"/>
                      <w:szCs w:val="20"/>
                      <w:lang w:val="es-GT" w:eastAsia="es-GT"/>
                    </w:rPr>
                  </w:pPr>
                  <w:r w:rsidRPr="00C4414F">
                    <w:rPr>
                      <w:color w:val="000000"/>
                      <w:sz w:val="20"/>
                      <w:szCs w:val="20"/>
                      <w:lang w:val="es-GT" w:eastAsia="es-GT"/>
                    </w:rPr>
                    <w:t>11 Ingresos corrientes</w:t>
                  </w:r>
                </w:p>
              </w:tc>
              <w:tc>
                <w:tcPr>
                  <w:tcW w:w="1539" w:type="dxa"/>
                  <w:tcBorders>
                    <w:top w:val="nil"/>
                    <w:left w:val="nil"/>
                    <w:bottom w:val="nil"/>
                    <w:right w:val="nil"/>
                  </w:tcBorders>
                  <w:shd w:val="clear" w:color="auto" w:fill="auto"/>
                  <w:noWrap/>
                  <w:vAlign w:val="center"/>
                  <w:hideMark/>
                </w:tcPr>
                <w:p w:rsidR="00C4414F" w:rsidRPr="00C4414F" w:rsidRDefault="00C4414F" w:rsidP="00C4414F">
                  <w:pPr>
                    <w:jc w:val="center"/>
                    <w:rPr>
                      <w:color w:val="000000"/>
                      <w:sz w:val="20"/>
                      <w:szCs w:val="20"/>
                      <w:lang w:val="es-GT" w:eastAsia="es-GT"/>
                    </w:rPr>
                  </w:pPr>
                  <w:r w:rsidRPr="00C4414F">
                    <w:rPr>
                      <w:color w:val="000000"/>
                      <w:sz w:val="20"/>
                      <w:szCs w:val="20"/>
                      <w:lang w:val="es-GT" w:eastAsia="es-GT"/>
                    </w:rPr>
                    <w:t>Gobierno</w:t>
                  </w:r>
                </w:p>
              </w:tc>
              <w:tc>
                <w:tcPr>
                  <w:tcW w:w="1185" w:type="dxa"/>
                  <w:tcBorders>
                    <w:top w:val="nil"/>
                    <w:left w:val="single" w:sz="4" w:space="0" w:color="auto"/>
                    <w:bottom w:val="nil"/>
                    <w:right w:val="single" w:sz="4"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40.7</w:t>
                  </w:r>
                </w:p>
              </w:tc>
              <w:tc>
                <w:tcPr>
                  <w:tcW w:w="1274" w:type="dxa"/>
                  <w:tcBorders>
                    <w:top w:val="nil"/>
                    <w:left w:val="nil"/>
                    <w:bottom w:val="nil"/>
                    <w:right w:val="single" w:sz="4"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15.4</w:t>
                  </w:r>
                </w:p>
              </w:tc>
              <w:tc>
                <w:tcPr>
                  <w:tcW w:w="1295" w:type="dxa"/>
                  <w:tcBorders>
                    <w:top w:val="nil"/>
                    <w:left w:val="nil"/>
                    <w:bottom w:val="nil"/>
                    <w:right w:val="single" w:sz="8"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37.9%</w:t>
                  </w:r>
                </w:p>
              </w:tc>
              <w:tc>
                <w:tcPr>
                  <w:tcW w:w="1266" w:type="dxa"/>
                  <w:tcBorders>
                    <w:top w:val="nil"/>
                    <w:left w:val="nil"/>
                    <w:bottom w:val="nil"/>
                    <w:right w:val="single" w:sz="8" w:space="0" w:color="auto"/>
                  </w:tcBorders>
                  <w:shd w:val="clear" w:color="auto" w:fill="auto"/>
                  <w:noWrap/>
                  <w:hideMark/>
                </w:tcPr>
                <w:p w:rsidR="00C4414F" w:rsidRPr="00C4414F" w:rsidRDefault="00C4414F" w:rsidP="00C4414F">
                  <w:pPr>
                    <w:jc w:val="center"/>
                    <w:rPr>
                      <w:color w:val="000000"/>
                      <w:sz w:val="20"/>
                      <w:szCs w:val="20"/>
                      <w:lang w:val="es-GT" w:eastAsia="es-GT"/>
                    </w:rPr>
                  </w:pPr>
                  <w:r w:rsidRPr="00C4414F">
                    <w:rPr>
                      <w:color w:val="000000"/>
                      <w:sz w:val="20"/>
                      <w:szCs w:val="20"/>
                      <w:lang w:val="es-GT" w:eastAsia="es-GT"/>
                    </w:rPr>
                    <w:t>11.4%</w:t>
                  </w:r>
                </w:p>
              </w:tc>
            </w:tr>
            <w:tr w:rsidR="00C4414F" w:rsidRPr="00C4414F" w:rsidTr="00C4414F">
              <w:trPr>
                <w:trHeight w:val="330"/>
              </w:trPr>
              <w:tc>
                <w:tcPr>
                  <w:tcW w:w="2777" w:type="dxa"/>
                  <w:tcBorders>
                    <w:top w:val="nil"/>
                    <w:left w:val="single" w:sz="8" w:space="0" w:color="auto"/>
                    <w:bottom w:val="nil"/>
                    <w:right w:val="single" w:sz="4" w:space="0" w:color="auto"/>
                  </w:tcBorders>
                  <w:shd w:val="clear" w:color="auto" w:fill="auto"/>
                  <w:noWrap/>
                  <w:hideMark/>
                </w:tcPr>
                <w:p w:rsidR="00C4414F" w:rsidRPr="00C4414F" w:rsidRDefault="00C4414F" w:rsidP="00C4414F">
                  <w:pPr>
                    <w:rPr>
                      <w:color w:val="000000"/>
                      <w:sz w:val="20"/>
                      <w:szCs w:val="20"/>
                      <w:lang w:val="es-GT" w:eastAsia="es-GT"/>
                    </w:rPr>
                  </w:pPr>
                  <w:r w:rsidRPr="00C4414F">
                    <w:rPr>
                      <w:color w:val="000000"/>
                      <w:sz w:val="20"/>
                      <w:szCs w:val="20"/>
                      <w:lang w:val="es-GT" w:eastAsia="es-GT"/>
                    </w:rPr>
                    <w:t>21 Ingresos tributarios IVA PAZ</w:t>
                  </w:r>
                </w:p>
              </w:tc>
              <w:tc>
                <w:tcPr>
                  <w:tcW w:w="1539" w:type="dxa"/>
                  <w:tcBorders>
                    <w:top w:val="nil"/>
                    <w:left w:val="nil"/>
                    <w:bottom w:val="nil"/>
                    <w:right w:val="nil"/>
                  </w:tcBorders>
                  <w:shd w:val="clear" w:color="auto" w:fill="auto"/>
                  <w:noWrap/>
                  <w:vAlign w:val="center"/>
                  <w:hideMark/>
                </w:tcPr>
                <w:p w:rsidR="00C4414F" w:rsidRPr="00C4414F" w:rsidRDefault="00C4414F" w:rsidP="00C4414F">
                  <w:pPr>
                    <w:jc w:val="center"/>
                    <w:rPr>
                      <w:color w:val="000000"/>
                      <w:sz w:val="20"/>
                      <w:szCs w:val="20"/>
                      <w:lang w:val="es-GT" w:eastAsia="es-GT"/>
                    </w:rPr>
                  </w:pPr>
                  <w:r w:rsidRPr="00C4414F">
                    <w:rPr>
                      <w:color w:val="000000"/>
                      <w:sz w:val="20"/>
                      <w:szCs w:val="20"/>
                      <w:lang w:val="es-GT" w:eastAsia="es-GT"/>
                    </w:rPr>
                    <w:t>Gobierno</w:t>
                  </w:r>
                </w:p>
              </w:tc>
              <w:tc>
                <w:tcPr>
                  <w:tcW w:w="1185" w:type="dxa"/>
                  <w:tcBorders>
                    <w:top w:val="nil"/>
                    <w:left w:val="single" w:sz="4" w:space="0" w:color="auto"/>
                    <w:bottom w:val="nil"/>
                    <w:right w:val="single" w:sz="4"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1.6</w:t>
                  </w:r>
                </w:p>
              </w:tc>
              <w:tc>
                <w:tcPr>
                  <w:tcW w:w="1274" w:type="dxa"/>
                  <w:tcBorders>
                    <w:top w:val="nil"/>
                    <w:left w:val="nil"/>
                    <w:bottom w:val="nil"/>
                    <w:right w:val="single" w:sz="4"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0.0</w:t>
                  </w:r>
                </w:p>
              </w:tc>
              <w:tc>
                <w:tcPr>
                  <w:tcW w:w="1295" w:type="dxa"/>
                  <w:tcBorders>
                    <w:top w:val="nil"/>
                    <w:left w:val="nil"/>
                    <w:bottom w:val="nil"/>
                    <w:right w:val="single" w:sz="8"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0.0%</w:t>
                  </w:r>
                </w:p>
              </w:tc>
              <w:tc>
                <w:tcPr>
                  <w:tcW w:w="1266" w:type="dxa"/>
                  <w:tcBorders>
                    <w:top w:val="nil"/>
                    <w:left w:val="nil"/>
                    <w:bottom w:val="nil"/>
                    <w:right w:val="single" w:sz="8" w:space="0" w:color="auto"/>
                  </w:tcBorders>
                  <w:shd w:val="clear" w:color="auto" w:fill="auto"/>
                  <w:noWrap/>
                  <w:hideMark/>
                </w:tcPr>
                <w:p w:rsidR="00C4414F" w:rsidRPr="00C4414F" w:rsidRDefault="00C4414F" w:rsidP="00C4414F">
                  <w:pPr>
                    <w:jc w:val="center"/>
                    <w:rPr>
                      <w:color w:val="000000"/>
                      <w:sz w:val="20"/>
                      <w:szCs w:val="20"/>
                      <w:lang w:val="es-GT" w:eastAsia="es-GT"/>
                    </w:rPr>
                  </w:pPr>
                  <w:r w:rsidRPr="00C4414F">
                    <w:rPr>
                      <w:color w:val="000000"/>
                      <w:sz w:val="20"/>
                      <w:szCs w:val="20"/>
                      <w:lang w:val="es-GT" w:eastAsia="es-GT"/>
                    </w:rPr>
                    <w:t>0.4%</w:t>
                  </w:r>
                </w:p>
              </w:tc>
            </w:tr>
            <w:tr w:rsidR="00C4414F" w:rsidRPr="00C4414F" w:rsidTr="00C4414F">
              <w:trPr>
                <w:trHeight w:val="330"/>
              </w:trPr>
              <w:tc>
                <w:tcPr>
                  <w:tcW w:w="2777" w:type="dxa"/>
                  <w:tcBorders>
                    <w:top w:val="nil"/>
                    <w:left w:val="single" w:sz="8" w:space="0" w:color="auto"/>
                    <w:bottom w:val="nil"/>
                    <w:right w:val="single" w:sz="4" w:space="0" w:color="auto"/>
                  </w:tcBorders>
                  <w:shd w:val="clear" w:color="auto" w:fill="auto"/>
                  <w:noWrap/>
                  <w:hideMark/>
                </w:tcPr>
                <w:p w:rsidR="00C4414F" w:rsidRPr="00C4414F" w:rsidRDefault="00C4414F" w:rsidP="00C4414F">
                  <w:pPr>
                    <w:rPr>
                      <w:color w:val="000000"/>
                      <w:sz w:val="20"/>
                      <w:szCs w:val="20"/>
                      <w:lang w:val="es-GT" w:eastAsia="es-GT"/>
                    </w:rPr>
                  </w:pPr>
                  <w:r w:rsidRPr="00C4414F">
                    <w:rPr>
                      <w:color w:val="000000"/>
                      <w:sz w:val="20"/>
                      <w:szCs w:val="20"/>
                      <w:lang w:val="es-GT" w:eastAsia="es-GT"/>
                    </w:rPr>
                    <w:t>51 Colocaciones externas</w:t>
                  </w:r>
                </w:p>
              </w:tc>
              <w:tc>
                <w:tcPr>
                  <w:tcW w:w="1539" w:type="dxa"/>
                  <w:tcBorders>
                    <w:top w:val="nil"/>
                    <w:left w:val="nil"/>
                    <w:bottom w:val="nil"/>
                    <w:right w:val="nil"/>
                  </w:tcBorders>
                  <w:shd w:val="clear" w:color="auto" w:fill="auto"/>
                  <w:noWrap/>
                  <w:vAlign w:val="center"/>
                  <w:hideMark/>
                </w:tcPr>
                <w:p w:rsidR="00C4414F" w:rsidRPr="00C4414F" w:rsidRDefault="00C4414F" w:rsidP="00C4414F">
                  <w:pPr>
                    <w:jc w:val="center"/>
                    <w:rPr>
                      <w:color w:val="000000"/>
                      <w:sz w:val="20"/>
                      <w:szCs w:val="20"/>
                      <w:lang w:val="es-GT" w:eastAsia="es-GT"/>
                    </w:rPr>
                  </w:pPr>
                  <w:r w:rsidRPr="00C4414F">
                    <w:rPr>
                      <w:color w:val="000000"/>
                      <w:sz w:val="20"/>
                      <w:szCs w:val="20"/>
                      <w:lang w:val="es-GT" w:eastAsia="es-GT"/>
                    </w:rPr>
                    <w:t>Eurobonos</w:t>
                  </w:r>
                </w:p>
              </w:tc>
              <w:tc>
                <w:tcPr>
                  <w:tcW w:w="1185" w:type="dxa"/>
                  <w:tcBorders>
                    <w:top w:val="nil"/>
                    <w:left w:val="single" w:sz="4" w:space="0" w:color="auto"/>
                    <w:bottom w:val="nil"/>
                    <w:right w:val="single" w:sz="4"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24.0</w:t>
                  </w:r>
                </w:p>
              </w:tc>
              <w:tc>
                <w:tcPr>
                  <w:tcW w:w="1274" w:type="dxa"/>
                  <w:tcBorders>
                    <w:top w:val="nil"/>
                    <w:left w:val="nil"/>
                    <w:bottom w:val="nil"/>
                    <w:right w:val="single" w:sz="4"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21.9</w:t>
                  </w:r>
                </w:p>
              </w:tc>
              <w:tc>
                <w:tcPr>
                  <w:tcW w:w="1295" w:type="dxa"/>
                  <w:tcBorders>
                    <w:top w:val="nil"/>
                    <w:left w:val="nil"/>
                    <w:bottom w:val="nil"/>
                    <w:right w:val="single" w:sz="8"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91.1%</w:t>
                  </w:r>
                </w:p>
              </w:tc>
              <w:tc>
                <w:tcPr>
                  <w:tcW w:w="1266" w:type="dxa"/>
                  <w:tcBorders>
                    <w:top w:val="nil"/>
                    <w:left w:val="nil"/>
                    <w:bottom w:val="nil"/>
                    <w:right w:val="single" w:sz="8" w:space="0" w:color="auto"/>
                  </w:tcBorders>
                  <w:shd w:val="clear" w:color="auto" w:fill="auto"/>
                  <w:noWrap/>
                  <w:hideMark/>
                </w:tcPr>
                <w:p w:rsidR="00C4414F" w:rsidRPr="00C4414F" w:rsidRDefault="00C4414F" w:rsidP="00C4414F">
                  <w:pPr>
                    <w:jc w:val="center"/>
                    <w:rPr>
                      <w:color w:val="000000"/>
                      <w:sz w:val="20"/>
                      <w:szCs w:val="20"/>
                      <w:lang w:val="es-GT" w:eastAsia="es-GT"/>
                    </w:rPr>
                  </w:pPr>
                  <w:r w:rsidRPr="00C4414F">
                    <w:rPr>
                      <w:color w:val="000000"/>
                      <w:sz w:val="20"/>
                      <w:szCs w:val="20"/>
                      <w:lang w:val="es-GT" w:eastAsia="es-GT"/>
                    </w:rPr>
                    <w:t>6.7%</w:t>
                  </w:r>
                </w:p>
              </w:tc>
            </w:tr>
            <w:tr w:rsidR="00C4414F" w:rsidRPr="00C4414F" w:rsidTr="00C4414F">
              <w:trPr>
                <w:trHeight w:val="330"/>
              </w:trPr>
              <w:tc>
                <w:tcPr>
                  <w:tcW w:w="2777" w:type="dxa"/>
                  <w:tcBorders>
                    <w:top w:val="nil"/>
                    <w:left w:val="single" w:sz="8" w:space="0" w:color="auto"/>
                    <w:bottom w:val="nil"/>
                    <w:right w:val="single" w:sz="4" w:space="0" w:color="auto"/>
                  </w:tcBorders>
                  <w:shd w:val="clear" w:color="auto" w:fill="auto"/>
                  <w:noWrap/>
                  <w:hideMark/>
                </w:tcPr>
                <w:p w:rsidR="00C4414F" w:rsidRPr="00C4414F" w:rsidRDefault="00C4414F" w:rsidP="008E0614">
                  <w:pPr>
                    <w:rPr>
                      <w:color w:val="000000"/>
                      <w:sz w:val="20"/>
                      <w:szCs w:val="20"/>
                      <w:lang w:val="es-GT" w:eastAsia="es-GT"/>
                    </w:rPr>
                  </w:pPr>
                  <w:r w:rsidRPr="00C4414F">
                    <w:rPr>
                      <w:color w:val="000000"/>
                      <w:sz w:val="20"/>
                      <w:szCs w:val="20"/>
                      <w:lang w:val="es-GT" w:eastAsia="es-GT"/>
                    </w:rPr>
                    <w:t>52 Préstamos externos</w:t>
                  </w:r>
                </w:p>
              </w:tc>
              <w:tc>
                <w:tcPr>
                  <w:tcW w:w="1539" w:type="dxa"/>
                  <w:tcBorders>
                    <w:top w:val="nil"/>
                    <w:left w:val="nil"/>
                    <w:bottom w:val="nil"/>
                    <w:right w:val="nil"/>
                  </w:tcBorders>
                  <w:shd w:val="clear" w:color="auto" w:fill="auto"/>
                  <w:noWrap/>
                  <w:vAlign w:val="center"/>
                  <w:hideMark/>
                </w:tcPr>
                <w:p w:rsidR="00C4414F" w:rsidRPr="00C4414F" w:rsidRDefault="00C4414F" w:rsidP="00C4414F">
                  <w:pPr>
                    <w:jc w:val="center"/>
                    <w:rPr>
                      <w:color w:val="000000"/>
                      <w:sz w:val="20"/>
                      <w:szCs w:val="20"/>
                      <w:lang w:val="es-GT" w:eastAsia="es-GT"/>
                    </w:rPr>
                  </w:pPr>
                  <w:r w:rsidRPr="00C4414F">
                    <w:rPr>
                      <w:color w:val="000000"/>
                      <w:sz w:val="20"/>
                      <w:szCs w:val="20"/>
                      <w:lang w:val="es-GT" w:eastAsia="es-GT"/>
                    </w:rPr>
                    <w:t>BIRF CATDDO</w:t>
                  </w:r>
                </w:p>
              </w:tc>
              <w:tc>
                <w:tcPr>
                  <w:tcW w:w="1185" w:type="dxa"/>
                  <w:tcBorders>
                    <w:top w:val="nil"/>
                    <w:left w:val="single" w:sz="4" w:space="0" w:color="auto"/>
                    <w:bottom w:val="nil"/>
                    <w:right w:val="single" w:sz="4"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28.2</w:t>
                  </w:r>
                </w:p>
              </w:tc>
              <w:tc>
                <w:tcPr>
                  <w:tcW w:w="1274" w:type="dxa"/>
                  <w:tcBorders>
                    <w:top w:val="nil"/>
                    <w:left w:val="nil"/>
                    <w:bottom w:val="nil"/>
                    <w:right w:val="single" w:sz="4"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0.0</w:t>
                  </w:r>
                </w:p>
              </w:tc>
              <w:tc>
                <w:tcPr>
                  <w:tcW w:w="1295" w:type="dxa"/>
                  <w:tcBorders>
                    <w:top w:val="nil"/>
                    <w:left w:val="nil"/>
                    <w:bottom w:val="nil"/>
                    <w:right w:val="single" w:sz="8"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0.0%</w:t>
                  </w:r>
                </w:p>
              </w:tc>
              <w:tc>
                <w:tcPr>
                  <w:tcW w:w="1266" w:type="dxa"/>
                  <w:tcBorders>
                    <w:top w:val="nil"/>
                    <w:left w:val="nil"/>
                    <w:bottom w:val="nil"/>
                    <w:right w:val="single" w:sz="8" w:space="0" w:color="auto"/>
                  </w:tcBorders>
                  <w:shd w:val="clear" w:color="auto" w:fill="auto"/>
                  <w:noWrap/>
                  <w:hideMark/>
                </w:tcPr>
                <w:p w:rsidR="00C4414F" w:rsidRPr="00C4414F" w:rsidRDefault="00C4414F" w:rsidP="00C4414F">
                  <w:pPr>
                    <w:jc w:val="center"/>
                    <w:rPr>
                      <w:color w:val="000000"/>
                      <w:sz w:val="20"/>
                      <w:szCs w:val="20"/>
                      <w:lang w:val="es-GT" w:eastAsia="es-GT"/>
                    </w:rPr>
                  </w:pPr>
                  <w:r w:rsidRPr="00C4414F">
                    <w:rPr>
                      <w:color w:val="000000"/>
                      <w:sz w:val="20"/>
                      <w:szCs w:val="20"/>
                      <w:lang w:val="es-GT" w:eastAsia="es-GT"/>
                    </w:rPr>
                    <w:t>7.9%</w:t>
                  </w:r>
                </w:p>
              </w:tc>
            </w:tr>
            <w:tr w:rsidR="00C4414F" w:rsidRPr="00C4414F" w:rsidTr="00C4414F">
              <w:trPr>
                <w:trHeight w:val="330"/>
              </w:trPr>
              <w:tc>
                <w:tcPr>
                  <w:tcW w:w="2777" w:type="dxa"/>
                  <w:tcBorders>
                    <w:top w:val="nil"/>
                    <w:left w:val="single" w:sz="8" w:space="0" w:color="auto"/>
                    <w:bottom w:val="single" w:sz="8" w:space="0" w:color="auto"/>
                    <w:right w:val="single" w:sz="4" w:space="0" w:color="auto"/>
                  </w:tcBorders>
                  <w:shd w:val="clear" w:color="auto" w:fill="auto"/>
                  <w:noWrap/>
                  <w:hideMark/>
                </w:tcPr>
                <w:p w:rsidR="00C4414F" w:rsidRPr="00C4414F" w:rsidRDefault="00C4414F" w:rsidP="00C4414F">
                  <w:pPr>
                    <w:rPr>
                      <w:color w:val="000000"/>
                      <w:sz w:val="20"/>
                      <w:szCs w:val="20"/>
                      <w:lang w:val="es-GT" w:eastAsia="es-GT"/>
                    </w:rPr>
                  </w:pPr>
                  <w:r w:rsidRPr="00C4414F">
                    <w:rPr>
                      <w:color w:val="000000"/>
                      <w:sz w:val="20"/>
                      <w:szCs w:val="20"/>
                      <w:lang w:val="es-GT" w:eastAsia="es-GT"/>
                    </w:rPr>
                    <w:t>61 Donaciones internas</w:t>
                  </w:r>
                </w:p>
              </w:tc>
              <w:tc>
                <w:tcPr>
                  <w:tcW w:w="1539" w:type="dxa"/>
                  <w:tcBorders>
                    <w:top w:val="nil"/>
                    <w:left w:val="nil"/>
                    <w:bottom w:val="single" w:sz="8" w:space="0" w:color="auto"/>
                    <w:right w:val="nil"/>
                  </w:tcBorders>
                  <w:shd w:val="clear" w:color="auto" w:fill="auto"/>
                  <w:noWrap/>
                  <w:vAlign w:val="center"/>
                  <w:hideMark/>
                </w:tcPr>
                <w:p w:rsidR="00C4414F" w:rsidRPr="00C4414F" w:rsidRDefault="00C4414F" w:rsidP="00C4414F">
                  <w:pPr>
                    <w:jc w:val="center"/>
                    <w:rPr>
                      <w:color w:val="000000"/>
                      <w:sz w:val="20"/>
                      <w:szCs w:val="20"/>
                      <w:lang w:val="es-GT" w:eastAsia="es-GT"/>
                    </w:rPr>
                  </w:pPr>
                  <w:r w:rsidRPr="00C4414F">
                    <w:rPr>
                      <w:color w:val="000000"/>
                      <w:sz w:val="20"/>
                      <w:szCs w:val="20"/>
                      <w:lang w:val="es-GT" w:eastAsia="es-GT"/>
                    </w:rPr>
                    <w:t>Varios donantes</w:t>
                  </w:r>
                </w:p>
              </w:tc>
              <w:tc>
                <w:tcPr>
                  <w:tcW w:w="1185" w:type="dxa"/>
                  <w:tcBorders>
                    <w:top w:val="nil"/>
                    <w:left w:val="single" w:sz="4" w:space="0" w:color="auto"/>
                    <w:bottom w:val="single" w:sz="8" w:space="0" w:color="auto"/>
                    <w:right w:val="single" w:sz="4"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261.6</w:t>
                  </w:r>
                </w:p>
              </w:tc>
              <w:tc>
                <w:tcPr>
                  <w:tcW w:w="1274" w:type="dxa"/>
                  <w:tcBorders>
                    <w:top w:val="nil"/>
                    <w:left w:val="nil"/>
                    <w:bottom w:val="single" w:sz="8" w:space="0" w:color="auto"/>
                    <w:right w:val="single" w:sz="4"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49.4</w:t>
                  </w:r>
                </w:p>
              </w:tc>
              <w:tc>
                <w:tcPr>
                  <w:tcW w:w="1295" w:type="dxa"/>
                  <w:tcBorders>
                    <w:top w:val="nil"/>
                    <w:left w:val="nil"/>
                    <w:bottom w:val="single" w:sz="8" w:space="0" w:color="auto"/>
                    <w:right w:val="single" w:sz="8" w:space="0" w:color="auto"/>
                  </w:tcBorders>
                  <w:shd w:val="clear" w:color="auto" w:fill="auto"/>
                  <w:noWrap/>
                  <w:hideMark/>
                </w:tcPr>
                <w:p w:rsidR="00C4414F" w:rsidRPr="00C4414F" w:rsidRDefault="00C4414F" w:rsidP="00C4414F">
                  <w:pPr>
                    <w:jc w:val="right"/>
                    <w:rPr>
                      <w:color w:val="000000"/>
                      <w:sz w:val="20"/>
                      <w:szCs w:val="20"/>
                      <w:lang w:val="es-GT" w:eastAsia="es-GT"/>
                    </w:rPr>
                  </w:pPr>
                  <w:r w:rsidRPr="00C4414F">
                    <w:rPr>
                      <w:color w:val="000000"/>
                      <w:sz w:val="20"/>
                      <w:szCs w:val="20"/>
                      <w:lang w:val="es-GT" w:eastAsia="es-GT"/>
                    </w:rPr>
                    <w:t>18.9%</w:t>
                  </w:r>
                </w:p>
              </w:tc>
              <w:tc>
                <w:tcPr>
                  <w:tcW w:w="1266" w:type="dxa"/>
                  <w:tcBorders>
                    <w:top w:val="nil"/>
                    <w:left w:val="single" w:sz="8" w:space="0" w:color="auto"/>
                    <w:bottom w:val="single" w:sz="8" w:space="0" w:color="auto"/>
                    <w:right w:val="single" w:sz="8" w:space="0" w:color="auto"/>
                  </w:tcBorders>
                  <w:shd w:val="clear" w:color="auto" w:fill="auto"/>
                  <w:noWrap/>
                  <w:hideMark/>
                </w:tcPr>
                <w:p w:rsidR="00C4414F" w:rsidRPr="00C4414F" w:rsidRDefault="00C4414F" w:rsidP="00C4414F">
                  <w:pPr>
                    <w:jc w:val="center"/>
                    <w:rPr>
                      <w:color w:val="000000"/>
                      <w:sz w:val="20"/>
                      <w:szCs w:val="20"/>
                      <w:lang w:val="es-GT" w:eastAsia="es-GT"/>
                    </w:rPr>
                  </w:pPr>
                  <w:r w:rsidRPr="00C4414F">
                    <w:rPr>
                      <w:color w:val="000000"/>
                      <w:sz w:val="20"/>
                      <w:szCs w:val="20"/>
                      <w:lang w:val="es-GT" w:eastAsia="es-GT"/>
                    </w:rPr>
                    <w:t>73.5%</w:t>
                  </w:r>
                </w:p>
              </w:tc>
            </w:tr>
          </w:tbl>
          <w:p w:rsidR="00C4414F" w:rsidRPr="00DD5DD7" w:rsidRDefault="00C4414F" w:rsidP="00C4414F">
            <w:pPr>
              <w:jc w:val="center"/>
              <w:rPr>
                <w:b/>
                <w:bCs/>
              </w:rPr>
            </w:pPr>
          </w:p>
        </w:tc>
      </w:tr>
    </w:tbl>
    <w:p w:rsidR="00C4414F" w:rsidRPr="00A861C2" w:rsidRDefault="00C4414F" w:rsidP="00C4414F">
      <w:pPr>
        <w:jc w:val="both"/>
        <w:rPr>
          <w:sz w:val="18"/>
        </w:rPr>
      </w:pPr>
      <w:r w:rsidRPr="00A861C2">
        <w:rPr>
          <w:sz w:val="18"/>
        </w:rPr>
        <w:t>* Cifras preliminares</w:t>
      </w:r>
    </w:p>
    <w:p w:rsidR="00C4414F" w:rsidRPr="008C5ECD" w:rsidRDefault="00C4414F" w:rsidP="00C4414F">
      <w:pPr>
        <w:jc w:val="both"/>
        <w:rPr>
          <w:sz w:val="18"/>
        </w:rPr>
      </w:pPr>
      <w:r w:rsidRPr="008C5ECD">
        <w:rPr>
          <w:sz w:val="18"/>
        </w:rPr>
        <w:t xml:space="preserve">   Fuente: Ministerio de Finanzas Públicas.</w:t>
      </w:r>
    </w:p>
    <w:p w:rsidR="00EE4BF5" w:rsidRDefault="00EE4BF5" w:rsidP="00EE4BF5">
      <w:pPr>
        <w:jc w:val="both"/>
      </w:pPr>
    </w:p>
    <w:p w:rsidR="00C4414F" w:rsidRDefault="00C4414F" w:rsidP="00EE4BF5">
      <w:pPr>
        <w:jc w:val="both"/>
      </w:pPr>
    </w:p>
    <w:p w:rsidR="00EE4BF5" w:rsidRPr="00DD5DD7" w:rsidRDefault="00EE4BF5" w:rsidP="00EE4BF5">
      <w:pPr>
        <w:jc w:val="both"/>
      </w:pPr>
      <w:r w:rsidRPr="008E0614">
        <w:t>Del total de recursos</w:t>
      </w:r>
      <w:r w:rsidRPr="00DD5DD7">
        <w:t xml:space="preserve"> asignados para atender la emergencia </w:t>
      </w:r>
      <w:r w:rsidR="00F10C5B">
        <w:t>ocasionada por la depresión tropical Eta</w:t>
      </w:r>
      <w:r w:rsidRPr="00DD5DD7">
        <w:t xml:space="preserve"> Q.356.1 millones, el 20.2% fueron asignados al departamento de Guatemala; al departamento de Izabal el 22.0%, al departamento de Alta Verapaz 15.6%; al departamento de Zacapa el 13.8%; al departamento de Chiquimula 9.9%; al departamento de Quiché 7.9%; al departamento de Huehuetenango 5.1% y a los departamentos de Petén y Jalapa 2.8%.</w:t>
      </w:r>
    </w:p>
    <w:p w:rsidR="00EE4BF5" w:rsidRDefault="00EE4BF5" w:rsidP="00011502">
      <w:pPr>
        <w:jc w:val="center"/>
        <w:rPr>
          <w:b/>
        </w:rPr>
      </w:pPr>
    </w:p>
    <w:p w:rsidR="00EE4BF5" w:rsidRDefault="00EE4BF5" w:rsidP="00011502">
      <w:pPr>
        <w:jc w:val="center"/>
        <w:rPr>
          <w:b/>
        </w:rPr>
      </w:pPr>
    </w:p>
    <w:p w:rsidR="00EE4BF5" w:rsidRDefault="00EE4BF5" w:rsidP="00011502">
      <w:pPr>
        <w:jc w:val="center"/>
        <w:rPr>
          <w:b/>
        </w:rPr>
      </w:pPr>
    </w:p>
    <w:p w:rsidR="00011502" w:rsidRDefault="00011502" w:rsidP="00011502">
      <w:pPr>
        <w:rPr>
          <w:b/>
        </w:rPr>
      </w:pPr>
      <w:r>
        <w:rPr>
          <w:b/>
        </w:rPr>
        <w:br w:type="page"/>
      </w:r>
    </w:p>
    <w:p w:rsidR="00011502" w:rsidRPr="0041662A" w:rsidRDefault="00011502" w:rsidP="00C774F3">
      <w:pPr>
        <w:pStyle w:val="Ttulo2"/>
        <w:numPr>
          <w:ilvl w:val="0"/>
          <w:numId w:val="3"/>
        </w:numPr>
        <w:spacing w:line="276" w:lineRule="auto"/>
        <w:ind w:left="567" w:hanging="567"/>
        <w:rPr>
          <w:rFonts w:ascii="Times New Roman" w:hAnsi="Times New Roman"/>
          <w:color w:val="auto"/>
          <w:sz w:val="24"/>
          <w:szCs w:val="24"/>
        </w:rPr>
      </w:pPr>
      <w:bookmarkStart w:id="32" w:name="_Toc65826762"/>
      <w:r w:rsidRPr="0041662A">
        <w:rPr>
          <w:rFonts w:ascii="Times New Roman" w:hAnsi="Times New Roman"/>
          <w:color w:val="auto"/>
          <w:sz w:val="24"/>
          <w:szCs w:val="24"/>
        </w:rPr>
        <w:lastRenderedPageBreak/>
        <w:t>Déficit Fiscal S</w:t>
      </w:r>
      <w:r w:rsidR="006B509B" w:rsidRPr="0041662A">
        <w:rPr>
          <w:rFonts w:ascii="Times New Roman" w:hAnsi="Times New Roman"/>
          <w:color w:val="auto"/>
          <w:sz w:val="24"/>
          <w:szCs w:val="24"/>
        </w:rPr>
        <w:t>ostenible</w:t>
      </w:r>
      <w:bookmarkEnd w:id="32"/>
    </w:p>
    <w:p w:rsidR="00011502" w:rsidRPr="00DF703E" w:rsidRDefault="00011502" w:rsidP="00011502">
      <w:pPr>
        <w:rPr>
          <w:sz w:val="20"/>
        </w:rPr>
      </w:pPr>
    </w:p>
    <w:p w:rsidR="00011502" w:rsidRDefault="00011502" w:rsidP="00011502">
      <w:pPr>
        <w:jc w:val="both"/>
        <w:rPr>
          <w:lang w:val="es-GT"/>
        </w:rPr>
      </w:pPr>
      <w:r>
        <w:rPr>
          <w:lang w:val="es-GT"/>
        </w:rPr>
        <w:t xml:space="preserve">En los últimos 20 años, el 2010 experimentó el déficit más alto al llegar </w:t>
      </w:r>
      <w:r w:rsidR="00CA4A3D">
        <w:rPr>
          <w:lang w:val="es-GT"/>
        </w:rPr>
        <w:t xml:space="preserve">a </w:t>
      </w:r>
      <w:r>
        <w:rPr>
          <w:lang w:val="es-GT"/>
        </w:rPr>
        <w:t>3.3% del PIB y a partir de ese año, el 2016 ha sido el más bajo llegando al 1.1%</w:t>
      </w:r>
      <w:r w:rsidR="00CA4A3D">
        <w:rPr>
          <w:lang w:val="es-GT"/>
        </w:rPr>
        <w:t>. A</w:t>
      </w:r>
      <w:r>
        <w:rPr>
          <w:lang w:val="es-GT"/>
        </w:rPr>
        <w:t xml:space="preserve"> partir de 2017 nuevamente inicia el ascenso un tanto acelerado al ubicarse en 1.4%</w:t>
      </w:r>
      <w:r w:rsidR="00CA4A3D">
        <w:rPr>
          <w:lang w:val="es-GT"/>
        </w:rPr>
        <w:t xml:space="preserve">; </w:t>
      </w:r>
      <w:r>
        <w:rPr>
          <w:lang w:val="es-GT"/>
        </w:rPr>
        <w:t>en el 2018</w:t>
      </w:r>
      <w:r w:rsidR="00CA4A3D">
        <w:rPr>
          <w:lang w:val="es-GT"/>
        </w:rPr>
        <w:t xml:space="preserve"> llega a 1.9%</w:t>
      </w:r>
      <w:r w:rsidR="0041662A">
        <w:rPr>
          <w:lang w:val="es-GT"/>
        </w:rPr>
        <w:t>, en 2019 asciende a 2.2%</w:t>
      </w:r>
      <w:r>
        <w:rPr>
          <w:lang w:val="es-GT"/>
        </w:rPr>
        <w:t xml:space="preserve"> y para 20</w:t>
      </w:r>
      <w:r w:rsidR="0041662A">
        <w:rPr>
          <w:lang w:val="es-GT"/>
        </w:rPr>
        <w:t>20</w:t>
      </w:r>
      <w:r>
        <w:rPr>
          <w:lang w:val="es-GT"/>
        </w:rPr>
        <w:t xml:space="preserve"> preliminarmente registra un valor de</w:t>
      </w:r>
      <w:r w:rsidR="0041662A">
        <w:rPr>
          <w:lang w:val="es-GT"/>
        </w:rPr>
        <w:t xml:space="preserve"> 4.9</w:t>
      </w:r>
      <w:r>
        <w:rPr>
          <w:lang w:val="es-GT"/>
        </w:rPr>
        <w:t xml:space="preserve">%, </w:t>
      </w:r>
      <w:r w:rsidR="00C964C5" w:rsidRPr="00C964C5">
        <w:rPr>
          <w:lang w:val="es-GT"/>
        </w:rPr>
        <w:t>al pasar de Q.13,281.5 millones en 2019 a Q.29,477.7 millones en 2020</w:t>
      </w:r>
      <w:r w:rsidR="00C964C5">
        <w:rPr>
          <w:lang w:val="es-GT"/>
        </w:rPr>
        <w:t xml:space="preserve">, esto </w:t>
      </w:r>
      <w:r w:rsidR="0041662A">
        <w:rPr>
          <w:lang w:val="es-GT"/>
        </w:rPr>
        <w:t>debido a las ampliaciones presupuestarias financiadas con endeudamiento interno y externo, aprobadas por el Congreso de la República para atender la emergencia derivada de la pandemia del Covid-19</w:t>
      </w:r>
      <w:r w:rsidR="00C964C5">
        <w:rPr>
          <w:lang w:val="es-GT"/>
        </w:rPr>
        <w:t xml:space="preserve"> y las depresiones tropicales Eta e Iota</w:t>
      </w:r>
      <w:r w:rsidR="0041662A">
        <w:rPr>
          <w:lang w:val="es-GT"/>
        </w:rPr>
        <w:t>.</w:t>
      </w:r>
    </w:p>
    <w:p w:rsidR="00011502" w:rsidRPr="00DF703E" w:rsidRDefault="00011502" w:rsidP="00011502">
      <w:pPr>
        <w:jc w:val="both"/>
        <w:rPr>
          <w:sz w:val="20"/>
          <w:lang w:val="es-GT"/>
        </w:rPr>
      </w:pPr>
    </w:p>
    <w:p w:rsidR="00011502" w:rsidRPr="00124AD6" w:rsidRDefault="00011502" w:rsidP="00011502">
      <w:pPr>
        <w:jc w:val="both"/>
      </w:pPr>
      <w:r>
        <w:rPr>
          <w:lang w:val="es-GT"/>
        </w:rPr>
        <w:t>Con el resultado presupuestario preliminar de 20</w:t>
      </w:r>
      <w:r w:rsidR="0041662A">
        <w:rPr>
          <w:lang w:val="es-GT"/>
        </w:rPr>
        <w:t>20</w:t>
      </w:r>
      <w:r w:rsidR="00CA4A3D">
        <w:rPr>
          <w:lang w:val="es-GT"/>
        </w:rPr>
        <w:t>,</w:t>
      </w:r>
      <w:r>
        <w:rPr>
          <w:lang w:val="es-GT"/>
        </w:rPr>
        <w:t xml:space="preserve"> el déficit como porcentaje del PIB se ubica</w:t>
      </w:r>
      <w:r w:rsidR="0041662A">
        <w:rPr>
          <w:lang w:val="es-GT"/>
        </w:rPr>
        <w:t xml:space="preserve"> muy</w:t>
      </w:r>
      <w:r>
        <w:rPr>
          <w:lang w:val="es-GT"/>
        </w:rPr>
        <w:t xml:space="preserve"> por encima del promedio de 2.</w:t>
      </w:r>
      <w:r w:rsidR="0041662A">
        <w:rPr>
          <w:lang w:val="es-GT"/>
        </w:rPr>
        <w:t>1</w:t>
      </w:r>
      <w:r>
        <w:rPr>
          <w:lang w:val="es-GT"/>
        </w:rPr>
        <w:t xml:space="preserve">% de los últimos 20 años. </w:t>
      </w:r>
      <w:r w:rsidRPr="00124AD6">
        <w:t>Esta situación</w:t>
      </w:r>
      <w:r>
        <w:t xml:space="preserve"> propicia que debe mantener</w:t>
      </w:r>
      <w:r w:rsidR="00CA4A3D">
        <w:t>se</w:t>
      </w:r>
      <w:r>
        <w:t xml:space="preserve"> el control de l</w:t>
      </w:r>
      <w:r w:rsidRPr="00124AD6">
        <w:t xml:space="preserve">a senda de consolidación fiscal y </w:t>
      </w:r>
      <w:r>
        <w:t>generar</w:t>
      </w:r>
      <w:r w:rsidRPr="00124AD6">
        <w:t xml:space="preserve"> las condiciones para preservar la estabilidad macroeconómica y la sostenibilidad </w:t>
      </w:r>
      <w:r>
        <w:t xml:space="preserve">de la política </w:t>
      </w:r>
      <w:r w:rsidRPr="00124AD6">
        <w:t>fiscal en el mediano plazo.</w:t>
      </w:r>
    </w:p>
    <w:p w:rsidR="00011502" w:rsidRPr="00DF703E" w:rsidRDefault="00011502" w:rsidP="00011502">
      <w:pPr>
        <w:rPr>
          <w:sz w:val="20"/>
        </w:rPr>
      </w:pPr>
    </w:p>
    <w:p w:rsidR="00011502" w:rsidRDefault="00011502" w:rsidP="00011502">
      <w:pPr>
        <w:jc w:val="both"/>
      </w:pPr>
      <w:r w:rsidRPr="00124AD6">
        <w:t xml:space="preserve">Dentro de los objetivos de la política fiscal se incluye elevar la recaudación de ingresos tributarios, combatir la evasión y el contrabando, lograr la sostenibilidad de los niveles de endeudamiento, así como </w:t>
      </w:r>
      <w:r>
        <w:t>mantener</w:t>
      </w:r>
      <w:r w:rsidRPr="00124AD6">
        <w:t xml:space="preserve"> la transparencia </w:t>
      </w:r>
      <w:r w:rsidR="00CA4A3D">
        <w:t xml:space="preserve">fiscal </w:t>
      </w:r>
      <w:r w:rsidRPr="00124AD6">
        <w:t xml:space="preserve">y </w:t>
      </w:r>
      <w:r>
        <w:t xml:space="preserve">la </w:t>
      </w:r>
      <w:r w:rsidRPr="00124AD6">
        <w:t>calidad del gasto público</w:t>
      </w:r>
      <w:r w:rsidR="00E47319">
        <w:t>,</w:t>
      </w:r>
      <w:r w:rsidRPr="00124AD6">
        <w:t xml:space="preserve"> enfocados en el logro de los resultados y una mejor asignación de los recursos</w:t>
      </w:r>
      <w:r>
        <w:t>, priorizando el gasto social.</w:t>
      </w:r>
    </w:p>
    <w:p w:rsidR="00DF703E" w:rsidRDefault="00DF703E" w:rsidP="00011502">
      <w:pPr>
        <w:jc w:val="both"/>
      </w:pPr>
    </w:p>
    <w:p w:rsidR="00011502" w:rsidRPr="00124AD6" w:rsidRDefault="00011502" w:rsidP="00011502">
      <w:pPr>
        <w:jc w:val="center"/>
        <w:rPr>
          <w:b/>
        </w:rPr>
      </w:pPr>
      <w:r w:rsidRPr="00124AD6">
        <w:rPr>
          <w:b/>
        </w:rPr>
        <w:t>Gráfica 1</w:t>
      </w:r>
      <w:r w:rsidR="00171AA8">
        <w:rPr>
          <w:b/>
        </w:rPr>
        <w:t>8</w:t>
      </w:r>
    </w:p>
    <w:p w:rsidR="00011502" w:rsidRPr="00124AD6" w:rsidRDefault="00011502" w:rsidP="00011502">
      <w:pPr>
        <w:pStyle w:val="NormalWeb"/>
        <w:spacing w:before="0" w:beforeAutospacing="0" w:after="0" w:afterAutospacing="0"/>
        <w:jc w:val="center"/>
        <w:rPr>
          <w:rFonts w:eastAsia="+mn-ea"/>
          <w:b/>
          <w:bCs/>
          <w:color w:val="000000"/>
          <w:kern w:val="24"/>
        </w:rPr>
      </w:pPr>
      <w:r w:rsidRPr="00124AD6">
        <w:rPr>
          <w:rFonts w:eastAsia="+mn-ea"/>
          <w:b/>
          <w:bCs/>
          <w:color w:val="000000"/>
          <w:kern w:val="24"/>
        </w:rPr>
        <w:t>Déficit de la Administración Central 200</w:t>
      </w:r>
      <w:r w:rsidR="004C7CD1">
        <w:rPr>
          <w:rFonts w:eastAsia="+mn-ea"/>
          <w:b/>
          <w:bCs/>
          <w:color w:val="000000"/>
          <w:kern w:val="24"/>
        </w:rPr>
        <w:t>1</w:t>
      </w:r>
      <w:r>
        <w:rPr>
          <w:rFonts w:eastAsia="+mn-ea"/>
          <w:b/>
          <w:bCs/>
          <w:color w:val="000000"/>
          <w:kern w:val="24"/>
        </w:rPr>
        <w:t xml:space="preserve"> </w:t>
      </w:r>
      <w:r w:rsidR="00171AA8">
        <w:rPr>
          <w:rFonts w:eastAsia="+mn-ea"/>
          <w:b/>
          <w:bCs/>
          <w:color w:val="000000"/>
          <w:kern w:val="24"/>
        </w:rPr>
        <w:t>-</w:t>
      </w:r>
      <w:r>
        <w:rPr>
          <w:rFonts w:eastAsia="+mn-ea"/>
          <w:b/>
          <w:bCs/>
          <w:color w:val="000000"/>
          <w:kern w:val="24"/>
        </w:rPr>
        <w:t xml:space="preserve"> </w:t>
      </w:r>
      <w:r w:rsidRPr="00124AD6">
        <w:rPr>
          <w:rFonts w:eastAsia="+mn-ea"/>
          <w:b/>
          <w:bCs/>
          <w:color w:val="000000"/>
          <w:kern w:val="24"/>
        </w:rPr>
        <w:t>20</w:t>
      </w:r>
      <w:r w:rsidR="004C7CD1">
        <w:rPr>
          <w:rFonts w:eastAsia="+mn-ea"/>
          <w:b/>
          <w:bCs/>
          <w:color w:val="000000"/>
          <w:kern w:val="24"/>
        </w:rPr>
        <w:t>20</w:t>
      </w:r>
      <w:r>
        <w:rPr>
          <w:rFonts w:eastAsia="+mn-ea"/>
          <w:b/>
          <w:bCs/>
          <w:color w:val="000000"/>
          <w:kern w:val="24"/>
        </w:rPr>
        <w:t>*</w:t>
      </w:r>
    </w:p>
    <w:p w:rsidR="00011502" w:rsidRDefault="00011502" w:rsidP="00011502">
      <w:pPr>
        <w:pStyle w:val="NormalWeb"/>
        <w:spacing w:before="0" w:beforeAutospacing="0" w:after="0" w:afterAutospacing="0"/>
        <w:jc w:val="center"/>
        <w:rPr>
          <w:rFonts w:eastAsia="+mn-ea"/>
          <w:b/>
          <w:bCs/>
          <w:color w:val="000000"/>
          <w:kern w:val="24"/>
        </w:rPr>
      </w:pPr>
      <w:r>
        <w:rPr>
          <w:rFonts w:eastAsia="+mn-ea"/>
          <w:b/>
          <w:bCs/>
          <w:color w:val="000000"/>
          <w:kern w:val="24"/>
        </w:rPr>
        <w:t>(Porcentajes del PIB)</w:t>
      </w:r>
    </w:p>
    <w:p w:rsidR="004C7CD1" w:rsidRDefault="004C7CD1" w:rsidP="00011502">
      <w:pPr>
        <w:pStyle w:val="NormalWeb"/>
        <w:spacing w:before="0" w:beforeAutospacing="0" w:after="0" w:afterAutospacing="0"/>
        <w:jc w:val="center"/>
        <w:rPr>
          <w:rFonts w:eastAsia="+mn-ea"/>
          <w:b/>
          <w:bCs/>
          <w:color w:val="000000"/>
          <w:kern w:val="24"/>
        </w:rPr>
      </w:pPr>
      <w:r>
        <w:rPr>
          <w:noProof/>
        </w:rPr>
        <w:drawing>
          <wp:inline distT="0" distB="0" distL="0" distR="0" wp14:anchorId="1CCD842A" wp14:editId="1353EED7">
            <wp:extent cx="5303520" cy="3379622"/>
            <wp:effectExtent l="0" t="0" r="0" b="0"/>
            <wp:docPr id="4" name="Gráfico 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BDBDC797-30C1-464C-AE12-4E4BC50702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11502" w:rsidRPr="008C5ECD" w:rsidRDefault="00AE28BF" w:rsidP="00011502">
      <w:pPr>
        <w:jc w:val="both"/>
        <w:rPr>
          <w:sz w:val="18"/>
          <w:lang w:val="es-GT"/>
        </w:rPr>
      </w:pPr>
      <w:r w:rsidRPr="008C5ECD">
        <w:rPr>
          <w:sz w:val="18"/>
          <w:lang w:val="es-GT"/>
        </w:rPr>
        <w:t xml:space="preserve">           </w:t>
      </w:r>
      <w:r w:rsidR="00011502" w:rsidRPr="008C5ECD">
        <w:rPr>
          <w:sz w:val="18"/>
          <w:lang w:val="es-GT"/>
        </w:rPr>
        <w:t>* Cifras preliminares</w:t>
      </w:r>
    </w:p>
    <w:p w:rsidR="00011502" w:rsidRPr="008C5ECD" w:rsidRDefault="00AE28BF" w:rsidP="00011502">
      <w:pPr>
        <w:jc w:val="both"/>
        <w:rPr>
          <w:sz w:val="18"/>
        </w:rPr>
      </w:pPr>
      <w:r w:rsidRPr="008C5ECD">
        <w:rPr>
          <w:sz w:val="18"/>
        </w:rPr>
        <w:t xml:space="preserve">              </w:t>
      </w:r>
      <w:r w:rsidR="00011502" w:rsidRPr="008C5ECD">
        <w:rPr>
          <w:sz w:val="18"/>
        </w:rPr>
        <w:t>Fuente: Ministerio de Finanzas Públicas.</w:t>
      </w:r>
    </w:p>
    <w:p w:rsidR="00011502" w:rsidRPr="002F3A71" w:rsidRDefault="00011502" w:rsidP="00011502">
      <w:pPr>
        <w:jc w:val="both"/>
        <w:rPr>
          <w:lang w:val="es-MX"/>
        </w:rPr>
      </w:pPr>
      <w:r w:rsidRPr="002F3A71">
        <w:rPr>
          <w:lang w:val="es-MX"/>
        </w:rPr>
        <w:lastRenderedPageBreak/>
        <w:t xml:space="preserve">El comportamiento en </w:t>
      </w:r>
      <w:r>
        <w:rPr>
          <w:lang w:val="es-MX"/>
        </w:rPr>
        <w:t>el</w:t>
      </w:r>
      <w:r w:rsidRPr="002F3A71">
        <w:rPr>
          <w:lang w:val="es-MX"/>
        </w:rPr>
        <w:t xml:space="preserve"> resultado </w:t>
      </w:r>
      <w:r>
        <w:rPr>
          <w:lang w:val="es-MX"/>
        </w:rPr>
        <w:t>presupuestario</w:t>
      </w:r>
      <w:r w:rsidRPr="002F3A71">
        <w:rPr>
          <w:lang w:val="es-MX"/>
        </w:rPr>
        <w:t xml:space="preserve"> para 20</w:t>
      </w:r>
      <w:r w:rsidR="00C354A0">
        <w:rPr>
          <w:lang w:val="es-MX"/>
        </w:rPr>
        <w:t>20</w:t>
      </w:r>
      <w:r w:rsidRPr="002F3A71">
        <w:rPr>
          <w:lang w:val="es-MX"/>
        </w:rPr>
        <w:t xml:space="preserve">, </w:t>
      </w:r>
      <w:r w:rsidRPr="00253E46">
        <w:t>sugiere que la política fiscal fue expansiva considerando que los ingresos mostraron una reducción en términos del PIB con respecto al año anterior; por su parte el gasto público mostró un desempeño más dinámico, ambos factores propiciaron que la actividad económica tuviera una desaceleración menos aguda</w:t>
      </w:r>
      <w:r>
        <w:t>.</w:t>
      </w:r>
      <w:r w:rsidRPr="00253E46">
        <w:t xml:space="preserve"> A este respecto, es importante indicar el efecto que tuvo al aumento de</w:t>
      </w:r>
      <w:r w:rsidR="00171AA8">
        <w:t>l</w:t>
      </w:r>
      <w:r w:rsidRPr="00253E46">
        <w:t xml:space="preserve"> gasto en los últimos dos meses del año que permitieron que la desaceleración económica que experimentaba la economía fuera </w:t>
      </w:r>
      <w:r>
        <w:t>menos</w:t>
      </w:r>
      <w:r w:rsidRPr="00253E46">
        <w:t xml:space="preserve"> acentuada.</w:t>
      </w:r>
    </w:p>
    <w:p w:rsidR="00011502" w:rsidRPr="00DF703E" w:rsidRDefault="00011502" w:rsidP="00011502">
      <w:pPr>
        <w:jc w:val="both"/>
        <w:rPr>
          <w:sz w:val="20"/>
          <w:lang w:val="es-MX"/>
        </w:rPr>
      </w:pPr>
    </w:p>
    <w:p w:rsidR="00011502" w:rsidRPr="00124AD6" w:rsidRDefault="00011502" w:rsidP="002D3BBB">
      <w:pPr>
        <w:pStyle w:val="NormalWeb"/>
        <w:spacing w:before="0" w:beforeAutospacing="0" w:after="0" w:afterAutospacing="0"/>
        <w:jc w:val="center"/>
        <w:rPr>
          <w:b/>
        </w:rPr>
      </w:pPr>
      <w:r w:rsidRPr="00124AD6">
        <w:rPr>
          <w:b/>
        </w:rPr>
        <w:t xml:space="preserve">Cuadro </w:t>
      </w:r>
      <w:r w:rsidR="00A861C2">
        <w:rPr>
          <w:b/>
        </w:rPr>
        <w:t>11</w:t>
      </w:r>
    </w:p>
    <w:p w:rsidR="00011502" w:rsidRPr="00124AD6" w:rsidRDefault="00011502" w:rsidP="002D3BBB">
      <w:pPr>
        <w:pStyle w:val="NormalWeb"/>
        <w:spacing w:before="0" w:beforeAutospacing="0" w:after="0" w:afterAutospacing="0"/>
        <w:jc w:val="center"/>
        <w:rPr>
          <w:b/>
        </w:rPr>
      </w:pPr>
      <w:r w:rsidRPr="00124AD6">
        <w:rPr>
          <w:b/>
        </w:rPr>
        <w:t>Situación Financiera de la Administración Central</w:t>
      </w:r>
    </w:p>
    <w:p w:rsidR="00011502" w:rsidRPr="00124AD6" w:rsidRDefault="00011502" w:rsidP="002D3BBB">
      <w:pPr>
        <w:pStyle w:val="NormalWeb"/>
        <w:spacing w:before="0" w:beforeAutospacing="0" w:after="0" w:afterAutospacing="0"/>
        <w:jc w:val="center"/>
        <w:rPr>
          <w:b/>
        </w:rPr>
      </w:pPr>
      <w:r w:rsidRPr="00124AD6">
        <w:rPr>
          <w:b/>
        </w:rPr>
        <w:t>Ejecución al 31 de diciembre de 20</w:t>
      </w:r>
      <w:r w:rsidR="00C964C5">
        <w:rPr>
          <w:b/>
        </w:rPr>
        <w:t>20</w:t>
      </w:r>
      <w:r w:rsidR="00E02938">
        <w:rPr>
          <w:b/>
        </w:rPr>
        <w:t>*</w:t>
      </w:r>
    </w:p>
    <w:p w:rsidR="00011502" w:rsidRDefault="00011502" w:rsidP="002D3BBB">
      <w:pPr>
        <w:pStyle w:val="NormalWeb"/>
        <w:spacing w:before="0" w:beforeAutospacing="0" w:after="0" w:afterAutospacing="0"/>
        <w:jc w:val="center"/>
        <w:rPr>
          <w:b/>
        </w:rPr>
      </w:pPr>
      <w:r>
        <w:rPr>
          <w:b/>
        </w:rPr>
        <w:t>(</w:t>
      </w:r>
      <w:r w:rsidRPr="00124AD6">
        <w:rPr>
          <w:b/>
        </w:rPr>
        <w:t>Millones de Quetzales y Porcentaj</w:t>
      </w:r>
      <w:r>
        <w:rPr>
          <w:b/>
        </w:rPr>
        <w:t>es)</w:t>
      </w:r>
    </w:p>
    <w:tbl>
      <w:tblPr>
        <w:tblW w:w="9362" w:type="dxa"/>
        <w:jc w:val="center"/>
        <w:tblCellMar>
          <w:left w:w="70" w:type="dxa"/>
          <w:right w:w="70" w:type="dxa"/>
        </w:tblCellMar>
        <w:tblLook w:val="04A0" w:firstRow="1" w:lastRow="0" w:firstColumn="1" w:lastColumn="0" w:noHBand="0" w:noVBand="1"/>
      </w:tblPr>
      <w:tblGrid>
        <w:gridCol w:w="3689"/>
        <w:gridCol w:w="1276"/>
        <w:gridCol w:w="1417"/>
        <w:gridCol w:w="1418"/>
        <w:gridCol w:w="1562"/>
      </w:tblGrid>
      <w:tr w:rsidR="00C964C5" w:rsidRPr="00C964C5" w:rsidTr="00C964C5">
        <w:trPr>
          <w:trHeight w:val="254"/>
          <w:jc w:val="center"/>
        </w:trPr>
        <w:tc>
          <w:tcPr>
            <w:tcW w:w="3689" w:type="dxa"/>
            <w:vMerge w:val="restart"/>
            <w:tcBorders>
              <w:top w:val="single" w:sz="8" w:space="0" w:color="auto"/>
              <w:left w:val="single" w:sz="8" w:space="0" w:color="auto"/>
              <w:bottom w:val="nil"/>
              <w:right w:val="nil"/>
            </w:tcBorders>
            <w:shd w:val="clear" w:color="000000" w:fill="8DB4E2"/>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Concepto</w:t>
            </w:r>
          </w:p>
        </w:tc>
        <w:tc>
          <w:tcPr>
            <w:tcW w:w="2693" w:type="dxa"/>
            <w:gridSpan w:val="2"/>
            <w:tcBorders>
              <w:top w:val="single" w:sz="8" w:space="0" w:color="auto"/>
              <w:left w:val="nil"/>
              <w:bottom w:val="nil"/>
              <w:right w:val="nil"/>
            </w:tcBorders>
            <w:shd w:val="clear" w:color="000000" w:fill="8DB4E2"/>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Presupuesto</w:t>
            </w:r>
          </w:p>
        </w:tc>
        <w:tc>
          <w:tcPr>
            <w:tcW w:w="2980" w:type="dxa"/>
            <w:gridSpan w:val="2"/>
            <w:tcBorders>
              <w:top w:val="single" w:sz="8" w:space="0" w:color="auto"/>
              <w:left w:val="nil"/>
              <w:bottom w:val="nil"/>
              <w:right w:val="single" w:sz="8" w:space="0" w:color="000000"/>
            </w:tcBorders>
            <w:shd w:val="clear" w:color="000000" w:fill="8DB4E2"/>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Diferencias</w:t>
            </w:r>
          </w:p>
        </w:tc>
      </w:tr>
      <w:tr w:rsidR="00C964C5" w:rsidRPr="00C964C5" w:rsidTr="00C964C5">
        <w:trPr>
          <w:trHeight w:val="254"/>
          <w:jc w:val="center"/>
        </w:trPr>
        <w:tc>
          <w:tcPr>
            <w:tcW w:w="3689" w:type="dxa"/>
            <w:vMerge/>
            <w:tcBorders>
              <w:top w:val="single" w:sz="8" w:space="0" w:color="auto"/>
              <w:left w:val="single" w:sz="8" w:space="0" w:color="auto"/>
              <w:bottom w:val="nil"/>
              <w:right w:val="nil"/>
            </w:tcBorders>
            <w:vAlign w:val="center"/>
            <w:hideMark/>
          </w:tcPr>
          <w:p w:rsidR="00C964C5" w:rsidRPr="00C964C5" w:rsidRDefault="00C964C5" w:rsidP="005A6D13">
            <w:pPr>
              <w:rPr>
                <w:b/>
                <w:bCs/>
                <w:sz w:val="18"/>
                <w:szCs w:val="18"/>
                <w:lang w:val="es-GT" w:eastAsia="es-GT"/>
              </w:rPr>
            </w:pPr>
          </w:p>
        </w:tc>
        <w:tc>
          <w:tcPr>
            <w:tcW w:w="1276" w:type="dxa"/>
            <w:tcBorders>
              <w:top w:val="nil"/>
              <w:left w:val="nil"/>
              <w:bottom w:val="nil"/>
              <w:right w:val="nil"/>
            </w:tcBorders>
            <w:shd w:val="clear" w:color="000000" w:fill="8DB4E2"/>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Aprobado</w:t>
            </w:r>
          </w:p>
        </w:tc>
        <w:tc>
          <w:tcPr>
            <w:tcW w:w="1417" w:type="dxa"/>
            <w:tcBorders>
              <w:top w:val="nil"/>
              <w:left w:val="nil"/>
              <w:bottom w:val="nil"/>
              <w:right w:val="nil"/>
            </w:tcBorders>
            <w:shd w:val="clear" w:color="000000" w:fill="8DB4E2"/>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Ejecutado</w:t>
            </w:r>
          </w:p>
        </w:tc>
        <w:tc>
          <w:tcPr>
            <w:tcW w:w="1418" w:type="dxa"/>
            <w:tcBorders>
              <w:top w:val="nil"/>
              <w:left w:val="nil"/>
              <w:bottom w:val="nil"/>
              <w:right w:val="nil"/>
            </w:tcBorders>
            <w:shd w:val="clear" w:color="000000" w:fill="8DB4E2"/>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Absoluta</w:t>
            </w:r>
          </w:p>
        </w:tc>
        <w:tc>
          <w:tcPr>
            <w:tcW w:w="1562" w:type="dxa"/>
            <w:tcBorders>
              <w:top w:val="nil"/>
              <w:left w:val="nil"/>
              <w:bottom w:val="nil"/>
              <w:right w:val="single" w:sz="8" w:space="0" w:color="auto"/>
            </w:tcBorders>
            <w:shd w:val="clear" w:color="000000" w:fill="8DB4E2"/>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Relativa</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5A6D13">
            <w:pPr>
              <w:rPr>
                <w:b/>
                <w:bCs/>
                <w:sz w:val="18"/>
                <w:szCs w:val="18"/>
                <w:lang w:val="es-GT" w:eastAsia="es-GT"/>
              </w:rPr>
            </w:pPr>
            <w:r w:rsidRPr="00C964C5">
              <w:rPr>
                <w:b/>
                <w:bCs/>
                <w:sz w:val="18"/>
                <w:szCs w:val="18"/>
                <w:lang w:val="es-GT" w:eastAsia="es-GT"/>
              </w:rPr>
              <w:t xml:space="preserve">Ingresos Totales </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68,547.4</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64,051.3</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-4,496.1</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-6.6%</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100" w:firstLine="180"/>
              <w:rPr>
                <w:sz w:val="18"/>
                <w:szCs w:val="18"/>
                <w:lang w:val="es-GT" w:eastAsia="es-GT"/>
              </w:rPr>
            </w:pPr>
            <w:r w:rsidRPr="00C964C5">
              <w:rPr>
                <w:sz w:val="18"/>
                <w:szCs w:val="18"/>
                <w:lang w:val="es-GT" w:eastAsia="es-GT"/>
              </w:rPr>
              <w:t>Ingresos Corrientes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68,544.0</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64,049.0</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-4,495.0</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-6.6%</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200" w:firstLine="360"/>
              <w:rPr>
                <w:sz w:val="18"/>
                <w:szCs w:val="18"/>
                <w:lang w:val="es-GT" w:eastAsia="es-GT"/>
              </w:rPr>
            </w:pPr>
            <w:r w:rsidRPr="00C964C5">
              <w:rPr>
                <w:sz w:val="18"/>
                <w:szCs w:val="18"/>
                <w:lang w:val="es-GT" w:eastAsia="es-GT"/>
              </w:rPr>
              <w:t>Ingresos Tributarios*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64,027.7</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60,279.4</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-3,748.3</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-5.9%</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300" w:firstLine="540"/>
              <w:rPr>
                <w:sz w:val="18"/>
                <w:szCs w:val="18"/>
                <w:lang w:val="es-GT" w:eastAsia="es-GT"/>
              </w:rPr>
            </w:pPr>
            <w:r w:rsidRPr="00C964C5">
              <w:rPr>
                <w:sz w:val="18"/>
                <w:szCs w:val="18"/>
                <w:lang w:val="es-GT" w:eastAsia="es-GT"/>
              </w:rPr>
              <w:t>Impuestos Directos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22,244.4</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21,833.4</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-411.0</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-1.8%</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300" w:firstLine="540"/>
              <w:rPr>
                <w:sz w:val="18"/>
                <w:szCs w:val="18"/>
                <w:lang w:val="es-GT" w:eastAsia="es-GT"/>
              </w:rPr>
            </w:pPr>
            <w:r w:rsidRPr="00C964C5">
              <w:rPr>
                <w:sz w:val="18"/>
                <w:szCs w:val="18"/>
                <w:lang w:val="es-GT" w:eastAsia="es-GT"/>
              </w:rPr>
              <w:t>Impuestos Indirectos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41,783.3</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38,446.0</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-3,337.3</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-8.0%</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400" w:firstLine="720"/>
              <w:rPr>
                <w:sz w:val="18"/>
                <w:szCs w:val="18"/>
                <w:lang w:val="es-GT" w:eastAsia="es-GT"/>
              </w:rPr>
            </w:pPr>
            <w:r w:rsidRPr="00C964C5">
              <w:rPr>
                <w:sz w:val="18"/>
                <w:szCs w:val="18"/>
                <w:lang w:val="es-GT" w:eastAsia="es-GT"/>
              </w:rPr>
              <w:t>Impuesto al Valor Agregado</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31,069.9</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28,759.7</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-2,310.2</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-7.4%</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200" w:firstLine="360"/>
              <w:rPr>
                <w:sz w:val="18"/>
                <w:szCs w:val="18"/>
                <w:lang w:val="es-GT" w:eastAsia="es-GT"/>
              </w:rPr>
            </w:pPr>
            <w:r w:rsidRPr="00C964C5">
              <w:rPr>
                <w:sz w:val="18"/>
                <w:szCs w:val="18"/>
                <w:lang w:val="es-GT" w:eastAsia="es-GT"/>
              </w:rPr>
              <w:t xml:space="preserve">No Tributarios y Transferencias </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4,516.3</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3,769.6</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-746.7</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-16.5%</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100" w:firstLine="180"/>
              <w:rPr>
                <w:sz w:val="18"/>
                <w:szCs w:val="18"/>
                <w:lang w:val="es-GT" w:eastAsia="es-GT"/>
              </w:rPr>
            </w:pPr>
            <w:r w:rsidRPr="00C964C5">
              <w:rPr>
                <w:sz w:val="18"/>
                <w:szCs w:val="18"/>
                <w:lang w:val="es-GT" w:eastAsia="es-GT"/>
              </w:rPr>
              <w:t>Ingresos de Capital</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3.4</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2.3</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-1.1</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-31.6%</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5A6D13">
            <w:pPr>
              <w:rPr>
                <w:b/>
                <w:bCs/>
                <w:sz w:val="18"/>
                <w:szCs w:val="18"/>
                <w:lang w:val="es-GT" w:eastAsia="es-GT"/>
              </w:rPr>
            </w:pPr>
            <w:r w:rsidRPr="00C964C5">
              <w:rPr>
                <w:b/>
                <w:bCs/>
                <w:sz w:val="18"/>
                <w:szCs w:val="18"/>
                <w:lang w:val="es-GT" w:eastAsia="es-GT"/>
              </w:rPr>
              <w:t>Gastos Totales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83,750.7</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93,529.0</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9,778.3</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11.7%</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100" w:firstLine="181"/>
              <w:rPr>
                <w:b/>
                <w:bCs/>
                <w:sz w:val="18"/>
                <w:szCs w:val="18"/>
                <w:lang w:val="es-GT" w:eastAsia="es-GT"/>
              </w:rPr>
            </w:pPr>
            <w:r w:rsidRPr="00C964C5">
              <w:rPr>
                <w:b/>
                <w:bCs/>
                <w:sz w:val="18"/>
                <w:szCs w:val="18"/>
                <w:lang w:val="es-GT" w:eastAsia="es-GT"/>
              </w:rPr>
              <w:t>Gastos Corrientes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67,556.9</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75,569.0</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8,012.1</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11.9%</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200" w:firstLine="360"/>
              <w:rPr>
                <w:sz w:val="18"/>
                <w:szCs w:val="18"/>
                <w:lang w:val="es-GT" w:eastAsia="es-GT"/>
              </w:rPr>
            </w:pPr>
            <w:r w:rsidRPr="00C964C5">
              <w:rPr>
                <w:sz w:val="18"/>
                <w:szCs w:val="18"/>
                <w:lang w:val="es-GT" w:eastAsia="es-GT"/>
              </w:rPr>
              <w:t>Intereses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9,446.7</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10,331.4</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884.7</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9.4%</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300" w:firstLine="540"/>
              <w:rPr>
                <w:sz w:val="18"/>
                <w:szCs w:val="18"/>
                <w:lang w:val="es-GT" w:eastAsia="es-GT"/>
              </w:rPr>
            </w:pPr>
            <w:r w:rsidRPr="00C964C5">
              <w:rPr>
                <w:sz w:val="18"/>
                <w:szCs w:val="18"/>
                <w:lang w:val="es-GT" w:eastAsia="es-GT"/>
              </w:rPr>
              <w:t>Deuda Interna</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6,077.0</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6,759.5</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682.5</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11.2%</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300" w:firstLine="540"/>
              <w:rPr>
                <w:sz w:val="18"/>
                <w:szCs w:val="18"/>
                <w:lang w:val="es-GT" w:eastAsia="es-GT"/>
              </w:rPr>
            </w:pPr>
            <w:r w:rsidRPr="00C964C5">
              <w:rPr>
                <w:sz w:val="18"/>
                <w:szCs w:val="18"/>
                <w:lang w:val="es-GT" w:eastAsia="es-GT"/>
              </w:rPr>
              <w:t>Deuda Externa</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3,369.6</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3,571.8</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202.2</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6.0%</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400" w:firstLine="720"/>
              <w:rPr>
                <w:sz w:val="18"/>
                <w:szCs w:val="18"/>
                <w:lang w:val="es-GT" w:eastAsia="es-GT"/>
              </w:rPr>
            </w:pPr>
            <w:r w:rsidRPr="00C964C5">
              <w:rPr>
                <w:sz w:val="18"/>
                <w:szCs w:val="18"/>
                <w:lang w:val="es-GT" w:eastAsia="es-GT"/>
              </w:rPr>
              <w:t>Préstamos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1,241.5</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1,520.9</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279.3</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22.5%</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400" w:firstLine="720"/>
              <w:rPr>
                <w:sz w:val="18"/>
                <w:szCs w:val="18"/>
                <w:lang w:val="es-GT" w:eastAsia="es-GT"/>
              </w:rPr>
            </w:pPr>
            <w:r w:rsidRPr="00C964C5">
              <w:rPr>
                <w:sz w:val="18"/>
                <w:szCs w:val="18"/>
                <w:lang w:val="es-GT" w:eastAsia="es-GT"/>
              </w:rPr>
              <w:t>Bonos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color w:val="000000"/>
                <w:sz w:val="18"/>
                <w:szCs w:val="18"/>
                <w:lang w:val="es-GT" w:eastAsia="es-GT"/>
              </w:rPr>
            </w:pPr>
            <w:r w:rsidRPr="00C964C5">
              <w:rPr>
                <w:color w:val="000000"/>
                <w:sz w:val="18"/>
                <w:szCs w:val="18"/>
                <w:lang w:val="es-GT" w:eastAsia="es-GT"/>
              </w:rPr>
              <w:t>2,128.1</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2,051.0</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-77.1</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-3.6%</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100" w:firstLine="181"/>
              <w:rPr>
                <w:b/>
                <w:bCs/>
                <w:sz w:val="18"/>
                <w:szCs w:val="18"/>
                <w:lang w:val="es-GT" w:eastAsia="es-GT"/>
              </w:rPr>
            </w:pPr>
            <w:r w:rsidRPr="00C964C5">
              <w:rPr>
                <w:b/>
                <w:bCs/>
                <w:sz w:val="18"/>
                <w:szCs w:val="18"/>
                <w:lang w:val="es-GT" w:eastAsia="es-GT"/>
              </w:rPr>
              <w:t>Gastos de Capital</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16,193.8</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17,960.1</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1,766.2</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10.9%</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95B3D7"/>
            <w:noWrap/>
            <w:vAlign w:val="bottom"/>
            <w:hideMark/>
          </w:tcPr>
          <w:p w:rsidR="00C964C5" w:rsidRPr="00C964C5" w:rsidRDefault="00C964C5" w:rsidP="005A6D13">
            <w:pPr>
              <w:rPr>
                <w:b/>
                <w:bCs/>
                <w:sz w:val="18"/>
                <w:szCs w:val="18"/>
                <w:lang w:val="es-GT" w:eastAsia="es-GT"/>
              </w:rPr>
            </w:pPr>
            <w:r w:rsidRPr="00C964C5">
              <w:rPr>
                <w:b/>
                <w:bCs/>
                <w:sz w:val="18"/>
                <w:szCs w:val="18"/>
                <w:lang w:val="es-GT" w:eastAsia="es-GT"/>
              </w:rPr>
              <w:t>Resultado en Cuenta Corriente</w:t>
            </w:r>
          </w:p>
        </w:tc>
        <w:tc>
          <w:tcPr>
            <w:tcW w:w="1276" w:type="dxa"/>
            <w:tcBorders>
              <w:top w:val="nil"/>
              <w:left w:val="nil"/>
              <w:bottom w:val="nil"/>
              <w:right w:val="nil"/>
            </w:tcBorders>
            <w:shd w:val="clear" w:color="000000" w:fill="95B3D7"/>
            <w:noWrap/>
            <w:vAlign w:val="center"/>
            <w:hideMark/>
          </w:tcPr>
          <w:p w:rsidR="00C964C5" w:rsidRPr="00C964C5" w:rsidRDefault="00C964C5" w:rsidP="005A6D13">
            <w:pPr>
              <w:jc w:val="right"/>
              <w:rPr>
                <w:b/>
                <w:bCs/>
                <w:color w:val="000000"/>
                <w:sz w:val="18"/>
                <w:szCs w:val="18"/>
                <w:lang w:val="es-GT" w:eastAsia="es-GT"/>
              </w:rPr>
            </w:pPr>
            <w:r w:rsidRPr="00C964C5">
              <w:rPr>
                <w:b/>
                <w:bCs/>
                <w:color w:val="000000"/>
                <w:sz w:val="18"/>
                <w:szCs w:val="18"/>
                <w:lang w:val="es-GT" w:eastAsia="es-GT"/>
              </w:rPr>
              <w:t>987.2</w:t>
            </w:r>
          </w:p>
        </w:tc>
        <w:tc>
          <w:tcPr>
            <w:tcW w:w="1417" w:type="dxa"/>
            <w:tcBorders>
              <w:top w:val="nil"/>
              <w:left w:val="nil"/>
              <w:bottom w:val="nil"/>
              <w:right w:val="nil"/>
            </w:tcBorders>
            <w:shd w:val="clear" w:color="000000" w:fill="95B3D7"/>
            <w:noWrap/>
            <w:vAlign w:val="center"/>
            <w:hideMark/>
          </w:tcPr>
          <w:p w:rsidR="00C964C5" w:rsidRPr="00C964C5" w:rsidRDefault="00C964C5" w:rsidP="005A6D13">
            <w:pPr>
              <w:jc w:val="right"/>
              <w:rPr>
                <w:b/>
                <w:bCs/>
                <w:color w:val="000000"/>
                <w:sz w:val="18"/>
                <w:szCs w:val="18"/>
                <w:lang w:val="es-GT" w:eastAsia="es-GT"/>
              </w:rPr>
            </w:pPr>
            <w:r w:rsidRPr="00C964C5">
              <w:rPr>
                <w:b/>
                <w:bCs/>
                <w:color w:val="000000"/>
                <w:sz w:val="18"/>
                <w:szCs w:val="18"/>
                <w:lang w:val="es-GT" w:eastAsia="es-GT"/>
              </w:rPr>
              <w:t>-11,520.0</w:t>
            </w:r>
          </w:p>
        </w:tc>
        <w:tc>
          <w:tcPr>
            <w:tcW w:w="1418" w:type="dxa"/>
            <w:tcBorders>
              <w:top w:val="nil"/>
              <w:left w:val="nil"/>
              <w:bottom w:val="nil"/>
              <w:right w:val="nil"/>
            </w:tcBorders>
            <w:shd w:val="clear" w:color="000000" w:fill="95B3D7"/>
            <w:noWrap/>
            <w:vAlign w:val="center"/>
            <w:hideMark/>
          </w:tcPr>
          <w:p w:rsidR="00C964C5" w:rsidRPr="00C964C5" w:rsidRDefault="00C964C5" w:rsidP="005A6D13">
            <w:pPr>
              <w:jc w:val="right"/>
              <w:rPr>
                <w:b/>
                <w:bCs/>
                <w:color w:val="000000"/>
                <w:sz w:val="18"/>
                <w:szCs w:val="18"/>
                <w:lang w:val="es-GT" w:eastAsia="es-GT"/>
              </w:rPr>
            </w:pPr>
            <w:r w:rsidRPr="00C964C5">
              <w:rPr>
                <w:b/>
                <w:bCs/>
                <w:color w:val="000000"/>
                <w:sz w:val="18"/>
                <w:szCs w:val="18"/>
                <w:lang w:val="es-GT" w:eastAsia="es-GT"/>
              </w:rPr>
              <w:t>-12,507.1</w:t>
            </w:r>
          </w:p>
        </w:tc>
        <w:tc>
          <w:tcPr>
            <w:tcW w:w="1562" w:type="dxa"/>
            <w:tcBorders>
              <w:top w:val="nil"/>
              <w:left w:val="nil"/>
              <w:bottom w:val="nil"/>
              <w:right w:val="single" w:sz="8" w:space="0" w:color="auto"/>
            </w:tcBorders>
            <w:shd w:val="clear" w:color="000000" w:fill="95B3D7"/>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-1267.0%</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95B3D7"/>
            <w:noWrap/>
            <w:vAlign w:val="bottom"/>
            <w:hideMark/>
          </w:tcPr>
          <w:p w:rsidR="00C964C5" w:rsidRPr="00C964C5" w:rsidRDefault="00C964C5" w:rsidP="005A6D13">
            <w:pPr>
              <w:rPr>
                <w:b/>
                <w:bCs/>
                <w:sz w:val="18"/>
                <w:szCs w:val="18"/>
                <w:lang w:val="es-GT" w:eastAsia="es-GT"/>
              </w:rPr>
            </w:pPr>
            <w:r w:rsidRPr="00C964C5">
              <w:rPr>
                <w:b/>
                <w:bCs/>
                <w:sz w:val="18"/>
                <w:szCs w:val="18"/>
                <w:lang w:val="es-GT" w:eastAsia="es-GT"/>
              </w:rPr>
              <w:t>Resultado Primario</w:t>
            </w:r>
          </w:p>
        </w:tc>
        <w:tc>
          <w:tcPr>
            <w:tcW w:w="1276" w:type="dxa"/>
            <w:tcBorders>
              <w:top w:val="nil"/>
              <w:left w:val="nil"/>
              <w:bottom w:val="nil"/>
              <w:right w:val="nil"/>
            </w:tcBorders>
            <w:shd w:val="clear" w:color="000000" w:fill="95B3D7"/>
            <w:noWrap/>
            <w:vAlign w:val="center"/>
            <w:hideMark/>
          </w:tcPr>
          <w:p w:rsidR="00C964C5" w:rsidRPr="00C964C5" w:rsidRDefault="00C964C5" w:rsidP="005A6D13">
            <w:pPr>
              <w:jc w:val="right"/>
              <w:rPr>
                <w:b/>
                <w:bCs/>
                <w:color w:val="000000"/>
                <w:sz w:val="18"/>
                <w:szCs w:val="18"/>
                <w:lang w:val="es-GT" w:eastAsia="es-GT"/>
              </w:rPr>
            </w:pPr>
            <w:r w:rsidRPr="00C964C5">
              <w:rPr>
                <w:b/>
                <w:bCs/>
                <w:color w:val="000000"/>
                <w:sz w:val="18"/>
                <w:szCs w:val="18"/>
                <w:lang w:val="es-GT" w:eastAsia="es-GT"/>
              </w:rPr>
              <w:t>-5,756.6</w:t>
            </w:r>
          </w:p>
        </w:tc>
        <w:tc>
          <w:tcPr>
            <w:tcW w:w="1417" w:type="dxa"/>
            <w:tcBorders>
              <w:top w:val="nil"/>
              <w:left w:val="nil"/>
              <w:bottom w:val="nil"/>
              <w:right w:val="nil"/>
            </w:tcBorders>
            <w:shd w:val="clear" w:color="000000" w:fill="95B3D7"/>
            <w:noWrap/>
            <w:vAlign w:val="center"/>
            <w:hideMark/>
          </w:tcPr>
          <w:p w:rsidR="00C964C5" w:rsidRPr="00C964C5" w:rsidRDefault="00C964C5" w:rsidP="005A6D13">
            <w:pPr>
              <w:jc w:val="right"/>
              <w:rPr>
                <w:b/>
                <w:bCs/>
                <w:color w:val="000000"/>
                <w:sz w:val="18"/>
                <w:szCs w:val="18"/>
                <w:lang w:val="es-GT" w:eastAsia="es-GT"/>
              </w:rPr>
            </w:pPr>
            <w:r w:rsidRPr="00C964C5">
              <w:rPr>
                <w:b/>
                <w:bCs/>
                <w:color w:val="000000"/>
                <w:sz w:val="18"/>
                <w:szCs w:val="18"/>
                <w:lang w:val="es-GT" w:eastAsia="es-GT"/>
              </w:rPr>
              <w:t>-19,146.4</w:t>
            </w:r>
          </w:p>
        </w:tc>
        <w:tc>
          <w:tcPr>
            <w:tcW w:w="1418" w:type="dxa"/>
            <w:tcBorders>
              <w:top w:val="nil"/>
              <w:left w:val="nil"/>
              <w:bottom w:val="nil"/>
              <w:right w:val="nil"/>
            </w:tcBorders>
            <w:shd w:val="clear" w:color="000000" w:fill="95B3D7"/>
            <w:noWrap/>
            <w:vAlign w:val="center"/>
            <w:hideMark/>
          </w:tcPr>
          <w:p w:rsidR="00C964C5" w:rsidRPr="00C964C5" w:rsidRDefault="00C964C5" w:rsidP="005A6D13">
            <w:pPr>
              <w:jc w:val="right"/>
              <w:rPr>
                <w:b/>
                <w:bCs/>
                <w:color w:val="000000"/>
                <w:sz w:val="18"/>
                <w:szCs w:val="18"/>
                <w:lang w:val="es-GT" w:eastAsia="es-GT"/>
              </w:rPr>
            </w:pPr>
            <w:r w:rsidRPr="00C964C5">
              <w:rPr>
                <w:b/>
                <w:bCs/>
                <w:color w:val="000000"/>
                <w:sz w:val="18"/>
                <w:szCs w:val="18"/>
                <w:lang w:val="es-GT" w:eastAsia="es-GT"/>
              </w:rPr>
              <w:t>-13,389.7</w:t>
            </w:r>
          </w:p>
        </w:tc>
        <w:tc>
          <w:tcPr>
            <w:tcW w:w="1562" w:type="dxa"/>
            <w:tcBorders>
              <w:top w:val="nil"/>
              <w:left w:val="nil"/>
              <w:bottom w:val="nil"/>
              <w:right w:val="single" w:sz="8" w:space="0" w:color="auto"/>
            </w:tcBorders>
            <w:shd w:val="clear" w:color="000000" w:fill="95B3D7"/>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232.6%</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95B3D7"/>
            <w:noWrap/>
            <w:vAlign w:val="bottom"/>
            <w:hideMark/>
          </w:tcPr>
          <w:p w:rsidR="00C964C5" w:rsidRPr="00C964C5" w:rsidRDefault="00C964C5" w:rsidP="005A6D13">
            <w:pPr>
              <w:rPr>
                <w:b/>
                <w:bCs/>
                <w:sz w:val="18"/>
                <w:szCs w:val="18"/>
                <w:lang w:val="es-GT" w:eastAsia="es-GT"/>
              </w:rPr>
            </w:pPr>
            <w:r w:rsidRPr="00C964C5">
              <w:rPr>
                <w:b/>
                <w:bCs/>
                <w:sz w:val="18"/>
                <w:szCs w:val="18"/>
                <w:lang w:val="es-GT" w:eastAsia="es-GT"/>
              </w:rPr>
              <w:t>Resultado Presupuestal</w:t>
            </w:r>
          </w:p>
        </w:tc>
        <w:tc>
          <w:tcPr>
            <w:tcW w:w="1276" w:type="dxa"/>
            <w:tcBorders>
              <w:top w:val="nil"/>
              <w:left w:val="nil"/>
              <w:bottom w:val="nil"/>
              <w:right w:val="nil"/>
            </w:tcBorders>
            <w:shd w:val="clear" w:color="000000" w:fill="95B3D7"/>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-15,203.3</w:t>
            </w:r>
          </w:p>
        </w:tc>
        <w:tc>
          <w:tcPr>
            <w:tcW w:w="1417" w:type="dxa"/>
            <w:tcBorders>
              <w:top w:val="nil"/>
              <w:left w:val="nil"/>
              <w:bottom w:val="nil"/>
              <w:right w:val="nil"/>
            </w:tcBorders>
            <w:shd w:val="clear" w:color="000000" w:fill="95B3D7"/>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-29,477.7</w:t>
            </w:r>
          </w:p>
        </w:tc>
        <w:tc>
          <w:tcPr>
            <w:tcW w:w="1418" w:type="dxa"/>
            <w:tcBorders>
              <w:top w:val="nil"/>
              <w:left w:val="nil"/>
              <w:bottom w:val="nil"/>
              <w:right w:val="nil"/>
            </w:tcBorders>
            <w:shd w:val="clear" w:color="000000" w:fill="95B3D7"/>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-14,274.4</w:t>
            </w:r>
          </w:p>
        </w:tc>
        <w:tc>
          <w:tcPr>
            <w:tcW w:w="1562" w:type="dxa"/>
            <w:tcBorders>
              <w:top w:val="nil"/>
              <w:left w:val="nil"/>
              <w:bottom w:val="nil"/>
              <w:right w:val="single" w:sz="8" w:space="0" w:color="auto"/>
            </w:tcBorders>
            <w:shd w:val="clear" w:color="000000" w:fill="95B3D7"/>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93.9%</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5A6D13">
            <w:pPr>
              <w:rPr>
                <w:sz w:val="18"/>
                <w:szCs w:val="18"/>
                <w:lang w:val="es-GT" w:eastAsia="es-GT"/>
              </w:rPr>
            </w:pPr>
            <w:r w:rsidRPr="00C964C5">
              <w:rPr>
                <w:sz w:val="18"/>
                <w:szCs w:val="18"/>
                <w:lang w:val="es-GT" w:eastAsia="es-GT"/>
              </w:rPr>
              <w:t>Financiamiento Total</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15,203.3</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29,477.7</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14,274.4</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93.9%</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100" w:firstLine="181"/>
              <w:rPr>
                <w:b/>
                <w:bCs/>
                <w:sz w:val="18"/>
                <w:szCs w:val="18"/>
                <w:lang w:val="es-GT" w:eastAsia="es-GT"/>
              </w:rPr>
            </w:pPr>
            <w:r w:rsidRPr="00C964C5">
              <w:rPr>
                <w:b/>
                <w:bCs/>
                <w:sz w:val="18"/>
                <w:szCs w:val="18"/>
                <w:lang w:val="es-GT" w:eastAsia="es-GT"/>
              </w:rPr>
              <w:t>Financiamiento Externo Neto</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-1,578.4</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10,336.9</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11,915.3</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-754.9%</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200" w:firstLine="360"/>
              <w:rPr>
                <w:sz w:val="18"/>
                <w:szCs w:val="18"/>
                <w:lang w:val="es-GT" w:eastAsia="es-GT"/>
              </w:rPr>
            </w:pPr>
            <w:r w:rsidRPr="00C964C5">
              <w:rPr>
                <w:sz w:val="18"/>
                <w:szCs w:val="18"/>
                <w:lang w:val="es-GT" w:eastAsia="es-GT"/>
              </w:rPr>
              <w:t>Préstamos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-1,578.4</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1,082.4</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2,660.8</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-168.6%</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300" w:firstLine="540"/>
              <w:rPr>
                <w:sz w:val="18"/>
                <w:szCs w:val="18"/>
                <w:lang w:val="es-GT" w:eastAsia="es-GT"/>
              </w:rPr>
            </w:pPr>
            <w:r w:rsidRPr="00C964C5">
              <w:rPr>
                <w:sz w:val="18"/>
                <w:szCs w:val="18"/>
                <w:lang w:val="es-GT" w:eastAsia="es-GT"/>
              </w:rPr>
              <w:t xml:space="preserve">Desembolsos </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1,592.6</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4,178.8</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2,586.2</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162.4%</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300" w:firstLine="540"/>
              <w:rPr>
                <w:sz w:val="18"/>
                <w:szCs w:val="18"/>
                <w:lang w:val="es-GT" w:eastAsia="es-GT"/>
              </w:rPr>
            </w:pPr>
            <w:r w:rsidRPr="00C964C5">
              <w:rPr>
                <w:sz w:val="18"/>
                <w:szCs w:val="18"/>
                <w:lang w:val="es-GT" w:eastAsia="es-GT"/>
              </w:rPr>
              <w:t>Amortizaciones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3,171.0</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3,096.4</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-74.6</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-2.4%</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200" w:firstLine="360"/>
              <w:rPr>
                <w:sz w:val="18"/>
                <w:szCs w:val="18"/>
                <w:lang w:val="es-GT" w:eastAsia="es-GT"/>
              </w:rPr>
            </w:pPr>
            <w:r w:rsidRPr="00C964C5">
              <w:rPr>
                <w:sz w:val="18"/>
                <w:szCs w:val="18"/>
                <w:lang w:val="es-GT" w:eastAsia="es-GT"/>
              </w:rPr>
              <w:t>Eurobonos</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0.0</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9,254.5</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9,254.5</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 </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100" w:firstLine="181"/>
              <w:rPr>
                <w:b/>
                <w:bCs/>
                <w:sz w:val="18"/>
                <w:szCs w:val="18"/>
                <w:lang w:val="es-GT" w:eastAsia="es-GT"/>
              </w:rPr>
            </w:pPr>
            <w:r w:rsidRPr="00C964C5">
              <w:rPr>
                <w:b/>
                <w:bCs/>
                <w:sz w:val="18"/>
                <w:szCs w:val="18"/>
                <w:lang w:val="es-GT" w:eastAsia="es-GT"/>
              </w:rPr>
              <w:t>Financiamiento Interno Neto</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16,781.7</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19,140.8</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2,359.1</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14.1%</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center"/>
            <w:hideMark/>
          </w:tcPr>
          <w:p w:rsidR="00C964C5" w:rsidRPr="00C964C5" w:rsidRDefault="00C964C5" w:rsidP="005A6D13">
            <w:pPr>
              <w:rPr>
                <w:sz w:val="18"/>
                <w:szCs w:val="18"/>
                <w:lang w:val="es-GT" w:eastAsia="es-GT"/>
              </w:rPr>
            </w:pPr>
            <w:r w:rsidRPr="00C964C5">
              <w:rPr>
                <w:sz w:val="18"/>
                <w:szCs w:val="18"/>
                <w:lang w:val="es-GT" w:eastAsia="es-GT"/>
              </w:rPr>
              <w:t xml:space="preserve">Negociación Neta  </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14,207.6</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20,388.0</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6,180.3</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43.5%</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center"/>
            <w:hideMark/>
          </w:tcPr>
          <w:p w:rsidR="00C964C5" w:rsidRPr="00C964C5" w:rsidRDefault="00C964C5" w:rsidP="00C964C5">
            <w:pPr>
              <w:rPr>
                <w:sz w:val="18"/>
                <w:szCs w:val="18"/>
                <w:lang w:val="es-GT" w:eastAsia="es-GT"/>
              </w:rPr>
            </w:pPr>
            <w:r w:rsidRPr="00C964C5">
              <w:rPr>
                <w:sz w:val="18"/>
                <w:szCs w:val="18"/>
                <w:lang w:val="es-GT" w:eastAsia="es-GT"/>
              </w:rPr>
              <w:t>Negociación Neta de Primas por Colocación</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-93.8</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1,884.1</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1,977.9</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-2109.1%</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300" w:firstLine="540"/>
              <w:rPr>
                <w:sz w:val="18"/>
                <w:szCs w:val="18"/>
                <w:lang w:val="es-GT" w:eastAsia="es-GT"/>
              </w:rPr>
            </w:pPr>
            <w:r w:rsidRPr="00C964C5">
              <w:rPr>
                <w:sz w:val="18"/>
                <w:szCs w:val="18"/>
                <w:lang w:val="es-GT" w:eastAsia="es-GT"/>
              </w:rPr>
              <w:t>Colocación</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0.0</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1,884.1</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1,884.1</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 </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noWrap/>
            <w:vAlign w:val="bottom"/>
            <w:hideMark/>
          </w:tcPr>
          <w:p w:rsidR="00C964C5" w:rsidRPr="00C964C5" w:rsidRDefault="00C964C5" w:rsidP="00C964C5">
            <w:pPr>
              <w:ind w:firstLineChars="300" w:firstLine="540"/>
              <w:rPr>
                <w:sz w:val="18"/>
                <w:szCs w:val="18"/>
                <w:lang w:val="es-GT" w:eastAsia="es-GT"/>
              </w:rPr>
            </w:pPr>
            <w:r w:rsidRPr="00C964C5">
              <w:rPr>
                <w:sz w:val="18"/>
                <w:szCs w:val="18"/>
                <w:lang w:val="es-GT" w:eastAsia="es-GT"/>
              </w:rPr>
              <w:t>Amortización</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93.8</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0.0</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-93.8</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-100.0%</w:t>
            </w:r>
          </w:p>
        </w:tc>
      </w:tr>
      <w:tr w:rsidR="00C964C5" w:rsidRPr="00C964C5" w:rsidTr="00C964C5">
        <w:trPr>
          <w:trHeight w:val="254"/>
          <w:jc w:val="center"/>
        </w:trPr>
        <w:tc>
          <w:tcPr>
            <w:tcW w:w="3689" w:type="dxa"/>
            <w:tcBorders>
              <w:top w:val="nil"/>
              <w:left w:val="single" w:sz="8" w:space="0" w:color="auto"/>
              <w:bottom w:val="nil"/>
              <w:right w:val="nil"/>
            </w:tcBorders>
            <w:shd w:val="clear" w:color="000000" w:fill="FFFFFF"/>
            <w:vAlign w:val="center"/>
            <w:hideMark/>
          </w:tcPr>
          <w:p w:rsidR="00C964C5" w:rsidRPr="00C964C5" w:rsidRDefault="00C964C5" w:rsidP="00DF703E">
            <w:pPr>
              <w:rPr>
                <w:sz w:val="18"/>
                <w:szCs w:val="18"/>
                <w:lang w:val="es-GT" w:eastAsia="es-GT"/>
              </w:rPr>
            </w:pPr>
            <w:r w:rsidRPr="00C964C5">
              <w:rPr>
                <w:sz w:val="18"/>
                <w:szCs w:val="18"/>
                <w:lang w:val="es-GT" w:eastAsia="es-GT"/>
              </w:rPr>
              <w:t xml:space="preserve">Amortización  Costo de la Política Monetaria </w:t>
            </w:r>
          </w:p>
        </w:tc>
        <w:tc>
          <w:tcPr>
            <w:tcW w:w="1276"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699.5</w:t>
            </w:r>
          </w:p>
        </w:tc>
        <w:tc>
          <w:tcPr>
            <w:tcW w:w="1417"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0.0</w:t>
            </w:r>
          </w:p>
        </w:tc>
        <w:tc>
          <w:tcPr>
            <w:tcW w:w="1418" w:type="dxa"/>
            <w:tcBorders>
              <w:top w:val="nil"/>
              <w:left w:val="nil"/>
              <w:bottom w:val="nil"/>
              <w:right w:val="nil"/>
            </w:tcBorders>
            <w:shd w:val="clear" w:color="000000" w:fill="FFFFFF"/>
            <w:noWrap/>
            <w:vAlign w:val="center"/>
            <w:hideMark/>
          </w:tcPr>
          <w:p w:rsidR="00C964C5" w:rsidRPr="00C964C5" w:rsidRDefault="00C964C5" w:rsidP="005A6D13">
            <w:pPr>
              <w:jc w:val="right"/>
              <w:rPr>
                <w:sz w:val="18"/>
                <w:szCs w:val="18"/>
                <w:lang w:val="es-GT" w:eastAsia="es-GT"/>
              </w:rPr>
            </w:pPr>
            <w:r w:rsidRPr="00C964C5">
              <w:rPr>
                <w:sz w:val="18"/>
                <w:szCs w:val="18"/>
                <w:lang w:val="es-GT" w:eastAsia="es-GT"/>
              </w:rPr>
              <w:t>-699.5</w:t>
            </w:r>
          </w:p>
        </w:tc>
        <w:tc>
          <w:tcPr>
            <w:tcW w:w="1562" w:type="dxa"/>
            <w:tcBorders>
              <w:top w:val="nil"/>
              <w:left w:val="nil"/>
              <w:bottom w:val="nil"/>
              <w:right w:val="single" w:sz="8" w:space="0" w:color="auto"/>
            </w:tcBorders>
            <w:shd w:val="clear" w:color="000000" w:fill="FFFFFF"/>
            <w:noWrap/>
            <w:vAlign w:val="center"/>
            <w:hideMark/>
          </w:tcPr>
          <w:p w:rsidR="00C964C5" w:rsidRPr="00C964C5" w:rsidRDefault="00C964C5" w:rsidP="005A6D13">
            <w:pPr>
              <w:jc w:val="center"/>
              <w:rPr>
                <w:sz w:val="18"/>
                <w:szCs w:val="18"/>
                <w:lang w:val="es-GT" w:eastAsia="es-GT"/>
              </w:rPr>
            </w:pPr>
            <w:r w:rsidRPr="00C964C5">
              <w:rPr>
                <w:sz w:val="18"/>
                <w:szCs w:val="18"/>
                <w:lang w:val="es-GT" w:eastAsia="es-GT"/>
              </w:rPr>
              <w:t>-100.0%</w:t>
            </w:r>
          </w:p>
        </w:tc>
      </w:tr>
      <w:tr w:rsidR="00C964C5" w:rsidRPr="00C964C5" w:rsidTr="00C964C5">
        <w:trPr>
          <w:trHeight w:val="254"/>
          <w:jc w:val="center"/>
        </w:trPr>
        <w:tc>
          <w:tcPr>
            <w:tcW w:w="3689" w:type="dxa"/>
            <w:tcBorders>
              <w:top w:val="nil"/>
              <w:left w:val="single" w:sz="8" w:space="0" w:color="auto"/>
              <w:bottom w:val="single" w:sz="8" w:space="0" w:color="auto"/>
              <w:right w:val="nil"/>
            </w:tcBorders>
            <w:shd w:val="clear" w:color="000000" w:fill="FFFFFF"/>
            <w:vAlign w:val="center"/>
            <w:hideMark/>
          </w:tcPr>
          <w:p w:rsidR="00C964C5" w:rsidRPr="00C964C5" w:rsidRDefault="00C964C5" w:rsidP="005A6D13">
            <w:pPr>
              <w:rPr>
                <w:b/>
                <w:bCs/>
                <w:sz w:val="18"/>
                <w:szCs w:val="18"/>
                <w:lang w:val="es-GT" w:eastAsia="es-GT"/>
              </w:rPr>
            </w:pPr>
            <w:r w:rsidRPr="00C964C5">
              <w:rPr>
                <w:b/>
                <w:bCs/>
                <w:sz w:val="18"/>
                <w:szCs w:val="18"/>
                <w:lang w:val="es-GT" w:eastAsia="es-GT"/>
              </w:rPr>
              <w:t>Variación de Caja (+) disminución (-) aumento</w:t>
            </w:r>
          </w:p>
        </w:tc>
        <w:tc>
          <w:tcPr>
            <w:tcW w:w="1276" w:type="dxa"/>
            <w:tcBorders>
              <w:top w:val="nil"/>
              <w:left w:val="nil"/>
              <w:bottom w:val="single" w:sz="8" w:space="0" w:color="auto"/>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3,367.4</w:t>
            </w:r>
          </w:p>
        </w:tc>
        <w:tc>
          <w:tcPr>
            <w:tcW w:w="1417" w:type="dxa"/>
            <w:tcBorders>
              <w:top w:val="nil"/>
              <w:left w:val="nil"/>
              <w:bottom w:val="single" w:sz="8" w:space="0" w:color="auto"/>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-3,131.3</w:t>
            </w:r>
          </w:p>
        </w:tc>
        <w:tc>
          <w:tcPr>
            <w:tcW w:w="1418" w:type="dxa"/>
            <w:tcBorders>
              <w:top w:val="nil"/>
              <w:left w:val="nil"/>
              <w:bottom w:val="single" w:sz="8" w:space="0" w:color="auto"/>
              <w:right w:val="nil"/>
            </w:tcBorders>
            <w:shd w:val="clear" w:color="000000" w:fill="FFFFFF"/>
            <w:noWrap/>
            <w:vAlign w:val="center"/>
            <w:hideMark/>
          </w:tcPr>
          <w:p w:rsidR="00C964C5" w:rsidRPr="00C964C5" w:rsidRDefault="00C964C5" w:rsidP="005A6D13">
            <w:pPr>
              <w:jc w:val="right"/>
              <w:rPr>
                <w:b/>
                <w:bCs/>
                <w:sz w:val="18"/>
                <w:szCs w:val="18"/>
                <w:lang w:val="es-GT" w:eastAsia="es-GT"/>
              </w:rPr>
            </w:pPr>
            <w:r w:rsidRPr="00C964C5">
              <w:rPr>
                <w:b/>
                <w:bCs/>
                <w:sz w:val="18"/>
                <w:szCs w:val="18"/>
                <w:lang w:val="es-GT" w:eastAsia="es-GT"/>
              </w:rPr>
              <w:t>-6,498.7</w:t>
            </w:r>
          </w:p>
        </w:tc>
        <w:tc>
          <w:tcPr>
            <w:tcW w:w="1562" w:type="dxa"/>
            <w:tcBorders>
              <w:top w:val="nil"/>
              <w:left w:val="nil"/>
              <w:bottom w:val="single" w:sz="8" w:space="0" w:color="auto"/>
              <w:right w:val="single" w:sz="8" w:space="0" w:color="auto"/>
            </w:tcBorders>
            <w:shd w:val="clear" w:color="000000" w:fill="FFFFFF"/>
            <w:noWrap/>
            <w:vAlign w:val="center"/>
            <w:hideMark/>
          </w:tcPr>
          <w:p w:rsidR="00C964C5" w:rsidRPr="00C964C5" w:rsidRDefault="00C964C5" w:rsidP="005A6D13">
            <w:pPr>
              <w:jc w:val="center"/>
              <w:rPr>
                <w:b/>
                <w:bCs/>
                <w:sz w:val="18"/>
                <w:szCs w:val="18"/>
                <w:lang w:val="es-GT" w:eastAsia="es-GT"/>
              </w:rPr>
            </w:pPr>
            <w:r w:rsidRPr="00C964C5">
              <w:rPr>
                <w:b/>
                <w:bCs/>
                <w:sz w:val="18"/>
                <w:szCs w:val="18"/>
                <w:lang w:val="es-GT" w:eastAsia="es-GT"/>
              </w:rPr>
              <w:t>-193.0%</w:t>
            </w:r>
          </w:p>
        </w:tc>
      </w:tr>
    </w:tbl>
    <w:p w:rsidR="00011502" w:rsidRPr="004E678D" w:rsidRDefault="00011502" w:rsidP="00011502">
      <w:pPr>
        <w:jc w:val="both"/>
        <w:rPr>
          <w:sz w:val="18"/>
        </w:rPr>
      </w:pPr>
      <w:r w:rsidRPr="004E678D">
        <w:rPr>
          <w:sz w:val="18"/>
          <w:lang w:val="es-GT"/>
        </w:rPr>
        <w:t>* Cifras preliminares</w:t>
      </w:r>
    </w:p>
    <w:p w:rsidR="00011502" w:rsidRPr="004E678D" w:rsidRDefault="008C5ECD" w:rsidP="00011502">
      <w:pPr>
        <w:jc w:val="both"/>
        <w:rPr>
          <w:sz w:val="18"/>
        </w:rPr>
      </w:pPr>
      <w:r>
        <w:rPr>
          <w:sz w:val="18"/>
        </w:rPr>
        <w:t xml:space="preserve">   </w:t>
      </w:r>
      <w:r w:rsidR="00011502" w:rsidRPr="004E678D">
        <w:rPr>
          <w:sz w:val="18"/>
        </w:rPr>
        <w:t>Fuente: Ministerio de Finanzas Públicas</w:t>
      </w:r>
      <w:r w:rsidR="00011502">
        <w:rPr>
          <w:sz w:val="18"/>
        </w:rPr>
        <w:t>.</w:t>
      </w:r>
    </w:p>
    <w:p w:rsidR="00011502" w:rsidRDefault="00011502" w:rsidP="00011502">
      <w:pPr>
        <w:jc w:val="both"/>
      </w:pPr>
    </w:p>
    <w:p w:rsidR="004F2632" w:rsidRDefault="004F2632" w:rsidP="00011502">
      <w:pPr>
        <w:jc w:val="both"/>
      </w:pPr>
    </w:p>
    <w:p w:rsidR="00C964C5" w:rsidRDefault="00C964C5" w:rsidP="00C964C5">
      <w:pPr>
        <w:jc w:val="both"/>
      </w:pPr>
      <w:r>
        <w:t>De conformidad con la situación financiera al 31 de diciembre de 2020, los Ingresos Totales se ubicaron en un monto de Q.64,051.3 millones, estuvieron por debajo en 6.6% de lo estimado en el presupuesto aprobado que fue de Q.68,547.4; esta disminución se debe principalmente a la caída en los impuestos tributarios, lo cuales, estuvieron por debajo a lo presupuestado en Q.3,748.3 millones, como resultado del impacto de la crisis sanitaria, afectando principalmente las recaudación de impuestos indirectos, los cuales estuvieron por debajo en Q.3,337.3 millones, los impuestos directos estuvieron por debajo en Q</w:t>
      </w:r>
      <w:r w:rsidR="005A6D13">
        <w:t>.</w:t>
      </w:r>
      <w:r>
        <w:t>411.0 millones y finalmente, los i</w:t>
      </w:r>
      <w:r w:rsidR="00C076F5">
        <w:t>ngresos</w:t>
      </w:r>
      <w:r>
        <w:t xml:space="preserve"> no tributarios</w:t>
      </w:r>
      <w:r w:rsidR="00C076F5">
        <w:t xml:space="preserve"> y transferencias</w:t>
      </w:r>
      <w:r>
        <w:t>, se ubicaron por debajo en Q</w:t>
      </w:r>
      <w:r w:rsidR="005A6D13">
        <w:t>.</w:t>
      </w:r>
      <w:r>
        <w:t>74</w:t>
      </w:r>
      <w:r w:rsidR="00C076F5">
        <w:t>6</w:t>
      </w:r>
      <w:r>
        <w:t>.7 millones.</w:t>
      </w:r>
    </w:p>
    <w:p w:rsidR="00C964C5" w:rsidRDefault="00C964C5" w:rsidP="00C964C5">
      <w:pPr>
        <w:jc w:val="both"/>
      </w:pPr>
    </w:p>
    <w:p w:rsidR="00C964C5" w:rsidRDefault="00C964C5" w:rsidP="00C964C5">
      <w:pPr>
        <w:jc w:val="both"/>
      </w:pPr>
      <w:r>
        <w:t>En lo referente a los Gastos Totales, sin incluir amortizaciones de la Deuda Pública, la ejecución preliminar es de Q</w:t>
      </w:r>
      <w:r w:rsidR="005A6D13">
        <w:t>.</w:t>
      </w:r>
      <w:r>
        <w:t>93,529.0 millones, los cuales, fueron mayores a lo establecido en el presupuesto por Q</w:t>
      </w:r>
      <w:r w:rsidR="00FF450F">
        <w:t>.</w:t>
      </w:r>
      <w:r>
        <w:t>9,778.3 millones, equivalentes al 11.7% por encima de lo aprobado, ubicándose el aumento, principalmente en los Gastos Corrientes con Q</w:t>
      </w:r>
      <w:r w:rsidR="00FF450F">
        <w:t>.</w:t>
      </w:r>
      <w:r>
        <w:t>8,012.1 millones más, en tanto que los Gastos de Capital aumentaron Q</w:t>
      </w:r>
      <w:r w:rsidR="00FF450F">
        <w:t>.</w:t>
      </w:r>
      <w:r>
        <w:t>1,766.2 millones, equivalentes a un 10.9% por arriba de los presupuestado.</w:t>
      </w:r>
    </w:p>
    <w:p w:rsidR="00C964C5" w:rsidRDefault="00C964C5" w:rsidP="00C964C5">
      <w:pPr>
        <w:jc w:val="both"/>
      </w:pPr>
    </w:p>
    <w:p w:rsidR="00C964C5" w:rsidRDefault="00C964C5" w:rsidP="00C964C5">
      <w:pPr>
        <w:jc w:val="both"/>
      </w:pPr>
      <w:r>
        <w:t>El presupuesto aprobado estableció un resultado presupuestario de Q</w:t>
      </w:r>
      <w:r w:rsidR="00FF450F">
        <w:t>.</w:t>
      </w:r>
      <w:r>
        <w:t xml:space="preserve">15,203.3 millones, mientras que </w:t>
      </w:r>
      <w:r w:rsidR="00C076F5">
        <w:t>a</w:t>
      </w:r>
      <w:r>
        <w:t xml:space="preserve">l cierre preliminar </w:t>
      </w:r>
      <w:r w:rsidR="00C076F5">
        <w:t xml:space="preserve">se </w:t>
      </w:r>
      <w:r>
        <w:t>alcanza un monto de Q</w:t>
      </w:r>
      <w:r w:rsidR="00FF450F">
        <w:t>.</w:t>
      </w:r>
      <w:r>
        <w:t>29,477.7 millones, es decir, que el aumento es de Q</w:t>
      </w:r>
      <w:r w:rsidR="00FF450F">
        <w:t>.</w:t>
      </w:r>
      <w:r>
        <w:t xml:space="preserve">14,274.4 millones equivalentes al 93.9% de aumento, en virtud del efecto negativo provocado por la </w:t>
      </w:r>
      <w:r w:rsidR="00FF450F">
        <w:t>emergencia</w:t>
      </w:r>
      <w:r>
        <w:t xml:space="preserve"> sanitaria generad</w:t>
      </w:r>
      <w:r w:rsidR="00FF450F">
        <w:t>a</w:t>
      </w:r>
      <w:r>
        <w:t xml:space="preserve"> por la pandemia del C</w:t>
      </w:r>
      <w:r w:rsidR="00FF450F">
        <w:t>ovid-19 y las tormentas tropicales Eta e Iota, que motivó la aprobación de tres ampliaciones presupuestarias por parte del Congreso de la República que hacen un total de Q.19,806.4 millones</w:t>
      </w:r>
      <w:r>
        <w:t>.</w:t>
      </w:r>
    </w:p>
    <w:p w:rsidR="00011502" w:rsidRDefault="00011502" w:rsidP="00011502">
      <w:pPr>
        <w:jc w:val="both"/>
        <w:rPr>
          <w:lang w:val="es-GT"/>
        </w:rPr>
      </w:pPr>
    </w:p>
    <w:p w:rsidR="00011502" w:rsidRDefault="00011502" w:rsidP="00011502">
      <w:pPr>
        <w:pStyle w:val="Sinespaciado"/>
        <w:jc w:val="both"/>
        <w:rPr>
          <w:rFonts w:ascii="Times New Roman" w:hAnsi="Times New Roman" w:cs="Times New Roman"/>
          <w:lang w:val="es-MX"/>
        </w:rPr>
      </w:pPr>
    </w:p>
    <w:p w:rsidR="00802E7E" w:rsidRPr="00C076F5" w:rsidRDefault="001D7553" w:rsidP="00C774F3">
      <w:pPr>
        <w:pStyle w:val="Ttulo2"/>
        <w:numPr>
          <w:ilvl w:val="0"/>
          <w:numId w:val="3"/>
        </w:numPr>
        <w:spacing w:line="276" w:lineRule="auto"/>
        <w:ind w:left="567" w:hanging="567"/>
        <w:rPr>
          <w:rFonts w:ascii="Times New Roman" w:hAnsi="Times New Roman"/>
          <w:color w:val="auto"/>
          <w:sz w:val="24"/>
          <w:szCs w:val="24"/>
        </w:rPr>
      </w:pPr>
      <w:bookmarkStart w:id="33" w:name="_Toc364869044"/>
      <w:bookmarkStart w:id="34" w:name="_Toc65826763"/>
      <w:bookmarkEnd w:id="21"/>
      <w:bookmarkEnd w:id="22"/>
      <w:r w:rsidRPr="00C076F5">
        <w:rPr>
          <w:rFonts w:ascii="Times New Roman" w:hAnsi="Times New Roman"/>
          <w:color w:val="auto"/>
          <w:sz w:val="24"/>
          <w:szCs w:val="24"/>
        </w:rPr>
        <w:t xml:space="preserve">Principales </w:t>
      </w:r>
      <w:r w:rsidR="00BA1267" w:rsidRPr="00C076F5">
        <w:rPr>
          <w:rFonts w:ascii="Times New Roman" w:hAnsi="Times New Roman"/>
          <w:color w:val="auto"/>
          <w:sz w:val="24"/>
          <w:szCs w:val="24"/>
        </w:rPr>
        <w:t xml:space="preserve">Metas y </w:t>
      </w:r>
      <w:r w:rsidRPr="00C076F5">
        <w:rPr>
          <w:rFonts w:ascii="Times New Roman" w:hAnsi="Times New Roman"/>
          <w:color w:val="auto"/>
          <w:sz w:val="24"/>
          <w:szCs w:val="24"/>
        </w:rPr>
        <w:t>Resultados</w:t>
      </w:r>
      <w:bookmarkEnd w:id="34"/>
    </w:p>
    <w:p w:rsidR="00E24F7B" w:rsidRDefault="00E24F7B" w:rsidP="00E24F7B"/>
    <w:p w:rsidR="005970B7" w:rsidRDefault="006501EF" w:rsidP="005970B7">
      <w:pPr>
        <w:jc w:val="both"/>
      </w:pPr>
      <w:r>
        <w:t xml:space="preserve">Durante el </w:t>
      </w:r>
      <w:r w:rsidR="008224B6">
        <w:t>E</w:t>
      </w:r>
      <w:r>
        <w:t xml:space="preserve">jercicio </w:t>
      </w:r>
      <w:r w:rsidR="008224B6">
        <w:t>F</w:t>
      </w:r>
      <w:r>
        <w:t>iscal 20</w:t>
      </w:r>
      <w:r w:rsidR="00CD08F0">
        <w:t>20</w:t>
      </w:r>
      <w:r>
        <w:t xml:space="preserve"> las instituciones públicas de conformidad </w:t>
      </w:r>
      <w:r w:rsidR="008224B6">
        <w:t>con</w:t>
      </w:r>
      <w:r>
        <w:t xml:space="preserve"> los lineamientos de la Política General de Gobierno 20</w:t>
      </w:r>
      <w:r w:rsidR="00CD08F0">
        <w:t>20</w:t>
      </w:r>
      <w:r>
        <w:t>-202</w:t>
      </w:r>
      <w:r w:rsidR="00CD08F0">
        <w:t>4</w:t>
      </w:r>
      <w:r>
        <w:t xml:space="preserve">, </w:t>
      </w:r>
      <w:r w:rsidR="005970B7">
        <w:t>realizaron esfuerzos p</w:t>
      </w:r>
      <w:r w:rsidR="00D41716">
        <w:t xml:space="preserve">ara </w:t>
      </w:r>
      <w:r w:rsidR="005970B7">
        <w:t xml:space="preserve">que las intervenciones públicas y los resultados alcanzados se ejecutaran en favor del establecimiento de una ruta para el desarrollo sostenible, enfocándose en </w:t>
      </w:r>
      <w:r w:rsidR="00CD08F0">
        <w:t>cinco pilares estratégicos: Economía, Competitividad y Prosperidad; Desarrollo Social; Gobernabilidad y Seguridad en Desarrollo; Estado Responsable, Transparente y Efectivo; y Relaciones con el Mundo</w:t>
      </w:r>
      <w:r w:rsidR="005970B7">
        <w:t>.</w:t>
      </w:r>
    </w:p>
    <w:p w:rsidR="005970B7" w:rsidRDefault="005970B7" w:rsidP="005970B7">
      <w:pPr>
        <w:jc w:val="both"/>
      </w:pPr>
    </w:p>
    <w:p w:rsidR="001D7553" w:rsidRDefault="002D311B" w:rsidP="005970B7">
      <w:pPr>
        <w:jc w:val="both"/>
      </w:pPr>
      <w:r>
        <w:t>Vale indicar que derivado de la pandemia del Covid-19 y los efectos de las tormentas tropicales Eta e Iota en el 2020, varias entidades públicas debieron concentrar sus recursos y esfuerzos en atención del Estado de Calamidad Pública que fue decretado por la Presidencia de la República y ratificado por el Congreso de la República de Guatemala</w:t>
      </w:r>
      <w:r w:rsidR="00427DA1">
        <w:t>.</w:t>
      </w:r>
      <w:r>
        <w:t xml:space="preserve"> </w:t>
      </w:r>
      <w:r w:rsidR="005970B7">
        <w:t xml:space="preserve">De esa cuenta, se alcanzaron </w:t>
      </w:r>
      <w:r w:rsidR="002C3A6A">
        <w:t xml:space="preserve">metas y </w:t>
      </w:r>
      <w:r w:rsidR="005970B7">
        <w:t>resultados enfocad</w:t>
      </w:r>
      <w:r w:rsidR="002C3A6A">
        <w:t>o</w:t>
      </w:r>
      <w:r w:rsidR="005970B7">
        <w:t>s principalmente al ámbito social, con el propósito de beneficiar a la población más necesitada del país.</w:t>
      </w:r>
    </w:p>
    <w:p w:rsidR="005970B7" w:rsidRDefault="005970B7" w:rsidP="00E24F7B"/>
    <w:p w:rsidR="004F2632" w:rsidRDefault="004F2632" w:rsidP="00E24F7B"/>
    <w:p w:rsidR="004F2632" w:rsidRDefault="004F2632" w:rsidP="00E24F7B"/>
    <w:p w:rsidR="004F2632" w:rsidRDefault="004F2632" w:rsidP="00E24F7B"/>
    <w:p w:rsidR="004F2632" w:rsidRDefault="004F2632" w:rsidP="00E24F7B"/>
    <w:p w:rsidR="00CC3CAE" w:rsidRPr="00124AD6" w:rsidRDefault="00CC3CAE" w:rsidP="00CC3CAE">
      <w:pPr>
        <w:jc w:val="center"/>
        <w:rPr>
          <w:b/>
        </w:rPr>
      </w:pPr>
      <w:r w:rsidRPr="00124AD6">
        <w:rPr>
          <w:b/>
        </w:rPr>
        <w:t xml:space="preserve">Cuadro </w:t>
      </w:r>
      <w:r w:rsidR="005F75BB">
        <w:rPr>
          <w:b/>
        </w:rPr>
        <w:t>1</w:t>
      </w:r>
      <w:r w:rsidR="00A861C2">
        <w:rPr>
          <w:b/>
        </w:rPr>
        <w:t>2</w:t>
      </w:r>
    </w:p>
    <w:p w:rsidR="003708ED" w:rsidRDefault="003708ED" w:rsidP="00CC3CAE">
      <w:pPr>
        <w:jc w:val="center"/>
        <w:rPr>
          <w:b/>
        </w:rPr>
      </w:pPr>
      <w:r>
        <w:rPr>
          <w:b/>
        </w:rPr>
        <w:t>Libros y Textos Escolares Dotados por Nivel Educativo e Idioma</w:t>
      </w:r>
    </w:p>
    <w:p w:rsidR="00AE2FFB" w:rsidRDefault="00CC3CAE" w:rsidP="00CC3CAE">
      <w:pPr>
        <w:jc w:val="center"/>
        <w:rPr>
          <w:b/>
        </w:rPr>
      </w:pPr>
      <w:r>
        <w:rPr>
          <w:b/>
        </w:rPr>
        <w:t>Ejercicio Fiscal</w:t>
      </w:r>
      <w:r w:rsidR="003708ED">
        <w:rPr>
          <w:b/>
        </w:rPr>
        <w:t xml:space="preserve"> 2020</w:t>
      </w:r>
    </w:p>
    <w:p w:rsidR="004F2632" w:rsidRPr="004F2632" w:rsidRDefault="004F2632" w:rsidP="00CC3CAE">
      <w:pPr>
        <w:jc w:val="center"/>
        <w:rPr>
          <w:b/>
          <w:sz w:val="16"/>
        </w:rPr>
      </w:pPr>
    </w:p>
    <w:tbl>
      <w:tblPr>
        <w:tblW w:w="9654" w:type="dxa"/>
        <w:tblInd w:w="55" w:type="dxa"/>
        <w:tblCellMar>
          <w:left w:w="70" w:type="dxa"/>
          <w:right w:w="70" w:type="dxa"/>
        </w:tblCellMar>
        <w:tblLook w:val="04A0" w:firstRow="1" w:lastRow="0" w:firstColumn="1" w:lastColumn="0" w:noHBand="0" w:noVBand="1"/>
      </w:tblPr>
      <w:tblGrid>
        <w:gridCol w:w="2133"/>
        <w:gridCol w:w="1981"/>
        <w:gridCol w:w="2254"/>
        <w:gridCol w:w="1869"/>
        <w:gridCol w:w="1417"/>
      </w:tblGrid>
      <w:tr w:rsidR="003708ED" w:rsidRPr="004F2632" w:rsidTr="00A80FF3">
        <w:trPr>
          <w:trHeight w:val="678"/>
        </w:trPr>
        <w:tc>
          <w:tcPr>
            <w:tcW w:w="2133"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3708ED" w:rsidRPr="004F2632" w:rsidRDefault="003708ED" w:rsidP="003708ED">
            <w:pPr>
              <w:jc w:val="center"/>
              <w:rPr>
                <w:b/>
                <w:bCs/>
                <w:color w:val="000000"/>
                <w:szCs w:val="22"/>
                <w:lang w:val="es-GT" w:eastAsia="es-GT"/>
              </w:rPr>
            </w:pPr>
            <w:r w:rsidRPr="004F2632">
              <w:rPr>
                <w:b/>
                <w:bCs/>
                <w:color w:val="000000"/>
                <w:szCs w:val="22"/>
                <w:lang w:val="es-GT" w:eastAsia="es-GT"/>
              </w:rPr>
              <w:t>Nivel Educativo</w:t>
            </w:r>
          </w:p>
        </w:tc>
        <w:tc>
          <w:tcPr>
            <w:tcW w:w="1981" w:type="dxa"/>
            <w:tcBorders>
              <w:top w:val="single" w:sz="8" w:space="0" w:color="auto"/>
              <w:left w:val="nil"/>
              <w:bottom w:val="single" w:sz="8" w:space="0" w:color="auto"/>
              <w:right w:val="single" w:sz="4" w:space="0" w:color="auto"/>
            </w:tcBorders>
            <w:shd w:val="clear" w:color="000000" w:fill="8DB4E2"/>
            <w:noWrap/>
            <w:vAlign w:val="center"/>
            <w:hideMark/>
          </w:tcPr>
          <w:p w:rsidR="003708ED" w:rsidRPr="004F2632" w:rsidRDefault="003708ED" w:rsidP="003708ED">
            <w:pPr>
              <w:jc w:val="center"/>
              <w:rPr>
                <w:b/>
                <w:bCs/>
                <w:color w:val="000000"/>
                <w:szCs w:val="22"/>
                <w:lang w:val="es-GT" w:eastAsia="es-GT"/>
              </w:rPr>
            </w:pPr>
            <w:r w:rsidRPr="004F2632">
              <w:rPr>
                <w:b/>
                <w:bCs/>
                <w:color w:val="000000"/>
                <w:szCs w:val="22"/>
                <w:lang w:val="es-GT" w:eastAsia="es-GT"/>
              </w:rPr>
              <w:t>Idioma</w:t>
            </w:r>
          </w:p>
        </w:tc>
        <w:tc>
          <w:tcPr>
            <w:tcW w:w="2254" w:type="dxa"/>
            <w:tcBorders>
              <w:top w:val="single" w:sz="8" w:space="0" w:color="auto"/>
              <w:left w:val="nil"/>
              <w:bottom w:val="single" w:sz="8" w:space="0" w:color="auto"/>
              <w:right w:val="single" w:sz="4" w:space="0" w:color="auto"/>
            </w:tcBorders>
            <w:shd w:val="clear" w:color="000000" w:fill="8DB4E2"/>
            <w:noWrap/>
            <w:vAlign w:val="center"/>
            <w:hideMark/>
          </w:tcPr>
          <w:p w:rsidR="003708ED" w:rsidRPr="004F2632" w:rsidRDefault="003708ED" w:rsidP="003708ED">
            <w:pPr>
              <w:jc w:val="center"/>
              <w:rPr>
                <w:b/>
                <w:bCs/>
                <w:color w:val="000000"/>
                <w:szCs w:val="22"/>
                <w:lang w:val="es-GT" w:eastAsia="es-GT"/>
              </w:rPr>
            </w:pPr>
            <w:r w:rsidRPr="004F2632">
              <w:rPr>
                <w:b/>
                <w:bCs/>
                <w:color w:val="000000"/>
                <w:szCs w:val="22"/>
                <w:lang w:val="es-GT" w:eastAsia="es-GT"/>
              </w:rPr>
              <w:t>Tipo de Texto</w:t>
            </w:r>
          </w:p>
        </w:tc>
        <w:tc>
          <w:tcPr>
            <w:tcW w:w="1869" w:type="dxa"/>
            <w:tcBorders>
              <w:top w:val="single" w:sz="8" w:space="0" w:color="auto"/>
              <w:left w:val="nil"/>
              <w:bottom w:val="single" w:sz="8" w:space="0" w:color="auto"/>
              <w:right w:val="single" w:sz="4" w:space="0" w:color="auto"/>
            </w:tcBorders>
            <w:shd w:val="clear" w:color="000000" w:fill="8DB4E2"/>
            <w:noWrap/>
            <w:vAlign w:val="center"/>
            <w:hideMark/>
          </w:tcPr>
          <w:p w:rsidR="003708ED" w:rsidRPr="004F2632" w:rsidRDefault="003708ED" w:rsidP="003708ED">
            <w:pPr>
              <w:jc w:val="center"/>
              <w:rPr>
                <w:b/>
                <w:bCs/>
                <w:color w:val="000000"/>
                <w:szCs w:val="22"/>
                <w:lang w:val="es-GT" w:eastAsia="es-GT"/>
              </w:rPr>
            </w:pPr>
            <w:r w:rsidRPr="004F2632">
              <w:rPr>
                <w:b/>
                <w:bCs/>
                <w:color w:val="000000"/>
                <w:szCs w:val="22"/>
                <w:lang w:val="es-GT" w:eastAsia="es-GT"/>
              </w:rPr>
              <w:t>Grado</w:t>
            </w:r>
          </w:p>
        </w:tc>
        <w:tc>
          <w:tcPr>
            <w:tcW w:w="1417" w:type="dxa"/>
            <w:tcBorders>
              <w:top w:val="single" w:sz="8" w:space="0" w:color="auto"/>
              <w:left w:val="nil"/>
              <w:bottom w:val="single" w:sz="8" w:space="0" w:color="auto"/>
              <w:right w:val="single" w:sz="8" w:space="0" w:color="auto"/>
            </w:tcBorders>
            <w:shd w:val="clear" w:color="000000" w:fill="8DB4E2"/>
            <w:noWrap/>
            <w:vAlign w:val="center"/>
            <w:hideMark/>
          </w:tcPr>
          <w:p w:rsidR="003708ED" w:rsidRPr="004F2632" w:rsidRDefault="003708ED" w:rsidP="003708ED">
            <w:pPr>
              <w:jc w:val="center"/>
              <w:rPr>
                <w:b/>
                <w:bCs/>
                <w:color w:val="000000"/>
                <w:szCs w:val="22"/>
                <w:lang w:val="es-GT" w:eastAsia="es-GT"/>
              </w:rPr>
            </w:pPr>
            <w:r w:rsidRPr="004F2632">
              <w:rPr>
                <w:b/>
                <w:bCs/>
                <w:color w:val="000000"/>
                <w:szCs w:val="22"/>
                <w:lang w:val="es-GT" w:eastAsia="es-GT"/>
              </w:rPr>
              <w:t>Libros Dotados</w:t>
            </w:r>
          </w:p>
        </w:tc>
      </w:tr>
      <w:tr w:rsidR="003708ED" w:rsidRPr="004F2632" w:rsidTr="00A80FF3">
        <w:trPr>
          <w:trHeight w:val="393"/>
        </w:trPr>
        <w:tc>
          <w:tcPr>
            <w:tcW w:w="2133"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3708ED" w:rsidRPr="004F2632" w:rsidRDefault="003708ED" w:rsidP="003708ED">
            <w:pPr>
              <w:jc w:val="center"/>
              <w:rPr>
                <w:b/>
                <w:bCs/>
                <w:color w:val="000000"/>
                <w:szCs w:val="22"/>
                <w:lang w:val="es-GT" w:eastAsia="es-GT"/>
              </w:rPr>
            </w:pPr>
            <w:r w:rsidRPr="004F2632">
              <w:rPr>
                <w:b/>
                <w:bCs/>
                <w:color w:val="000000"/>
                <w:szCs w:val="22"/>
                <w:lang w:val="es-GT" w:eastAsia="es-GT"/>
              </w:rPr>
              <w:t>Total</w:t>
            </w:r>
          </w:p>
        </w:tc>
        <w:tc>
          <w:tcPr>
            <w:tcW w:w="1981" w:type="dxa"/>
            <w:tcBorders>
              <w:top w:val="single" w:sz="8"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 </w:t>
            </w:r>
          </w:p>
        </w:tc>
        <w:tc>
          <w:tcPr>
            <w:tcW w:w="2254" w:type="dxa"/>
            <w:tcBorders>
              <w:top w:val="single" w:sz="8"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 </w:t>
            </w:r>
          </w:p>
        </w:tc>
        <w:tc>
          <w:tcPr>
            <w:tcW w:w="1869" w:type="dxa"/>
            <w:tcBorders>
              <w:top w:val="single" w:sz="8"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 </w:t>
            </w:r>
          </w:p>
        </w:tc>
        <w:tc>
          <w:tcPr>
            <w:tcW w:w="1417" w:type="dxa"/>
            <w:tcBorders>
              <w:top w:val="single" w:sz="8" w:space="0" w:color="auto"/>
              <w:left w:val="nil"/>
              <w:bottom w:val="single" w:sz="4" w:space="0" w:color="auto"/>
              <w:right w:val="single" w:sz="8" w:space="0" w:color="auto"/>
            </w:tcBorders>
            <w:shd w:val="clear" w:color="auto" w:fill="auto"/>
            <w:noWrap/>
            <w:vAlign w:val="bottom"/>
            <w:hideMark/>
          </w:tcPr>
          <w:p w:rsidR="003708ED" w:rsidRPr="004F2632" w:rsidRDefault="003708ED" w:rsidP="003708ED">
            <w:pPr>
              <w:jc w:val="right"/>
              <w:rPr>
                <w:b/>
                <w:bCs/>
                <w:color w:val="000000"/>
                <w:szCs w:val="22"/>
                <w:lang w:val="es-GT" w:eastAsia="es-GT"/>
              </w:rPr>
            </w:pPr>
            <w:r w:rsidRPr="004F2632">
              <w:rPr>
                <w:b/>
                <w:bCs/>
                <w:color w:val="000000"/>
                <w:szCs w:val="22"/>
                <w:lang w:val="es-GT" w:eastAsia="es-GT"/>
              </w:rPr>
              <w:t>4,359,410</w:t>
            </w:r>
          </w:p>
        </w:tc>
      </w:tr>
      <w:tr w:rsidR="003708ED" w:rsidRPr="004F2632" w:rsidTr="00A80FF3">
        <w:trPr>
          <w:trHeight w:val="393"/>
        </w:trPr>
        <w:tc>
          <w:tcPr>
            <w:tcW w:w="2133" w:type="dxa"/>
            <w:vMerge w:val="restart"/>
            <w:tcBorders>
              <w:top w:val="nil"/>
              <w:left w:val="single" w:sz="8" w:space="0" w:color="auto"/>
              <w:bottom w:val="single" w:sz="4" w:space="0" w:color="000000"/>
              <w:right w:val="single" w:sz="4" w:space="0" w:color="auto"/>
            </w:tcBorders>
            <w:shd w:val="clear" w:color="auto" w:fill="auto"/>
            <w:vAlign w:val="center"/>
            <w:hideMark/>
          </w:tcPr>
          <w:p w:rsidR="003708ED" w:rsidRPr="004F2632" w:rsidRDefault="003708ED" w:rsidP="003708ED">
            <w:pPr>
              <w:jc w:val="center"/>
              <w:rPr>
                <w:color w:val="000000"/>
                <w:szCs w:val="22"/>
                <w:lang w:val="es-GT" w:eastAsia="es-GT"/>
              </w:rPr>
            </w:pPr>
            <w:r w:rsidRPr="004F2632">
              <w:rPr>
                <w:color w:val="000000"/>
                <w:szCs w:val="22"/>
                <w:lang w:val="es-GT" w:eastAsia="es-GT"/>
              </w:rPr>
              <w:t>Preprimaria</w:t>
            </w:r>
          </w:p>
        </w:tc>
        <w:tc>
          <w:tcPr>
            <w:tcW w:w="1981"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Castellano</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Descubro y Aprendo</w:t>
            </w:r>
          </w:p>
        </w:tc>
        <w:tc>
          <w:tcPr>
            <w:tcW w:w="1869" w:type="dxa"/>
            <w:vMerge w:val="restart"/>
            <w:tcBorders>
              <w:top w:val="nil"/>
              <w:left w:val="single" w:sz="4" w:space="0" w:color="auto"/>
              <w:bottom w:val="single" w:sz="4" w:space="0" w:color="000000"/>
              <w:right w:val="single" w:sz="4" w:space="0" w:color="auto"/>
            </w:tcBorders>
            <w:shd w:val="clear" w:color="auto" w:fill="auto"/>
            <w:vAlign w:val="center"/>
            <w:hideMark/>
          </w:tcPr>
          <w:p w:rsidR="003708ED" w:rsidRPr="004F2632" w:rsidRDefault="003708ED" w:rsidP="003708ED">
            <w:pPr>
              <w:jc w:val="center"/>
              <w:rPr>
                <w:color w:val="000000"/>
                <w:szCs w:val="22"/>
                <w:lang w:val="es-GT" w:eastAsia="es-GT"/>
              </w:rPr>
            </w:pPr>
            <w:r w:rsidRPr="004F2632">
              <w:rPr>
                <w:color w:val="000000"/>
                <w:szCs w:val="22"/>
                <w:lang w:val="es-GT" w:eastAsia="es-GT"/>
              </w:rPr>
              <w:t>Para 4, 5 y 6 años</w:t>
            </w:r>
          </w:p>
        </w:tc>
        <w:tc>
          <w:tcPr>
            <w:tcW w:w="141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499,537</w:t>
            </w:r>
          </w:p>
        </w:tc>
      </w:tr>
      <w:tr w:rsidR="003708ED" w:rsidRPr="004F2632" w:rsidTr="00A80FF3">
        <w:trPr>
          <w:trHeight w:val="370"/>
        </w:trPr>
        <w:tc>
          <w:tcPr>
            <w:tcW w:w="2133" w:type="dxa"/>
            <w:vMerge/>
            <w:tcBorders>
              <w:top w:val="nil"/>
              <w:left w:val="single" w:sz="8"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9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Kaqchikel, mam y kiché</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Megalibros de lectura emergente</w:t>
            </w:r>
          </w:p>
        </w:tc>
        <w:tc>
          <w:tcPr>
            <w:tcW w:w="1869" w:type="dxa"/>
            <w:vMerge/>
            <w:tcBorders>
              <w:top w:val="nil"/>
              <w:left w:val="single" w:sz="4"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417" w:type="dxa"/>
            <w:tcBorders>
              <w:top w:val="single" w:sz="4" w:space="0" w:color="auto"/>
              <w:left w:val="nil"/>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88,000</w:t>
            </w:r>
          </w:p>
        </w:tc>
      </w:tr>
      <w:tr w:rsidR="003708ED" w:rsidRPr="004F2632" w:rsidTr="00A80FF3">
        <w:trPr>
          <w:trHeight w:val="393"/>
        </w:trPr>
        <w:tc>
          <w:tcPr>
            <w:tcW w:w="2133" w:type="dxa"/>
            <w:vMerge w:val="restart"/>
            <w:tcBorders>
              <w:top w:val="nil"/>
              <w:left w:val="single" w:sz="8" w:space="0" w:color="auto"/>
              <w:bottom w:val="single" w:sz="4" w:space="0" w:color="000000"/>
              <w:right w:val="single" w:sz="4" w:space="0" w:color="auto"/>
            </w:tcBorders>
            <w:shd w:val="clear" w:color="auto" w:fill="auto"/>
            <w:vAlign w:val="center"/>
            <w:hideMark/>
          </w:tcPr>
          <w:p w:rsidR="003708ED" w:rsidRPr="004F2632" w:rsidRDefault="003708ED" w:rsidP="003708ED">
            <w:pPr>
              <w:jc w:val="center"/>
              <w:rPr>
                <w:color w:val="000000"/>
                <w:szCs w:val="22"/>
                <w:lang w:val="es-GT" w:eastAsia="es-GT"/>
              </w:rPr>
            </w:pPr>
            <w:r w:rsidRPr="004F2632">
              <w:rPr>
                <w:color w:val="000000"/>
                <w:szCs w:val="22"/>
                <w:lang w:val="es-GT" w:eastAsia="es-GT"/>
              </w:rPr>
              <w:t>Primaria de Niños</w:t>
            </w:r>
          </w:p>
        </w:tc>
        <w:tc>
          <w:tcPr>
            <w:tcW w:w="1981" w:type="dxa"/>
            <w:tcBorders>
              <w:top w:val="nil"/>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Castellano</w:t>
            </w:r>
          </w:p>
        </w:tc>
        <w:tc>
          <w:tcPr>
            <w:tcW w:w="2254" w:type="dxa"/>
            <w:tcBorders>
              <w:top w:val="nil"/>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Matemáticas y Lenguaje</w:t>
            </w:r>
          </w:p>
        </w:tc>
        <w:tc>
          <w:tcPr>
            <w:tcW w:w="1869" w:type="dxa"/>
            <w:tcBorders>
              <w:top w:val="nil"/>
              <w:left w:val="nil"/>
              <w:bottom w:val="single" w:sz="4" w:space="0" w:color="auto"/>
              <w:right w:val="single" w:sz="4" w:space="0" w:color="auto"/>
            </w:tcBorders>
            <w:shd w:val="clear" w:color="auto" w:fill="auto"/>
            <w:vAlign w:val="bottom"/>
            <w:hideMark/>
          </w:tcPr>
          <w:p w:rsidR="003708ED" w:rsidRPr="004F2632" w:rsidRDefault="003708ED" w:rsidP="003708ED">
            <w:pPr>
              <w:jc w:val="center"/>
              <w:rPr>
                <w:color w:val="000000"/>
                <w:szCs w:val="22"/>
                <w:lang w:val="es-GT" w:eastAsia="es-GT"/>
              </w:rPr>
            </w:pPr>
            <w:r w:rsidRPr="004F2632">
              <w:rPr>
                <w:color w:val="000000"/>
                <w:szCs w:val="22"/>
                <w:lang w:val="es-GT" w:eastAsia="es-GT"/>
              </w:rPr>
              <w:t>Primero y segundo</w:t>
            </w:r>
          </w:p>
        </w:tc>
        <w:tc>
          <w:tcPr>
            <w:tcW w:w="1417" w:type="dxa"/>
            <w:tcBorders>
              <w:top w:val="nil"/>
              <w:left w:val="nil"/>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2,748,265</w:t>
            </w:r>
          </w:p>
        </w:tc>
      </w:tr>
      <w:tr w:rsidR="003708ED" w:rsidRPr="004F2632" w:rsidTr="00A80FF3">
        <w:trPr>
          <w:trHeight w:val="393"/>
        </w:trPr>
        <w:tc>
          <w:tcPr>
            <w:tcW w:w="2133" w:type="dxa"/>
            <w:vMerge/>
            <w:tcBorders>
              <w:top w:val="nil"/>
              <w:left w:val="single" w:sz="8"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981"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Mam</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Serie Kemon Chabal</w:t>
            </w:r>
          </w:p>
        </w:tc>
        <w:tc>
          <w:tcPr>
            <w:tcW w:w="1869"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jc w:val="center"/>
              <w:rPr>
                <w:color w:val="000000"/>
                <w:szCs w:val="22"/>
                <w:lang w:val="es-GT" w:eastAsia="es-GT"/>
              </w:rPr>
            </w:pPr>
            <w:r w:rsidRPr="004F2632">
              <w:rPr>
                <w:color w:val="000000"/>
                <w:szCs w:val="22"/>
                <w:lang w:val="es-GT" w:eastAsia="es-GT"/>
              </w:rPr>
              <w:t>Primero a tercero</w:t>
            </w:r>
          </w:p>
        </w:tc>
        <w:tc>
          <w:tcPr>
            <w:tcW w:w="1417" w:type="dxa"/>
            <w:tcBorders>
              <w:top w:val="single" w:sz="4" w:space="0" w:color="auto"/>
              <w:left w:val="nil"/>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185,334</w:t>
            </w:r>
          </w:p>
        </w:tc>
      </w:tr>
      <w:tr w:rsidR="003708ED" w:rsidRPr="004F2632" w:rsidTr="00A80FF3">
        <w:trPr>
          <w:trHeight w:val="393"/>
        </w:trPr>
        <w:tc>
          <w:tcPr>
            <w:tcW w:w="2133" w:type="dxa"/>
            <w:vMerge/>
            <w:tcBorders>
              <w:top w:val="nil"/>
              <w:left w:val="single" w:sz="8"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981"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Kiché, kaqchikel, tzutujil y qanjobal</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917BF7" w:rsidP="003708ED">
            <w:pPr>
              <w:rPr>
                <w:color w:val="000000"/>
                <w:szCs w:val="22"/>
                <w:lang w:val="es-GT" w:eastAsia="es-GT"/>
              </w:rPr>
            </w:pPr>
            <w:r w:rsidRPr="004F2632">
              <w:rPr>
                <w:color w:val="000000"/>
                <w:szCs w:val="22"/>
                <w:lang w:val="es-GT" w:eastAsia="es-GT"/>
              </w:rPr>
              <w:t>Lectoescritura inicial</w:t>
            </w:r>
          </w:p>
        </w:tc>
        <w:tc>
          <w:tcPr>
            <w:tcW w:w="186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708ED" w:rsidRPr="004F2632" w:rsidRDefault="003708ED" w:rsidP="003708ED">
            <w:pPr>
              <w:jc w:val="center"/>
              <w:rPr>
                <w:color w:val="000000"/>
                <w:szCs w:val="22"/>
                <w:lang w:val="es-GT" w:eastAsia="es-GT"/>
              </w:rPr>
            </w:pPr>
            <w:r w:rsidRPr="004F2632">
              <w:rPr>
                <w:color w:val="000000"/>
                <w:szCs w:val="22"/>
                <w:lang w:val="es-GT" w:eastAsia="es-GT"/>
              </w:rPr>
              <w:t>Primero</w:t>
            </w:r>
          </w:p>
        </w:tc>
        <w:tc>
          <w:tcPr>
            <w:tcW w:w="141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159,162</w:t>
            </w:r>
          </w:p>
        </w:tc>
      </w:tr>
      <w:tr w:rsidR="003708ED" w:rsidRPr="004F2632" w:rsidTr="00A80FF3">
        <w:trPr>
          <w:trHeight w:val="393"/>
        </w:trPr>
        <w:tc>
          <w:tcPr>
            <w:tcW w:w="2133" w:type="dxa"/>
            <w:vMerge/>
            <w:tcBorders>
              <w:top w:val="nil"/>
              <w:left w:val="single" w:sz="8"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981"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Mam. kiché, kaqchikel y qeqchí</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Lectoescritura</w:t>
            </w:r>
          </w:p>
        </w:tc>
        <w:tc>
          <w:tcPr>
            <w:tcW w:w="1869" w:type="dxa"/>
            <w:vMerge/>
            <w:tcBorders>
              <w:top w:val="nil"/>
              <w:left w:val="single" w:sz="4"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41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154,687</w:t>
            </w:r>
          </w:p>
        </w:tc>
      </w:tr>
      <w:tr w:rsidR="003708ED" w:rsidRPr="004F2632" w:rsidTr="00A80FF3">
        <w:trPr>
          <w:trHeight w:val="393"/>
        </w:trPr>
        <w:tc>
          <w:tcPr>
            <w:tcW w:w="2133" w:type="dxa"/>
            <w:vMerge/>
            <w:tcBorders>
              <w:top w:val="nil"/>
              <w:left w:val="single" w:sz="8"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981"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Mam. kiché, kaqchikel y qeqchí</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Mis primeras lecturas</w:t>
            </w:r>
          </w:p>
        </w:tc>
        <w:tc>
          <w:tcPr>
            <w:tcW w:w="1869" w:type="dxa"/>
            <w:vMerge/>
            <w:tcBorders>
              <w:top w:val="nil"/>
              <w:left w:val="single" w:sz="4"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41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154,687</w:t>
            </w:r>
          </w:p>
        </w:tc>
      </w:tr>
      <w:tr w:rsidR="003708ED" w:rsidRPr="004F2632" w:rsidTr="00A80FF3">
        <w:trPr>
          <w:trHeight w:val="393"/>
        </w:trPr>
        <w:tc>
          <w:tcPr>
            <w:tcW w:w="2133" w:type="dxa"/>
            <w:vMerge/>
            <w:tcBorders>
              <w:top w:val="nil"/>
              <w:left w:val="single" w:sz="8"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981"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Xinca e itzá</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Comunicación y lenguaje</w:t>
            </w:r>
          </w:p>
        </w:tc>
        <w:tc>
          <w:tcPr>
            <w:tcW w:w="1869" w:type="dxa"/>
            <w:vMerge/>
            <w:tcBorders>
              <w:top w:val="nil"/>
              <w:left w:val="single" w:sz="4"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41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43,643</w:t>
            </w:r>
          </w:p>
        </w:tc>
      </w:tr>
      <w:tr w:rsidR="003708ED" w:rsidRPr="004F2632" w:rsidTr="00A80FF3">
        <w:trPr>
          <w:trHeight w:val="393"/>
        </w:trPr>
        <w:tc>
          <w:tcPr>
            <w:tcW w:w="2133" w:type="dxa"/>
            <w:vMerge/>
            <w:tcBorders>
              <w:top w:val="nil"/>
              <w:left w:val="single" w:sz="8"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981"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Achí</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Lectoescritura inicial</w:t>
            </w:r>
          </w:p>
        </w:tc>
        <w:tc>
          <w:tcPr>
            <w:tcW w:w="1869" w:type="dxa"/>
            <w:vMerge/>
            <w:tcBorders>
              <w:top w:val="nil"/>
              <w:left w:val="single" w:sz="4"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41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3,670</w:t>
            </w:r>
          </w:p>
        </w:tc>
      </w:tr>
      <w:tr w:rsidR="003708ED" w:rsidRPr="004F2632" w:rsidTr="00A80FF3">
        <w:trPr>
          <w:trHeight w:val="393"/>
        </w:trPr>
        <w:tc>
          <w:tcPr>
            <w:tcW w:w="2133" w:type="dxa"/>
            <w:vMerge/>
            <w:tcBorders>
              <w:top w:val="nil"/>
              <w:left w:val="single" w:sz="8"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9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Castellano</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Castellano como segunda lengua</w:t>
            </w:r>
          </w:p>
        </w:tc>
        <w:tc>
          <w:tcPr>
            <w:tcW w:w="1869" w:type="dxa"/>
            <w:vMerge/>
            <w:tcBorders>
              <w:top w:val="nil"/>
              <w:left w:val="single" w:sz="4" w:space="0" w:color="auto"/>
              <w:bottom w:val="single" w:sz="4"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417" w:type="dxa"/>
            <w:tcBorders>
              <w:top w:val="single" w:sz="4" w:space="0" w:color="auto"/>
              <w:left w:val="nil"/>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17,328</w:t>
            </w:r>
          </w:p>
        </w:tc>
      </w:tr>
      <w:tr w:rsidR="003708ED" w:rsidRPr="004F2632" w:rsidTr="00A80FF3">
        <w:trPr>
          <w:trHeight w:val="393"/>
        </w:trPr>
        <w:tc>
          <w:tcPr>
            <w:tcW w:w="2133" w:type="dxa"/>
            <w:tcBorders>
              <w:top w:val="nil"/>
              <w:left w:val="single" w:sz="8" w:space="0" w:color="auto"/>
              <w:bottom w:val="single" w:sz="4" w:space="0" w:color="auto"/>
              <w:right w:val="single" w:sz="4" w:space="0" w:color="auto"/>
            </w:tcBorders>
            <w:shd w:val="clear" w:color="auto" w:fill="auto"/>
            <w:vAlign w:val="center"/>
            <w:hideMark/>
          </w:tcPr>
          <w:p w:rsidR="003708ED" w:rsidRPr="004F2632" w:rsidRDefault="003708ED" w:rsidP="003708ED">
            <w:pPr>
              <w:jc w:val="center"/>
              <w:rPr>
                <w:color w:val="000000"/>
                <w:szCs w:val="22"/>
                <w:lang w:val="es-GT" w:eastAsia="es-GT"/>
              </w:rPr>
            </w:pPr>
            <w:r w:rsidRPr="004F2632">
              <w:rPr>
                <w:color w:val="000000"/>
                <w:szCs w:val="22"/>
                <w:lang w:val="es-GT" w:eastAsia="es-GT"/>
              </w:rPr>
              <w:t>Primaria de Adultos</w:t>
            </w:r>
          </w:p>
        </w:tc>
        <w:tc>
          <w:tcPr>
            <w:tcW w:w="19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Castellano</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Matemáticas</w:t>
            </w:r>
          </w:p>
        </w:tc>
        <w:tc>
          <w:tcPr>
            <w:tcW w:w="1869"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jc w:val="center"/>
              <w:rPr>
                <w:color w:val="000000"/>
                <w:szCs w:val="22"/>
                <w:lang w:val="es-GT" w:eastAsia="es-GT"/>
              </w:rPr>
            </w:pPr>
            <w:r w:rsidRPr="004F2632">
              <w:rPr>
                <w:color w:val="000000"/>
                <w:szCs w:val="22"/>
                <w:lang w:val="es-GT" w:eastAsia="es-GT"/>
              </w:rPr>
              <w:t>Primaria acelerada</w:t>
            </w:r>
          </w:p>
        </w:tc>
        <w:tc>
          <w:tcPr>
            <w:tcW w:w="1417" w:type="dxa"/>
            <w:tcBorders>
              <w:top w:val="nil"/>
              <w:left w:val="single" w:sz="4" w:space="0" w:color="auto"/>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1,039</w:t>
            </w:r>
          </w:p>
        </w:tc>
      </w:tr>
      <w:tr w:rsidR="003708ED" w:rsidRPr="004F2632" w:rsidTr="00A80FF3">
        <w:trPr>
          <w:trHeight w:val="393"/>
        </w:trPr>
        <w:tc>
          <w:tcPr>
            <w:tcW w:w="2133"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rsidR="003708ED" w:rsidRPr="004F2632" w:rsidRDefault="003708ED" w:rsidP="003708ED">
            <w:pPr>
              <w:jc w:val="center"/>
              <w:rPr>
                <w:color w:val="000000"/>
                <w:szCs w:val="22"/>
                <w:lang w:val="es-GT" w:eastAsia="es-GT"/>
              </w:rPr>
            </w:pPr>
            <w:r w:rsidRPr="004F2632">
              <w:rPr>
                <w:color w:val="000000"/>
                <w:szCs w:val="22"/>
                <w:lang w:val="es-GT" w:eastAsia="es-GT"/>
              </w:rPr>
              <w:t>Básico</w:t>
            </w:r>
          </w:p>
        </w:tc>
        <w:tc>
          <w:tcPr>
            <w:tcW w:w="1981"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Castellano</w:t>
            </w:r>
          </w:p>
        </w:tc>
        <w:tc>
          <w:tcPr>
            <w:tcW w:w="2254"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Matemáticas</w:t>
            </w:r>
          </w:p>
        </w:tc>
        <w:tc>
          <w:tcPr>
            <w:tcW w:w="1869" w:type="dxa"/>
            <w:tcBorders>
              <w:top w:val="single" w:sz="4" w:space="0" w:color="auto"/>
              <w:left w:val="nil"/>
              <w:bottom w:val="single" w:sz="4" w:space="0" w:color="auto"/>
              <w:right w:val="single" w:sz="4" w:space="0" w:color="auto"/>
            </w:tcBorders>
            <w:shd w:val="clear" w:color="auto" w:fill="auto"/>
            <w:vAlign w:val="bottom"/>
            <w:hideMark/>
          </w:tcPr>
          <w:p w:rsidR="003708ED" w:rsidRPr="004F2632" w:rsidRDefault="003708ED" w:rsidP="003708ED">
            <w:pPr>
              <w:jc w:val="center"/>
              <w:rPr>
                <w:color w:val="000000"/>
                <w:szCs w:val="22"/>
                <w:lang w:val="es-GT" w:eastAsia="es-GT"/>
              </w:rPr>
            </w:pPr>
            <w:r w:rsidRPr="004F2632">
              <w:rPr>
                <w:color w:val="000000"/>
                <w:szCs w:val="22"/>
                <w:lang w:val="es-GT" w:eastAsia="es-GT"/>
              </w:rPr>
              <w:t>Primero a tercero</w:t>
            </w:r>
          </w:p>
        </w:tc>
        <w:tc>
          <w:tcPr>
            <w:tcW w:w="1417" w:type="dxa"/>
            <w:tcBorders>
              <w:top w:val="single" w:sz="4" w:space="0" w:color="auto"/>
              <w:left w:val="nil"/>
              <w:bottom w:val="single" w:sz="4"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64,058</w:t>
            </w:r>
          </w:p>
        </w:tc>
      </w:tr>
      <w:tr w:rsidR="003708ED" w:rsidRPr="004F2632" w:rsidTr="00A80FF3">
        <w:trPr>
          <w:trHeight w:val="348"/>
        </w:trPr>
        <w:tc>
          <w:tcPr>
            <w:tcW w:w="2133" w:type="dxa"/>
            <w:vMerge/>
            <w:tcBorders>
              <w:top w:val="single" w:sz="4" w:space="0" w:color="auto"/>
              <w:left w:val="single" w:sz="8" w:space="0" w:color="auto"/>
              <w:bottom w:val="single" w:sz="8" w:space="0" w:color="000000"/>
              <w:right w:val="single" w:sz="4" w:space="0" w:color="auto"/>
            </w:tcBorders>
            <w:vAlign w:val="center"/>
            <w:hideMark/>
          </w:tcPr>
          <w:p w:rsidR="003708ED" w:rsidRPr="004F2632" w:rsidRDefault="003708ED" w:rsidP="003708ED">
            <w:pPr>
              <w:rPr>
                <w:color w:val="000000"/>
                <w:szCs w:val="22"/>
                <w:lang w:val="es-GT" w:eastAsia="es-GT"/>
              </w:rPr>
            </w:pPr>
          </w:p>
        </w:tc>
        <w:tc>
          <w:tcPr>
            <w:tcW w:w="1981" w:type="dxa"/>
            <w:tcBorders>
              <w:top w:val="single" w:sz="4" w:space="0" w:color="auto"/>
              <w:left w:val="single" w:sz="4" w:space="0" w:color="auto"/>
              <w:bottom w:val="single" w:sz="8"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Castellano</w:t>
            </w:r>
          </w:p>
        </w:tc>
        <w:tc>
          <w:tcPr>
            <w:tcW w:w="2254" w:type="dxa"/>
            <w:tcBorders>
              <w:top w:val="single" w:sz="4" w:space="0" w:color="auto"/>
              <w:left w:val="nil"/>
              <w:bottom w:val="single" w:sz="8" w:space="0" w:color="auto"/>
              <w:right w:val="single" w:sz="4" w:space="0" w:color="auto"/>
            </w:tcBorders>
            <w:shd w:val="clear" w:color="auto" w:fill="auto"/>
            <w:vAlign w:val="bottom"/>
            <w:hideMark/>
          </w:tcPr>
          <w:p w:rsidR="003708ED" w:rsidRPr="004F2632" w:rsidRDefault="003708ED" w:rsidP="003708ED">
            <w:pPr>
              <w:rPr>
                <w:color w:val="000000"/>
                <w:szCs w:val="22"/>
                <w:lang w:val="es-GT" w:eastAsia="es-GT"/>
              </w:rPr>
            </w:pPr>
            <w:r w:rsidRPr="004F2632">
              <w:rPr>
                <w:color w:val="000000"/>
                <w:szCs w:val="22"/>
                <w:lang w:val="es-GT" w:eastAsia="es-GT"/>
              </w:rPr>
              <w:t>Telesecundaria</w:t>
            </w:r>
          </w:p>
        </w:tc>
        <w:tc>
          <w:tcPr>
            <w:tcW w:w="1869" w:type="dxa"/>
            <w:tcBorders>
              <w:top w:val="single" w:sz="4" w:space="0" w:color="auto"/>
              <w:left w:val="nil"/>
              <w:bottom w:val="single" w:sz="8" w:space="0" w:color="auto"/>
              <w:right w:val="single" w:sz="4" w:space="0" w:color="auto"/>
            </w:tcBorders>
            <w:shd w:val="clear" w:color="auto" w:fill="auto"/>
            <w:vAlign w:val="bottom"/>
            <w:hideMark/>
          </w:tcPr>
          <w:p w:rsidR="003708ED" w:rsidRPr="004F2632" w:rsidRDefault="003708ED" w:rsidP="003708ED">
            <w:pPr>
              <w:jc w:val="center"/>
              <w:rPr>
                <w:color w:val="000000"/>
                <w:szCs w:val="22"/>
                <w:lang w:val="es-GT" w:eastAsia="es-GT"/>
              </w:rPr>
            </w:pPr>
            <w:r w:rsidRPr="004F2632">
              <w:rPr>
                <w:color w:val="000000"/>
                <w:szCs w:val="22"/>
                <w:lang w:val="es-GT" w:eastAsia="es-GT"/>
              </w:rPr>
              <w:t>Tercero</w:t>
            </w:r>
          </w:p>
        </w:tc>
        <w:tc>
          <w:tcPr>
            <w:tcW w:w="1417" w:type="dxa"/>
            <w:tcBorders>
              <w:top w:val="single" w:sz="4" w:space="0" w:color="auto"/>
              <w:left w:val="nil"/>
              <w:bottom w:val="single" w:sz="8" w:space="0" w:color="auto"/>
              <w:right w:val="single" w:sz="8" w:space="0" w:color="auto"/>
            </w:tcBorders>
            <w:shd w:val="clear" w:color="auto" w:fill="auto"/>
            <w:noWrap/>
            <w:vAlign w:val="bottom"/>
            <w:hideMark/>
          </w:tcPr>
          <w:p w:rsidR="003708ED" w:rsidRPr="004F2632" w:rsidRDefault="003708ED" w:rsidP="003708ED">
            <w:pPr>
              <w:jc w:val="right"/>
              <w:rPr>
                <w:color w:val="000000"/>
                <w:szCs w:val="22"/>
                <w:lang w:val="es-GT" w:eastAsia="es-GT"/>
              </w:rPr>
            </w:pPr>
            <w:r w:rsidRPr="004F2632">
              <w:rPr>
                <w:color w:val="000000"/>
                <w:szCs w:val="22"/>
                <w:lang w:val="es-GT" w:eastAsia="es-GT"/>
              </w:rPr>
              <w:t>240,000</w:t>
            </w:r>
          </w:p>
        </w:tc>
      </w:tr>
    </w:tbl>
    <w:p w:rsidR="00CC3CAE" w:rsidRPr="004E678D" w:rsidRDefault="00CC3CAE" w:rsidP="00CC3CAE">
      <w:pPr>
        <w:jc w:val="both"/>
        <w:rPr>
          <w:sz w:val="18"/>
        </w:rPr>
      </w:pPr>
      <w:r w:rsidRPr="004E678D">
        <w:rPr>
          <w:sz w:val="18"/>
        </w:rPr>
        <w:t xml:space="preserve">Fuente: </w:t>
      </w:r>
      <w:r w:rsidR="003708ED">
        <w:rPr>
          <w:sz w:val="18"/>
        </w:rPr>
        <w:t xml:space="preserve">Informe General de la República </w:t>
      </w:r>
      <w:r>
        <w:rPr>
          <w:sz w:val="18"/>
        </w:rPr>
        <w:t>20</w:t>
      </w:r>
      <w:r w:rsidR="003708ED">
        <w:rPr>
          <w:sz w:val="18"/>
        </w:rPr>
        <w:t>20</w:t>
      </w:r>
      <w:r>
        <w:rPr>
          <w:sz w:val="18"/>
        </w:rPr>
        <w:t>.</w:t>
      </w:r>
    </w:p>
    <w:p w:rsidR="00872E0D" w:rsidRDefault="00872E0D" w:rsidP="00E24F7B"/>
    <w:p w:rsidR="004F2632" w:rsidRDefault="004F2632" w:rsidP="00E24F7B"/>
    <w:p w:rsidR="004F2632" w:rsidRDefault="004F2632" w:rsidP="00E24F7B"/>
    <w:p w:rsidR="004F2632" w:rsidRDefault="004F2632" w:rsidP="00E24F7B"/>
    <w:p w:rsidR="004F2632" w:rsidRDefault="004F2632" w:rsidP="00E24F7B"/>
    <w:p w:rsidR="004F2632" w:rsidRDefault="004F2632" w:rsidP="00E24F7B"/>
    <w:p w:rsidR="004F2632" w:rsidRDefault="004F2632" w:rsidP="00E24F7B"/>
    <w:p w:rsidR="004F2632" w:rsidRDefault="004F2632" w:rsidP="00E24F7B"/>
    <w:p w:rsidR="004F2632" w:rsidRDefault="004F2632" w:rsidP="00E24F7B"/>
    <w:p w:rsidR="004F2632" w:rsidRDefault="004F2632" w:rsidP="00E24F7B"/>
    <w:p w:rsidR="004F2632" w:rsidRDefault="004F2632" w:rsidP="00E24F7B"/>
    <w:p w:rsidR="004F2632" w:rsidRDefault="004F2632" w:rsidP="00E24F7B"/>
    <w:p w:rsidR="004F2632" w:rsidRDefault="004F2632" w:rsidP="00E24F7B"/>
    <w:p w:rsidR="00CC3CAE" w:rsidRPr="00124AD6" w:rsidRDefault="00CC3CAE" w:rsidP="00CC3CAE">
      <w:pPr>
        <w:jc w:val="center"/>
        <w:rPr>
          <w:b/>
        </w:rPr>
      </w:pPr>
      <w:r w:rsidRPr="00124AD6">
        <w:rPr>
          <w:b/>
        </w:rPr>
        <w:t xml:space="preserve">Cuadro </w:t>
      </w:r>
      <w:r w:rsidR="005F75BB">
        <w:rPr>
          <w:b/>
        </w:rPr>
        <w:t>1</w:t>
      </w:r>
      <w:r w:rsidR="00A861C2">
        <w:rPr>
          <w:b/>
        </w:rPr>
        <w:t>3</w:t>
      </w:r>
    </w:p>
    <w:p w:rsidR="00600BF6" w:rsidRDefault="00917BF7" w:rsidP="00CC3CAE">
      <w:pPr>
        <w:jc w:val="center"/>
        <w:rPr>
          <w:b/>
        </w:rPr>
      </w:pPr>
      <w:r>
        <w:rPr>
          <w:b/>
        </w:rPr>
        <w:t>Ampliación de Red Física de Hospitales Temporales</w:t>
      </w:r>
    </w:p>
    <w:p w:rsidR="00600BF6" w:rsidRDefault="00CC3CAE" w:rsidP="00CC3CAE">
      <w:pPr>
        <w:jc w:val="center"/>
        <w:rPr>
          <w:b/>
        </w:rPr>
      </w:pPr>
      <w:r>
        <w:rPr>
          <w:b/>
        </w:rPr>
        <w:t>Ejercicio Fiscal 20</w:t>
      </w:r>
      <w:r w:rsidR="00917BF7">
        <w:rPr>
          <w:b/>
        </w:rPr>
        <w:t>20</w:t>
      </w:r>
    </w:p>
    <w:tbl>
      <w:tblPr>
        <w:tblW w:w="9513" w:type="dxa"/>
        <w:tblInd w:w="55" w:type="dxa"/>
        <w:tblCellMar>
          <w:left w:w="70" w:type="dxa"/>
          <w:right w:w="70" w:type="dxa"/>
        </w:tblCellMar>
        <w:tblLook w:val="04A0" w:firstRow="1" w:lastRow="0" w:firstColumn="1" w:lastColumn="0" w:noHBand="0" w:noVBand="1"/>
      </w:tblPr>
      <w:tblGrid>
        <w:gridCol w:w="3701"/>
        <w:gridCol w:w="1417"/>
        <w:gridCol w:w="1418"/>
        <w:gridCol w:w="1559"/>
        <w:gridCol w:w="1418"/>
      </w:tblGrid>
      <w:tr w:rsidR="00917BF7" w:rsidRPr="00C354A0" w:rsidTr="00A80FF3">
        <w:trPr>
          <w:trHeight w:val="837"/>
        </w:trPr>
        <w:tc>
          <w:tcPr>
            <w:tcW w:w="3701"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917BF7" w:rsidRPr="00C354A0" w:rsidRDefault="00917BF7" w:rsidP="00917BF7">
            <w:pPr>
              <w:jc w:val="center"/>
              <w:rPr>
                <w:b/>
                <w:bCs/>
                <w:color w:val="000000"/>
                <w:sz w:val="22"/>
                <w:szCs w:val="22"/>
                <w:lang w:val="es-GT" w:eastAsia="es-GT"/>
              </w:rPr>
            </w:pPr>
            <w:r w:rsidRPr="00C354A0">
              <w:rPr>
                <w:b/>
                <w:bCs/>
                <w:color w:val="000000"/>
                <w:sz w:val="22"/>
                <w:szCs w:val="22"/>
                <w:lang w:val="es-GT" w:eastAsia="es-GT"/>
              </w:rPr>
              <w:t>Hospital</w:t>
            </w:r>
          </w:p>
        </w:tc>
        <w:tc>
          <w:tcPr>
            <w:tcW w:w="1417" w:type="dxa"/>
            <w:tcBorders>
              <w:top w:val="single" w:sz="4" w:space="0" w:color="auto"/>
              <w:left w:val="nil"/>
              <w:bottom w:val="single" w:sz="8" w:space="0" w:color="auto"/>
              <w:right w:val="single" w:sz="4" w:space="0" w:color="auto"/>
            </w:tcBorders>
            <w:shd w:val="clear" w:color="000000" w:fill="8DB4E2"/>
            <w:vAlign w:val="center"/>
            <w:hideMark/>
          </w:tcPr>
          <w:p w:rsidR="00917BF7" w:rsidRPr="00C354A0" w:rsidRDefault="00917BF7" w:rsidP="00917BF7">
            <w:pPr>
              <w:jc w:val="center"/>
              <w:rPr>
                <w:b/>
                <w:bCs/>
                <w:color w:val="000000"/>
                <w:sz w:val="22"/>
                <w:szCs w:val="22"/>
                <w:lang w:val="es-GT" w:eastAsia="es-GT"/>
              </w:rPr>
            </w:pPr>
            <w:r w:rsidRPr="00C354A0">
              <w:rPr>
                <w:b/>
                <w:bCs/>
                <w:color w:val="000000"/>
                <w:sz w:val="22"/>
                <w:szCs w:val="22"/>
                <w:lang w:val="es-GT" w:eastAsia="es-GT"/>
              </w:rPr>
              <w:t>Habilitación de Camas</w:t>
            </w:r>
          </w:p>
        </w:tc>
        <w:tc>
          <w:tcPr>
            <w:tcW w:w="1418" w:type="dxa"/>
            <w:tcBorders>
              <w:top w:val="single" w:sz="4" w:space="0" w:color="auto"/>
              <w:left w:val="single" w:sz="4" w:space="0" w:color="auto"/>
              <w:bottom w:val="single" w:sz="8" w:space="0" w:color="auto"/>
              <w:right w:val="single" w:sz="4" w:space="0" w:color="auto"/>
            </w:tcBorders>
            <w:shd w:val="clear" w:color="000000" w:fill="8DB4E2"/>
            <w:noWrap/>
            <w:vAlign w:val="center"/>
            <w:hideMark/>
          </w:tcPr>
          <w:p w:rsidR="00917BF7" w:rsidRPr="00C354A0" w:rsidRDefault="00917BF7" w:rsidP="00917BF7">
            <w:pPr>
              <w:jc w:val="center"/>
              <w:rPr>
                <w:b/>
                <w:bCs/>
                <w:color w:val="000000"/>
                <w:sz w:val="22"/>
                <w:szCs w:val="22"/>
                <w:lang w:val="es-GT" w:eastAsia="es-GT"/>
              </w:rPr>
            </w:pPr>
            <w:r w:rsidRPr="00C354A0">
              <w:rPr>
                <w:b/>
                <w:bCs/>
                <w:color w:val="000000"/>
                <w:sz w:val="22"/>
                <w:szCs w:val="22"/>
                <w:lang w:val="es-GT" w:eastAsia="es-GT"/>
              </w:rPr>
              <w:t>Intensivos</w:t>
            </w:r>
          </w:p>
        </w:tc>
        <w:tc>
          <w:tcPr>
            <w:tcW w:w="1559" w:type="dxa"/>
            <w:tcBorders>
              <w:top w:val="single" w:sz="4" w:space="0" w:color="auto"/>
              <w:left w:val="single" w:sz="4" w:space="0" w:color="auto"/>
              <w:bottom w:val="single" w:sz="8" w:space="0" w:color="auto"/>
              <w:right w:val="nil"/>
            </w:tcBorders>
            <w:shd w:val="clear" w:color="000000" w:fill="8DB4E2"/>
            <w:vAlign w:val="center"/>
            <w:hideMark/>
          </w:tcPr>
          <w:p w:rsidR="00917BF7" w:rsidRPr="00C354A0" w:rsidRDefault="00917BF7" w:rsidP="00917BF7">
            <w:pPr>
              <w:jc w:val="center"/>
              <w:rPr>
                <w:b/>
                <w:bCs/>
                <w:color w:val="000000"/>
                <w:sz w:val="22"/>
                <w:szCs w:val="22"/>
                <w:lang w:val="es-GT" w:eastAsia="es-GT"/>
              </w:rPr>
            </w:pPr>
            <w:r w:rsidRPr="00C354A0">
              <w:rPr>
                <w:b/>
                <w:bCs/>
                <w:color w:val="000000"/>
                <w:sz w:val="22"/>
                <w:szCs w:val="22"/>
                <w:lang w:val="es-GT" w:eastAsia="es-GT"/>
              </w:rPr>
              <w:t>Ventiladores Mecánicos</w:t>
            </w:r>
          </w:p>
        </w:tc>
        <w:tc>
          <w:tcPr>
            <w:tcW w:w="1418" w:type="dxa"/>
            <w:tcBorders>
              <w:top w:val="single" w:sz="8" w:space="0" w:color="auto"/>
              <w:left w:val="single" w:sz="4" w:space="0" w:color="auto"/>
              <w:bottom w:val="single" w:sz="8" w:space="0" w:color="auto"/>
              <w:right w:val="single" w:sz="8" w:space="0" w:color="auto"/>
            </w:tcBorders>
            <w:shd w:val="clear" w:color="000000" w:fill="8DB4E2"/>
            <w:vAlign w:val="center"/>
            <w:hideMark/>
          </w:tcPr>
          <w:p w:rsidR="00917BF7" w:rsidRPr="00C354A0" w:rsidRDefault="00917BF7" w:rsidP="00917BF7">
            <w:pPr>
              <w:jc w:val="center"/>
              <w:rPr>
                <w:b/>
                <w:bCs/>
                <w:color w:val="000000"/>
                <w:sz w:val="22"/>
                <w:szCs w:val="22"/>
                <w:lang w:val="es-GT" w:eastAsia="es-GT"/>
              </w:rPr>
            </w:pPr>
            <w:r w:rsidRPr="00C354A0">
              <w:rPr>
                <w:b/>
                <w:bCs/>
                <w:color w:val="000000"/>
                <w:sz w:val="22"/>
                <w:szCs w:val="22"/>
                <w:lang w:val="es-GT" w:eastAsia="es-GT"/>
              </w:rPr>
              <w:t>Pacientes Atendidos</w:t>
            </w:r>
          </w:p>
        </w:tc>
      </w:tr>
      <w:tr w:rsidR="00917BF7" w:rsidRPr="00C354A0" w:rsidTr="00A80FF3">
        <w:trPr>
          <w:trHeight w:val="538"/>
        </w:trPr>
        <w:tc>
          <w:tcPr>
            <w:tcW w:w="3701" w:type="dxa"/>
            <w:tcBorders>
              <w:top w:val="nil"/>
              <w:left w:val="single" w:sz="8" w:space="0" w:color="auto"/>
              <w:bottom w:val="nil"/>
              <w:right w:val="single" w:sz="4" w:space="0" w:color="auto"/>
            </w:tcBorders>
            <w:shd w:val="clear" w:color="auto" w:fill="auto"/>
            <w:vAlign w:val="center"/>
            <w:hideMark/>
          </w:tcPr>
          <w:p w:rsidR="00917BF7" w:rsidRPr="00C354A0" w:rsidRDefault="00917BF7" w:rsidP="00A80FF3">
            <w:pPr>
              <w:jc w:val="center"/>
              <w:rPr>
                <w:b/>
                <w:bCs/>
                <w:color w:val="000000"/>
                <w:sz w:val="22"/>
                <w:szCs w:val="22"/>
                <w:lang w:val="es-GT" w:eastAsia="es-GT"/>
              </w:rPr>
            </w:pPr>
            <w:r w:rsidRPr="00C354A0">
              <w:rPr>
                <w:b/>
                <w:bCs/>
                <w:color w:val="000000"/>
                <w:sz w:val="22"/>
                <w:szCs w:val="22"/>
                <w:lang w:val="es-GT" w:eastAsia="es-GT"/>
              </w:rPr>
              <w:t>Totales</w:t>
            </w:r>
          </w:p>
        </w:tc>
        <w:tc>
          <w:tcPr>
            <w:tcW w:w="1417" w:type="dxa"/>
            <w:tcBorders>
              <w:top w:val="nil"/>
              <w:left w:val="nil"/>
              <w:bottom w:val="nil"/>
              <w:right w:val="single" w:sz="4" w:space="0" w:color="auto"/>
            </w:tcBorders>
            <w:shd w:val="clear" w:color="auto" w:fill="auto"/>
            <w:vAlign w:val="center"/>
            <w:hideMark/>
          </w:tcPr>
          <w:p w:rsidR="00917BF7" w:rsidRPr="00C354A0" w:rsidRDefault="00917BF7" w:rsidP="00A80FF3">
            <w:pPr>
              <w:jc w:val="center"/>
              <w:rPr>
                <w:b/>
                <w:bCs/>
                <w:color w:val="000000"/>
                <w:sz w:val="22"/>
                <w:szCs w:val="22"/>
                <w:lang w:val="es-GT" w:eastAsia="es-GT"/>
              </w:rPr>
            </w:pPr>
            <w:r w:rsidRPr="00C354A0">
              <w:rPr>
                <w:b/>
                <w:bCs/>
                <w:color w:val="000000"/>
                <w:sz w:val="22"/>
                <w:szCs w:val="22"/>
                <w:lang w:val="es-GT" w:eastAsia="es-GT"/>
              </w:rPr>
              <w:t>991</w:t>
            </w:r>
          </w:p>
        </w:tc>
        <w:tc>
          <w:tcPr>
            <w:tcW w:w="1418" w:type="dxa"/>
            <w:tcBorders>
              <w:top w:val="nil"/>
              <w:left w:val="single" w:sz="4" w:space="0" w:color="auto"/>
              <w:bottom w:val="nil"/>
              <w:right w:val="single" w:sz="4" w:space="0" w:color="auto"/>
            </w:tcBorders>
            <w:shd w:val="clear" w:color="auto" w:fill="auto"/>
            <w:vAlign w:val="center"/>
            <w:hideMark/>
          </w:tcPr>
          <w:p w:rsidR="00917BF7" w:rsidRPr="00C354A0" w:rsidRDefault="00917BF7" w:rsidP="00A80FF3">
            <w:pPr>
              <w:jc w:val="center"/>
              <w:rPr>
                <w:b/>
                <w:bCs/>
                <w:color w:val="000000"/>
                <w:sz w:val="22"/>
                <w:szCs w:val="22"/>
                <w:lang w:val="es-GT" w:eastAsia="es-GT"/>
              </w:rPr>
            </w:pPr>
            <w:r w:rsidRPr="00C354A0">
              <w:rPr>
                <w:b/>
                <w:bCs/>
                <w:color w:val="000000"/>
                <w:sz w:val="22"/>
                <w:szCs w:val="22"/>
                <w:lang w:val="es-GT" w:eastAsia="es-GT"/>
              </w:rPr>
              <w:t>135</w:t>
            </w:r>
          </w:p>
        </w:tc>
        <w:tc>
          <w:tcPr>
            <w:tcW w:w="1559" w:type="dxa"/>
            <w:tcBorders>
              <w:top w:val="nil"/>
              <w:left w:val="single" w:sz="4" w:space="0" w:color="auto"/>
              <w:bottom w:val="nil"/>
              <w:right w:val="nil"/>
            </w:tcBorders>
            <w:shd w:val="clear" w:color="auto" w:fill="auto"/>
            <w:vAlign w:val="center"/>
            <w:hideMark/>
          </w:tcPr>
          <w:p w:rsidR="00917BF7" w:rsidRPr="00C354A0" w:rsidRDefault="00917BF7" w:rsidP="00A80FF3">
            <w:pPr>
              <w:jc w:val="center"/>
              <w:rPr>
                <w:b/>
                <w:bCs/>
                <w:color w:val="000000"/>
                <w:sz w:val="22"/>
                <w:szCs w:val="22"/>
                <w:lang w:val="es-GT" w:eastAsia="es-GT"/>
              </w:rPr>
            </w:pPr>
            <w:r w:rsidRPr="00C354A0">
              <w:rPr>
                <w:b/>
                <w:bCs/>
                <w:color w:val="000000"/>
                <w:sz w:val="22"/>
                <w:szCs w:val="22"/>
                <w:lang w:val="es-GT" w:eastAsia="es-GT"/>
              </w:rPr>
              <w:t>131</w:t>
            </w:r>
          </w:p>
        </w:tc>
        <w:tc>
          <w:tcPr>
            <w:tcW w:w="1418" w:type="dxa"/>
            <w:tcBorders>
              <w:top w:val="nil"/>
              <w:left w:val="single" w:sz="4" w:space="0" w:color="auto"/>
              <w:bottom w:val="nil"/>
              <w:right w:val="single" w:sz="8" w:space="0" w:color="auto"/>
            </w:tcBorders>
            <w:shd w:val="clear" w:color="auto" w:fill="auto"/>
            <w:noWrap/>
            <w:vAlign w:val="center"/>
            <w:hideMark/>
          </w:tcPr>
          <w:p w:rsidR="00917BF7" w:rsidRPr="00C354A0" w:rsidRDefault="00917BF7" w:rsidP="00A80FF3">
            <w:pPr>
              <w:jc w:val="center"/>
              <w:rPr>
                <w:b/>
                <w:bCs/>
                <w:color w:val="000000"/>
                <w:sz w:val="22"/>
                <w:szCs w:val="22"/>
                <w:lang w:val="es-GT" w:eastAsia="es-GT"/>
              </w:rPr>
            </w:pPr>
            <w:r w:rsidRPr="00C354A0">
              <w:rPr>
                <w:b/>
                <w:bCs/>
                <w:color w:val="000000"/>
                <w:sz w:val="22"/>
                <w:szCs w:val="22"/>
                <w:lang w:val="es-GT" w:eastAsia="es-GT"/>
              </w:rPr>
              <w:t>8,490</w:t>
            </w:r>
          </w:p>
        </w:tc>
      </w:tr>
      <w:tr w:rsidR="00917BF7" w:rsidRPr="00C354A0" w:rsidTr="00FC7ED9">
        <w:trPr>
          <w:trHeight w:val="421"/>
        </w:trPr>
        <w:tc>
          <w:tcPr>
            <w:tcW w:w="3701" w:type="dxa"/>
            <w:tcBorders>
              <w:top w:val="nil"/>
              <w:left w:val="single" w:sz="8" w:space="0" w:color="auto"/>
              <w:bottom w:val="nil"/>
              <w:right w:val="single" w:sz="4" w:space="0" w:color="auto"/>
            </w:tcBorders>
            <w:shd w:val="clear" w:color="auto" w:fill="auto"/>
            <w:vAlign w:val="bottom"/>
            <w:hideMark/>
          </w:tcPr>
          <w:p w:rsidR="00917BF7" w:rsidRPr="00C354A0" w:rsidRDefault="00917BF7" w:rsidP="00917BF7">
            <w:pPr>
              <w:rPr>
                <w:color w:val="000000"/>
                <w:sz w:val="22"/>
                <w:szCs w:val="22"/>
                <w:lang w:val="es-GT" w:eastAsia="es-GT"/>
              </w:rPr>
            </w:pPr>
            <w:r w:rsidRPr="00C354A0">
              <w:rPr>
                <w:color w:val="000000"/>
                <w:sz w:val="22"/>
                <w:szCs w:val="22"/>
                <w:lang w:val="es-GT" w:eastAsia="es-GT"/>
              </w:rPr>
              <w:t>Hospital Temporal Parque de La Industria, Guatemala</w:t>
            </w:r>
          </w:p>
        </w:tc>
        <w:tc>
          <w:tcPr>
            <w:tcW w:w="1417" w:type="dxa"/>
            <w:tcBorders>
              <w:top w:val="nil"/>
              <w:left w:val="nil"/>
              <w:bottom w:val="nil"/>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270</w:t>
            </w:r>
          </w:p>
        </w:tc>
        <w:tc>
          <w:tcPr>
            <w:tcW w:w="1418" w:type="dxa"/>
            <w:tcBorders>
              <w:top w:val="nil"/>
              <w:left w:val="single" w:sz="4" w:space="0" w:color="auto"/>
              <w:bottom w:val="nil"/>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50</w:t>
            </w:r>
          </w:p>
        </w:tc>
        <w:tc>
          <w:tcPr>
            <w:tcW w:w="1559" w:type="dxa"/>
            <w:tcBorders>
              <w:top w:val="nil"/>
              <w:left w:val="single" w:sz="4" w:space="0" w:color="auto"/>
              <w:bottom w:val="nil"/>
              <w:right w:val="nil"/>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35</w:t>
            </w:r>
          </w:p>
        </w:tc>
        <w:tc>
          <w:tcPr>
            <w:tcW w:w="1418" w:type="dxa"/>
            <w:tcBorders>
              <w:top w:val="nil"/>
              <w:left w:val="single" w:sz="4" w:space="0" w:color="auto"/>
              <w:bottom w:val="nil"/>
              <w:right w:val="single" w:sz="8" w:space="0" w:color="auto"/>
            </w:tcBorders>
            <w:shd w:val="clear" w:color="auto" w:fill="auto"/>
            <w:noWrap/>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5,800</w:t>
            </w:r>
          </w:p>
        </w:tc>
      </w:tr>
      <w:tr w:rsidR="00917BF7" w:rsidRPr="00C354A0" w:rsidTr="00FC7ED9">
        <w:trPr>
          <w:trHeight w:val="421"/>
        </w:trPr>
        <w:tc>
          <w:tcPr>
            <w:tcW w:w="3701" w:type="dxa"/>
            <w:tcBorders>
              <w:top w:val="nil"/>
              <w:left w:val="single" w:sz="8" w:space="0" w:color="auto"/>
              <w:bottom w:val="nil"/>
              <w:right w:val="single" w:sz="4" w:space="0" w:color="auto"/>
            </w:tcBorders>
            <w:shd w:val="clear" w:color="auto" w:fill="auto"/>
            <w:vAlign w:val="bottom"/>
            <w:hideMark/>
          </w:tcPr>
          <w:p w:rsidR="00917BF7" w:rsidRPr="00C354A0" w:rsidRDefault="00917BF7" w:rsidP="00917BF7">
            <w:pPr>
              <w:rPr>
                <w:color w:val="000000"/>
                <w:sz w:val="22"/>
                <w:szCs w:val="22"/>
                <w:lang w:val="es-GT" w:eastAsia="es-GT"/>
              </w:rPr>
            </w:pPr>
            <w:r w:rsidRPr="00C354A0">
              <w:rPr>
                <w:color w:val="000000"/>
                <w:sz w:val="22"/>
                <w:szCs w:val="22"/>
                <w:lang w:val="es-GT" w:eastAsia="es-GT"/>
              </w:rPr>
              <w:t>Hospital de Villa Nueva, Guatemala</w:t>
            </w:r>
          </w:p>
        </w:tc>
        <w:tc>
          <w:tcPr>
            <w:tcW w:w="1417" w:type="dxa"/>
            <w:tcBorders>
              <w:top w:val="nil"/>
              <w:left w:val="nil"/>
              <w:bottom w:val="nil"/>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113</w:t>
            </w:r>
          </w:p>
        </w:tc>
        <w:tc>
          <w:tcPr>
            <w:tcW w:w="1418" w:type="dxa"/>
            <w:tcBorders>
              <w:top w:val="nil"/>
              <w:left w:val="single" w:sz="4" w:space="0" w:color="auto"/>
              <w:bottom w:val="nil"/>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17</w:t>
            </w:r>
          </w:p>
        </w:tc>
        <w:tc>
          <w:tcPr>
            <w:tcW w:w="1559" w:type="dxa"/>
            <w:tcBorders>
              <w:top w:val="nil"/>
              <w:left w:val="single" w:sz="4" w:space="0" w:color="auto"/>
              <w:bottom w:val="nil"/>
              <w:right w:val="nil"/>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15</w:t>
            </w:r>
          </w:p>
        </w:tc>
        <w:tc>
          <w:tcPr>
            <w:tcW w:w="1418" w:type="dxa"/>
            <w:tcBorders>
              <w:top w:val="nil"/>
              <w:left w:val="single" w:sz="4" w:space="0" w:color="auto"/>
              <w:bottom w:val="nil"/>
              <w:right w:val="single" w:sz="8" w:space="0" w:color="auto"/>
            </w:tcBorders>
            <w:shd w:val="clear" w:color="auto" w:fill="auto"/>
            <w:noWrap/>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666</w:t>
            </w:r>
          </w:p>
        </w:tc>
      </w:tr>
      <w:tr w:rsidR="00917BF7" w:rsidRPr="00C354A0" w:rsidTr="00FC7ED9">
        <w:trPr>
          <w:trHeight w:val="421"/>
        </w:trPr>
        <w:tc>
          <w:tcPr>
            <w:tcW w:w="3701" w:type="dxa"/>
            <w:tcBorders>
              <w:top w:val="nil"/>
              <w:left w:val="single" w:sz="8" w:space="0" w:color="auto"/>
              <w:bottom w:val="nil"/>
              <w:right w:val="single" w:sz="4" w:space="0" w:color="auto"/>
            </w:tcBorders>
            <w:shd w:val="clear" w:color="auto" w:fill="auto"/>
            <w:vAlign w:val="center"/>
            <w:hideMark/>
          </w:tcPr>
          <w:p w:rsidR="00917BF7" w:rsidRPr="00C354A0" w:rsidRDefault="00917BF7" w:rsidP="00917BF7">
            <w:pPr>
              <w:rPr>
                <w:color w:val="000000"/>
                <w:sz w:val="22"/>
                <w:szCs w:val="22"/>
                <w:lang w:val="es-GT" w:eastAsia="es-GT"/>
              </w:rPr>
            </w:pPr>
            <w:r w:rsidRPr="00C354A0">
              <w:rPr>
                <w:color w:val="000000"/>
                <w:sz w:val="22"/>
                <w:szCs w:val="22"/>
                <w:lang w:val="es-GT" w:eastAsia="es-GT"/>
              </w:rPr>
              <w:t>Hospital Covid-19, Quetzaltenango</w:t>
            </w:r>
          </w:p>
        </w:tc>
        <w:tc>
          <w:tcPr>
            <w:tcW w:w="1417" w:type="dxa"/>
            <w:tcBorders>
              <w:top w:val="nil"/>
              <w:left w:val="nil"/>
              <w:bottom w:val="nil"/>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146</w:t>
            </w:r>
          </w:p>
        </w:tc>
        <w:tc>
          <w:tcPr>
            <w:tcW w:w="1418" w:type="dxa"/>
            <w:tcBorders>
              <w:top w:val="nil"/>
              <w:left w:val="single" w:sz="4" w:space="0" w:color="auto"/>
              <w:bottom w:val="nil"/>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10</w:t>
            </w:r>
          </w:p>
        </w:tc>
        <w:tc>
          <w:tcPr>
            <w:tcW w:w="1559" w:type="dxa"/>
            <w:tcBorders>
              <w:top w:val="nil"/>
              <w:left w:val="single" w:sz="4" w:space="0" w:color="auto"/>
              <w:bottom w:val="nil"/>
              <w:right w:val="nil"/>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28</w:t>
            </w:r>
          </w:p>
        </w:tc>
        <w:tc>
          <w:tcPr>
            <w:tcW w:w="1418" w:type="dxa"/>
            <w:tcBorders>
              <w:top w:val="nil"/>
              <w:left w:val="single" w:sz="4" w:space="0" w:color="auto"/>
              <w:bottom w:val="nil"/>
              <w:right w:val="single" w:sz="8" w:space="0" w:color="auto"/>
            </w:tcBorders>
            <w:shd w:val="clear" w:color="auto" w:fill="auto"/>
            <w:noWrap/>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1,195</w:t>
            </w:r>
          </w:p>
        </w:tc>
      </w:tr>
      <w:tr w:rsidR="00917BF7" w:rsidRPr="00C354A0" w:rsidTr="00FC7ED9">
        <w:trPr>
          <w:trHeight w:val="421"/>
        </w:trPr>
        <w:tc>
          <w:tcPr>
            <w:tcW w:w="3701" w:type="dxa"/>
            <w:tcBorders>
              <w:top w:val="nil"/>
              <w:left w:val="single" w:sz="8" w:space="0" w:color="auto"/>
              <w:bottom w:val="nil"/>
              <w:right w:val="single" w:sz="4" w:space="0" w:color="auto"/>
            </w:tcBorders>
            <w:shd w:val="clear" w:color="auto" w:fill="auto"/>
            <w:vAlign w:val="center"/>
            <w:hideMark/>
          </w:tcPr>
          <w:p w:rsidR="00917BF7" w:rsidRPr="00C354A0" w:rsidRDefault="00917BF7" w:rsidP="00917BF7">
            <w:pPr>
              <w:rPr>
                <w:color w:val="000000"/>
                <w:sz w:val="22"/>
                <w:szCs w:val="22"/>
                <w:lang w:val="es-GT" w:eastAsia="es-GT"/>
              </w:rPr>
            </w:pPr>
            <w:r w:rsidRPr="00C354A0">
              <w:rPr>
                <w:color w:val="000000"/>
                <w:sz w:val="22"/>
                <w:szCs w:val="22"/>
                <w:lang w:val="es-GT" w:eastAsia="es-GT"/>
              </w:rPr>
              <w:t>Hospital Temporal de Estanzuela, Zacapa</w:t>
            </w:r>
          </w:p>
        </w:tc>
        <w:tc>
          <w:tcPr>
            <w:tcW w:w="1417" w:type="dxa"/>
            <w:tcBorders>
              <w:top w:val="nil"/>
              <w:left w:val="nil"/>
              <w:bottom w:val="nil"/>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128</w:t>
            </w:r>
          </w:p>
        </w:tc>
        <w:tc>
          <w:tcPr>
            <w:tcW w:w="1418" w:type="dxa"/>
            <w:tcBorders>
              <w:top w:val="nil"/>
              <w:left w:val="single" w:sz="4" w:space="0" w:color="auto"/>
              <w:bottom w:val="nil"/>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12</w:t>
            </w:r>
          </w:p>
        </w:tc>
        <w:tc>
          <w:tcPr>
            <w:tcW w:w="1559" w:type="dxa"/>
            <w:tcBorders>
              <w:top w:val="nil"/>
              <w:left w:val="single" w:sz="4" w:space="0" w:color="auto"/>
              <w:bottom w:val="nil"/>
              <w:right w:val="nil"/>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13</w:t>
            </w:r>
          </w:p>
        </w:tc>
        <w:tc>
          <w:tcPr>
            <w:tcW w:w="1418" w:type="dxa"/>
            <w:tcBorders>
              <w:top w:val="nil"/>
              <w:left w:val="single" w:sz="4" w:space="0" w:color="auto"/>
              <w:bottom w:val="nil"/>
              <w:right w:val="single" w:sz="8" w:space="0" w:color="auto"/>
            </w:tcBorders>
            <w:shd w:val="clear" w:color="auto" w:fill="auto"/>
            <w:noWrap/>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338</w:t>
            </w:r>
          </w:p>
        </w:tc>
      </w:tr>
      <w:tr w:rsidR="00917BF7" w:rsidRPr="00C354A0" w:rsidTr="00FC7ED9">
        <w:trPr>
          <w:trHeight w:val="421"/>
        </w:trPr>
        <w:tc>
          <w:tcPr>
            <w:tcW w:w="3701" w:type="dxa"/>
            <w:tcBorders>
              <w:top w:val="nil"/>
              <w:left w:val="single" w:sz="8" w:space="0" w:color="auto"/>
              <w:bottom w:val="nil"/>
              <w:right w:val="single" w:sz="4" w:space="0" w:color="auto"/>
            </w:tcBorders>
            <w:shd w:val="clear" w:color="auto" w:fill="auto"/>
            <w:vAlign w:val="center"/>
            <w:hideMark/>
          </w:tcPr>
          <w:p w:rsidR="00917BF7" w:rsidRPr="00C354A0" w:rsidRDefault="00917BF7" w:rsidP="00917BF7">
            <w:pPr>
              <w:rPr>
                <w:color w:val="000000"/>
                <w:sz w:val="22"/>
                <w:szCs w:val="22"/>
                <w:lang w:val="es-GT" w:eastAsia="es-GT"/>
              </w:rPr>
            </w:pPr>
            <w:r w:rsidRPr="00C354A0">
              <w:rPr>
                <w:color w:val="000000"/>
                <w:sz w:val="22"/>
                <w:szCs w:val="22"/>
                <w:lang w:val="es-GT" w:eastAsia="es-GT"/>
              </w:rPr>
              <w:t>Hospital de Santa Lucía Cotzumalguapa, Escuintla</w:t>
            </w:r>
          </w:p>
        </w:tc>
        <w:tc>
          <w:tcPr>
            <w:tcW w:w="1417" w:type="dxa"/>
            <w:tcBorders>
              <w:top w:val="nil"/>
              <w:left w:val="nil"/>
              <w:bottom w:val="nil"/>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184</w:t>
            </w:r>
          </w:p>
        </w:tc>
        <w:tc>
          <w:tcPr>
            <w:tcW w:w="1418" w:type="dxa"/>
            <w:tcBorders>
              <w:top w:val="nil"/>
              <w:left w:val="single" w:sz="4" w:space="0" w:color="auto"/>
              <w:bottom w:val="nil"/>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32</w:t>
            </w:r>
          </w:p>
        </w:tc>
        <w:tc>
          <w:tcPr>
            <w:tcW w:w="1559" w:type="dxa"/>
            <w:tcBorders>
              <w:top w:val="nil"/>
              <w:left w:val="single" w:sz="4" w:space="0" w:color="auto"/>
              <w:bottom w:val="nil"/>
              <w:right w:val="nil"/>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25</w:t>
            </w:r>
          </w:p>
        </w:tc>
        <w:tc>
          <w:tcPr>
            <w:tcW w:w="1418" w:type="dxa"/>
            <w:tcBorders>
              <w:top w:val="nil"/>
              <w:left w:val="single" w:sz="4" w:space="0" w:color="auto"/>
              <w:bottom w:val="nil"/>
              <w:right w:val="single" w:sz="8" w:space="0" w:color="auto"/>
            </w:tcBorders>
            <w:shd w:val="clear" w:color="auto" w:fill="auto"/>
            <w:noWrap/>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224</w:t>
            </w:r>
          </w:p>
        </w:tc>
      </w:tr>
      <w:tr w:rsidR="00917BF7" w:rsidRPr="00C354A0" w:rsidTr="00FC7ED9">
        <w:trPr>
          <w:trHeight w:val="421"/>
        </w:trPr>
        <w:tc>
          <w:tcPr>
            <w:tcW w:w="3701" w:type="dxa"/>
            <w:tcBorders>
              <w:top w:val="nil"/>
              <w:left w:val="single" w:sz="8" w:space="0" w:color="auto"/>
              <w:bottom w:val="single" w:sz="8" w:space="0" w:color="auto"/>
              <w:right w:val="single" w:sz="4" w:space="0" w:color="auto"/>
            </w:tcBorders>
            <w:shd w:val="clear" w:color="auto" w:fill="auto"/>
            <w:vAlign w:val="center"/>
            <w:hideMark/>
          </w:tcPr>
          <w:p w:rsidR="00917BF7" w:rsidRPr="00C354A0" w:rsidRDefault="00917BF7" w:rsidP="00917BF7">
            <w:pPr>
              <w:rPr>
                <w:color w:val="000000"/>
                <w:sz w:val="22"/>
                <w:szCs w:val="22"/>
                <w:lang w:val="es-GT" w:eastAsia="es-GT"/>
              </w:rPr>
            </w:pPr>
            <w:r w:rsidRPr="00C354A0">
              <w:rPr>
                <w:color w:val="000000"/>
                <w:sz w:val="22"/>
                <w:szCs w:val="22"/>
                <w:lang w:val="es-GT" w:eastAsia="es-GT"/>
              </w:rPr>
              <w:t>Hospital Covid-19, Petén</w:t>
            </w:r>
          </w:p>
        </w:tc>
        <w:tc>
          <w:tcPr>
            <w:tcW w:w="1417" w:type="dxa"/>
            <w:tcBorders>
              <w:top w:val="nil"/>
              <w:left w:val="nil"/>
              <w:bottom w:val="single" w:sz="8" w:space="0" w:color="auto"/>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150</w:t>
            </w:r>
          </w:p>
        </w:tc>
        <w:tc>
          <w:tcPr>
            <w:tcW w:w="1418" w:type="dxa"/>
            <w:tcBorders>
              <w:top w:val="nil"/>
              <w:left w:val="single" w:sz="4" w:space="0" w:color="auto"/>
              <w:bottom w:val="single" w:sz="8" w:space="0" w:color="auto"/>
              <w:right w:val="single" w:sz="4" w:space="0" w:color="auto"/>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14</w:t>
            </w:r>
          </w:p>
        </w:tc>
        <w:tc>
          <w:tcPr>
            <w:tcW w:w="1559" w:type="dxa"/>
            <w:tcBorders>
              <w:top w:val="nil"/>
              <w:left w:val="single" w:sz="4" w:space="0" w:color="auto"/>
              <w:bottom w:val="single" w:sz="8" w:space="0" w:color="auto"/>
              <w:right w:val="nil"/>
            </w:tcBorders>
            <w:shd w:val="clear" w:color="auto" w:fill="auto"/>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15</w:t>
            </w:r>
          </w:p>
        </w:tc>
        <w:tc>
          <w:tcPr>
            <w:tcW w:w="1418" w:type="dxa"/>
            <w:tcBorders>
              <w:top w:val="nil"/>
              <w:left w:val="single" w:sz="4" w:space="0" w:color="auto"/>
              <w:bottom w:val="single" w:sz="8" w:space="0" w:color="auto"/>
              <w:right w:val="single" w:sz="8" w:space="0" w:color="auto"/>
            </w:tcBorders>
            <w:shd w:val="clear" w:color="auto" w:fill="auto"/>
            <w:noWrap/>
            <w:vAlign w:val="center"/>
            <w:hideMark/>
          </w:tcPr>
          <w:p w:rsidR="00917BF7" w:rsidRPr="00C354A0" w:rsidRDefault="00917BF7" w:rsidP="00917BF7">
            <w:pPr>
              <w:jc w:val="center"/>
              <w:rPr>
                <w:color w:val="000000"/>
                <w:sz w:val="22"/>
                <w:szCs w:val="22"/>
                <w:lang w:val="es-GT" w:eastAsia="es-GT"/>
              </w:rPr>
            </w:pPr>
            <w:r w:rsidRPr="00C354A0">
              <w:rPr>
                <w:color w:val="000000"/>
                <w:sz w:val="22"/>
                <w:szCs w:val="22"/>
                <w:lang w:val="es-GT" w:eastAsia="es-GT"/>
              </w:rPr>
              <w:t>267</w:t>
            </w:r>
          </w:p>
        </w:tc>
      </w:tr>
    </w:tbl>
    <w:p w:rsidR="00600BF6" w:rsidRDefault="00600BF6" w:rsidP="00917BF7">
      <w:pPr>
        <w:jc w:val="both"/>
        <w:rPr>
          <w:sz w:val="18"/>
        </w:rPr>
      </w:pPr>
      <w:r w:rsidRPr="004E678D">
        <w:rPr>
          <w:sz w:val="18"/>
        </w:rPr>
        <w:t xml:space="preserve">Fuente: </w:t>
      </w:r>
      <w:r w:rsidR="00917BF7">
        <w:rPr>
          <w:sz w:val="18"/>
        </w:rPr>
        <w:t>Informe General de la República 2020</w:t>
      </w:r>
      <w:r>
        <w:rPr>
          <w:sz w:val="18"/>
        </w:rPr>
        <w:t>.</w:t>
      </w:r>
    </w:p>
    <w:p w:rsidR="00917BF7" w:rsidRPr="00A80FF3" w:rsidRDefault="00917BF7" w:rsidP="00917BF7">
      <w:pPr>
        <w:jc w:val="both"/>
      </w:pPr>
    </w:p>
    <w:p w:rsidR="00917BF7" w:rsidRDefault="00917BF7" w:rsidP="00917BF7">
      <w:pPr>
        <w:jc w:val="both"/>
      </w:pPr>
    </w:p>
    <w:p w:rsidR="00A80FF3" w:rsidRPr="00A80FF3" w:rsidRDefault="00A80FF3" w:rsidP="00917BF7">
      <w:pPr>
        <w:jc w:val="both"/>
      </w:pPr>
    </w:p>
    <w:p w:rsidR="002C3A6A" w:rsidRPr="00124AD6" w:rsidRDefault="002C3A6A" w:rsidP="002C3A6A">
      <w:pPr>
        <w:jc w:val="center"/>
        <w:rPr>
          <w:b/>
        </w:rPr>
      </w:pPr>
      <w:r w:rsidRPr="00124AD6">
        <w:rPr>
          <w:b/>
        </w:rPr>
        <w:t xml:space="preserve">Cuadro </w:t>
      </w:r>
      <w:r w:rsidR="00D8680B">
        <w:rPr>
          <w:b/>
        </w:rPr>
        <w:t>1</w:t>
      </w:r>
      <w:r w:rsidR="00A861C2">
        <w:rPr>
          <w:b/>
        </w:rPr>
        <w:t>4</w:t>
      </w:r>
    </w:p>
    <w:p w:rsidR="002C3A6A" w:rsidRPr="00124AD6" w:rsidRDefault="00A7285A" w:rsidP="002C3A6A">
      <w:pPr>
        <w:jc w:val="center"/>
        <w:rPr>
          <w:b/>
        </w:rPr>
      </w:pPr>
      <w:r>
        <w:rPr>
          <w:b/>
        </w:rPr>
        <w:t>C</w:t>
      </w:r>
      <w:r w:rsidR="00CB3A09">
        <w:rPr>
          <w:b/>
        </w:rPr>
        <w:t>réditos y Subsidios Económicos y Productivos</w:t>
      </w:r>
    </w:p>
    <w:p w:rsidR="00A7285A" w:rsidRDefault="002C3A6A" w:rsidP="002C3A6A">
      <w:pPr>
        <w:jc w:val="center"/>
        <w:rPr>
          <w:b/>
        </w:rPr>
      </w:pPr>
      <w:r>
        <w:rPr>
          <w:b/>
        </w:rPr>
        <w:t>Ejercicio Fiscal 20</w:t>
      </w:r>
      <w:r w:rsidR="00CB3A09">
        <w:rPr>
          <w:b/>
        </w:rPr>
        <w:t>20</w:t>
      </w:r>
    </w:p>
    <w:tbl>
      <w:tblPr>
        <w:tblW w:w="9529" w:type="dxa"/>
        <w:tblInd w:w="55" w:type="dxa"/>
        <w:tblCellMar>
          <w:left w:w="70" w:type="dxa"/>
          <w:right w:w="70" w:type="dxa"/>
        </w:tblCellMar>
        <w:tblLook w:val="04A0" w:firstRow="1" w:lastRow="0" w:firstColumn="1" w:lastColumn="0" w:noHBand="0" w:noVBand="1"/>
      </w:tblPr>
      <w:tblGrid>
        <w:gridCol w:w="3984"/>
        <w:gridCol w:w="1276"/>
        <w:gridCol w:w="1276"/>
        <w:gridCol w:w="1559"/>
        <w:gridCol w:w="1434"/>
      </w:tblGrid>
      <w:tr w:rsidR="00CB3A09" w:rsidRPr="00C354A0" w:rsidTr="00A80FF3">
        <w:trPr>
          <w:trHeight w:val="990"/>
        </w:trPr>
        <w:tc>
          <w:tcPr>
            <w:tcW w:w="3984"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CB3A09" w:rsidRPr="00C354A0" w:rsidRDefault="00CB3A09" w:rsidP="00CB3A09">
            <w:pPr>
              <w:jc w:val="center"/>
              <w:rPr>
                <w:b/>
                <w:bCs/>
                <w:color w:val="000000"/>
                <w:sz w:val="22"/>
                <w:szCs w:val="22"/>
                <w:lang w:val="es-GT" w:eastAsia="es-GT"/>
              </w:rPr>
            </w:pPr>
            <w:r w:rsidRPr="00C354A0">
              <w:rPr>
                <w:b/>
                <w:bCs/>
                <w:color w:val="000000"/>
                <w:sz w:val="22"/>
                <w:szCs w:val="22"/>
                <w:lang w:val="es-GT" w:eastAsia="es-GT"/>
              </w:rPr>
              <w:t xml:space="preserve">Descripción </w:t>
            </w:r>
          </w:p>
        </w:tc>
        <w:tc>
          <w:tcPr>
            <w:tcW w:w="1276" w:type="dxa"/>
            <w:tcBorders>
              <w:top w:val="single" w:sz="8" w:space="0" w:color="auto"/>
              <w:left w:val="nil"/>
              <w:bottom w:val="single" w:sz="8" w:space="0" w:color="auto"/>
              <w:right w:val="single" w:sz="4" w:space="0" w:color="auto"/>
            </w:tcBorders>
            <w:shd w:val="clear" w:color="000000" w:fill="8DB4E2"/>
            <w:noWrap/>
            <w:vAlign w:val="center"/>
            <w:hideMark/>
          </w:tcPr>
          <w:p w:rsidR="00CB3A09" w:rsidRPr="00C354A0" w:rsidRDefault="00CB3A09" w:rsidP="00CB3A09">
            <w:pPr>
              <w:jc w:val="center"/>
              <w:rPr>
                <w:b/>
                <w:bCs/>
                <w:color w:val="000000"/>
                <w:sz w:val="22"/>
                <w:szCs w:val="22"/>
                <w:lang w:val="es-GT" w:eastAsia="es-GT"/>
              </w:rPr>
            </w:pPr>
            <w:r w:rsidRPr="00C354A0">
              <w:rPr>
                <w:b/>
                <w:bCs/>
                <w:color w:val="000000"/>
                <w:sz w:val="22"/>
                <w:szCs w:val="22"/>
                <w:lang w:val="es-GT" w:eastAsia="es-GT"/>
              </w:rPr>
              <w:t>Cantidad</w:t>
            </w:r>
          </w:p>
        </w:tc>
        <w:tc>
          <w:tcPr>
            <w:tcW w:w="1276" w:type="dxa"/>
            <w:tcBorders>
              <w:top w:val="single" w:sz="8" w:space="0" w:color="auto"/>
              <w:left w:val="single" w:sz="4" w:space="0" w:color="auto"/>
              <w:bottom w:val="single" w:sz="8" w:space="0" w:color="auto"/>
              <w:right w:val="single" w:sz="4" w:space="0" w:color="auto"/>
            </w:tcBorders>
            <w:shd w:val="clear" w:color="000000" w:fill="8DB4E2"/>
            <w:noWrap/>
            <w:vAlign w:val="center"/>
            <w:hideMark/>
          </w:tcPr>
          <w:p w:rsidR="00CB3A09" w:rsidRPr="00C354A0" w:rsidRDefault="00CB3A09" w:rsidP="00CB3A09">
            <w:pPr>
              <w:jc w:val="center"/>
              <w:rPr>
                <w:b/>
                <w:bCs/>
                <w:color w:val="000000"/>
                <w:sz w:val="22"/>
                <w:szCs w:val="22"/>
                <w:lang w:val="es-GT" w:eastAsia="es-GT"/>
              </w:rPr>
            </w:pPr>
            <w:r w:rsidRPr="00C354A0">
              <w:rPr>
                <w:b/>
                <w:bCs/>
                <w:color w:val="000000"/>
                <w:sz w:val="22"/>
                <w:szCs w:val="22"/>
                <w:lang w:val="es-GT" w:eastAsia="es-GT"/>
              </w:rPr>
              <w:t>Hectáreas</w:t>
            </w:r>
          </w:p>
        </w:tc>
        <w:tc>
          <w:tcPr>
            <w:tcW w:w="1559" w:type="dxa"/>
            <w:tcBorders>
              <w:top w:val="single" w:sz="8" w:space="0" w:color="auto"/>
              <w:left w:val="single" w:sz="4" w:space="0" w:color="auto"/>
              <w:bottom w:val="single" w:sz="8" w:space="0" w:color="auto"/>
              <w:right w:val="nil"/>
            </w:tcBorders>
            <w:shd w:val="clear" w:color="000000" w:fill="8DB4E2"/>
            <w:vAlign w:val="center"/>
            <w:hideMark/>
          </w:tcPr>
          <w:p w:rsidR="00CB3A09" w:rsidRPr="00C354A0" w:rsidRDefault="00CB3A09" w:rsidP="00CB3A09">
            <w:pPr>
              <w:jc w:val="center"/>
              <w:rPr>
                <w:b/>
                <w:bCs/>
                <w:color w:val="000000"/>
                <w:sz w:val="22"/>
                <w:szCs w:val="22"/>
                <w:lang w:val="es-GT" w:eastAsia="es-GT"/>
              </w:rPr>
            </w:pPr>
            <w:r w:rsidRPr="00C354A0">
              <w:rPr>
                <w:b/>
                <w:bCs/>
                <w:color w:val="000000"/>
                <w:sz w:val="22"/>
                <w:szCs w:val="22"/>
                <w:lang w:val="es-GT" w:eastAsia="es-GT"/>
              </w:rPr>
              <w:t>Monto en Millones de Quetzales</w:t>
            </w:r>
          </w:p>
        </w:tc>
        <w:tc>
          <w:tcPr>
            <w:tcW w:w="1434" w:type="dxa"/>
            <w:tcBorders>
              <w:top w:val="single" w:sz="8" w:space="0" w:color="auto"/>
              <w:left w:val="single" w:sz="4" w:space="0" w:color="auto"/>
              <w:bottom w:val="single" w:sz="8" w:space="0" w:color="auto"/>
              <w:right w:val="single" w:sz="8" w:space="0" w:color="auto"/>
            </w:tcBorders>
            <w:shd w:val="clear" w:color="000000" w:fill="8DB4E2"/>
            <w:vAlign w:val="center"/>
            <w:hideMark/>
          </w:tcPr>
          <w:p w:rsidR="00CB3A09" w:rsidRPr="00C354A0" w:rsidRDefault="00CB3A09" w:rsidP="00CB3A09">
            <w:pPr>
              <w:jc w:val="center"/>
              <w:rPr>
                <w:b/>
                <w:bCs/>
                <w:color w:val="000000"/>
                <w:sz w:val="22"/>
                <w:szCs w:val="22"/>
                <w:lang w:val="es-GT" w:eastAsia="es-GT"/>
              </w:rPr>
            </w:pPr>
            <w:r w:rsidRPr="00C354A0">
              <w:rPr>
                <w:b/>
                <w:bCs/>
                <w:color w:val="000000"/>
                <w:sz w:val="22"/>
                <w:szCs w:val="22"/>
                <w:lang w:val="es-GT" w:eastAsia="es-GT"/>
              </w:rPr>
              <w:t>Familias Beneficiadas</w:t>
            </w:r>
          </w:p>
        </w:tc>
      </w:tr>
      <w:tr w:rsidR="00CB3A09" w:rsidRPr="00C354A0" w:rsidTr="00A80FF3">
        <w:trPr>
          <w:trHeight w:val="432"/>
        </w:trPr>
        <w:tc>
          <w:tcPr>
            <w:tcW w:w="3984" w:type="dxa"/>
            <w:tcBorders>
              <w:top w:val="nil"/>
              <w:left w:val="single" w:sz="8" w:space="0" w:color="auto"/>
              <w:bottom w:val="nil"/>
              <w:right w:val="single" w:sz="4" w:space="0" w:color="auto"/>
            </w:tcBorders>
            <w:shd w:val="clear" w:color="auto" w:fill="auto"/>
            <w:vAlign w:val="center"/>
            <w:hideMark/>
          </w:tcPr>
          <w:p w:rsidR="00CB3A09" w:rsidRPr="00C354A0" w:rsidRDefault="00CB3A09" w:rsidP="00A80FF3">
            <w:pPr>
              <w:jc w:val="center"/>
              <w:rPr>
                <w:b/>
                <w:bCs/>
                <w:color w:val="000000"/>
                <w:sz w:val="22"/>
                <w:szCs w:val="22"/>
                <w:lang w:val="es-GT" w:eastAsia="es-GT"/>
              </w:rPr>
            </w:pPr>
            <w:r w:rsidRPr="00C354A0">
              <w:rPr>
                <w:b/>
                <w:bCs/>
                <w:color w:val="000000"/>
                <w:sz w:val="22"/>
                <w:szCs w:val="22"/>
                <w:lang w:val="es-GT" w:eastAsia="es-GT"/>
              </w:rPr>
              <w:t>Totales</w:t>
            </w:r>
          </w:p>
        </w:tc>
        <w:tc>
          <w:tcPr>
            <w:tcW w:w="1276" w:type="dxa"/>
            <w:tcBorders>
              <w:top w:val="nil"/>
              <w:left w:val="nil"/>
              <w:bottom w:val="nil"/>
              <w:right w:val="single" w:sz="4" w:space="0" w:color="auto"/>
            </w:tcBorders>
            <w:shd w:val="clear" w:color="auto" w:fill="auto"/>
            <w:vAlign w:val="center"/>
            <w:hideMark/>
          </w:tcPr>
          <w:p w:rsidR="00CB3A09" w:rsidRPr="00C354A0" w:rsidRDefault="00CB3A09" w:rsidP="00A80FF3">
            <w:pPr>
              <w:jc w:val="center"/>
              <w:rPr>
                <w:b/>
                <w:bCs/>
                <w:color w:val="000000"/>
                <w:sz w:val="22"/>
                <w:szCs w:val="22"/>
                <w:lang w:val="es-GT" w:eastAsia="es-GT"/>
              </w:rPr>
            </w:pPr>
            <w:r w:rsidRPr="00C354A0">
              <w:rPr>
                <w:b/>
                <w:bCs/>
                <w:color w:val="000000"/>
                <w:sz w:val="22"/>
                <w:szCs w:val="22"/>
                <w:lang w:val="es-GT" w:eastAsia="es-GT"/>
              </w:rPr>
              <w:t>24,954</w:t>
            </w:r>
          </w:p>
        </w:tc>
        <w:tc>
          <w:tcPr>
            <w:tcW w:w="1276" w:type="dxa"/>
            <w:tcBorders>
              <w:top w:val="nil"/>
              <w:left w:val="single" w:sz="4" w:space="0" w:color="auto"/>
              <w:bottom w:val="nil"/>
              <w:right w:val="single" w:sz="4" w:space="0" w:color="auto"/>
            </w:tcBorders>
            <w:shd w:val="clear" w:color="auto" w:fill="auto"/>
            <w:vAlign w:val="center"/>
            <w:hideMark/>
          </w:tcPr>
          <w:p w:rsidR="00CB3A09" w:rsidRPr="00C354A0" w:rsidRDefault="00CB3A09" w:rsidP="00A80FF3">
            <w:pPr>
              <w:jc w:val="center"/>
              <w:rPr>
                <w:b/>
                <w:bCs/>
                <w:color w:val="000000"/>
                <w:sz w:val="22"/>
                <w:szCs w:val="22"/>
                <w:lang w:val="es-GT" w:eastAsia="es-GT"/>
              </w:rPr>
            </w:pPr>
            <w:r w:rsidRPr="00C354A0">
              <w:rPr>
                <w:b/>
                <w:bCs/>
                <w:color w:val="000000"/>
                <w:sz w:val="22"/>
                <w:szCs w:val="22"/>
                <w:lang w:val="es-GT" w:eastAsia="es-GT"/>
              </w:rPr>
              <w:t>28,149.5</w:t>
            </w:r>
          </w:p>
        </w:tc>
        <w:tc>
          <w:tcPr>
            <w:tcW w:w="1559" w:type="dxa"/>
            <w:tcBorders>
              <w:top w:val="nil"/>
              <w:left w:val="single" w:sz="4" w:space="0" w:color="auto"/>
              <w:bottom w:val="nil"/>
              <w:right w:val="nil"/>
            </w:tcBorders>
            <w:shd w:val="clear" w:color="auto" w:fill="auto"/>
            <w:vAlign w:val="center"/>
            <w:hideMark/>
          </w:tcPr>
          <w:p w:rsidR="00CB3A09" w:rsidRPr="00C354A0" w:rsidRDefault="00CB3A09" w:rsidP="00A80FF3">
            <w:pPr>
              <w:jc w:val="center"/>
              <w:rPr>
                <w:b/>
                <w:bCs/>
                <w:color w:val="000000"/>
                <w:sz w:val="22"/>
                <w:szCs w:val="22"/>
                <w:lang w:val="es-GT" w:eastAsia="es-GT"/>
              </w:rPr>
            </w:pPr>
            <w:r w:rsidRPr="00C354A0">
              <w:rPr>
                <w:b/>
                <w:bCs/>
                <w:color w:val="000000"/>
                <w:sz w:val="22"/>
                <w:szCs w:val="22"/>
                <w:lang w:val="es-GT" w:eastAsia="es-GT"/>
              </w:rPr>
              <w:t>246.1</w:t>
            </w:r>
          </w:p>
        </w:tc>
        <w:tc>
          <w:tcPr>
            <w:tcW w:w="1434" w:type="dxa"/>
            <w:tcBorders>
              <w:top w:val="nil"/>
              <w:left w:val="single" w:sz="4" w:space="0" w:color="auto"/>
              <w:bottom w:val="nil"/>
              <w:right w:val="single" w:sz="8" w:space="0" w:color="auto"/>
            </w:tcBorders>
            <w:shd w:val="clear" w:color="auto" w:fill="auto"/>
            <w:noWrap/>
            <w:vAlign w:val="center"/>
            <w:hideMark/>
          </w:tcPr>
          <w:p w:rsidR="00CB3A09" w:rsidRPr="00C354A0" w:rsidRDefault="00CB3A09" w:rsidP="00A80FF3">
            <w:pPr>
              <w:jc w:val="center"/>
              <w:rPr>
                <w:b/>
                <w:bCs/>
                <w:color w:val="000000"/>
                <w:sz w:val="22"/>
                <w:szCs w:val="22"/>
                <w:lang w:val="es-GT" w:eastAsia="es-GT"/>
              </w:rPr>
            </w:pPr>
            <w:r w:rsidRPr="00C354A0">
              <w:rPr>
                <w:b/>
                <w:bCs/>
                <w:color w:val="000000"/>
                <w:sz w:val="22"/>
                <w:szCs w:val="22"/>
                <w:lang w:val="es-GT" w:eastAsia="es-GT"/>
              </w:rPr>
              <w:t>24,954</w:t>
            </w:r>
          </w:p>
        </w:tc>
      </w:tr>
      <w:tr w:rsidR="00CB3A09" w:rsidRPr="00C354A0" w:rsidTr="00FC7ED9">
        <w:trPr>
          <w:trHeight w:val="471"/>
        </w:trPr>
        <w:tc>
          <w:tcPr>
            <w:tcW w:w="3984" w:type="dxa"/>
            <w:tcBorders>
              <w:top w:val="nil"/>
              <w:left w:val="single" w:sz="8" w:space="0" w:color="auto"/>
              <w:bottom w:val="nil"/>
              <w:right w:val="single" w:sz="4" w:space="0" w:color="auto"/>
            </w:tcBorders>
            <w:shd w:val="clear" w:color="auto" w:fill="auto"/>
            <w:vAlign w:val="bottom"/>
            <w:hideMark/>
          </w:tcPr>
          <w:p w:rsidR="00CB3A09" w:rsidRPr="00C354A0" w:rsidRDefault="00CB3A09" w:rsidP="00CB3A09">
            <w:pPr>
              <w:rPr>
                <w:color w:val="000000"/>
                <w:sz w:val="22"/>
                <w:szCs w:val="22"/>
                <w:lang w:val="es-GT" w:eastAsia="es-GT"/>
              </w:rPr>
            </w:pPr>
            <w:r w:rsidRPr="00C354A0">
              <w:rPr>
                <w:color w:val="000000"/>
                <w:sz w:val="22"/>
                <w:szCs w:val="22"/>
                <w:lang w:val="es-GT" w:eastAsia="es-GT"/>
              </w:rPr>
              <w:t>Crédito para arrendamiento de tierras</w:t>
            </w:r>
          </w:p>
        </w:tc>
        <w:tc>
          <w:tcPr>
            <w:tcW w:w="1276" w:type="dxa"/>
            <w:tcBorders>
              <w:top w:val="nil"/>
              <w:left w:val="nil"/>
              <w:bottom w:val="nil"/>
              <w:right w:val="single" w:sz="4" w:space="0" w:color="auto"/>
            </w:tcBorders>
            <w:shd w:val="clear" w:color="auto" w:fill="auto"/>
            <w:vAlign w:val="bottom"/>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20,418</w:t>
            </w:r>
          </w:p>
        </w:tc>
        <w:tc>
          <w:tcPr>
            <w:tcW w:w="1276" w:type="dxa"/>
            <w:tcBorders>
              <w:top w:val="nil"/>
              <w:left w:val="single" w:sz="4" w:space="0" w:color="auto"/>
              <w:bottom w:val="nil"/>
              <w:right w:val="single" w:sz="4" w:space="0" w:color="auto"/>
            </w:tcBorders>
            <w:shd w:val="clear" w:color="auto" w:fill="auto"/>
            <w:vAlign w:val="bottom"/>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19,215.0</w:t>
            </w:r>
          </w:p>
        </w:tc>
        <w:tc>
          <w:tcPr>
            <w:tcW w:w="1559" w:type="dxa"/>
            <w:tcBorders>
              <w:top w:val="nil"/>
              <w:left w:val="single" w:sz="4" w:space="0" w:color="auto"/>
              <w:bottom w:val="nil"/>
              <w:right w:val="nil"/>
            </w:tcBorders>
            <w:shd w:val="clear" w:color="auto" w:fill="auto"/>
            <w:vAlign w:val="bottom"/>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42.9</w:t>
            </w:r>
          </w:p>
        </w:tc>
        <w:tc>
          <w:tcPr>
            <w:tcW w:w="1434" w:type="dxa"/>
            <w:tcBorders>
              <w:top w:val="nil"/>
              <w:left w:val="single" w:sz="4" w:space="0" w:color="auto"/>
              <w:bottom w:val="nil"/>
              <w:right w:val="single" w:sz="8" w:space="0" w:color="auto"/>
            </w:tcBorders>
            <w:shd w:val="clear" w:color="auto" w:fill="auto"/>
            <w:noWrap/>
            <w:vAlign w:val="bottom"/>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20,418</w:t>
            </w:r>
          </w:p>
        </w:tc>
      </w:tr>
      <w:tr w:rsidR="00CB3A09" w:rsidRPr="00C354A0" w:rsidTr="00FC7ED9">
        <w:trPr>
          <w:trHeight w:val="471"/>
        </w:trPr>
        <w:tc>
          <w:tcPr>
            <w:tcW w:w="3984" w:type="dxa"/>
            <w:tcBorders>
              <w:top w:val="nil"/>
              <w:left w:val="single" w:sz="8" w:space="0" w:color="auto"/>
              <w:bottom w:val="nil"/>
              <w:right w:val="single" w:sz="4" w:space="0" w:color="auto"/>
            </w:tcBorders>
            <w:shd w:val="clear" w:color="auto" w:fill="auto"/>
            <w:vAlign w:val="bottom"/>
            <w:hideMark/>
          </w:tcPr>
          <w:p w:rsidR="00CB3A09" w:rsidRPr="00C354A0" w:rsidRDefault="00CB3A09" w:rsidP="00CB3A09">
            <w:pPr>
              <w:rPr>
                <w:color w:val="000000"/>
                <w:sz w:val="22"/>
                <w:szCs w:val="22"/>
                <w:lang w:val="es-GT" w:eastAsia="es-GT"/>
              </w:rPr>
            </w:pPr>
            <w:r w:rsidRPr="00C354A0">
              <w:rPr>
                <w:color w:val="000000"/>
                <w:sz w:val="22"/>
                <w:szCs w:val="22"/>
                <w:lang w:val="es-GT" w:eastAsia="es-GT"/>
              </w:rPr>
              <w:t>Crédito para compra de tierras</w:t>
            </w:r>
          </w:p>
        </w:tc>
        <w:tc>
          <w:tcPr>
            <w:tcW w:w="1276" w:type="dxa"/>
            <w:tcBorders>
              <w:top w:val="nil"/>
              <w:left w:val="nil"/>
              <w:bottom w:val="nil"/>
              <w:right w:val="single" w:sz="4" w:space="0" w:color="auto"/>
            </w:tcBorders>
            <w:shd w:val="clear" w:color="auto" w:fill="auto"/>
            <w:vAlign w:val="bottom"/>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236</w:t>
            </w:r>
          </w:p>
        </w:tc>
        <w:tc>
          <w:tcPr>
            <w:tcW w:w="1276" w:type="dxa"/>
            <w:tcBorders>
              <w:top w:val="nil"/>
              <w:left w:val="single" w:sz="4" w:space="0" w:color="auto"/>
              <w:bottom w:val="nil"/>
              <w:right w:val="single" w:sz="4" w:space="0" w:color="auto"/>
            </w:tcBorders>
            <w:shd w:val="clear" w:color="auto" w:fill="auto"/>
            <w:vAlign w:val="bottom"/>
            <w:hideMark/>
          </w:tcPr>
          <w:p w:rsidR="00CB3A09" w:rsidRPr="00C354A0" w:rsidRDefault="00CB3A09" w:rsidP="00CB3A09">
            <w:pPr>
              <w:rPr>
                <w:color w:val="000000"/>
                <w:sz w:val="22"/>
                <w:szCs w:val="22"/>
                <w:lang w:val="es-GT" w:eastAsia="es-GT"/>
              </w:rPr>
            </w:pPr>
          </w:p>
        </w:tc>
        <w:tc>
          <w:tcPr>
            <w:tcW w:w="1559" w:type="dxa"/>
            <w:tcBorders>
              <w:top w:val="nil"/>
              <w:left w:val="single" w:sz="4" w:space="0" w:color="auto"/>
              <w:bottom w:val="nil"/>
              <w:right w:val="nil"/>
            </w:tcBorders>
            <w:shd w:val="clear" w:color="auto" w:fill="auto"/>
            <w:vAlign w:val="bottom"/>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33.9</w:t>
            </w:r>
          </w:p>
        </w:tc>
        <w:tc>
          <w:tcPr>
            <w:tcW w:w="1434" w:type="dxa"/>
            <w:tcBorders>
              <w:top w:val="nil"/>
              <w:left w:val="single" w:sz="4" w:space="0" w:color="auto"/>
              <w:bottom w:val="nil"/>
              <w:right w:val="single" w:sz="8" w:space="0" w:color="auto"/>
            </w:tcBorders>
            <w:shd w:val="clear" w:color="auto" w:fill="auto"/>
            <w:noWrap/>
            <w:vAlign w:val="bottom"/>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236</w:t>
            </w:r>
          </w:p>
        </w:tc>
      </w:tr>
      <w:tr w:rsidR="00CB3A09" w:rsidRPr="00C354A0" w:rsidTr="00FC7ED9">
        <w:trPr>
          <w:trHeight w:val="471"/>
        </w:trPr>
        <w:tc>
          <w:tcPr>
            <w:tcW w:w="3984" w:type="dxa"/>
            <w:tcBorders>
              <w:top w:val="nil"/>
              <w:left w:val="single" w:sz="8" w:space="0" w:color="auto"/>
              <w:bottom w:val="nil"/>
              <w:right w:val="single" w:sz="4" w:space="0" w:color="auto"/>
            </w:tcBorders>
            <w:shd w:val="clear" w:color="auto" w:fill="auto"/>
            <w:vAlign w:val="center"/>
            <w:hideMark/>
          </w:tcPr>
          <w:p w:rsidR="00CB3A09" w:rsidRPr="00C354A0" w:rsidRDefault="00CB3A09" w:rsidP="00CB3A09">
            <w:pPr>
              <w:rPr>
                <w:color w:val="000000"/>
                <w:sz w:val="22"/>
                <w:szCs w:val="22"/>
                <w:lang w:val="es-GT" w:eastAsia="es-GT"/>
              </w:rPr>
            </w:pPr>
            <w:r w:rsidRPr="00C354A0">
              <w:rPr>
                <w:color w:val="000000"/>
                <w:sz w:val="22"/>
                <w:szCs w:val="22"/>
                <w:lang w:val="es-GT" w:eastAsia="es-GT"/>
              </w:rPr>
              <w:t>Regulación y adjudicación de tierras</w:t>
            </w:r>
          </w:p>
        </w:tc>
        <w:tc>
          <w:tcPr>
            <w:tcW w:w="1276" w:type="dxa"/>
            <w:tcBorders>
              <w:top w:val="nil"/>
              <w:left w:val="nil"/>
              <w:bottom w:val="nil"/>
              <w:right w:val="single" w:sz="4" w:space="0" w:color="auto"/>
            </w:tcBorders>
            <w:shd w:val="clear" w:color="auto" w:fill="auto"/>
            <w:vAlign w:val="center"/>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1,492</w:t>
            </w:r>
          </w:p>
        </w:tc>
        <w:tc>
          <w:tcPr>
            <w:tcW w:w="1276" w:type="dxa"/>
            <w:tcBorders>
              <w:top w:val="nil"/>
              <w:left w:val="single" w:sz="4" w:space="0" w:color="auto"/>
              <w:bottom w:val="nil"/>
              <w:right w:val="single" w:sz="4" w:space="0" w:color="auto"/>
            </w:tcBorders>
            <w:shd w:val="clear" w:color="auto" w:fill="auto"/>
            <w:vAlign w:val="center"/>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8,934.5</w:t>
            </w:r>
          </w:p>
        </w:tc>
        <w:tc>
          <w:tcPr>
            <w:tcW w:w="1559" w:type="dxa"/>
            <w:tcBorders>
              <w:top w:val="nil"/>
              <w:left w:val="single" w:sz="4" w:space="0" w:color="auto"/>
              <w:bottom w:val="nil"/>
              <w:right w:val="nil"/>
            </w:tcBorders>
            <w:shd w:val="clear" w:color="auto" w:fill="auto"/>
            <w:vAlign w:val="center"/>
            <w:hideMark/>
          </w:tcPr>
          <w:p w:rsidR="00CB3A09" w:rsidRPr="00C354A0" w:rsidRDefault="00CB3A09" w:rsidP="00CB3A09">
            <w:pPr>
              <w:rPr>
                <w:color w:val="000000"/>
                <w:sz w:val="22"/>
                <w:szCs w:val="22"/>
                <w:lang w:val="es-GT" w:eastAsia="es-GT"/>
              </w:rPr>
            </w:pPr>
          </w:p>
        </w:tc>
        <w:tc>
          <w:tcPr>
            <w:tcW w:w="1434" w:type="dxa"/>
            <w:tcBorders>
              <w:top w:val="nil"/>
              <w:left w:val="single" w:sz="4" w:space="0" w:color="auto"/>
              <w:bottom w:val="nil"/>
              <w:right w:val="single" w:sz="8" w:space="0" w:color="auto"/>
            </w:tcBorders>
            <w:shd w:val="clear" w:color="auto" w:fill="auto"/>
            <w:noWrap/>
            <w:vAlign w:val="center"/>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1,492</w:t>
            </w:r>
          </w:p>
        </w:tc>
      </w:tr>
      <w:tr w:rsidR="00CB3A09" w:rsidRPr="00C354A0" w:rsidTr="00FC7ED9">
        <w:trPr>
          <w:trHeight w:val="471"/>
        </w:trPr>
        <w:tc>
          <w:tcPr>
            <w:tcW w:w="3984" w:type="dxa"/>
            <w:tcBorders>
              <w:top w:val="nil"/>
              <w:left w:val="single" w:sz="8" w:space="0" w:color="auto"/>
              <w:bottom w:val="nil"/>
              <w:right w:val="single" w:sz="4" w:space="0" w:color="auto"/>
            </w:tcBorders>
            <w:shd w:val="clear" w:color="auto" w:fill="auto"/>
            <w:vAlign w:val="center"/>
            <w:hideMark/>
          </w:tcPr>
          <w:p w:rsidR="00CB3A09" w:rsidRPr="00C354A0" w:rsidRDefault="00CB3A09" w:rsidP="00CB3A09">
            <w:pPr>
              <w:rPr>
                <w:color w:val="000000"/>
                <w:sz w:val="22"/>
                <w:szCs w:val="22"/>
                <w:lang w:val="es-GT" w:eastAsia="es-GT"/>
              </w:rPr>
            </w:pPr>
            <w:r w:rsidRPr="00C354A0">
              <w:rPr>
                <w:color w:val="000000"/>
                <w:sz w:val="22"/>
                <w:szCs w:val="22"/>
                <w:lang w:val="es-GT" w:eastAsia="es-GT"/>
              </w:rPr>
              <w:t>Proyectos productivos en tierras de arrendamiento</w:t>
            </w:r>
          </w:p>
        </w:tc>
        <w:tc>
          <w:tcPr>
            <w:tcW w:w="1276" w:type="dxa"/>
            <w:tcBorders>
              <w:top w:val="nil"/>
              <w:left w:val="nil"/>
              <w:bottom w:val="nil"/>
              <w:right w:val="single" w:sz="4" w:space="0" w:color="auto"/>
            </w:tcBorders>
            <w:shd w:val="clear" w:color="auto" w:fill="auto"/>
            <w:vAlign w:val="center"/>
            <w:hideMark/>
          </w:tcPr>
          <w:p w:rsidR="00CB3A09" w:rsidRPr="00C354A0" w:rsidRDefault="00CB3A09" w:rsidP="00CB3A09">
            <w:pPr>
              <w:rPr>
                <w:color w:val="000000"/>
                <w:sz w:val="22"/>
                <w:szCs w:val="22"/>
                <w:lang w:val="es-GT" w:eastAsia="es-GT"/>
              </w:rPr>
            </w:pPr>
          </w:p>
        </w:tc>
        <w:tc>
          <w:tcPr>
            <w:tcW w:w="1276" w:type="dxa"/>
            <w:tcBorders>
              <w:top w:val="nil"/>
              <w:left w:val="single" w:sz="4" w:space="0" w:color="auto"/>
              <w:bottom w:val="nil"/>
              <w:right w:val="single" w:sz="4" w:space="0" w:color="auto"/>
            </w:tcBorders>
            <w:shd w:val="clear" w:color="auto" w:fill="auto"/>
            <w:vAlign w:val="center"/>
            <w:hideMark/>
          </w:tcPr>
          <w:p w:rsidR="00CB3A09" w:rsidRPr="00C354A0" w:rsidRDefault="00CB3A09" w:rsidP="00CB3A09">
            <w:pPr>
              <w:rPr>
                <w:color w:val="000000"/>
                <w:sz w:val="22"/>
                <w:szCs w:val="22"/>
                <w:lang w:val="es-GT" w:eastAsia="es-GT"/>
              </w:rPr>
            </w:pPr>
          </w:p>
        </w:tc>
        <w:tc>
          <w:tcPr>
            <w:tcW w:w="1559" w:type="dxa"/>
            <w:tcBorders>
              <w:top w:val="nil"/>
              <w:left w:val="single" w:sz="4" w:space="0" w:color="auto"/>
              <w:bottom w:val="nil"/>
              <w:right w:val="nil"/>
            </w:tcBorders>
            <w:shd w:val="clear" w:color="auto" w:fill="auto"/>
            <w:vAlign w:val="center"/>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9.7</w:t>
            </w:r>
          </w:p>
        </w:tc>
        <w:tc>
          <w:tcPr>
            <w:tcW w:w="1434" w:type="dxa"/>
            <w:tcBorders>
              <w:top w:val="nil"/>
              <w:left w:val="single" w:sz="4" w:space="0" w:color="auto"/>
              <w:bottom w:val="nil"/>
              <w:right w:val="single" w:sz="8" w:space="0" w:color="auto"/>
            </w:tcBorders>
            <w:shd w:val="clear" w:color="auto" w:fill="auto"/>
            <w:noWrap/>
            <w:vAlign w:val="center"/>
            <w:hideMark/>
          </w:tcPr>
          <w:p w:rsidR="00CB3A09" w:rsidRPr="00C354A0" w:rsidRDefault="00CB3A09" w:rsidP="00CB3A09">
            <w:pPr>
              <w:rPr>
                <w:color w:val="000000"/>
                <w:sz w:val="22"/>
                <w:szCs w:val="22"/>
                <w:lang w:val="es-GT" w:eastAsia="es-GT"/>
              </w:rPr>
            </w:pPr>
            <w:r w:rsidRPr="00C354A0">
              <w:rPr>
                <w:color w:val="000000"/>
                <w:sz w:val="22"/>
                <w:szCs w:val="22"/>
                <w:lang w:val="es-GT" w:eastAsia="es-GT"/>
              </w:rPr>
              <w:t> </w:t>
            </w:r>
          </w:p>
        </w:tc>
      </w:tr>
      <w:tr w:rsidR="00CB3A09" w:rsidRPr="00C354A0" w:rsidTr="00FC7ED9">
        <w:trPr>
          <w:trHeight w:val="471"/>
        </w:trPr>
        <w:tc>
          <w:tcPr>
            <w:tcW w:w="3984" w:type="dxa"/>
            <w:tcBorders>
              <w:top w:val="nil"/>
              <w:left w:val="single" w:sz="8" w:space="0" w:color="auto"/>
              <w:bottom w:val="nil"/>
              <w:right w:val="single" w:sz="4" w:space="0" w:color="auto"/>
            </w:tcBorders>
            <w:shd w:val="clear" w:color="auto" w:fill="auto"/>
            <w:vAlign w:val="center"/>
            <w:hideMark/>
          </w:tcPr>
          <w:p w:rsidR="00CB3A09" w:rsidRPr="00C354A0" w:rsidRDefault="00CB3A09" w:rsidP="00CB3A09">
            <w:pPr>
              <w:rPr>
                <w:color w:val="000000"/>
                <w:sz w:val="22"/>
                <w:szCs w:val="22"/>
                <w:lang w:val="es-GT" w:eastAsia="es-GT"/>
              </w:rPr>
            </w:pPr>
            <w:r w:rsidRPr="00C354A0">
              <w:rPr>
                <w:color w:val="000000"/>
                <w:sz w:val="22"/>
                <w:szCs w:val="22"/>
                <w:lang w:val="es-GT" w:eastAsia="es-GT"/>
              </w:rPr>
              <w:t>Proyectos productivos en comunidades agrarias sostenibles</w:t>
            </w:r>
          </w:p>
        </w:tc>
        <w:tc>
          <w:tcPr>
            <w:tcW w:w="1276" w:type="dxa"/>
            <w:tcBorders>
              <w:top w:val="nil"/>
              <w:left w:val="nil"/>
              <w:bottom w:val="nil"/>
              <w:right w:val="single" w:sz="4" w:space="0" w:color="auto"/>
            </w:tcBorders>
            <w:shd w:val="clear" w:color="auto" w:fill="auto"/>
            <w:vAlign w:val="center"/>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1,234</w:t>
            </w:r>
          </w:p>
        </w:tc>
        <w:tc>
          <w:tcPr>
            <w:tcW w:w="1276" w:type="dxa"/>
            <w:tcBorders>
              <w:top w:val="nil"/>
              <w:left w:val="single" w:sz="4" w:space="0" w:color="auto"/>
              <w:bottom w:val="nil"/>
              <w:right w:val="single" w:sz="4" w:space="0" w:color="auto"/>
            </w:tcBorders>
            <w:shd w:val="clear" w:color="auto" w:fill="auto"/>
            <w:vAlign w:val="center"/>
            <w:hideMark/>
          </w:tcPr>
          <w:p w:rsidR="00CB3A09" w:rsidRPr="00C354A0" w:rsidRDefault="00CB3A09" w:rsidP="00CB3A09">
            <w:pPr>
              <w:rPr>
                <w:color w:val="000000"/>
                <w:sz w:val="22"/>
                <w:szCs w:val="22"/>
                <w:lang w:val="es-GT" w:eastAsia="es-GT"/>
              </w:rPr>
            </w:pPr>
          </w:p>
        </w:tc>
        <w:tc>
          <w:tcPr>
            <w:tcW w:w="1559" w:type="dxa"/>
            <w:tcBorders>
              <w:top w:val="nil"/>
              <w:left w:val="single" w:sz="4" w:space="0" w:color="auto"/>
              <w:bottom w:val="nil"/>
              <w:right w:val="nil"/>
            </w:tcBorders>
            <w:shd w:val="clear" w:color="auto" w:fill="auto"/>
            <w:vAlign w:val="center"/>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7.8</w:t>
            </w:r>
          </w:p>
        </w:tc>
        <w:tc>
          <w:tcPr>
            <w:tcW w:w="1434" w:type="dxa"/>
            <w:tcBorders>
              <w:top w:val="nil"/>
              <w:left w:val="single" w:sz="4" w:space="0" w:color="auto"/>
              <w:bottom w:val="nil"/>
              <w:right w:val="single" w:sz="8" w:space="0" w:color="auto"/>
            </w:tcBorders>
            <w:shd w:val="clear" w:color="auto" w:fill="auto"/>
            <w:noWrap/>
            <w:vAlign w:val="center"/>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1,234</w:t>
            </w:r>
          </w:p>
        </w:tc>
      </w:tr>
      <w:tr w:rsidR="00CB3A09" w:rsidRPr="00C354A0" w:rsidTr="00FC7ED9">
        <w:trPr>
          <w:trHeight w:val="471"/>
        </w:trPr>
        <w:tc>
          <w:tcPr>
            <w:tcW w:w="3984" w:type="dxa"/>
            <w:tcBorders>
              <w:top w:val="nil"/>
              <w:left w:val="single" w:sz="8" w:space="0" w:color="auto"/>
              <w:bottom w:val="single" w:sz="8" w:space="0" w:color="auto"/>
              <w:right w:val="single" w:sz="4" w:space="0" w:color="auto"/>
            </w:tcBorders>
            <w:shd w:val="clear" w:color="auto" w:fill="auto"/>
            <w:vAlign w:val="center"/>
            <w:hideMark/>
          </w:tcPr>
          <w:p w:rsidR="00CB3A09" w:rsidRPr="00C354A0" w:rsidRDefault="00CB3A09" w:rsidP="00CB3A09">
            <w:pPr>
              <w:rPr>
                <w:color w:val="000000"/>
                <w:sz w:val="22"/>
                <w:szCs w:val="22"/>
                <w:lang w:val="es-GT" w:eastAsia="es-GT"/>
              </w:rPr>
            </w:pPr>
            <w:r w:rsidRPr="00C354A0">
              <w:rPr>
                <w:color w:val="000000"/>
                <w:sz w:val="22"/>
                <w:szCs w:val="22"/>
                <w:lang w:val="es-GT" w:eastAsia="es-GT"/>
              </w:rPr>
              <w:t>Créditos a emprendedores</w:t>
            </w:r>
          </w:p>
        </w:tc>
        <w:tc>
          <w:tcPr>
            <w:tcW w:w="1276" w:type="dxa"/>
            <w:tcBorders>
              <w:top w:val="nil"/>
              <w:left w:val="nil"/>
              <w:bottom w:val="single" w:sz="8" w:space="0" w:color="auto"/>
              <w:right w:val="single" w:sz="4" w:space="0" w:color="auto"/>
            </w:tcBorders>
            <w:shd w:val="clear" w:color="auto" w:fill="auto"/>
            <w:vAlign w:val="center"/>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1,574</w:t>
            </w:r>
          </w:p>
        </w:tc>
        <w:tc>
          <w:tcPr>
            <w:tcW w:w="1276" w:type="dxa"/>
            <w:tcBorders>
              <w:top w:val="nil"/>
              <w:left w:val="single" w:sz="4" w:space="0" w:color="auto"/>
              <w:bottom w:val="single" w:sz="8" w:space="0" w:color="auto"/>
              <w:right w:val="single" w:sz="4" w:space="0" w:color="auto"/>
            </w:tcBorders>
            <w:shd w:val="clear" w:color="auto" w:fill="auto"/>
            <w:vAlign w:val="center"/>
            <w:hideMark/>
          </w:tcPr>
          <w:p w:rsidR="00CB3A09" w:rsidRPr="00C354A0" w:rsidRDefault="00CB3A09" w:rsidP="00CB3A09">
            <w:pPr>
              <w:rPr>
                <w:color w:val="000000"/>
                <w:sz w:val="22"/>
                <w:szCs w:val="22"/>
                <w:lang w:val="es-GT" w:eastAsia="es-GT"/>
              </w:rPr>
            </w:pPr>
            <w:r w:rsidRPr="00C354A0">
              <w:rPr>
                <w:color w:val="000000"/>
                <w:sz w:val="22"/>
                <w:szCs w:val="22"/>
                <w:lang w:val="es-GT" w:eastAsia="es-GT"/>
              </w:rPr>
              <w:t> </w:t>
            </w:r>
          </w:p>
        </w:tc>
        <w:tc>
          <w:tcPr>
            <w:tcW w:w="1559" w:type="dxa"/>
            <w:tcBorders>
              <w:top w:val="nil"/>
              <w:left w:val="single" w:sz="4" w:space="0" w:color="auto"/>
              <w:bottom w:val="single" w:sz="8" w:space="0" w:color="auto"/>
              <w:right w:val="nil"/>
            </w:tcBorders>
            <w:shd w:val="clear" w:color="auto" w:fill="auto"/>
            <w:vAlign w:val="center"/>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151.8</w:t>
            </w:r>
          </w:p>
        </w:tc>
        <w:tc>
          <w:tcPr>
            <w:tcW w:w="1434" w:type="dxa"/>
            <w:tcBorders>
              <w:top w:val="nil"/>
              <w:left w:val="single" w:sz="4" w:space="0" w:color="auto"/>
              <w:bottom w:val="single" w:sz="8" w:space="0" w:color="auto"/>
              <w:right w:val="single" w:sz="8" w:space="0" w:color="auto"/>
            </w:tcBorders>
            <w:shd w:val="clear" w:color="auto" w:fill="auto"/>
            <w:noWrap/>
            <w:vAlign w:val="center"/>
            <w:hideMark/>
          </w:tcPr>
          <w:p w:rsidR="00CB3A09" w:rsidRPr="00C354A0" w:rsidRDefault="00CB3A09" w:rsidP="00CB3A09">
            <w:pPr>
              <w:jc w:val="right"/>
              <w:rPr>
                <w:color w:val="000000"/>
                <w:sz w:val="22"/>
                <w:szCs w:val="22"/>
                <w:lang w:val="es-GT" w:eastAsia="es-GT"/>
              </w:rPr>
            </w:pPr>
            <w:r w:rsidRPr="00C354A0">
              <w:rPr>
                <w:color w:val="000000"/>
                <w:sz w:val="22"/>
                <w:szCs w:val="22"/>
                <w:lang w:val="es-GT" w:eastAsia="es-GT"/>
              </w:rPr>
              <w:t>1,574</w:t>
            </w:r>
          </w:p>
        </w:tc>
      </w:tr>
    </w:tbl>
    <w:p w:rsidR="00CC3CAE" w:rsidRDefault="002C3A6A" w:rsidP="002C3A6A">
      <w:pPr>
        <w:rPr>
          <w:sz w:val="18"/>
        </w:rPr>
      </w:pPr>
      <w:r w:rsidRPr="004E678D">
        <w:rPr>
          <w:sz w:val="18"/>
        </w:rPr>
        <w:t xml:space="preserve">Fuente: </w:t>
      </w:r>
      <w:r w:rsidR="00F41F2B">
        <w:rPr>
          <w:sz w:val="18"/>
        </w:rPr>
        <w:t>Informe General de la República 2020</w:t>
      </w:r>
      <w:r>
        <w:rPr>
          <w:sz w:val="18"/>
        </w:rPr>
        <w:t>.</w:t>
      </w:r>
    </w:p>
    <w:p w:rsidR="00F41F2B" w:rsidRDefault="00F41F2B" w:rsidP="002C3A6A">
      <w:pPr>
        <w:rPr>
          <w:sz w:val="18"/>
        </w:rPr>
      </w:pPr>
    </w:p>
    <w:p w:rsidR="00F41F2B" w:rsidRDefault="00F41F2B" w:rsidP="002C3A6A"/>
    <w:p w:rsidR="00A80FF3" w:rsidRDefault="00A80FF3" w:rsidP="002C3A6A"/>
    <w:p w:rsidR="00C83DD2" w:rsidRDefault="00C83DD2" w:rsidP="002C3A6A"/>
    <w:p w:rsidR="00480617" w:rsidRPr="00124AD6" w:rsidRDefault="00480617" w:rsidP="00480617">
      <w:pPr>
        <w:jc w:val="center"/>
        <w:rPr>
          <w:b/>
        </w:rPr>
      </w:pPr>
      <w:r w:rsidRPr="00124AD6">
        <w:rPr>
          <w:b/>
        </w:rPr>
        <w:t xml:space="preserve">Cuadro </w:t>
      </w:r>
      <w:r>
        <w:rPr>
          <w:b/>
        </w:rPr>
        <w:t>1</w:t>
      </w:r>
      <w:r w:rsidR="00A861C2">
        <w:rPr>
          <w:b/>
        </w:rPr>
        <w:t>5</w:t>
      </w:r>
    </w:p>
    <w:p w:rsidR="00480617" w:rsidRDefault="00FC7ED9" w:rsidP="00480617">
      <w:pPr>
        <w:jc w:val="center"/>
        <w:rPr>
          <w:b/>
        </w:rPr>
      </w:pPr>
      <w:r>
        <w:rPr>
          <w:b/>
        </w:rPr>
        <w:t>Financiamiento a la Micro, Mediana y Pequeña Empresa</w:t>
      </w:r>
    </w:p>
    <w:p w:rsidR="00480617" w:rsidRDefault="00480617" w:rsidP="00480617">
      <w:pPr>
        <w:jc w:val="center"/>
        <w:rPr>
          <w:b/>
        </w:rPr>
      </w:pPr>
      <w:r>
        <w:rPr>
          <w:b/>
        </w:rPr>
        <w:t>Ejercicio Fiscal 20</w:t>
      </w:r>
      <w:r w:rsidR="00FC7ED9">
        <w:rPr>
          <w:b/>
        </w:rPr>
        <w:t>20</w:t>
      </w:r>
    </w:p>
    <w:p w:rsidR="00A80FF3" w:rsidRPr="00A80FF3" w:rsidRDefault="00A80FF3" w:rsidP="00480617">
      <w:pPr>
        <w:jc w:val="center"/>
        <w:rPr>
          <w:b/>
          <w:sz w:val="16"/>
        </w:rPr>
      </w:pPr>
    </w:p>
    <w:tbl>
      <w:tblPr>
        <w:tblW w:w="9371" w:type="dxa"/>
        <w:tblInd w:w="55" w:type="dxa"/>
        <w:tblCellMar>
          <w:left w:w="70" w:type="dxa"/>
          <w:right w:w="70" w:type="dxa"/>
        </w:tblCellMar>
        <w:tblLook w:val="04A0" w:firstRow="1" w:lastRow="0" w:firstColumn="1" w:lastColumn="0" w:noHBand="0" w:noVBand="1"/>
      </w:tblPr>
      <w:tblGrid>
        <w:gridCol w:w="7245"/>
        <w:gridCol w:w="2126"/>
      </w:tblGrid>
      <w:tr w:rsidR="00FC7ED9" w:rsidRPr="00C354A0" w:rsidTr="00A80FF3">
        <w:trPr>
          <w:trHeight w:val="837"/>
        </w:trPr>
        <w:tc>
          <w:tcPr>
            <w:tcW w:w="7245"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FC7ED9" w:rsidRPr="00C354A0" w:rsidRDefault="00FC7ED9" w:rsidP="00FC7ED9">
            <w:pPr>
              <w:jc w:val="center"/>
              <w:rPr>
                <w:b/>
                <w:bCs/>
                <w:color w:val="000000"/>
                <w:sz w:val="22"/>
                <w:szCs w:val="22"/>
                <w:lang w:val="es-GT" w:eastAsia="es-GT"/>
              </w:rPr>
            </w:pPr>
            <w:r w:rsidRPr="00C354A0">
              <w:rPr>
                <w:b/>
                <w:bCs/>
                <w:color w:val="000000"/>
                <w:sz w:val="22"/>
                <w:szCs w:val="22"/>
                <w:lang w:val="es-GT" w:eastAsia="es-GT"/>
              </w:rPr>
              <w:t>Actividades</w:t>
            </w:r>
          </w:p>
        </w:tc>
        <w:tc>
          <w:tcPr>
            <w:tcW w:w="2126" w:type="dxa"/>
            <w:tcBorders>
              <w:top w:val="single" w:sz="8" w:space="0" w:color="auto"/>
              <w:left w:val="nil"/>
              <w:bottom w:val="single" w:sz="8" w:space="0" w:color="auto"/>
              <w:right w:val="single" w:sz="8" w:space="0" w:color="auto"/>
            </w:tcBorders>
            <w:shd w:val="clear" w:color="000000" w:fill="8DB4E2"/>
            <w:vAlign w:val="center"/>
            <w:hideMark/>
          </w:tcPr>
          <w:p w:rsidR="00FC7ED9" w:rsidRPr="00C354A0" w:rsidRDefault="00FC7ED9" w:rsidP="00FC7ED9">
            <w:pPr>
              <w:jc w:val="center"/>
              <w:rPr>
                <w:b/>
                <w:bCs/>
                <w:color w:val="000000"/>
                <w:sz w:val="22"/>
                <w:szCs w:val="22"/>
                <w:lang w:val="es-GT" w:eastAsia="es-GT"/>
              </w:rPr>
            </w:pPr>
            <w:r w:rsidRPr="00C354A0">
              <w:rPr>
                <w:b/>
                <w:bCs/>
                <w:color w:val="000000"/>
                <w:sz w:val="22"/>
                <w:szCs w:val="22"/>
                <w:lang w:val="es-GT" w:eastAsia="es-GT"/>
              </w:rPr>
              <w:t>Monto en Millones de Quetzales</w:t>
            </w:r>
          </w:p>
        </w:tc>
      </w:tr>
      <w:tr w:rsidR="00FC7ED9" w:rsidRPr="00C354A0" w:rsidTr="00FC7ED9">
        <w:trPr>
          <w:trHeight w:val="495"/>
        </w:trPr>
        <w:tc>
          <w:tcPr>
            <w:tcW w:w="7245" w:type="dxa"/>
            <w:tcBorders>
              <w:top w:val="nil"/>
              <w:left w:val="single" w:sz="8" w:space="0" w:color="auto"/>
              <w:bottom w:val="nil"/>
              <w:right w:val="single" w:sz="4" w:space="0" w:color="auto"/>
            </w:tcBorders>
            <w:shd w:val="clear" w:color="000000" w:fill="FFFFFF"/>
            <w:noWrap/>
            <w:vAlign w:val="center"/>
            <w:hideMark/>
          </w:tcPr>
          <w:p w:rsidR="00FC7ED9" w:rsidRPr="00C354A0" w:rsidRDefault="00FC7ED9" w:rsidP="00FC7ED9">
            <w:pPr>
              <w:jc w:val="center"/>
              <w:rPr>
                <w:b/>
                <w:bCs/>
                <w:color w:val="000000"/>
                <w:sz w:val="22"/>
                <w:szCs w:val="22"/>
                <w:lang w:val="es-GT" w:eastAsia="es-GT"/>
              </w:rPr>
            </w:pPr>
            <w:r w:rsidRPr="00C354A0">
              <w:rPr>
                <w:b/>
                <w:bCs/>
                <w:color w:val="000000"/>
                <w:sz w:val="22"/>
                <w:szCs w:val="22"/>
                <w:lang w:val="es-GT" w:eastAsia="es-GT"/>
              </w:rPr>
              <w:t>Total</w:t>
            </w:r>
          </w:p>
        </w:tc>
        <w:tc>
          <w:tcPr>
            <w:tcW w:w="2126" w:type="dxa"/>
            <w:tcBorders>
              <w:top w:val="nil"/>
              <w:left w:val="nil"/>
              <w:bottom w:val="nil"/>
              <w:right w:val="single" w:sz="8" w:space="0" w:color="auto"/>
            </w:tcBorders>
            <w:shd w:val="clear" w:color="000000" w:fill="FFFFFF"/>
            <w:vAlign w:val="center"/>
            <w:hideMark/>
          </w:tcPr>
          <w:p w:rsidR="00FC7ED9" w:rsidRPr="00C354A0" w:rsidRDefault="00FC7ED9" w:rsidP="00FC7ED9">
            <w:pPr>
              <w:jc w:val="right"/>
              <w:rPr>
                <w:b/>
                <w:bCs/>
                <w:color w:val="000000"/>
                <w:sz w:val="22"/>
                <w:szCs w:val="22"/>
                <w:lang w:val="es-GT" w:eastAsia="es-GT"/>
              </w:rPr>
            </w:pPr>
            <w:r w:rsidRPr="00C354A0">
              <w:rPr>
                <w:b/>
                <w:bCs/>
                <w:color w:val="000000"/>
                <w:sz w:val="22"/>
                <w:szCs w:val="22"/>
                <w:lang w:val="es-GT" w:eastAsia="es-GT"/>
              </w:rPr>
              <w:t>581.0</w:t>
            </w:r>
          </w:p>
        </w:tc>
      </w:tr>
      <w:tr w:rsidR="00FC7ED9" w:rsidRPr="00C354A0" w:rsidTr="00FC7ED9">
        <w:trPr>
          <w:trHeight w:val="495"/>
        </w:trPr>
        <w:tc>
          <w:tcPr>
            <w:tcW w:w="7245" w:type="dxa"/>
            <w:tcBorders>
              <w:top w:val="nil"/>
              <w:left w:val="single" w:sz="8" w:space="0" w:color="auto"/>
              <w:bottom w:val="nil"/>
              <w:right w:val="single" w:sz="4" w:space="0" w:color="auto"/>
            </w:tcBorders>
            <w:shd w:val="clear" w:color="auto" w:fill="auto"/>
            <w:vAlign w:val="bottom"/>
            <w:hideMark/>
          </w:tcPr>
          <w:p w:rsidR="00FC7ED9" w:rsidRPr="00C354A0" w:rsidRDefault="00FC7ED9" w:rsidP="00FC7ED9">
            <w:pPr>
              <w:rPr>
                <w:color w:val="000000"/>
                <w:sz w:val="22"/>
                <w:szCs w:val="22"/>
                <w:lang w:val="es-GT" w:eastAsia="es-GT"/>
              </w:rPr>
            </w:pPr>
            <w:r w:rsidRPr="00C354A0">
              <w:rPr>
                <w:color w:val="000000"/>
                <w:sz w:val="22"/>
                <w:szCs w:val="22"/>
                <w:lang w:val="es-GT" w:eastAsia="es-GT"/>
              </w:rPr>
              <w:t>Financiamiento a emprendedores y propietarios de Mipymes afectados por la pandemia</w:t>
            </w:r>
          </w:p>
        </w:tc>
        <w:tc>
          <w:tcPr>
            <w:tcW w:w="2126" w:type="dxa"/>
            <w:tcBorders>
              <w:top w:val="nil"/>
              <w:left w:val="nil"/>
              <w:bottom w:val="nil"/>
              <w:right w:val="single" w:sz="8" w:space="0" w:color="auto"/>
            </w:tcBorders>
            <w:shd w:val="clear" w:color="auto" w:fill="auto"/>
            <w:noWrap/>
            <w:vAlign w:val="bottom"/>
            <w:hideMark/>
          </w:tcPr>
          <w:p w:rsidR="00FC7ED9" w:rsidRPr="00C354A0" w:rsidRDefault="00FC7ED9" w:rsidP="00FC7ED9">
            <w:pPr>
              <w:jc w:val="right"/>
              <w:rPr>
                <w:color w:val="000000"/>
                <w:sz w:val="22"/>
                <w:szCs w:val="22"/>
                <w:lang w:val="es-GT" w:eastAsia="es-GT"/>
              </w:rPr>
            </w:pPr>
            <w:r w:rsidRPr="00C354A0">
              <w:rPr>
                <w:color w:val="000000"/>
                <w:sz w:val="22"/>
                <w:szCs w:val="22"/>
                <w:lang w:val="es-GT" w:eastAsia="es-GT"/>
              </w:rPr>
              <w:t>253.0</w:t>
            </w:r>
          </w:p>
        </w:tc>
      </w:tr>
      <w:tr w:rsidR="00FC7ED9" w:rsidRPr="00C354A0" w:rsidTr="00FC7ED9">
        <w:trPr>
          <w:trHeight w:val="495"/>
        </w:trPr>
        <w:tc>
          <w:tcPr>
            <w:tcW w:w="7245" w:type="dxa"/>
            <w:tcBorders>
              <w:top w:val="nil"/>
              <w:left w:val="single" w:sz="8" w:space="0" w:color="auto"/>
              <w:bottom w:val="nil"/>
              <w:right w:val="single" w:sz="4" w:space="0" w:color="auto"/>
            </w:tcBorders>
            <w:shd w:val="clear" w:color="auto" w:fill="auto"/>
            <w:vAlign w:val="bottom"/>
            <w:hideMark/>
          </w:tcPr>
          <w:p w:rsidR="00FC7ED9" w:rsidRPr="00C354A0" w:rsidRDefault="00FC7ED9" w:rsidP="00FC7ED9">
            <w:pPr>
              <w:rPr>
                <w:color w:val="000000"/>
                <w:sz w:val="22"/>
                <w:szCs w:val="22"/>
                <w:lang w:val="es-GT" w:eastAsia="es-GT"/>
              </w:rPr>
            </w:pPr>
            <w:r w:rsidRPr="00C354A0">
              <w:rPr>
                <w:color w:val="000000"/>
                <w:sz w:val="22"/>
                <w:szCs w:val="22"/>
                <w:lang w:val="es-GT" w:eastAsia="es-GT"/>
              </w:rPr>
              <w:t>Financiamiento otorgado en condiciones normales</w:t>
            </w:r>
          </w:p>
        </w:tc>
        <w:tc>
          <w:tcPr>
            <w:tcW w:w="2126" w:type="dxa"/>
            <w:tcBorders>
              <w:top w:val="nil"/>
              <w:left w:val="nil"/>
              <w:bottom w:val="nil"/>
              <w:right w:val="single" w:sz="8" w:space="0" w:color="auto"/>
            </w:tcBorders>
            <w:shd w:val="clear" w:color="auto" w:fill="auto"/>
            <w:noWrap/>
            <w:vAlign w:val="bottom"/>
            <w:hideMark/>
          </w:tcPr>
          <w:p w:rsidR="00FC7ED9" w:rsidRPr="00C354A0" w:rsidRDefault="00FC7ED9" w:rsidP="00FC7ED9">
            <w:pPr>
              <w:jc w:val="right"/>
              <w:rPr>
                <w:color w:val="000000"/>
                <w:sz w:val="22"/>
                <w:szCs w:val="22"/>
                <w:lang w:val="es-GT" w:eastAsia="es-GT"/>
              </w:rPr>
            </w:pPr>
            <w:r w:rsidRPr="00C354A0">
              <w:rPr>
                <w:color w:val="000000"/>
                <w:sz w:val="22"/>
                <w:szCs w:val="22"/>
                <w:lang w:val="es-GT" w:eastAsia="es-GT"/>
              </w:rPr>
              <w:t>25.0</w:t>
            </w:r>
          </w:p>
        </w:tc>
      </w:tr>
      <w:tr w:rsidR="00FC7ED9" w:rsidRPr="00C354A0" w:rsidTr="00FC7ED9">
        <w:trPr>
          <w:trHeight w:val="495"/>
        </w:trPr>
        <w:tc>
          <w:tcPr>
            <w:tcW w:w="7245" w:type="dxa"/>
            <w:tcBorders>
              <w:top w:val="nil"/>
              <w:left w:val="single" w:sz="8" w:space="0" w:color="auto"/>
              <w:bottom w:val="nil"/>
              <w:right w:val="single" w:sz="4" w:space="0" w:color="auto"/>
            </w:tcBorders>
            <w:shd w:val="clear" w:color="auto" w:fill="auto"/>
            <w:vAlign w:val="bottom"/>
            <w:hideMark/>
          </w:tcPr>
          <w:p w:rsidR="00FC7ED9" w:rsidRPr="00C354A0" w:rsidRDefault="00FC7ED9" w:rsidP="00FC7ED9">
            <w:pPr>
              <w:rPr>
                <w:color w:val="000000"/>
                <w:sz w:val="22"/>
                <w:szCs w:val="22"/>
                <w:lang w:val="es-GT" w:eastAsia="es-GT"/>
              </w:rPr>
            </w:pPr>
            <w:r w:rsidRPr="00C354A0">
              <w:rPr>
                <w:color w:val="000000"/>
                <w:sz w:val="22"/>
                <w:szCs w:val="22"/>
                <w:lang w:val="es-GT" w:eastAsia="es-GT"/>
              </w:rPr>
              <w:t>Préstamos reestructurados</w:t>
            </w:r>
          </w:p>
        </w:tc>
        <w:tc>
          <w:tcPr>
            <w:tcW w:w="2126" w:type="dxa"/>
            <w:tcBorders>
              <w:top w:val="nil"/>
              <w:left w:val="nil"/>
              <w:bottom w:val="nil"/>
              <w:right w:val="single" w:sz="8" w:space="0" w:color="auto"/>
            </w:tcBorders>
            <w:shd w:val="clear" w:color="auto" w:fill="auto"/>
            <w:noWrap/>
            <w:vAlign w:val="bottom"/>
            <w:hideMark/>
          </w:tcPr>
          <w:p w:rsidR="00FC7ED9" w:rsidRPr="00C354A0" w:rsidRDefault="00FC7ED9" w:rsidP="00FC7ED9">
            <w:pPr>
              <w:jc w:val="right"/>
              <w:rPr>
                <w:color w:val="000000"/>
                <w:sz w:val="22"/>
                <w:szCs w:val="22"/>
                <w:lang w:val="es-GT" w:eastAsia="es-GT"/>
              </w:rPr>
            </w:pPr>
            <w:r w:rsidRPr="00C354A0">
              <w:rPr>
                <w:color w:val="000000"/>
                <w:sz w:val="22"/>
                <w:szCs w:val="22"/>
                <w:lang w:val="es-GT" w:eastAsia="es-GT"/>
              </w:rPr>
              <w:t>152.0</w:t>
            </w:r>
          </w:p>
        </w:tc>
      </w:tr>
      <w:tr w:rsidR="00FC7ED9" w:rsidRPr="00C354A0" w:rsidTr="00FC7ED9">
        <w:trPr>
          <w:trHeight w:val="495"/>
        </w:trPr>
        <w:tc>
          <w:tcPr>
            <w:tcW w:w="7245" w:type="dxa"/>
            <w:tcBorders>
              <w:top w:val="nil"/>
              <w:left w:val="single" w:sz="8" w:space="0" w:color="auto"/>
              <w:bottom w:val="single" w:sz="8" w:space="0" w:color="auto"/>
              <w:right w:val="single" w:sz="4" w:space="0" w:color="auto"/>
            </w:tcBorders>
            <w:shd w:val="clear" w:color="auto" w:fill="auto"/>
            <w:vAlign w:val="bottom"/>
            <w:hideMark/>
          </w:tcPr>
          <w:p w:rsidR="00FC7ED9" w:rsidRPr="00C354A0" w:rsidRDefault="00FC7ED9" w:rsidP="00FC7ED9">
            <w:pPr>
              <w:rPr>
                <w:color w:val="000000"/>
                <w:sz w:val="22"/>
                <w:szCs w:val="22"/>
                <w:lang w:val="es-GT" w:eastAsia="es-GT"/>
              </w:rPr>
            </w:pPr>
            <w:r w:rsidRPr="00C354A0">
              <w:rPr>
                <w:color w:val="000000"/>
                <w:sz w:val="22"/>
                <w:szCs w:val="22"/>
                <w:lang w:val="es-GT" w:eastAsia="es-GT"/>
              </w:rPr>
              <w:t>Financiamiento por entidades ejecutoras del fideicomiso Mipymes</w:t>
            </w:r>
          </w:p>
        </w:tc>
        <w:tc>
          <w:tcPr>
            <w:tcW w:w="2126" w:type="dxa"/>
            <w:tcBorders>
              <w:top w:val="nil"/>
              <w:left w:val="nil"/>
              <w:bottom w:val="single" w:sz="8" w:space="0" w:color="auto"/>
              <w:right w:val="single" w:sz="8" w:space="0" w:color="auto"/>
            </w:tcBorders>
            <w:shd w:val="clear" w:color="auto" w:fill="auto"/>
            <w:noWrap/>
            <w:vAlign w:val="bottom"/>
            <w:hideMark/>
          </w:tcPr>
          <w:p w:rsidR="00FC7ED9" w:rsidRPr="00C354A0" w:rsidRDefault="00FC7ED9" w:rsidP="00FC7ED9">
            <w:pPr>
              <w:jc w:val="right"/>
              <w:rPr>
                <w:color w:val="000000"/>
                <w:sz w:val="22"/>
                <w:szCs w:val="22"/>
                <w:lang w:val="es-GT" w:eastAsia="es-GT"/>
              </w:rPr>
            </w:pPr>
            <w:r w:rsidRPr="00C354A0">
              <w:rPr>
                <w:color w:val="000000"/>
                <w:sz w:val="22"/>
                <w:szCs w:val="22"/>
                <w:lang w:val="es-GT" w:eastAsia="es-GT"/>
              </w:rPr>
              <w:t>151.0</w:t>
            </w:r>
          </w:p>
        </w:tc>
      </w:tr>
    </w:tbl>
    <w:p w:rsidR="00480617" w:rsidRDefault="00480617" w:rsidP="00480617">
      <w:r w:rsidRPr="004E678D">
        <w:rPr>
          <w:sz w:val="18"/>
        </w:rPr>
        <w:t xml:space="preserve">Fuente: </w:t>
      </w:r>
      <w:r w:rsidR="00FC7ED9">
        <w:rPr>
          <w:sz w:val="18"/>
        </w:rPr>
        <w:t>Informe General de la República 2020</w:t>
      </w:r>
      <w:r>
        <w:rPr>
          <w:sz w:val="18"/>
        </w:rPr>
        <w:t>.</w:t>
      </w:r>
    </w:p>
    <w:p w:rsidR="00480617" w:rsidRDefault="00480617" w:rsidP="00E24F7B"/>
    <w:p w:rsidR="00480617" w:rsidRDefault="00480617" w:rsidP="00E24F7B">
      <w:pPr>
        <w:rPr>
          <w:sz w:val="22"/>
        </w:rPr>
      </w:pPr>
    </w:p>
    <w:p w:rsidR="00A80FF3" w:rsidRPr="001B2E57" w:rsidRDefault="00A80FF3" w:rsidP="00E24F7B">
      <w:pPr>
        <w:rPr>
          <w:sz w:val="22"/>
        </w:rPr>
      </w:pPr>
    </w:p>
    <w:p w:rsidR="00480617" w:rsidRDefault="00480617" w:rsidP="00E24F7B"/>
    <w:p w:rsidR="00480617" w:rsidRPr="00124AD6" w:rsidRDefault="00480617" w:rsidP="00480617">
      <w:pPr>
        <w:jc w:val="center"/>
        <w:rPr>
          <w:b/>
        </w:rPr>
      </w:pPr>
      <w:r w:rsidRPr="00124AD6">
        <w:rPr>
          <w:b/>
        </w:rPr>
        <w:t xml:space="preserve">Cuadro </w:t>
      </w:r>
      <w:r>
        <w:rPr>
          <w:b/>
        </w:rPr>
        <w:t>1</w:t>
      </w:r>
      <w:r w:rsidR="00A861C2">
        <w:rPr>
          <w:b/>
        </w:rPr>
        <w:t>6</w:t>
      </w:r>
    </w:p>
    <w:p w:rsidR="00480617" w:rsidRDefault="00A8356B" w:rsidP="00480617">
      <w:pPr>
        <w:jc w:val="center"/>
        <w:rPr>
          <w:b/>
        </w:rPr>
      </w:pPr>
      <w:r>
        <w:rPr>
          <w:b/>
        </w:rPr>
        <w:t>Medidas de Seguridad contra el Crimen Organizado, Narcotráfico y Pandillas</w:t>
      </w:r>
    </w:p>
    <w:p w:rsidR="00480617" w:rsidRDefault="00480617" w:rsidP="00480617">
      <w:pPr>
        <w:jc w:val="center"/>
        <w:rPr>
          <w:b/>
        </w:rPr>
      </w:pPr>
      <w:r>
        <w:rPr>
          <w:b/>
        </w:rPr>
        <w:t>Ejercicio Fiscal 20</w:t>
      </w:r>
      <w:r w:rsidR="00A8356B">
        <w:rPr>
          <w:b/>
        </w:rPr>
        <w:t>20</w:t>
      </w:r>
    </w:p>
    <w:p w:rsidR="00A80FF3" w:rsidRPr="00A80FF3" w:rsidRDefault="00A80FF3" w:rsidP="00480617">
      <w:pPr>
        <w:jc w:val="center"/>
        <w:rPr>
          <w:b/>
          <w:sz w:val="16"/>
        </w:rPr>
      </w:pPr>
    </w:p>
    <w:tbl>
      <w:tblPr>
        <w:tblW w:w="9320" w:type="dxa"/>
        <w:tblInd w:w="55" w:type="dxa"/>
        <w:tblCellMar>
          <w:left w:w="70" w:type="dxa"/>
          <w:right w:w="70" w:type="dxa"/>
        </w:tblCellMar>
        <w:tblLook w:val="04A0" w:firstRow="1" w:lastRow="0" w:firstColumn="1" w:lastColumn="0" w:noHBand="0" w:noVBand="1"/>
      </w:tblPr>
      <w:tblGrid>
        <w:gridCol w:w="7245"/>
        <w:gridCol w:w="2075"/>
      </w:tblGrid>
      <w:tr w:rsidR="00A8356B" w:rsidRPr="00C354A0" w:rsidTr="00A80FF3">
        <w:trPr>
          <w:trHeight w:val="855"/>
        </w:trPr>
        <w:tc>
          <w:tcPr>
            <w:tcW w:w="7245"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A8356B" w:rsidRPr="00C354A0" w:rsidRDefault="00A8356B" w:rsidP="00A8356B">
            <w:pPr>
              <w:jc w:val="center"/>
              <w:rPr>
                <w:b/>
                <w:bCs/>
                <w:color w:val="000000"/>
                <w:sz w:val="22"/>
                <w:szCs w:val="22"/>
                <w:lang w:val="es-GT" w:eastAsia="es-GT"/>
              </w:rPr>
            </w:pPr>
            <w:r w:rsidRPr="00C354A0">
              <w:rPr>
                <w:b/>
                <w:bCs/>
                <w:color w:val="000000"/>
                <w:sz w:val="22"/>
                <w:szCs w:val="22"/>
                <w:lang w:val="es-GT" w:eastAsia="es-GT"/>
              </w:rPr>
              <w:t>Actividad</w:t>
            </w:r>
          </w:p>
        </w:tc>
        <w:tc>
          <w:tcPr>
            <w:tcW w:w="2075" w:type="dxa"/>
            <w:tcBorders>
              <w:top w:val="single" w:sz="8" w:space="0" w:color="auto"/>
              <w:left w:val="nil"/>
              <w:bottom w:val="single" w:sz="8" w:space="0" w:color="auto"/>
              <w:right w:val="single" w:sz="8" w:space="0" w:color="auto"/>
            </w:tcBorders>
            <w:shd w:val="clear" w:color="000000" w:fill="8DB4E2"/>
            <w:vAlign w:val="center"/>
            <w:hideMark/>
          </w:tcPr>
          <w:p w:rsidR="00A8356B" w:rsidRPr="00C354A0" w:rsidRDefault="00A8356B" w:rsidP="00A8356B">
            <w:pPr>
              <w:jc w:val="center"/>
              <w:rPr>
                <w:b/>
                <w:bCs/>
                <w:color w:val="000000"/>
                <w:sz w:val="22"/>
                <w:szCs w:val="22"/>
                <w:lang w:val="es-GT" w:eastAsia="es-GT"/>
              </w:rPr>
            </w:pPr>
            <w:r w:rsidRPr="00C354A0">
              <w:rPr>
                <w:b/>
                <w:bCs/>
                <w:color w:val="000000"/>
                <w:sz w:val="22"/>
                <w:szCs w:val="22"/>
                <w:lang w:val="es-GT" w:eastAsia="es-GT"/>
              </w:rPr>
              <w:t>Cantidad de Eventos</w:t>
            </w:r>
          </w:p>
        </w:tc>
      </w:tr>
      <w:tr w:rsidR="00A8356B" w:rsidRPr="00C354A0" w:rsidTr="00C354A0">
        <w:trPr>
          <w:trHeight w:val="450"/>
        </w:trPr>
        <w:tc>
          <w:tcPr>
            <w:tcW w:w="7245" w:type="dxa"/>
            <w:tcBorders>
              <w:top w:val="nil"/>
              <w:left w:val="single" w:sz="8" w:space="0" w:color="auto"/>
              <w:bottom w:val="nil"/>
              <w:right w:val="single" w:sz="4" w:space="0" w:color="auto"/>
            </w:tcBorders>
            <w:shd w:val="clear" w:color="auto" w:fill="auto"/>
            <w:noWrap/>
            <w:vAlign w:val="center"/>
            <w:hideMark/>
          </w:tcPr>
          <w:p w:rsidR="00A8356B" w:rsidRPr="00C354A0" w:rsidRDefault="00A8356B" w:rsidP="00A8356B">
            <w:pPr>
              <w:jc w:val="center"/>
              <w:rPr>
                <w:b/>
                <w:bCs/>
                <w:color w:val="000000"/>
                <w:sz w:val="22"/>
                <w:szCs w:val="22"/>
                <w:lang w:val="es-GT" w:eastAsia="es-GT"/>
              </w:rPr>
            </w:pPr>
            <w:r w:rsidRPr="00C354A0">
              <w:rPr>
                <w:b/>
                <w:bCs/>
                <w:color w:val="000000"/>
                <w:sz w:val="22"/>
                <w:szCs w:val="22"/>
                <w:lang w:val="es-GT" w:eastAsia="es-GT"/>
              </w:rPr>
              <w:t>Total</w:t>
            </w:r>
          </w:p>
        </w:tc>
        <w:tc>
          <w:tcPr>
            <w:tcW w:w="2075" w:type="dxa"/>
            <w:tcBorders>
              <w:top w:val="nil"/>
              <w:left w:val="nil"/>
              <w:bottom w:val="nil"/>
              <w:right w:val="single" w:sz="8" w:space="0" w:color="auto"/>
            </w:tcBorders>
            <w:shd w:val="clear" w:color="auto" w:fill="auto"/>
            <w:vAlign w:val="center"/>
            <w:hideMark/>
          </w:tcPr>
          <w:p w:rsidR="00A8356B" w:rsidRPr="00C354A0" w:rsidRDefault="00A8356B" w:rsidP="00A8356B">
            <w:pPr>
              <w:jc w:val="center"/>
              <w:rPr>
                <w:b/>
                <w:bCs/>
                <w:color w:val="000000"/>
                <w:sz w:val="22"/>
                <w:szCs w:val="22"/>
                <w:lang w:val="es-GT" w:eastAsia="es-GT"/>
              </w:rPr>
            </w:pPr>
            <w:r w:rsidRPr="00C354A0">
              <w:rPr>
                <w:b/>
                <w:bCs/>
                <w:color w:val="000000"/>
                <w:sz w:val="22"/>
                <w:szCs w:val="22"/>
                <w:lang w:val="es-GT" w:eastAsia="es-GT"/>
              </w:rPr>
              <w:t>30,540</w:t>
            </w:r>
          </w:p>
        </w:tc>
      </w:tr>
      <w:tr w:rsidR="00A8356B" w:rsidRPr="00C354A0" w:rsidTr="00C354A0">
        <w:trPr>
          <w:trHeight w:val="390"/>
        </w:trPr>
        <w:tc>
          <w:tcPr>
            <w:tcW w:w="7245" w:type="dxa"/>
            <w:tcBorders>
              <w:top w:val="nil"/>
              <w:left w:val="single" w:sz="8" w:space="0" w:color="auto"/>
              <w:bottom w:val="nil"/>
              <w:right w:val="single" w:sz="4" w:space="0" w:color="auto"/>
            </w:tcBorders>
            <w:shd w:val="clear" w:color="auto" w:fill="auto"/>
            <w:noWrap/>
            <w:vAlign w:val="bottom"/>
            <w:hideMark/>
          </w:tcPr>
          <w:p w:rsidR="00A8356B" w:rsidRPr="00C354A0" w:rsidRDefault="00A8356B" w:rsidP="00A8356B">
            <w:pPr>
              <w:rPr>
                <w:color w:val="000000"/>
                <w:sz w:val="22"/>
                <w:szCs w:val="22"/>
                <w:lang w:val="es-GT" w:eastAsia="es-GT"/>
              </w:rPr>
            </w:pPr>
            <w:r w:rsidRPr="00C354A0">
              <w:rPr>
                <w:color w:val="000000"/>
                <w:sz w:val="22"/>
                <w:szCs w:val="22"/>
                <w:lang w:val="es-GT" w:eastAsia="es-GT"/>
              </w:rPr>
              <w:t xml:space="preserve">Apoyo interinstitucional, para la seguridad y desarrollo nacional </w:t>
            </w:r>
          </w:p>
        </w:tc>
        <w:tc>
          <w:tcPr>
            <w:tcW w:w="2075" w:type="dxa"/>
            <w:tcBorders>
              <w:top w:val="nil"/>
              <w:left w:val="nil"/>
              <w:bottom w:val="nil"/>
              <w:right w:val="single" w:sz="8" w:space="0" w:color="auto"/>
            </w:tcBorders>
            <w:shd w:val="clear" w:color="auto" w:fill="auto"/>
            <w:noWrap/>
            <w:vAlign w:val="bottom"/>
            <w:hideMark/>
          </w:tcPr>
          <w:p w:rsidR="00A8356B" w:rsidRPr="00C354A0" w:rsidRDefault="00A8356B" w:rsidP="00A8356B">
            <w:pPr>
              <w:jc w:val="center"/>
              <w:rPr>
                <w:color w:val="000000"/>
                <w:sz w:val="22"/>
                <w:szCs w:val="22"/>
                <w:lang w:val="es-GT" w:eastAsia="es-GT"/>
              </w:rPr>
            </w:pPr>
            <w:r w:rsidRPr="00C354A0">
              <w:rPr>
                <w:color w:val="000000"/>
                <w:sz w:val="22"/>
                <w:szCs w:val="22"/>
                <w:lang w:val="es-GT" w:eastAsia="es-GT"/>
              </w:rPr>
              <w:t>69</w:t>
            </w:r>
          </w:p>
        </w:tc>
      </w:tr>
      <w:tr w:rsidR="00A8356B" w:rsidRPr="00C354A0" w:rsidTr="00C354A0">
        <w:trPr>
          <w:trHeight w:val="390"/>
        </w:trPr>
        <w:tc>
          <w:tcPr>
            <w:tcW w:w="7245" w:type="dxa"/>
            <w:tcBorders>
              <w:top w:val="nil"/>
              <w:left w:val="single" w:sz="8" w:space="0" w:color="auto"/>
              <w:bottom w:val="nil"/>
              <w:right w:val="single" w:sz="4" w:space="0" w:color="auto"/>
            </w:tcBorders>
            <w:shd w:val="clear" w:color="auto" w:fill="auto"/>
            <w:noWrap/>
            <w:vAlign w:val="bottom"/>
            <w:hideMark/>
          </w:tcPr>
          <w:p w:rsidR="00A8356B" w:rsidRPr="00C354A0" w:rsidRDefault="00A8356B" w:rsidP="00A8356B">
            <w:pPr>
              <w:rPr>
                <w:color w:val="000000"/>
                <w:sz w:val="22"/>
                <w:szCs w:val="22"/>
                <w:lang w:val="es-GT" w:eastAsia="es-GT"/>
              </w:rPr>
            </w:pPr>
            <w:r w:rsidRPr="00C354A0">
              <w:rPr>
                <w:color w:val="000000"/>
                <w:sz w:val="22"/>
                <w:szCs w:val="22"/>
                <w:lang w:val="es-GT" w:eastAsia="es-GT"/>
              </w:rPr>
              <w:t>Puestos de registro y control, coadyuvando al ámbito de seguridad interior</w:t>
            </w:r>
          </w:p>
        </w:tc>
        <w:tc>
          <w:tcPr>
            <w:tcW w:w="2075" w:type="dxa"/>
            <w:tcBorders>
              <w:top w:val="nil"/>
              <w:left w:val="nil"/>
              <w:bottom w:val="nil"/>
              <w:right w:val="single" w:sz="8" w:space="0" w:color="auto"/>
            </w:tcBorders>
            <w:shd w:val="clear" w:color="auto" w:fill="auto"/>
            <w:noWrap/>
            <w:vAlign w:val="bottom"/>
            <w:hideMark/>
          </w:tcPr>
          <w:p w:rsidR="00A8356B" w:rsidRPr="00C354A0" w:rsidRDefault="00A8356B" w:rsidP="00A8356B">
            <w:pPr>
              <w:jc w:val="center"/>
              <w:rPr>
                <w:color w:val="000000"/>
                <w:sz w:val="22"/>
                <w:szCs w:val="22"/>
                <w:lang w:val="es-GT" w:eastAsia="es-GT"/>
              </w:rPr>
            </w:pPr>
            <w:r w:rsidRPr="00C354A0">
              <w:rPr>
                <w:color w:val="000000"/>
                <w:sz w:val="22"/>
                <w:szCs w:val="22"/>
                <w:lang w:val="es-GT" w:eastAsia="es-GT"/>
              </w:rPr>
              <w:t>5,183</w:t>
            </w:r>
          </w:p>
        </w:tc>
      </w:tr>
      <w:tr w:rsidR="00A8356B" w:rsidRPr="00C354A0" w:rsidTr="00C354A0">
        <w:trPr>
          <w:trHeight w:val="390"/>
        </w:trPr>
        <w:tc>
          <w:tcPr>
            <w:tcW w:w="7245" w:type="dxa"/>
            <w:tcBorders>
              <w:top w:val="nil"/>
              <w:left w:val="single" w:sz="8" w:space="0" w:color="auto"/>
              <w:bottom w:val="nil"/>
              <w:right w:val="single" w:sz="4" w:space="0" w:color="auto"/>
            </w:tcBorders>
            <w:shd w:val="clear" w:color="auto" w:fill="auto"/>
            <w:noWrap/>
            <w:vAlign w:val="bottom"/>
            <w:hideMark/>
          </w:tcPr>
          <w:p w:rsidR="00A8356B" w:rsidRPr="00C354A0" w:rsidRDefault="00A8356B" w:rsidP="00A8356B">
            <w:pPr>
              <w:rPr>
                <w:color w:val="000000"/>
                <w:sz w:val="22"/>
                <w:szCs w:val="22"/>
                <w:lang w:val="es-GT" w:eastAsia="es-GT"/>
              </w:rPr>
            </w:pPr>
            <w:r w:rsidRPr="00C354A0">
              <w:rPr>
                <w:color w:val="000000"/>
                <w:sz w:val="22"/>
                <w:szCs w:val="22"/>
                <w:lang w:val="es-GT" w:eastAsia="es-GT"/>
              </w:rPr>
              <w:t>Operaciones en apoyo a la seguridad pública</w:t>
            </w:r>
          </w:p>
        </w:tc>
        <w:tc>
          <w:tcPr>
            <w:tcW w:w="2075" w:type="dxa"/>
            <w:tcBorders>
              <w:top w:val="nil"/>
              <w:left w:val="nil"/>
              <w:bottom w:val="nil"/>
              <w:right w:val="single" w:sz="8" w:space="0" w:color="auto"/>
            </w:tcBorders>
            <w:shd w:val="clear" w:color="auto" w:fill="auto"/>
            <w:noWrap/>
            <w:vAlign w:val="bottom"/>
            <w:hideMark/>
          </w:tcPr>
          <w:p w:rsidR="00A8356B" w:rsidRPr="00C354A0" w:rsidRDefault="00A8356B" w:rsidP="00A8356B">
            <w:pPr>
              <w:jc w:val="center"/>
              <w:rPr>
                <w:color w:val="000000"/>
                <w:sz w:val="22"/>
                <w:szCs w:val="22"/>
                <w:lang w:val="es-GT" w:eastAsia="es-GT"/>
              </w:rPr>
            </w:pPr>
            <w:r w:rsidRPr="00C354A0">
              <w:rPr>
                <w:color w:val="000000"/>
                <w:sz w:val="22"/>
                <w:szCs w:val="22"/>
                <w:lang w:val="es-GT" w:eastAsia="es-GT"/>
              </w:rPr>
              <w:t>16,404</w:t>
            </w:r>
          </w:p>
        </w:tc>
      </w:tr>
      <w:tr w:rsidR="00A8356B" w:rsidRPr="00C354A0" w:rsidTr="00C354A0">
        <w:trPr>
          <w:trHeight w:val="390"/>
        </w:trPr>
        <w:tc>
          <w:tcPr>
            <w:tcW w:w="7245" w:type="dxa"/>
            <w:tcBorders>
              <w:top w:val="nil"/>
              <w:left w:val="single" w:sz="8" w:space="0" w:color="auto"/>
              <w:bottom w:val="nil"/>
              <w:right w:val="single" w:sz="4" w:space="0" w:color="auto"/>
            </w:tcBorders>
            <w:shd w:val="clear" w:color="auto" w:fill="auto"/>
            <w:noWrap/>
            <w:vAlign w:val="bottom"/>
            <w:hideMark/>
          </w:tcPr>
          <w:p w:rsidR="00A8356B" w:rsidRPr="00C354A0" w:rsidRDefault="00A8356B" w:rsidP="00A8356B">
            <w:pPr>
              <w:rPr>
                <w:color w:val="000000"/>
                <w:sz w:val="22"/>
                <w:szCs w:val="22"/>
                <w:lang w:val="es-GT" w:eastAsia="es-GT"/>
              </w:rPr>
            </w:pPr>
            <w:r w:rsidRPr="00C354A0">
              <w:rPr>
                <w:color w:val="000000"/>
                <w:sz w:val="22"/>
                <w:szCs w:val="22"/>
                <w:lang w:val="es-GT" w:eastAsia="es-GT"/>
              </w:rPr>
              <w:t>Vuelos de reconocimiento y vigilancia en el espacio aéreo nacional</w:t>
            </w:r>
          </w:p>
        </w:tc>
        <w:tc>
          <w:tcPr>
            <w:tcW w:w="2075" w:type="dxa"/>
            <w:tcBorders>
              <w:top w:val="nil"/>
              <w:left w:val="nil"/>
              <w:bottom w:val="nil"/>
              <w:right w:val="single" w:sz="8" w:space="0" w:color="auto"/>
            </w:tcBorders>
            <w:shd w:val="clear" w:color="auto" w:fill="auto"/>
            <w:noWrap/>
            <w:vAlign w:val="bottom"/>
            <w:hideMark/>
          </w:tcPr>
          <w:p w:rsidR="00A8356B" w:rsidRPr="00C354A0" w:rsidRDefault="00A8356B" w:rsidP="00A8356B">
            <w:pPr>
              <w:jc w:val="center"/>
              <w:rPr>
                <w:color w:val="000000"/>
                <w:sz w:val="22"/>
                <w:szCs w:val="22"/>
                <w:lang w:val="es-GT" w:eastAsia="es-GT"/>
              </w:rPr>
            </w:pPr>
            <w:r w:rsidRPr="00C354A0">
              <w:rPr>
                <w:color w:val="000000"/>
                <w:sz w:val="22"/>
                <w:szCs w:val="22"/>
                <w:lang w:val="es-GT" w:eastAsia="es-GT"/>
              </w:rPr>
              <w:t>790</w:t>
            </w:r>
          </w:p>
        </w:tc>
      </w:tr>
      <w:tr w:rsidR="00A8356B" w:rsidRPr="00C354A0" w:rsidTr="00C354A0">
        <w:trPr>
          <w:trHeight w:val="390"/>
        </w:trPr>
        <w:tc>
          <w:tcPr>
            <w:tcW w:w="7245" w:type="dxa"/>
            <w:tcBorders>
              <w:top w:val="nil"/>
              <w:left w:val="single" w:sz="8" w:space="0" w:color="auto"/>
              <w:bottom w:val="nil"/>
              <w:right w:val="single" w:sz="4" w:space="0" w:color="auto"/>
            </w:tcBorders>
            <w:shd w:val="clear" w:color="auto" w:fill="auto"/>
            <w:noWrap/>
            <w:vAlign w:val="bottom"/>
            <w:hideMark/>
          </w:tcPr>
          <w:p w:rsidR="00A8356B" w:rsidRPr="00C354A0" w:rsidRDefault="00A8356B" w:rsidP="00A8356B">
            <w:pPr>
              <w:rPr>
                <w:color w:val="000000"/>
                <w:sz w:val="22"/>
                <w:szCs w:val="22"/>
                <w:lang w:val="es-GT" w:eastAsia="es-GT"/>
              </w:rPr>
            </w:pPr>
            <w:r w:rsidRPr="00C354A0">
              <w:rPr>
                <w:color w:val="000000"/>
                <w:sz w:val="22"/>
                <w:szCs w:val="22"/>
                <w:lang w:val="es-GT" w:eastAsia="es-GT"/>
              </w:rPr>
              <w:t>Salvaguarda naval y control de tráfico marítimo, fluvial y lacustre</w:t>
            </w:r>
          </w:p>
        </w:tc>
        <w:tc>
          <w:tcPr>
            <w:tcW w:w="2075" w:type="dxa"/>
            <w:tcBorders>
              <w:top w:val="nil"/>
              <w:left w:val="nil"/>
              <w:bottom w:val="nil"/>
              <w:right w:val="single" w:sz="8" w:space="0" w:color="auto"/>
            </w:tcBorders>
            <w:shd w:val="clear" w:color="auto" w:fill="auto"/>
            <w:noWrap/>
            <w:vAlign w:val="bottom"/>
            <w:hideMark/>
          </w:tcPr>
          <w:p w:rsidR="00A8356B" w:rsidRPr="00C354A0" w:rsidRDefault="00A8356B" w:rsidP="00A8356B">
            <w:pPr>
              <w:jc w:val="center"/>
              <w:rPr>
                <w:color w:val="000000"/>
                <w:sz w:val="22"/>
                <w:szCs w:val="22"/>
                <w:lang w:val="es-GT" w:eastAsia="es-GT"/>
              </w:rPr>
            </w:pPr>
            <w:r w:rsidRPr="00C354A0">
              <w:rPr>
                <w:color w:val="000000"/>
                <w:sz w:val="22"/>
                <w:szCs w:val="22"/>
                <w:lang w:val="es-GT" w:eastAsia="es-GT"/>
              </w:rPr>
              <w:t>1,949</w:t>
            </w:r>
          </w:p>
        </w:tc>
      </w:tr>
      <w:tr w:rsidR="00A8356B" w:rsidRPr="00C354A0" w:rsidTr="00C354A0">
        <w:trPr>
          <w:trHeight w:val="390"/>
        </w:trPr>
        <w:tc>
          <w:tcPr>
            <w:tcW w:w="7245" w:type="dxa"/>
            <w:tcBorders>
              <w:top w:val="nil"/>
              <w:left w:val="single" w:sz="8" w:space="0" w:color="auto"/>
              <w:bottom w:val="nil"/>
              <w:right w:val="single" w:sz="4" w:space="0" w:color="auto"/>
            </w:tcBorders>
            <w:shd w:val="clear" w:color="auto" w:fill="auto"/>
            <w:noWrap/>
            <w:vAlign w:val="bottom"/>
            <w:hideMark/>
          </w:tcPr>
          <w:p w:rsidR="00A8356B" w:rsidRPr="00C354A0" w:rsidRDefault="00A8356B" w:rsidP="00A8356B">
            <w:pPr>
              <w:rPr>
                <w:color w:val="000000"/>
                <w:sz w:val="22"/>
                <w:szCs w:val="22"/>
                <w:lang w:val="es-GT" w:eastAsia="es-GT"/>
              </w:rPr>
            </w:pPr>
            <w:r w:rsidRPr="00C354A0">
              <w:rPr>
                <w:color w:val="000000"/>
                <w:sz w:val="22"/>
                <w:szCs w:val="22"/>
                <w:lang w:val="es-GT" w:eastAsia="es-GT"/>
              </w:rPr>
              <w:t xml:space="preserve">Aeronaves en interdicción </w:t>
            </w:r>
          </w:p>
        </w:tc>
        <w:tc>
          <w:tcPr>
            <w:tcW w:w="2075" w:type="dxa"/>
            <w:tcBorders>
              <w:top w:val="nil"/>
              <w:left w:val="nil"/>
              <w:bottom w:val="nil"/>
              <w:right w:val="single" w:sz="8" w:space="0" w:color="auto"/>
            </w:tcBorders>
            <w:shd w:val="clear" w:color="auto" w:fill="auto"/>
            <w:noWrap/>
            <w:vAlign w:val="bottom"/>
            <w:hideMark/>
          </w:tcPr>
          <w:p w:rsidR="00A8356B" w:rsidRPr="00C354A0" w:rsidRDefault="00A8356B" w:rsidP="00A8356B">
            <w:pPr>
              <w:jc w:val="center"/>
              <w:rPr>
                <w:color w:val="000000"/>
                <w:sz w:val="22"/>
                <w:szCs w:val="22"/>
                <w:lang w:val="es-GT" w:eastAsia="es-GT"/>
              </w:rPr>
            </w:pPr>
            <w:r w:rsidRPr="00C354A0">
              <w:rPr>
                <w:color w:val="000000"/>
                <w:sz w:val="22"/>
                <w:szCs w:val="22"/>
                <w:lang w:val="es-GT" w:eastAsia="es-GT"/>
              </w:rPr>
              <w:t>39</w:t>
            </w:r>
          </w:p>
        </w:tc>
      </w:tr>
      <w:tr w:rsidR="00A8356B" w:rsidRPr="00C354A0" w:rsidTr="00C354A0">
        <w:trPr>
          <w:trHeight w:val="390"/>
        </w:trPr>
        <w:tc>
          <w:tcPr>
            <w:tcW w:w="7245" w:type="dxa"/>
            <w:tcBorders>
              <w:top w:val="nil"/>
              <w:left w:val="single" w:sz="8" w:space="0" w:color="auto"/>
              <w:bottom w:val="nil"/>
              <w:right w:val="single" w:sz="4" w:space="0" w:color="auto"/>
            </w:tcBorders>
            <w:shd w:val="clear" w:color="auto" w:fill="auto"/>
            <w:noWrap/>
            <w:vAlign w:val="bottom"/>
            <w:hideMark/>
          </w:tcPr>
          <w:p w:rsidR="00A8356B" w:rsidRPr="00C354A0" w:rsidRDefault="00A8356B" w:rsidP="00A8356B">
            <w:pPr>
              <w:rPr>
                <w:color w:val="000000"/>
                <w:sz w:val="22"/>
                <w:szCs w:val="22"/>
                <w:lang w:val="es-GT" w:eastAsia="es-GT"/>
              </w:rPr>
            </w:pPr>
            <w:r w:rsidRPr="00C354A0">
              <w:rPr>
                <w:color w:val="000000"/>
                <w:sz w:val="22"/>
                <w:szCs w:val="22"/>
                <w:lang w:val="es-GT" w:eastAsia="es-GT"/>
              </w:rPr>
              <w:t>Pistas clandestinas inhabilitadas</w:t>
            </w:r>
          </w:p>
        </w:tc>
        <w:tc>
          <w:tcPr>
            <w:tcW w:w="2075" w:type="dxa"/>
            <w:tcBorders>
              <w:top w:val="nil"/>
              <w:left w:val="nil"/>
              <w:bottom w:val="nil"/>
              <w:right w:val="single" w:sz="8" w:space="0" w:color="auto"/>
            </w:tcBorders>
            <w:shd w:val="clear" w:color="auto" w:fill="auto"/>
            <w:noWrap/>
            <w:vAlign w:val="bottom"/>
            <w:hideMark/>
          </w:tcPr>
          <w:p w:rsidR="00A8356B" w:rsidRPr="00C354A0" w:rsidRDefault="00A8356B" w:rsidP="00A8356B">
            <w:pPr>
              <w:jc w:val="center"/>
              <w:rPr>
                <w:color w:val="000000"/>
                <w:sz w:val="22"/>
                <w:szCs w:val="22"/>
                <w:lang w:val="es-GT" w:eastAsia="es-GT"/>
              </w:rPr>
            </w:pPr>
            <w:r w:rsidRPr="00C354A0">
              <w:rPr>
                <w:color w:val="000000"/>
                <w:sz w:val="22"/>
                <w:szCs w:val="22"/>
                <w:lang w:val="es-GT" w:eastAsia="es-GT"/>
              </w:rPr>
              <w:t>16</w:t>
            </w:r>
          </w:p>
        </w:tc>
      </w:tr>
      <w:tr w:rsidR="00A8356B" w:rsidRPr="00C354A0" w:rsidTr="00C354A0">
        <w:trPr>
          <w:trHeight w:val="390"/>
        </w:trPr>
        <w:tc>
          <w:tcPr>
            <w:tcW w:w="7245" w:type="dxa"/>
            <w:tcBorders>
              <w:top w:val="nil"/>
              <w:left w:val="single" w:sz="8" w:space="0" w:color="auto"/>
              <w:bottom w:val="single" w:sz="8" w:space="0" w:color="auto"/>
              <w:right w:val="single" w:sz="4" w:space="0" w:color="auto"/>
            </w:tcBorders>
            <w:shd w:val="clear" w:color="auto" w:fill="auto"/>
            <w:noWrap/>
            <w:vAlign w:val="bottom"/>
            <w:hideMark/>
          </w:tcPr>
          <w:p w:rsidR="00A8356B" w:rsidRPr="00C354A0" w:rsidRDefault="00A8356B" w:rsidP="00A8356B">
            <w:pPr>
              <w:rPr>
                <w:color w:val="000000"/>
                <w:sz w:val="22"/>
                <w:szCs w:val="22"/>
                <w:lang w:val="es-GT" w:eastAsia="es-GT"/>
              </w:rPr>
            </w:pPr>
            <w:r w:rsidRPr="00C354A0">
              <w:rPr>
                <w:color w:val="000000"/>
                <w:sz w:val="22"/>
                <w:szCs w:val="22"/>
                <w:lang w:val="es-GT" w:eastAsia="es-GT"/>
              </w:rPr>
              <w:t>Operaciones en apoyo al combate de amenazas transnacionales rutinarias</w:t>
            </w:r>
          </w:p>
        </w:tc>
        <w:tc>
          <w:tcPr>
            <w:tcW w:w="2075" w:type="dxa"/>
            <w:tcBorders>
              <w:top w:val="nil"/>
              <w:left w:val="single" w:sz="4" w:space="0" w:color="auto"/>
              <w:bottom w:val="single" w:sz="8" w:space="0" w:color="auto"/>
              <w:right w:val="single" w:sz="8" w:space="0" w:color="auto"/>
            </w:tcBorders>
            <w:shd w:val="clear" w:color="auto" w:fill="auto"/>
            <w:noWrap/>
            <w:vAlign w:val="bottom"/>
            <w:hideMark/>
          </w:tcPr>
          <w:p w:rsidR="00A8356B" w:rsidRPr="00C354A0" w:rsidRDefault="00A8356B" w:rsidP="00A8356B">
            <w:pPr>
              <w:jc w:val="center"/>
              <w:rPr>
                <w:color w:val="000000"/>
                <w:sz w:val="22"/>
                <w:szCs w:val="22"/>
                <w:lang w:val="es-GT" w:eastAsia="es-GT"/>
              </w:rPr>
            </w:pPr>
            <w:r w:rsidRPr="00C354A0">
              <w:rPr>
                <w:color w:val="000000"/>
                <w:sz w:val="22"/>
                <w:szCs w:val="22"/>
                <w:lang w:val="es-GT" w:eastAsia="es-GT"/>
              </w:rPr>
              <w:t>6,090</w:t>
            </w:r>
          </w:p>
        </w:tc>
      </w:tr>
    </w:tbl>
    <w:p w:rsidR="00480617" w:rsidRDefault="00480617" w:rsidP="00480617">
      <w:r w:rsidRPr="004E678D">
        <w:rPr>
          <w:sz w:val="18"/>
        </w:rPr>
        <w:t xml:space="preserve">Fuente: </w:t>
      </w:r>
      <w:r w:rsidR="00A8356B">
        <w:rPr>
          <w:sz w:val="18"/>
        </w:rPr>
        <w:t>Informe General de la República 2020</w:t>
      </w:r>
      <w:r>
        <w:rPr>
          <w:sz w:val="18"/>
        </w:rPr>
        <w:t>.</w:t>
      </w:r>
    </w:p>
    <w:p w:rsidR="00480617" w:rsidRDefault="00480617" w:rsidP="00E24F7B"/>
    <w:p w:rsidR="00480617" w:rsidRDefault="00480617" w:rsidP="00E24F7B"/>
    <w:p w:rsidR="00DE63EE" w:rsidRDefault="00DE63EE" w:rsidP="00E24F7B"/>
    <w:p w:rsidR="00480617" w:rsidRPr="00124AD6" w:rsidRDefault="00480617" w:rsidP="00C83DD2">
      <w:pPr>
        <w:jc w:val="center"/>
        <w:rPr>
          <w:b/>
        </w:rPr>
      </w:pPr>
      <w:r w:rsidRPr="00124AD6">
        <w:rPr>
          <w:b/>
        </w:rPr>
        <w:t xml:space="preserve">Cuadro </w:t>
      </w:r>
      <w:r>
        <w:rPr>
          <w:b/>
        </w:rPr>
        <w:t>1</w:t>
      </w:r>
      <w:r w:rsidR="00A861C2">
        <w:rPr>
          <w:b/>
        </w:rPr>
        <w:t>7</w:t>
      </w:r>
    </w:p>
    <w:p w:rsidR="00480617" w:rsidRDefault="00C51B4E" w:rsidP="00480617">
      <w:pPr>
        <w:jc w:val="center"/>
        <w:rPr>
          <w:b/>
        </w:rPr>
      </w:pPr>
      <w:r>
        <w:rPr>
          <w:b/>
        </w:rPr>
        <w:t>Eventos Naturales Ocurridos en el País</w:t>
      </w:r>
    </w:p>
    <w:p w:rsidR="00480617" w:rsidRDefault="00C51B4E" w:rsidP="00480617">
      <w:pPr>
        <w:jc w:val="center"/>
        <w:rPr>
          <w:b/>
        </w:rPr>
      </w:pPr>
      <w:r>
        <w:rPr>
          <w:b/>
        </w:rPr>
        <w:t>Desde el 2005 al 2020</w:t>
      </w:r>
    </w:p>
    <w:p w:rsidR="00A80FF3" w:rsidRPr="00A80FF3" w:rsidRDefault="00A80FF3" w:rsidP="00480617">
      <w:pPr>
        <w:jc w:val="center"/>
        <w:rPr>
          <w:b/>
          <w:sz w:val="16"/>
        </w:rPr>
      </w:pPr>
    </w:p>
    <w:tbl>
      <w:tblPr>
        <w:tblW w:w="9229" w:type="dxa"/>
        <w:tblInd w:w="55" w:type="dxa"/>
        <w:tblCellMar>
          <w:left w:w="70" w:type="dxa"/>
          <w:right w:w="70" w:type="dxa"/>
        </w:tblCellMar>
        <w:tblLook w:val="04A0" w:firstRow="1" w:lastRow="0" w:firstColumn="1" w:lastColumn="0" w:noHBand="0" w:noVBand="1"/>
      </w:tblPr>
      <w:tblGrid>
        <w:gridCol w:w="3984"/>
        <w:gridCol w:w="993"/>
        <w:gridCol w:w="2268"/>
        <w:gridCol w:w="1984"/>
      </w:tblGrid>
      <w:tr w:rsidR="007916D8" w:rsidRPr="00C354A0" w:rsidTr="00A80FF3">
        <w:trPr>
          <w:trHeight w:val="837"/>
        </w:trPr>
        <w:tc>
          <w:tcPr>
            <w:tcW w:w="3984"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B83410" w:rsidRPr="00C354A0" w:rsidRDefault="00B83410" w:rsidP="00B83410">
            <w:pPr>
              <w:jc w:val="center"/>
              <w:rPr>
                <w:b/>
                <w:bCs/>
                <w:color w:val="000000"/>
                <w:sz w:val="22"/>
                <w:szCs w:val="22"/>
                <w:lang w:val="es-GT" w:eastAsia="es-GT"/>
              </w:rPr>
            </w:pPr>
            <w:r w:rsidRPr="00C354A0">
              <w:rPr>
                <w:b/>
                <w:bCs/>
                <w:color w:val="000000"/>
                <w:sz w:val="22"/>
                <w:szCs w:val="22"/>
                <w:lang w:val="es-GT" w:eastAsia="es-GT"/>
              </w:rPr>
              <w:t>Evento Natural</w:t>
            </w:r>
          </w:p>
        </w:tc>
        <w:tc>
          <w:tcPr>
            <w:tcW w:w="993" w:type="dxa"/>
            <w:tcBorders>
              <w:top w:val="single" w:sz="8" w:space="0" w:color="auto"/>
              <w:left w:val="nil"/>
              <w:bottom w:val="single" w:sz="8" w:space="0" w:color="auto"/>
              <w:right w:val="single" w:sz="4" w:space="0" w:color="auto"/>
            </w:tcBorders>
            <w:shd w:val="clear" w:color="000000" w:fill="8DB4E2"/>
            <w:noWrap/>
            <w:vAlign w:val="center"/>
            <w:hideMark/>
          </w:tcPr>
          <w:p w:rsidR="00B83410" w:rsidRPr="00C354A0" w:rsidRDefault="00B83410" w:rsidP="00B83410">
            <w:pPr>
              <w:jc w:val="center"/>
              <w:rPr>
                <w:b/>
                <w:bCs/>
                <w:color w:val="000000"/>
                <w:sz w:val="22"/>
                <w:szCs w:val="22"/>
                <w:lang w:val="es-GT" w:eastAsia="es-GT"/>
              </w:rPr>
            </w:pPr>
            <w:r w:rsidRPr="00C354A0">
              <w:rPr>
                <w:b/>
                <w:bCs/>
                <w:color w:val="000000"/>
                <w:sz w:val="22"/>
                <w:szCs w:val="22"/>
                <w:lang w:val="es-GT" w:eastAsia="es-GT"/>
              </w:rPr>
              <w:t>Año</w:t>
            </w:r>
          </w:p>
        </w:tc>
        <w:tc>
          <w:tcPr>
            <w:tcW w:w="2268" w:type="dxa"/>
            <w:tcBorders>
              <w:top w:val="single" w:sz="8" w:space="0" w:color="auto"/>
              <w:left w:val="nil"/>
              <w:bottom w:val="single" w:sz="8" w:space="0" w:color="auto"/>
              <w:right w:val="nil"/>
            </w:tcBorders>
            <w:shd w:val="clear" w:color="000000" w:fill="8DB4E2"/>
            <w:vAlign w:val="center"/>
            <w:hideMark/>
          </w:tcPr>
          <w:p w:rsidR="00B83410" w:rsidRPr="00C354A0" w:rsidRDefault="00B83410" w:rsidP="00B83410">
            <w:pPr>
              <w:jc w:val="center"/>
              <w:rPr>
                <w:b/>
                <w:bCs/>
                <w:color w:val="000000"/>
                <w:sz w:val="22"/>
                <w:szCs w:val="22"/>
                <w:lang w:val="es-GT" w:eastAsia="es-GT"/>
              </w:rPr>
            </w:pPr>
            <w:r w:rsidRPr="00C354A0">
              <w:rPr>
                <w:b/>
                <w:bCs/>
                <w:color w:val="000000"/>
                <w:sz w:val="22"/>
                <w:szCs w:val="22"/>
                <w:lang w:val="es-GT" w:eastAsia="es-GT"/>
              </w:rPr>
              <w:t>Pérdidas en Millones de Quetzales</w:t>
            </w:r>
          </w:p>
        </w:tc>
        <w:tc>
          <w:tcPr>
            <w:tcW w:w="1984" w:type="dxa"/>
            <w:tcBorders>
              <w:top w:val="single" w:sz="8" w:space="0" w:color="auto"/>
              <w:left w:val="single" w:sz="4" w:space="0" w:color="auto"/>
              <w:bottom w:val="single" w:sz="8" w:space="0" w:color="auto"/>
              <w:right w:val="single" w:sz="8" w:space="0" w:color="auto"/>
            </w:tcBorders>
            <w:shd w:val="clear" w:color="000000" w:fill="8DB4E2"/>
            <w:vAlign w:val="center"/>
            <w:hideMark/>
          </w:tcPr>
          <w:p w:rsidR="00B83410" w:rsidRPr="00C354A0" w:rsidRDefault="00B83410" w:rsidP="00B83410">
            <w:pPr>
              <w:jc w:val="center"/>
              <w:rPr>
                <w:b/>
                <w:bCs/>
                <w:color w:val="000000"/>
                <w:sz w:val="22"/>
                <w:szCs w:val="22"/>
                <w:lang w:val="es-GT" w:eastAsia="es-GT"/>
              </w:rPr>
            </w:pPr>
            <w:r w:rsidRPr="00C354A0">
              <w:rPr>
                <w:b/>
                <w:bCs/>
                <w:color w:val="000000"/>
                <w:sz w:val="22"/>
                <w:szCs w:val="22"/>
                <w:lang w:val="es-GT" w:eastAsia="es-GT"/>
              </w:rPr>
              <w:t>Porcentaje de Impacto en el PIB</w:t>
            </w:r>
          </w:p>
        </w:tc>
      </w:tr>
      <w:tr w:rsidR="00C51B4E" w:rsidRPr="00C354A0" w:rsidTr="00C354A0">
        <w:trPr>
          <w:trHeight w:val="448"/>
        </w:trPr>
        <w:tc>
          <w:tcPr>
            <w:tcW w:w="3984" w:type="dxa"/>
            <w:tcBorders>
              <w:top w:val="nil"/>
              <w:left w:val="single" w:sz="8" w:space="0" w:color="auto"/>
              <w:bottom w:val="nil"/>
              <w:right w:val="single" w:sz="4" w:space="0" w:color="auto"/>
            </w:tcBorders>
            <w:shd w:val="clear" w:color="auto" w:fill="auto"/>
            <w:vAlign w:val="bottom"/>
            <w:hideMark/>
          </w:tcPr>
          <w:p w:rsidR="00B83410" w:rsidRPr="00C354A0" w:rsidRDefault="00B83410" w:rsidP="00B83410">
            <w:pPr>
              <w:rPr>
                <w:color w:val="000000"/>
                <w:sz w:val="22"/>
                <w:szCs w:val="22"/>
                <w:lang w:val="es-GT" w:eastAsia="es-GT"/>
              </w:rPr>
            </w:pPr>
            <w:r w:rsidRPr="00C354A0">
              <w:rPr>
                <w:color w:val="000000"/>
                <w:sz w:val="22"/>
                <w:szCs w:val="22"/>
                <w:lang w:val="es-GT" w:eastAsia="es-GT"/>
              </w:rPr>
              <w:t>Huracán Stan</w:t>
            </w:r>
          </w:p>
        </w:tc>
        <w:tc>
          <w:tcPr>
            <w:tcW w:w="993" w:type="dxa"/>
            <w:tcBorders>
              <w:top w:val="nil"/>
              <w:left w:val="nil"/>
              <w:bottom w:val="nil"/>
              <w:right w:val="single" w:sz="4" w:space="0" w:color="auto"/>
            </w:tcBorders>
            <w:shd w:val="clear" w:color="auto" w:fill="auto"/>
            <w:noWrap/>
            <w:vAlign w:val="bottom"/>
            <w:hideMark/>
          </w:tcPr>
          <w:p w:rsidR="00B83410" w:rsidRPr="00C354A0" w:rsidRDefault="00B83410" w:rsidP="00B83410">
            <w:pPr>
              <w:jc w:val="center"/>
              <w:rPr>
                <w:color w:val="000000"/>
                <w:sz w:val="22"/>
                <w:szCs w:val="22"/>
                <w:lang w:val="es-GT" w:eastAsia="es-GT"/>
              </w:rPr>
            </w:pPr>
            <w:r w:rsidRPr="00C354A0">
              <w:rPr>
                <w:color w:val="000000"/>
                <w:sz w:val="22"/>
                <w:szCs w:val="22"/>
                <w:lang w:val="es-GT" w:eastAsia="es-GT"/>
              </w:rPr>
              <w:t>2005</w:t>
            </w:r>
          </w:p>
        </w:tc>
        <w:tc>
          <w:tcPr>
            <w:tcW w:w="2268" w:type="dxa"/>
            <w:tcBorders>
              <w:top w:val="nil"/>
              <w:left w:val="single" w:sz="4" w:space="0" w:color="auto"/>
              <w:bottom w:val="nil"/>
              <w:right w:val="nil"/>
            </w:tcBorders>
            <w:shd w:val="clear" w:color="auto" w:fill="auto"/>
            <w:noWrap/>
            <w:vAlign w:val="bottom"/>
            <w:hideMark/>
          </w:tcPr>
          <w:p w:rsidR="00B83410" w:rsidRPr="00C354A0" w:rsidRDefault="00B83410" w:rsidP="00B83410">
            <w:pPr>
              <w:jc w:val="right"/>
              <w:rPr>
                <w:color w:val="000000"/>
                <w:sz w:val="22"/>
                <w:szCs w:val="22"/>
                <w:lang w:val="es-GT" w:eastAsia="es-GT"/>
              </w:rPr>
            </w:pPr>
            <w:r w:rsidRPr="00C354A0">
              <w:rPr>
                <w:color w:val="000000"/>
                <w:sz w:val="22"/>
                <w:szCs w:val="22"/>
                <w:lang w:val="es-GT" w:eastAsia="es-GT"/>
              </w:rPr>
              <w:t>7,511.2</w:t>
            </w:r>
          </w:p>
        </w:tc>
        <w:tc>
          <w:tcPr>
            <w:tcW w:w="1984" w:type="dxa"/>
            <w:tcBorders>
              <w:top w:val="nil"/>
              <w:left w:val="single" w:sz="4" w:space="0" w:color="auto"/>
              <w:bottom w:val="nil"/>
              <w:right w:val="single" w:sz="8" w:space="0" w:color="auto"/>
            </w:tcBorders>
            <w:shd w:val="clear" w:color="auto" w:fill="auto"/>
            <w:noWrap/>
            <w:vAlign w:val="bottom"/>
            <w:hideMark/>
          </w:tcPr>
          <w:p w:rsidR="00B83410" w:rsidRPr="00C354A0" w:rsidRDefault="00B83410" w:rsidP="007916D8">
            <w:pPr>
              <w:jc w:val="center"/>
              <w:rPr>
                <w:color w:val="000000"/>
                <w:sz w:val="22"/>
                <w:szCs w:val="22"/>
                <w:lang w:val="es-GT" w:eastAsia="es-GT"/>
              </w:rPr>
            </w:pPr>
            <w:r w:rsidRPr="00C354A0">
              <w:rPr>
                <w:color w:val="000000"/>
                <w:sz w:val="22"/>
                <w:szCs w:val="22"/>
                <w:lang w:val="es-GT" w:eastAsia="es-GT"/>
              </w:rPr>
              <w:t>3.4</w:t>
            </w:r>
          </w:p>
        </w:tc>
      </w:tr>
      <w:tr w:rsidR="00C51B4E" w:rsidRPr="00C354A0" w:rsidTr="00C354A0">
        <w:trPr>
          <w:trHeight w:val="448"/>
        </w:trPr>
        <w:tc>
          <w:tcPr>
            <w:tcW w:w="3984" w:type="dxa"/>
            <w:tcBorders>
              <w:top w:val="nil"/>
              <w:left w:val="single" w:sz="8" w:space="0" w:color="auto"/>
              <w:bottom w:val="nil"/>
              <w:right w:val="single" w:sz="4" w:space="0" w:color="auto"/>
            </w:tcBorders>
            <w:shd w:val="clear" w:color="auto" w:fill="auto"/>
            <w:vAlign w:val="bottom"/>
            <w:hideMark/>
          </w:tcPr>
          <w:p w:rsidR="00B83410" w:rsidRPr="00C354A0" w:rsidRDefault="00B83410" w:rsidP="00B83410">
            <w:pPr>
              <w:rPr>
                <w:color w:val="000000"/>
                <w:sz w:val="22"/>
                <w:szCs w:val="22"/>
                <w:lang w:val="es-GT" w:eastAsia="es-GT"/>
              </w:rPr>
            </w:pPr>
            <w:r w:rsidRPr="00C354A0">
              <w:rPr>
                <w:color w:val="000000"/>
                <w:sz w:val="22"/>
                <w:szCs w:val="22"/>
                <w:lang w:val="es-GT" w:eastAsia="es-GT"/>
              </w:rPr>
              <w:t>Tormenta Tropical Agatha y Erupción del Volcán de Pacaya</w:t>
            </w:r>
          </w:p>
        </w:tc>
        <w:tc>
          <w:tcPr>
            <w:tcW w:w="993" w:type="dxa"/>
            <w:tcBorders>
              <w:top w:val="nil"/>
              <w:left w:val="nil"/>
              <w:bottom w:val="nil"/>
              <w:right w:val="single" w:sz="4" w:space="0" w:color="auto"/>
            </w:tcBorders>
            <w:shd w:val="clear" w:color="auto" w:fill="auto"/>
            <w:noWrap/>
            <w:vAlign w:val="bottom"/>
            <w:hideMark/>
          </w:tcPr>
          <w:p w:rsidR="00B83410" w:rsidRPr="00C354A0" w:rsidRDefault="00B83410" w:rsidP="00B83410">
            <w:pPr>
              <w:jc w:val="center"/>
              <w:rPr>
                <w:color w:val="000000"/>
                <w:sz w:val="22"/>
                <w:szCs w:val="22"/>
                <w:lang w:val="es-GT" w:eastAsia="es-GT"/>
              </w:rPr>
            </w:pPr>
            <w:r w:rsidRPr="00C354A0">
              <w:rPr>
                <w:color w:val="000000"/>
                <w:sz w:val="22"/>
                <w:szCs w:val="22"/>
                <w:lang w:val="es-GT" w:eastAsia="es-GT"/>
              </w:rPr>
              <w:t>2010</w:t>
            </w:r>
          </w:p>
        </w:tc>
        <w:tc>
          <w:tcPr>
            <w:tcW w:w="2268" w:type="dxa"/>
            <w:tcBorders>
              <w:top w:val="nil"/>
              <w:left w:val="single" w:sz="4" w:space="0" w:color="auto"/>
              <w:bottom w:val="nil"/>
              <w:right w:val="nil"/>
            </w:tcBorders>
            <w:shd w:val="clear" w:color="auto" w:fill="auto"/>
            <w:noWrap/>
            <w:vAlign w:val="bottom"/>
            <w:hideMark/>
          </w:tcPr>
          <w:p w:rsidR="00B83410" w:rsidRPr="00C354A0" w:rsidRDefault="00B83410" w:rsidP="00B83410">
            <w:pPr>
              <w:jc w:val="right"/>
              <w:rPr>
                <w:color w:val="000000"/>
                <w:sz w:val="22"/>
                <w:szCs w:val="22"/>
                <w:lang w:val="es-GT" w:eastAsia="es-GT"/>
              </w:rPr>
            </w:pPr>
            <w:r w:rsidRPr="00C354A0">
              <w:rPr>
                <w:color w:val="000000"/>
                <w:sz w:val="22"/>
                <w:szCs w:val="22"/>
                <w:lang w:val="es-GT" w:eastAsia="es-GT"/>
              </w:rPr>
              <w:t>7,855.7</w:t>
            </w:r>
          </w:p>
        </w:tc>
        <w:tc>
          <w:tcPr>
            <w:tcW w:w="1984" w:type="dxa"/>
            <w:tcBorders>
              <w:top w:val="nil"/>
              <w:left w:val="single" w:sz="4" w:space="0" w:color="auto"/>
              <w:bottom w:val="nil"/>
              <w:right w:val="single" w:sz="8" w:space="0" w:color="auto"/>
            </w:tcBorders>
            <w:shd w:val="clear" w:color="auto" w:fill="auto"/>
            <w:noWrap/>
            <w:vAlign w:val="bottom"/>
            <w:hideMark/>
          </w:tcPr>
          <w:p w:rsidR="00B83410" w:rsidRPr="00C354A0" w:rsidRDefault="00B83410" w:rsidP="007916D8">
            <w:pPr>
              <w:jc w:val="center"/>
              <w:rPr>
                <w:color w:val="000000"/>
                <w:sz w:val="22"/>
                <w:szCs w:val="22"/>
                <w:lang w:val="es-GT" w:eastAsia="es-GT"/>
              </w:rPr>
            </w:pPr>
            <w:r w:rsidRPr="00C354A0">
              <w:rPr>
                <w:color w:val="000000"/>
                <w:sz w:val="22"/>
                <w:szCs w:val="22"/>
                <w:lang w:val="es-GT" w:eastAsia="es-GT"/>
              </w:rPr>
              <w:t>2.6</w:t>
            </w:r>
          </w:p>
        </w:tc>
      </w:tr>
      <w:tr w:rsidR="00C51B4E" w:rsidRPr="00C354A0" w:rsidTr="00C354A0">
        <w:trPr>
          <w:trHeight w:val="448"/>
        </w:trPr>
        <w:tc>
          <w:tcPr>
            <w:tcW w:w="3984" w:type="dxa"/>
            <w:tcBorders>
              <w:top w:val="nil"/>
              <w:left w:val="single" w:sz="8" w:space="0" w:color="auto"/>
              <w:bottom w:val="nil"/>
              <w:right w:val="single" w:sz="4" w:space="0" w:color="auto"/>
            </w:tcBorders>
            <w:shd w:val="clear" w:color="auto" w:fill="auto"/>
            <w:vAlign w:val="bottom"/>
            <w:hideMark/>
          </w:tcPr>
          <w:p w:rsidR="00B83410" w:rsidRPr="00C354A0" w:rsidRDefault="00B83410" w:rsidP="00B83410">
            <w:pPr>
              <w:rPr>
                <w:color w:val="000000"/>
                <w:sz w:val="22"/>
                <w:szCs w:val="22"/>
                <w:lang w:val="es-GT" w:eastAsia="es-GT"/>
              </w:rPr>
            </w:pPr>
            <w:r w:rsidRPr="00C354A0">
              <w:rPr>
                <w:color w:val="000000"/>
                <w:sz w:val="22"/>
                <w:szCs w:val="22"/>
                <w:lang w:val="es-GT" w:eastAsia="es-GT"/>
              </w:rPr>
              <w:t>Terremoto de San Marcos</w:t>
            </w:r>
          </w:p>
        </w:tc>
        <w:tc>
          <w:tcPr>
            <w:tcW w:w="993" w:type="dxa"/>
            <w:tcBorders>
              <w:top w:val="nil"/>
              <w:left w:val="nil"/>
              <w:bottom w:val="nil"/>
              <w:right w:val="single" w:sz="4" w:space="0" w:color="auto"/>
            </w:tcBorders>
            <w:shd w:val="clear" w:color="auto" w:fill="auto"/>
            <w:noWrap/>
            <w:vAlign w:val="bottom"/>
            <w:hideMark/>
          </w:tcPr>
          <w:p w:rsidR="00B83410" w:rsidRPr="00C354A0" w:rsidRDefault="00B83410" w:rsidP="00B83410">
            <w:pPr>
              <w:jc w:val="center"/>
              <w:rPr>
                <w:color w:val="000000"/>
                <w:sz w:val="22"/>
                <w:szCs w:val="22"/>
                <w:lang w:val="es-GT" w:eastAsia="es-GT"/>
              </w:rPr>
            </w:pPr>
            <w:r w:rsidRPr="00C354A0">
              <w:rPr>
                <w:color w:val="000000"/>
                <w:sz w:val="22"/>
                <w:szCs w:val="22"/>
                <w:lang w:val="es-GT" w:eastAsia="es-GT"/>
              </w:rPr>
              <w:t>2012</w:t>
            </w:r>
          </w:p>
        </w:tc>
        <w:tc>
          <w:tcPr>
            <w:tcW w:w="2268" w:type="dxa"/>
            <w:tcBorders>
              <w:top w:val="nil"/>
              <w:left w:val="single" w:sz="4" w:space="0" w:color="auto"/>
              <w:bottom w:val="nil"/>
              <w:right w:val="nil"/>
            </w:tcBorders>
            <w:shd w:val="clear" w:color="auto" w:fill="auto"/>
            <w:noWrap/>
            <w:vAlign w:val="bottom"/>
            <w:hideMark/>
          </w:tcPr>
          <w:p w:rsidR="00B83410" w:rsidRPr="00C354A0" w:rsidRDefault="00B83410" w:rsidP="00B83410">
            <w:pPr>
              <w:jc w:val="right"/>
              <w:rPr>
                <w:color w:val="000000"/>
                <w:sz w:val="22"/>
                <w:szCs w:val="22"/>
                <w:lang w:val="es-GT" w:eastAsia="es-GT"/>
              </w:rPr>
            </w:pPr>
            <w:r w:rsidRPr="00C354A0">
              <w:rPr>
                <w:color w:val="000000"/>
                <w:sz w:val="22"/>
                <w:szCs w:val="22"/>
                <w:lang w:val="es-GT" w:eastAsia="es-GT"/>
              </w:rPr>
              <w:t>18.9</w:t>
            </w:r>
          </w:p>
        </w:tc>
        <w:tc>
          <w:tcPr>
            <w:tcW w:w="1984" w:type="dxa"/>
            <w:tcBorders>
              <w:top w:val="nil"/>
              <w:left w:val="single" w:sz="4" w:space="0" w:color="auto"/>
              <w:bottom w:val="nil"/>
              <w:right w:val="single" w:sz="8" w:space="0" w:color="auto"/>
            </w:tcBorders>
            <w:shd w:val="clear" w:color="auto" w:fill="auto"/>
            <w:noWrap/>
            <w:vAlign w:val="bottom"/>
            <w:hideMark/>
          </w:tcPr>
          <w:p w:rsidR="00B83410" w:rsidRPr="00C354A0" w:rsidRDefault="00B83410" w:rsidP="007916D8">
            <w:pPr>
              <w:jc w:val="center"/>
              <w:rPr>
                <w:color w:val="000000"/>
                <w:sz w:val="22"/>
                <w:szCs w:val="22"/>
                <w:lang w:val="es-GT" w:eastAsia="es-GT"/>
              </w:rPr>
            </w:pPr>
            <w:r w:rsidRPr="00C354A0">
              <w:rPr>
                <w:color w:val="000000"/>
                <w:sz w:val="22"/>
                <w:szCs w:val="22"/>
                <w:lang w:val="es-GT" w:eastAsia="es-GT"/>
              </w:rPr>
              <w:t>0.3</w:t>
            </w:r>
          </w:p>
        </w:tc>
      </w:tr>
      <w:tr w:rsidR="00C51B4E" w:rsidRPr="00C354A0" w:rsidTr="00C354A0">
        <w:trPr>
          <w:trHeight w:val="448"/>
        </w:trPr>
        <w:tc>
          <w:tcPr>
            <w:tcW w:w="3984" w:type="dxa"/>
            <w:tcBorders>
              <w:top w:val="nil"/>
              <w:left w:val="single" w:sz="8" w:space="0" w:color="auto"/>
              <w:bottom w:val="nil"/>
              <w:right w:val="single" w:sz="4" w:space="0" w:color="auto"/>
            </w:tcBorders>
            <w:shd w:val="clear" w:color="auto" w:fill="auto"/>
            <w:vAlign w:val="bottom"/>
            <w:hideMark/>
          </w:tcPr>
          <w:p w:rsidR="00B83410" w:rsidRPr="00C354A0" w:rsidRDefault="00B83410" w:rsidP="00B83410">
            <w:pPr>
              <w:rPr>
                <w:color w:val="000000"/>
                <w:sz w:val="22"/>
                <w:szCs w:val="22"/>
                <w:lang w:val="es-GT" w:eastAsia="es-GT"/>
              </w:rPr>
            </w:pPr>
            <w:r w:rsidRPr="00C354A0">
              <w:rPr>
                <w:color w:val="000000"/>
                <w:sz w:val="22"/>
                <w:szCs w:val="22"/>
                <w:lang w:val="es-GT" w:eastAsia="es-GT"/>
              </w:rPr>
              <w:t>Erupción del Volcán de Fuego</w:t>
            </w:r>
          </w:p>
        </w:tc>
        <w:tc>
          <w:tcPr>
            <w:tcW w:w="993" w:type="dxa"/>
            <w:tcBorders>
              <w:top w:val="nil"/>
              <w:left w:val="nil"/>
              <w:bottom w:val="nil"/>
              <w:right w:val="single" w:sz="4" w:space="0" w:color="auto"/>
            </w:tcBorders>
            <w:shd w:val="clear" w:color="auto" w:fill="auto"/>
            <w:noWrap/>
            <w:vAlign w:val="bottom"/>
            <w:hideMark/>
          </w:tcPr>
          <w:p w:rsidR="00B83410" w:rsidRPr="00C354A0" w:rsidRDefault="00B83410" w:rsidP="00B83410">
            <w:pPr>
              <w:jc w:val="center"/>
              <w:rPr>
                <w:color w:val="000000"/>
                <w:sz w:val="22"/>
                <w:szCs w:val="22"/>
                <w:lang w:val="es-GT" w:eastAsia="es-GT"/>
              </w:rPr>
            </w:pPr>
            <w:r w:rsidRPr="00C354A0">
              <w:rPr>
                <w:color w:val="000000"/>
                <w:sz w:val="22"/>
                <w:szCs w:val="22"/>
                <w:lang w:val="es-GT" w:eastAsia="es-GT"/>
              </w:rPr>
              <w:t>2018</w:t>
            </w:r>
          </w:p>
        </w:tc>
        <w:tc>
          <w:tcPr>
            <w:tcW w:w="2268" w:type="dxa"/>
            <w:tcBorders>
              <w:top w:val="nil"/>
              <w:left w:val="single" w:sz="4" w:space="0" w:color="auto"/>
              <w:bottom w:val="nil"/>
              <w:right w:val="nil"/>
            </w:tcBorders>
            <w:shd w:val="clear" w:color="auto" w:fill="auto"/>
            <w:noWrap/>
            <w:vAlign w:val="bottom"/>
            <w:hideMark/>
          </w:tcPr>
          <w:p w:rsidR="00B83410" w:rsidRPr="00C354A0" w:rsidRDefault="00B83410" w:rsidP="00B83410">
            <w:pPr>
              <w:jc w:val="right"/>
              <w:rPr>
                <w:color w:val="000000"/>
                <w:sz w:val="22"/>
                <w:szCs w:val="22"/>
                <w:lang w:val="es-GT" w:eastAsia="es-GT"/>
              </w:rPr>
            </w:pPr>
            <w:r w:rsidRPr="00C354A0">
              <w:rPr>
                <w:color w:val="000000"/>
                <w:sz w:val="22"/>
                <w:szCs w:val="22"/>
                <w:lang w:val="es-GT" w:eastAsia="es-GT"/>
              </w:rPr>
              <w:t>218.4</w:t>
            </w:r>
          </w:p>
        </w:tc>
        <w:tc>
          <w:tcPr>
            <w:tcW w:w="1984" w:type="dxa"/>
            <w:tcBorders>
              <w:top w:val="nil"/>
              <w:left w:val="single" w:sz="4" w:space="0" w:color="auto"/>
              <w:bottom w:val="nil"/>
              <w:right w:val="single" w:sz="8" w:space="0" w:color="auto"/>
            </w:tcBorders>
            <w:shd w:val="clear" w:color="auto" w:fill="auto"/>
            <w:noWrap/>
            <w:vAlign w:val="bottom"/>
            <w:hideMark/>
          </w:tcPr>
          <w:p w:rsidR="00B83410" w:rsidRPr="00C354A0" w:rsidRDefault="00B83410" w:rsidP="007916D8">
            <w:pPr>
              <w:jc w:val="center"/>
              <w:rPr>
                <w:color w:val="000000"/>
                <w:sz w:val="22"/>
                <w:szCs w:val="22"/>
                <w:lang w:val="es-GT" w:eastAsia="es-GT"/>
              </w:rPr>
            </w:pPr>
            <w:r w:rsidRPr="00C354A0">
              <w:rPr>
                <w:color w:val="000000"/>
                <w:sz w:val="22"/>
                <w:szCs w:val="22"/>
                <w:lang w:val="es-GT" w:eastAsia="es-GT"/>
              </w:rPr>
              <w:t>0.3</w:t>
            </w:r>
          </w:p>
        </w:tc>
      </w:tr>
      <w:tr w:rsidR="00C51B4E" w:rsidRPr="00C354A0" w:rsidTr="00C354A0">
        <w:trPr>
          <w:trHeight w:val="448"/>
        </w:trPr>
        <w:tc>
          <w:tcPr>
            <w:tcW w:w="3984" w:type="dxa"/>
            <w:tcBorders>
              <w:top w:val="nil"/>
              <w:left w:val="single" w:sz="8" w:space="0" w:color="auto"/>
              <w:bottom w:val="single" w:sz="8" w:space="0" w:color="auto"/>
              <w:right w:val="single" w:sz="4" w:space="0" w:color="auto"/>
            </w:tcBorders>
            <w:shd w:val="clear" w:color="auto" w:fill="auto"/>
            <w:vAlign w:val="bottom"/>
            <w:hideMark/>
          </w:tcPr>
          <w:p w:rsidR="00B83410" w:rsidRPr="00C354A0" w:rsidRDefault="00B83410" w:rsidP="00B83410">
            <w:pPr>
              <w:rPr>
                <w:color w:val="000000"/>
                <w:sz w:val="22"/>
                <w:szCs w:val="22"/>
                <w:lang w:val="es-GT" w:eastAsia="es-GT"/>
              </w:rPr>
            </w:pPr>
            <w:r w:rsidRPr="00C354A0">
              <w:rPr>
                <w:color w:val="000000"/>
                <w:sz w:val="22"/>
                <w:szCs w:val="22"/>
                <w:lang w:val="es-GT" w:eastAsia="es-GT"/>
              </w:rPr>
              <w:t>Depresiones Tropicales Eta e Iota</w:t>
            </w:r>
          </w:p>
        </w:tc>
        <w:tc>
          <w:tcPr>
            <w:tcW w:w="993" w:type="dxa"/>
            <w:tcBorders>
              <w:top w:val="nil"/>
              <w:left w:val="nil"/>
              <w:bottom w:val="single" w:sz="8" w:space="0" w:color="auto"/>
              <w:right w:val="single" w:sz="4" w:space="0" w:color="auto"/>
            </w:tcBorders>
            <w:shd w:val="clear" w:color="auto" w:fill="auto"/>
            <w:noWrap/>
            <w:vAlign w:val="bottom"/>
            <w:hideMark/>
          </w:tcPr>
          <w:p w:rsidR="00B83410" w:rsidRPr="00C354A0" w:rsidRDefault="00B83410" w:rsidP="00B83410">
            <w:pPr>
              <w:jc w:val="center"/>
              <w:rPr>
                <w:color w:val="000000"/>
                <w:sz w:val="22"/>
                <w:szCs w:val="22"/>
                <w:lang w:val="es-GT" w:eastAsia="es-GT"/>
              </w:rPr>
            </w:pPr>
            <w:r w:rsidRPr="00C354A0">
              <w:rPr>
                <w:color w:val="000000"/>
                <w:sz w:val="22"/>
                <w:szCs w:val="22"/>
                <w:lang w:val="es-GT" w:eastAsia="es-GT"/>
              </w:rPr>
              <w:t>2020</w:t>
            </w:r>
          </w:p>
        </w:tc>
        <w:tc>
          <w:tcPr>
            <w:tcW w:w="2268" w:type="dxa"/>
            <w:tcBorders>
              <w:top w:val="nil"/>
              <w:left w:val="single" w:sz="4" w:space="0" w:color="auto"/>
              <w:bottom w:val="single" w:sz="8" w:space="0" w:color="auto"/>
              <w:right w:val="nil"/>
            </w:tcBorders>
            <w:shd w:val="clear" w:color="auto" w:fill="auto"/>
            <w:noWrap/>
            <w:vAlign w:val="bottom"/>
            <w:hideMark/>
          </w:tcPr>
          <w:p w:rsidR="00B83410" w:rsidRPr="00C354A0" w:rsidRDefault="00B83410" w:rsidP="00B83410">
            <w:pPr>
              <w:jc w:val="right"/>
              <w:rPr>
                <w:color w:val="000000"/>
                <w:sz w:val="22"/>
                <w:szCs w:val="22"/>
                <w:lang w:val="es-GT" w:eastAsia="es-GT"/>
              </w:rPr>
            </w:pPr>
            <w:r w:rsidRPr="00C354A0">
              <w:rPr>
                <w:color w:val="000000"/>
                <w:sz w:val="22"/>
                <w:szCs w:val="22"/>
                <w:lang w:val="es-GT" w:eastAsia="es-GT"/>
              </w:rPr>
              <w:t>5,597.0</w:t>
            </w:r>
          </w:p>
        </w:tc>
        <w:tc>
          <w:tcPr>
            <w:tcW w:w="1984" w:type="dxa"/>
            <w:tcBorders>
              <w:top w:val="nil"/>
              <w:left w:val="single" w:sz="4" w:space="0" w:color="auto"/>
              <w:bottom w:val="single" w:sz="8" w:space="0" w:color="auto"/>
              <w:right w:val="single" w:sz="8" w:space="0" w:color="auto"/>
            </w:tcBorders>
            <w:shd w:val="clear" w:color="auto" w:fill="auto"/>
            <w:noWrap/>
            <w:vAlign w:val="bottom"/>
            <w:hideMark/>
          </w:tcPr>
          <w:p w:rsidR="00B83410" w:rsidRPr="00C354A0" w:rsidRDefault="00B83410" w:rsidP="007916D8">
            <w:pPr>
              <w:jc w:val="center"/>
              <w:rPr>
                <w:color w:val="000000"/>
                <w:sz w:val="22"/>
                <w:szCs w:val="22"/>
                <w:lang w:val="es-GT" w:eastAsia="es-GT"/>
              </w:rPr>
            </w:pPr>
            <w:r w:rsidRPr="00C354A0">
              <w:rPr>
                <w:color w:val="000000"/>
                <w:sz w:val="22"/>
                <w:szCs w:val="22"/>
                <w:lang w:val="es-GT" w:eastAsia="es-GT"/>
              </w:rPr>
              <w:t>0.1</w:t>
            </w:r>
          </w:p>
        </w:tc>
      </w:tr>
    </w:tbl>
    <w:p w:rsidR="00480617" w:rsidRDefault="00480617" w:rsidP="00480617">
      <w:pPr>
        <w:rPr>
          <w:sz w:val="18"/>
        </w:rPr>
      </w:pPr>
      <w:r w:rsidRPr="00C51B4E">
        <w:rPr>
          <w:sz w:val="18"/>
        </w:rPr>
        <w:t xml:space="preserve">Fuente: </w:t>
      </w:r>
      <w:r w:rsidR="00C51B4E">
        <w:rPr>
          <w:sz w:val="18"/>
        </w:rPr>
        <w:t>Informe General de la República 2020</w:t>
      </w:r>
      <w:r w:rsidRPr="00C51B4E">
        <w:rPr>
          <w:sz w:val="18"/>
        </w:rPr>
        <w:t>.</w:t>
      </w:r>
    </w:p>
    <w:p w:rsidR="00DE63EE" w:rsidRDefault="00DE63EE" w:rsidP="00480617"/>
    <w:p w:rsidR="00A80FF3" w:rsidRDefault="00A80FF3" w:rsidP="00480617"/>
    <w:p w:rsidR="00A80FF3" w:rsidRPr="00C51B4E" w:rsidRDefault="00A80FF3" w:rsidP="00480617"/>
    <w:p w:rsidR="008B418F" w:rsidRPr="00124AD6" w:rsidRDefault="008B418F" w:rsidP="008B418F">
      <w:pPr>
        <w:jc w:val="center"/>
        <w:rPr>
          <w:b/>
        </w:rPr>
      </w:pPr>
      <w:r w:rsidRPr="00124AD6">
        <w:rPr>
          <w:b/>
        </w:rPr>
        <w:t xml:space="preserve">Cuadro </w:t>
      </w:r>
      <w:r w:rsidR="00FE730A">
        <w:rPr>
          <w:b/>
        </w:rPr>
        <w:t>1</w:t>
      </w:r>
      <w:r w:rsidR="00A861C2">
        <w:rPr>
          <w:b/>
        </w:rPr>
        <w:t>8</w:t>
      </w:r>
    </w:p>
    <w:p w:rsidR="008B418F" w:rsidRPr="00124AD6" w:rsidRDefault="00DE63EE" w:rsidP="008B418F">
      <w:pPr>
        <w:jc w:val="center"/>
        <w:rPr>
          <w:b/>
        </w:rPr>
      </w:pPr>
      <w:r>
        <w:rPr>
          <w:b/>
        </w:rPr>
        <w:t>Proyectos de Inversión por Categorías de Construcción</w:t>
      </w:r>
    </w:p>
    <w:p w:rsidR="00A7285A" w:rsidRDefault="008B418F" w:rsidP="003E5087">
      <w:pPr>
        <w:jc w:val="center"/>
        <w:rPr>
          <w:b/>
        </w:rPr>
      </w:pPr>
      <w:r>
        <w:rPr>
          <w:b/>
        </w:rPr>
        <w:t>Ejercicio Fiscal 20</w:t>
      </w:r>
      <w:r w:rsidR="00DE63EE">
        <w:rPr>
          <w:b/>
        </w:rPr>
        <w:t>20</w:t>
      </w:r>
    </w:p>
    <w:tbl>
      <w:tblPr>
        <w:tblW w:w="9235" w:type="dxa"/>
        <w:tblInd w:w="55" w:type="dxa"/>
        <w:tblCellMar>
          <w:left w:w="70" w:type="dxa"/>
          <w:right w:w="70" w:type="dxa"/>
        </w:tblCellMar>
        <w:tblLook w:val="04A0" w:firstRow="1" w:lastRow="0" w:firstColumn="1" w:lastColumn="0" w:noHBand="0" w:noVBand="1"/>
      </w:tblPr>
      <w:tblGrid>
        <w:gridCol w:w="4410"/>
        <w:gridCol w:w="1275"/>
        <w:gridCol w:w="1843"/>
        <w:gridCol w:w="1707"/>
      </w:tblGrid>
      <w:tr w:rsidR="00DE63EE" w:rsidRPr="00C354A0" w:rsidTr="00A80FF3">
        <w:trPr>
          <w:trHeight w:val="1252"/>
        </w:trPr>
        <w:tc>
          <w:tcPr>
            <w:tcW w:w="4410"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DE63EE" w:rsidRPr="00C354A0" w:rsidRDefault="00DE63EE" w:rsidP="00DE63EE">
            <w:pPr>
              <w:jc w:val="center"/>
              <w:rPr>
                <w:b/>
                <w:bCs/>
                <w:color w:val="000000"/>
                <w:sz w:val="22"/>
                <w:szCs w:val="22"/>
                <w:lang w:val="es-GT" w:eastAsia="es-GT"/>
              </w:rPr>
            </w:pPr>
            <w:r w:rsidRPr="00C354A0">
              <w:rPr>
                <w:b/>
                <w:bCs/>
                <w:color w:val="000000"/>
                <w:sz w:val="22"/>
                <w:szCs w:val="22"/>
                <w:lang w:val="es-GT" w:eastAsia="es-GT"/>
              </w:rPr>
              <w:t>Descripción</w:t>
            </w:r>
          </w:p>
        </w:tc>
        <w:tc>
          <w:tcPr>
            <w:tcW w:w="1275" w:type="dxa"/>
            <w:tcBorders>
              <w:top w:val="single" w:sz="8" w:space="0" w:color="auto"/>
              <w:left w:val="nil"/>
              <w:bottom w:val="single" w:sz="8" w:space="0" w:color="auto"/>
              <w:right w:val="single" w:sz="4" w:space="0" w:color="auto"/>
            </w:tcBorders>
            <w:shd w:val="clear" w:color="000000" w:fill="8DB4E2"/>
            <w:noWrap/>
            <w:vAlign w:val="center"/>
            <w:hideMark/>
          </w:tcPr>
          <w:p w:rsidR="00DE63EE" w:rsidRPr="00C354A0" w:rsidRDefault="00DE63EE" w:rsidP="00DE63EE">
            <w:pPr>
              <w:jc w:val="center"/>
              <w:rPr>
                <w:b/>
                <w:bCs/>
                <w:color w:val="000000"/>
                <w:sz w:val="22"/>
                <w:szCs w:val="22"/>
                <w:lang w:val="es-GT" w:eastAsia="es-GT"/>
              </w:rPr>
            </w:pPr>
            <w:r w:rsidRPr="00C354A0">
              <w:rPr>
                <w:b/>
                <w:bCs/>
                <w:color w:val="000000"/>
                <w:sz w:val="22"/>
                <w:szCs w:val="22"/>
                <w:lang w:val="es-GT" w:eastAsia="es-GT"/>
              </w:rPr>
              <w:t>Proyectos</w:t>
            </w:r>
          </w:p>
        </w:tc>
        <w:tc>
          <w:tcPr>
            <w:tcW w:w="1843" w:type="dxa"/>
            <w:tcBorders>
              <w:top w:val="single" w:sz="8" w:space="0" w:color="auto"/>
              <w:left w:val="single" w:sz="4" w:space="0" w:color="auto"/>
              <w:bottom w:val="single" w:sz="8" w:space="0" w:color="auto"/>
              <w:right w:val="nil"/>
            </w:tcBorders>
            <w:shd w:val="clear" w:color="000000" w:fill="8DB4E2"/>
            <w:vAlign w:val="center"/>
            <w:hideMark/>
          </w:tcPr>
          <w:p w:rsidR="00DE63EE" w:rsidRPr="00C354A0" w:rsidRDefault="00DE63EE" w:rsidP="00DE63EE">
            <w:pPr>
              <w:jc w:val="center"/>
              <w:rPr>
                <w:b/>
                <w:bCs/>
                <w:color w:val="000000"/>
                <w:sz w:val="22"/>
                <w:szCs w:val="22"/>
                <w:lang w:val="es-GT" w:eastAsia="es-GT"/>
              </w:rPr>
            </w:pPr>
            <w:r w:rsidRPr="00C354A0">
              <w:rPr>
                <w:b/>
                <w:bCs/>
                <w:color w:val="000000"/>
                <w:sz w:val="22"/>
                <w:szCs w:val="22"/>
                <w:lang w:val="es-GT" w:eastAsia="es-GT"/>
              </w:rPr>
              <w:t>Monto Asignado en Millones de Quetzales</w:t>
            </w:r>
          </w:p>
        </w:tc>
        <w:tc>
          <w:tcPr>
            <w:tcW w:w="1707" w:type="dxa"/>
            <w:tcBorders>
              <w:top w:val="single" w:sz="8" w:space="0" w:color="auto"/>
              <w:left w:val="single" w:sz="4" w:space="0" w:color="auto"/>
              <w:bottom w:val="single" w:sz="8" w:space="0" w:color="auto"/>
              <w:right w:val="single" w:sz="8" w:space="0" w:color="auto"/>
            </w:tcBorders>
            <w:shd w:val="clear" w:color="000000" w:fill="8DB4E2"/>
            <w:vAlign w:val="center"/>
            <w:hideMark/>
          </w:tcPr>
          <w:p w:rsidR="00DE63EE" w:rsidRPr="00C354A0" w:rsidRDefault="00DE63EE" w:rsidP="00DE63EE">
            <w:pPr>
              <w:jc w:val="center"/>
              <w:rPr>
                <w:b/>
                <w:bCs/>
                <w:color w:val="000000"/>
                <w:sz w:val="22"/>
                <w:szCs w:val="22"/>
                <w:lang w:val="es-GT" w:eastAsia="es-GT"/>
              </w:rPr>
            </w:pPr>
            <w:r w:rsidRPr="00C354A0">
              <w:rPr>
                <w:b/>
                <w:bCs/>
                <w:color w:val="000000"/>
                <w:sz w:val="22"/>
                <w:szCs w:val="22"/>
                <w:lang w:val="es-GT" w:eastAsia="es-GT"/>
              </w:rPr>
              <w:t>Monto Ejecutado en Millones de Quetzales</w:t>
            </w:r>
          </w:p>
        </w:tc>
      </w:tr>
      <w:tr w:rsidR="00DE63EE" w:rsidRPr="00C354A0" w:rsidTr="00A80FF3">
        <w:trPr>
          <w:trHeight w:val="420"/>
        </w:trPr>
        <w:tc>
          <w:tcPr>
            <w:tcW w:w="4410" w:type="dxa"/>
            <w:tcBorders>
              <w:top w:val="nil"/>
              <w:left w:val="single" w:sz="8" w:space="0" w:color="auto"/>
              <w:bottom w:val="nil"/>
              <w:right w:val="single" w:sz="4" w:space="0" w:color="auto"/>
            </w:tcBorders>
            <w:shd w:val="clear" w:color="000000" w:fill="FFFFFF"/>
            <w:noWrap/>
            <w:vAlign w:val="center"/>
            <w:hideMark/>
          </w:tcPr>
          <w:p w:rsidR="00DE63EE" w:rsidRPr="00C354A0" w:rsidRDefault="00DE63EE" w:rsidP="00A80FF3">
            <w:pPr>
              <w:jc w:val="center"/>
              <w:rPr>
                <w:b/>
                <w:bCs/>
                <w:color w:val="000000"/>
                <w:sz w:val="22"/>
                <w:szCs w:val="22"/>
                <w:lang w:val="es-GT" w:eastAsia="es-GT"/>
              </w:rPr>
            </w:pPr>
            <w:r w:rsidRPr="00C354A0">
              <w:rPr>
                <w:b/>
                <w:bCs/>
                <w:color w:val="000000"/>
                <w:sz w:val="22"/>
                <w:szCs w:val="22"/>
                <w:lang w:val="es-GT" w:eastAsia="es-GT"/>
              </w:rPr>
              <w:t>Total</w:t>
            </w:r>
          </w:p>
        </w:tc>
        <w:tc>
          <w:tcPr>
            <w:tcW w:w="1275" w:type="dxa"/>
            <w:tcBorders>
              <w:top w:val="nil"/>
              <w:left w:val="nil"/>
              <w:bottom w:val="nil"/>
              <w:right w:val="single" w:sz="4" w:space="0" w:color="auto"/>
            </w:tcBorders>
            <w:shd w:val="clear" w:color="000000" w:fill="FFFFFF"/>
            <w:noWrap/>
            <w:vAlign w:val="center"/>
            <w:hideMark/>
          </w:tcPr>
          <w:p w:rsidR="00DE63EE" w:rsidRPr="00C354A0" w:rsidRDefault="00DE63EE" w:rsidP="00A80FF3">
            <w:pPr>
              <w:jc w:val="center"/>
              <w:rPr>
                <w:b/>
                <w:bCs/>
                <w:color w:val="000000"/>
                <w:sz w:val="22"/>
                <w:szCs w:val="22"/>
                <w:lang w:val="es-GT" w:eastAsia="es-GT"/>
              </w:rPr>
            </w:pPr>
            <w:r w:rsidRPr="00C354A0">
              <w:rPr>
                <w:b/>
                <w:bCs/>
                <w:color w:val="000000"/>
                <w:sz w:val="22"/>
                <w:szCs w:val="22"/>
                <w:lang w:val="es-GT" w:eastAsia="es-GT"/>
              </w:rPr>
              <w:t>137</w:t>
            </w:r>
          </w:p>
        </w:tc>
        <w:tc>
          <w:tcPr>
            <w:tcW w:w="1843" w:type="dxa"/>
            <w:tcBorders>
              <w:top w:val="nil"/>
              <w:left w:val="single" w:sz="4" w:space="0" w:color="auto"/>
              <w:bottom w:val="nil"/>
              <w:right w:val="nil"/>
            </w:tcBorders>
            <w:shd w:val="clear" w:color="000000" w:fill="FFFFFF"/>
            <w:noWrap/>
            <w:vAlign w:val="center"/>
            <w:hideMark/>
          </w:tcPr>
          <w:p w:rsidR="00DE63EE" w:rsidRPr="00C354A0" w:rsidRDefault="00DE63EE" w:rsidP="00A80FF3">
            <w:pPr>
              <w:jc w:val="center"/>
              <w:rPr>
                <w:b/>
                <w:bCs/>
                <w:color w:val="000000"/>
                <w:sz w:val="22"/>
                <w:szCs w:val="22"/>
                <w:lang w:val="es-GT" w:eastAsia="es-GT"/>
              </w:rPr>
            </w:pPr>
            <w:r w:rsidRPr="00C354A0">
              <w:rPr>
                <w:b/>
                <w:bCs/>
                <w:color w:val="000000"/>
                <w:sz w:val="22"/>
                <w:szCs w:val="22"/>
                <w:lang w:val="es-GT" w:eastAsia="es-GT"/>
              </w:rPr>
              <w:t>3,142.1</w:t>
            </w:r>
          </w:p>
        </w:tc>
        <w:tc>
          <w:tcPr>
            <w:tcW w:w="1707" w:type="dxa"/>
            <w:tcBorders>
              <w:top w:val="nil"/>
              <w:left w:val="single" w:sz="4" w:space="0" w:color="auto"/>
              <w:bottom w:val="nil"/>
              <w:right w:val="single" w:sz="8" w:space="0" w:color="auto"/>
            </w:tcBorders>
            <w:shd w:val="clear" w:color="000000" w:fill="FFFFFF"/>
            <w:vAlign w:val="center"/>
            <w:hideMark/>
          </w:tcPr>
          <w:p w:rsidR="00DE63EE" w:rsidRPr="00C354A0" w:rsidRDefault="00DE63EE" w:rsidP="00A80FF3">
            <w:pPr>
              <w:jc w:val="center"/>
              <w:rPr>
                <w:b/>
                <w:bCs/>
                <w:color w:val="000000"/>
                <w:sz w:val="22"/>
                <w:szCs w:val="22"/>
                <w:lang w:val="es-GT" w:eastAsia="es-GT"/>
              </w:rPr>
            </w:pPr>
            <w:r w:rsidRPr="00C354A0">
              <w:rPr>
                <w:b/>
                <w:bCs/>
                <w:color w:val="000000"/>
                <w:sz w:val="22"/>
                <w:szCs w:val="22"/>
                <w:lang w:val="es-GT" w:eastAsia="es-GT"/>
              </w:rPr>
              <w:t>1,810.8</w:t>
            </w:r>
          </w:p>
        </w:tc>
      </w:tr>
      <w:tr w:rsidR="00DE63EE" w:rsidRPr="00C354A0" w:rsidTr="00C83DD2">
        <w:trPr>
          <w:trHeight w:val="390"/>
        </w:trPr>
        <w:tc>
          <w:tcPr>
            <w:tcW w:w="4410" w:type="dxa"/>
            <w:tcBorders>
              <w:top w:val="nil"/>
              <w:left w:val="single" w:sz="8" w:space="0" w:color="auto"/>
              <w:bottom w:val="nil"/>
              <w:right w:val="single" w:sz="4" w:space="0" w:color="auto"/>
            </w:tcBorders>
            <w:shd w:val="clear" w:color="auto" w:fill="auto"/>
            <w:noWrap/>
            <w:vAlign w:val="bottom"/>
            <w:hideMark/>
          </w:tcPr>
          <w:p w:rsidR="00DE63EE" w:rsidRPr="00C354A0" w:rsidRDefault="00DE63EE" w:rsidP="00DE63EE">
            <w:pPr>
              <w:rPr>
                <w:color w:val="000000"/>
                <w:sz w:val="22"/>
                <w:szCs w:val="22"/>
                <w:lang w:val="es-GT" w:eastAsia="es-GT"/>
              </w:rPr>
            </w:pPr>
            <w:r w:rsidRPr="00C354A0">
              <w:rPr>
                <w:color w:val="000000"/>
                <w:sz w:val="22"/>
                <w:szCs w:val="22"/>
                <w:lang w:val="es-GT" w:eastAsia="es-GT"/>
              </w:rPr>
              <w:t>Construcción de carreteras primarias, puentes y distribuidores de tránsito</w:t>
            </w:r>
            <w:r w:rsidR="00C83DD2" w:rsidRPr="00C354A0">
              <w:rPr>
                <w:color w:val="000000"/>
                <w:sz w:val="22"/>
                <w:szCs w:val="22"/>
                <w:lang w:val="es-GT" w:eastAsia="es-GT"/>
              </w:rPr>
              <w:t>.</w:t>
            </w:r>
          </w:p>
        </w:tc>
        <w:tc>
          <w:tcPr>
            <w:tcW w:w="1275" w:type="dxa"/>
            <w:tcBorders>
              <w:top w:val="nil"/>
              <w:left w:val="nil"/>
              <w:bottom w:val="nil"/>
              <w:right w:val="single" w:sz="4"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9</w:t>
            </w:r>
          </w:p>
        </w:tc>
        <w:tc>
          <w:tcPr>
            <w:tcW w:w="1843" w:type="dxa"/>
            <w:tcBorders>
              <w:top w:val="nil"/>
              <w:left w:val="single" w:sz="4" w:space="0" w:color="auto"/>
              <w:bottom w:val="nil"/>
              <w:right w:val="nil"/>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412.3</w:t>
            </w:r>
          </w:p>
        </w:tc>
        <w:tc>
          <w:tcPr>
            <w:tcW w:w="1707" w:type="dxa"/>
            <w:tcBorders>
              <w:top w:val="nil"/>
              <w:left w:val="single" w:sz="4" w:space="0" w:color="auto"/>
              <w:bottom w:val="nil"/>
              <w:right w:val="single" w:sz="8"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265.7</w:t>
            </w:r>
          </w:p>
        </w:tc>
      </w:tr>
      <w:tr w:rsidR="00DE63EE" w:rsidRPr="00C354A0" w:rsidTr="00C354A0">
        <w:trPr>
          <w:trHeight w:val="204"/>
        </w:trPr>
        <w:tc>
          <w:tcPr>
            <w:tcW w:w="4410" w:type="dxa"/>
            <w:tcBorders>
              <w:top w:val="nil"/>
              <w:left w:val="single" w:sz="8" w:space="0" w:color="auto"/>
              <w:bottom w:val="nil"/>
              <w:right w:val="single" w:sz="4" w:space="0" w:color="auto"/>
            </w:tcBorders>
            <w:shd w:val="clear" w:color="auto" w:fill="auto"/>
            <w:noWrap/>
            <w:vAlign w:val="bottom"/>
            <w:hideMark/>
          </w:tcPr>
          <w:p w:rsidR="00DE63EE" w:rsidRPr="00C354A0" w:rsidRDefault="00DE63EE" w:rsidP="00DE63EE">
            <w:pPr>
              <w:rPr>
                <w:color w:val="000000"/>
                <w:sz w:val="22"/>
                <w:szCs w:val="22"/>
                <w:lang w:val="es-GT" w:eastAsia="es-GT"/>
              </w:rPr>
            </w:pPr>
            <w:r w:rsidRPr="00C354A0">
              <w:rPr>
                <w:color w:val="000000"/>
                <w:sz w:val="22"/>
                <w:szCs w:val="22"/>
                <w:lang w:val="es-GT" w:eastAsia="es-GT"/>
              </w:rPr>
              <w:t>Construcción de cauces y obras de protección</w:t>
            </w:r>
            <w:r w:rsidR="00C83DD2" w:rsidRPr="00C354A0">
              <w:rPr>
                <w:color w:val="000000"/>
                <w:sz w:val="22"/>
                <w:szCs w:val="22"/>
                <w:lang w:val="es-GT" w:eastAsia="es-GT"/>
              </w:rPr>
              <w:t>.</w:t>
            </w:r>
          </w:p>
        </w:tc>
        <w:tc>
          <w:tcPr>
            <w:tcW w:w="1275" w:type="dxa"/>
            <w:tcBorders>
              <w:top w:val="nil"/>
              <w:left w:val="nil"/>
              <w:bottom w:val="nil"/>
              <w:right w:val="single" w:sz="4"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1</w:t>
            </w:r>
          </w:p>
        </w:tc>
        <w:tc>
          <w:tcPr>
            <w:tcW w:w="1843" w:type="dxa"/>
            <w:tcBorders>
              <w:top w:val="nil"/>
              <w:left w:val="single" w:sz="4" w:space="0" w:color="auto"/>
              <w:bottom w:val="nil"/>
              <w:right w:val="nil"/>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20.2</w:t>
            </w:r>
          </w:p>
        </w:tc>
        <w:tc>
          <w:tcPr>
            <w:tcW w:w="1707" w:type="dxa"/>
            <w:tcBorders>
              <w:top w:val="nil"/>
              <w:left w:val="single" w:sz="4" w:space="0" w:color="auto"/>
              <w:bottom w:val="nil"/>
              <w:right w:val="single" w:sz="8"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 </w:t>
            </w:r>
          </w:p>
        </w:tc>
      </w:tr>
      <w:tr w:rsidR="00DE63EE" w:rsidRPr="00C354A0" w:rsidTr="00C83DD2">
        <w:trPr>
          <w:trHeight w:val="390"/>
        </w:trPr>
        <w:tc>
          <w:tcPr>
            <w:tcW w:w="4410" w:type="dxa"/>
            <w:tcBorders>
              <w:top w:val="nil"/>
              <w:left w:val="single" w:sz="8" w:space="0" w:color="auto"/>
              <w:bottom w:val="nil"/>
              <w:right w:val="single" w:sz="4" w:space="0" w:color="auto"/>
            </w:tcBorders>
            <w:shd w:val="clear" w:color="auto" w:fill="auto"/>
            <w:noWrap/>
            <w:vAlign w:val="bottom"/>
            <w:hideMark/>
          </w:tcPr>
          <w:p w:rsidR="00DE63EE" w:rsidRPr="00C354A0" w:rsidRDefault="00DE63EE" w:rsidP="00DE63EE">
            <w:pPr>
              <w:rPr>
                <w:color w:val="000000"/>
                <w:sz w:val="22"/>
                <w:szCs w:val="22"/>
                <w:lang w:val="es-GT" w:eastAsia="es-GT"/>
              </w:rPr>
            </w:pPr>
            <w:r w:rsidRPr="00C354A0">
              <w:rPr>
                <w:color w:val="000000"/>
                <w:sz w:val="22"/>
                <w:szCs w:val="22"/>
                <w:lang w:val="es-GT" w:eastAsia="es-GT"/>
              </w:rPr>
              <w:t>Construcción de carreteras secundarias y puentes</w:t>
            </w:r>
            <w:r w:rsidR="00C83DD2" w:rsidRPr="00C354A0">
              <w:rPr>
                <w:color w:val="000000"/>
                <w:sz w:val="22"/>
                <w:szCs w:val="22"/>
                <w:lang w:val="es-GT" w:eastAsia="es-GT"/>
              </w:rPr>
              <w:t>.</w:t>
            </w:r>
          </w:p>
        </w:tc>
        <w:tc>
          <w:tcPr>
            <w:tcW w:w="1275" w:type="dxa"/>
            <w:tcBorders>
              <w:top w:val="nil"/>
              <w:left w:val="nil"/>
              <w:bottom w:val="nil"/>
              <w:right w:val="single" w:sz="4"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3</w:t>
            </w:r>
          </w:p>
        </w:tc>
        <w:tc>
          <w:tcPr>
            <w:tcW w:w="1843" w:type="dxa"/>
            <w:tcBorders>
              <w:top w:val="nil"/>
              <w:left w:val="single" w:sz="4" w:space="0" w:color="auto"/>
              <w:bottom w:val="nil"/>
              <w:right w:val="nil"/>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108.2</w:t>
            </w:r>
          </w:p>
        </w:tc>
        <w:tc>
          <w:tcPr>
            <w:tcW w:w="1707" w:type="dxa"/>
            <w:tcBorders>
              <w:top w:val="nil"/>
              <w:left w:val="single" w:sz="4" w:space="0" w:color="auto"/>
              <w:bottom w:val="nil"/>
              <w:right w:val="single" w:sz="8"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42.6</w:t>
            </w:r>
          </w:p>
        </w:tc>
      </w:tr>
      <w:tr w:rsidR="00DE63EE" w:rsidRPr="00C354A0" w:rsidTr="00C83DD2">
        <w:trPr>
          <w:trHeight w:val="390"/>
        </w:trPr>
        <w:tc>
          <w:tcPr>
            <w:tcW w:w="4410" w:type="dxa"/>
            <w:tcBorders>
              <w:top w:val="nil"/>
              <w:left w:val="single" w:sz="8" w:space="0" w:color="auto"/>
              <w:bottom w:val="nil"/>
              <w:right w:val="single" w:sz="4" w:space="0" w:color="auto"/>
            </w:tcBorders>
            <w:shd w:val="clear" w:color="auto" w:fill="auto"/>
            <w:noWrap/>
            <w:vAlign w:val="bottom"/>
            <w:hideMark/>
          </w:tcPr>
          <w:p w:rsidR="00DE63EE" w:rsidRPr="00C354A0" w:rsidRDefault="00DE63EE" w:rsidP="00DE63EE">
            <w:pPr>
              <w:rPr>
                <w:color w:val="000000"/>
                <w:sz w:val="22"/>
                <w:szCs w:val="22"/>
                <w:lang w:val="es-GT" w:eastAsia="es-GT"/>
              </w:rPr>
            </w:pPr>
            <w:r w:rsidRPr="00C354A0">
              <w:rPr>
                <w:color w:val="000000"/>
                <w:sz w:val="22"/>
                <w:szCs w:val="22"/>
                <w:lang w:val="es-GT" w:eastAsia="es-GT"/>
              </w:rPr>
              <w:t>Construcción y reposición de infraestructura vial por emergencias</w:t>
            </w:r>
            <w:r w:rsidR="00C83DD2" w:rsidRPr="00C354A0">
              <w:rPr>
                <w:color w:val="000000"/>
                <w:sz w:val="22"/>
                <w:szCs w:val="22"/>
                <w:lang w:val="es-GT" w:eastAsia="es-GT"/>
              </w:rPr>
              <w:t>.</w:t>
            </w:r>
          </w:p>
        </w:tc>
        <w:tc>
          <w:tcPr>
            <w:tcW w:w="1275" w:type="dxa"/>
            <w:tcBorders>
              <w:top w:val="nil"/>
              <w:left w:val="nil"/>
              <w:bottom w:val="nil"/>
              <w:right w:val="single" w:sz="4"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6</w:t>
            </w:r>
          </w:p>
        </w:tc>
        <w:tc>
          <w:tcPr>
            <w:tcW w:w="1843" w:type="dxa"/>
            <w:tcBorders>
              <w:top w:val="nil"/>
              <w:left w:val="single" w:sz="4" w:space="0" w:color="auto"/>
              <w:bottom w:val="nil"/>
              <w:right w:val="nil"/>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8.3</w:t>
            </w:r>
          </w:p>
        </w:tc>
        <w:tc>
          <w:tcPr>
            <w:tcW w:w="1707" w:type="dxa"/>
            <w:tcBorders>
              <w:top w:val="nil"/>
              <w:left w:val="single" w:sz="4" w:space="0" w:color="auto"/>
              <w:bottom w:val="nil"/>
              <w:right w:val="single" w:sz="8"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2.8</w:t>
            </w:r>
          </w:p>
        </w:tc>
      </w:tr>
      <w:tr w:rsidR="00DE63EE" w:rsidRPr="00C354A0" w:rsidTr="00C354A0">
        <w:trPr>
          <w:trHeight w:val="224"/>
        </w:trPr>
        <w:tc>
          <w:tcPr>
            <w:tcW w:w="4410" w:type="dxa"/>
            <w:tcBorders>
              <w:top w:val="nil"/>
              <w:left w:val="single" w:sz="8" w:space="0" w:color="auto"/>
              <w:bottom w:val="nil"/>
              <w:right w:val="single" w:sz="4" w:space="0" w:color="auto"/>
            </w:tcBorders>
            <w:shd w:val="clear" w:color="auto" w:fill="auto"/>
            <w:noWrap/>
            <w:vAlign w:val="bottom"/>
            <w:hideMark/>
          </w:tcPr>
          <w:p w:rsidR="00DE63EE" w:rsidRPr="00C354A0" w:rsidRDefault="00DE63EE" w:rsidP="00DE63EE">
            <w:pPr>
              <w:rPr>
                <w:color w:val="000000"/>
                <w:sz w:val="22"/>
                <w:szCs w:val="22"/>
                <w:lang w:val="es-GT" w:eastAsia="es-GT"/>
              </w:rPr>
            </w:pPr>
            <w:r w:rsidRPr="00C354A0">
              <w:rPr>
                <w:color w:val="000000"/>
                <w:sz w:val="22"/>
                <w:szCs w:val="22"/>
                <w:lang w:val="es-GT" w:eastAsia="es-GT"/>
              </w:rPr>
              <w:t>Mejoramiento de caminos rurales</w:t>
            </w:r>
            <w:r w:rsidR="00C83DD2" w:rsidRPr="00C354A0">
              <w:rPr>
                <w:color w:val="000000"/>
                <w:sz w:val="22"/>
                <w:szCs w:val="22"/>
                <w:lang w:val="es-GT" w:eastAsia="es-GT"/>
              </w:rPr>
              <w:t>.</w:t>
            </w:r>
          </w:p>
        </w:tc>
        <w:tc>
          <w:tcPr>
            <w:tcW w:w="1275" w:type="dxa"/>
            <w:tcBorders>
              <w:top w:val="nil"/>
              <w:left w:val="nil"/>
              <w:bottom w:val="nil"/>
              <w:right w:val="single" w:sz="4"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12</w:t>
            </w:r>
          </w:p>
        </w:tc>
        <w:tc>
          <w:tcPr>
            <w:tcW w:w="1843" w:type="dxa"/>
            <w:tcBorders>
              <w:top w:val="nil"/>
              <w:left w:val="single" w:sz="4" w:space="0" w:color="auto"/>
              <w:bottom w:val="nil"/>
              <w:right w:val="nil"/>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73.3</w:t>
            </w:r>
          </w:p>
        </w:tc>
        <w:tc>
          <w:tcPr>
            <w:tcW w:w="1707" w:type="dxa"/>
            <w:tcBorders>
              <w:top w:val="nil"/>
              <w:left w:val="single" w:sz="4" w:space="0" w:color="auto"/>
              <w:bottom w:val="nil"/>
              <w:right w:val="single" w:sz="8"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15.2</w:t>
            </w:r>
          </w:p>
        </w:tc>
      </w:tr>
      <w:tr w:rsidR="00DE63EE" w:rsidRPr="00C354A0" w:rsidTr="00C83DD2">
        <w:trPr>
          <w:trHeight w:val="390"/>
        </w:trPr>
        <w:tc>
          <w:tcPr>
            <w:tcW w:w="4410" w:type="dxa"/>
            <w:tcBorders>
              <w:top w:val="nil"/>
              <w:left w:val="single" w:sz="8" w:space="0" w:color="auto"/>
              <w:bottom w:val="nil"/>
              <w:right w:val="single" w:sz="4" w:space="0" w:color="auto"/>
            </w:tcBorders>
            <w:shd w:val="clear" w:color="auto" w:fill="auto"/>
            <w:noWrap/>
            <w:vAlign w:val="bottom"/>
            <w:hideMark/>
          </w:tcPr>
          <w:p w:rsidR="00DE63EE" w:rsidRPr="00C354A0" w:rsidRDefault="00DE63EE" w:rsidP="00DE63EE">
            <w:pPr>
              <w:rPr>
                <w:color w:val="000000"/>
                <w:sz w:val="22"/>
                <w:szCs w:val="22"/>
                <w:lang w:val="es-GT" w:eastAsia="es-GT"/>
              </w:rPr>
            </w:pPr>
            <w:r w:rsidRPr="00C354A0">
              <w:rPr>
                <w:color w:val="000000"/>
                <w:sz w:val="22"/>
                <w:szCs w:val="22"/>
                <w:lang w:val="es-GT" w:eastAsia="es-GT"/>
              </w:rPr>
              <w:t>Mejoramiento de carreteras primarias, puentes y distribuidores de tránsito</w:t>
            </w:r>
            <w:r w:rsidR="00C83DD2" w:rsidRPr="00C354A0">
              <w:rPr>
                <w:color w:val="000000"/>
                <w:sz w:val="22"/>
                <w:szCs w:val="22"/>
                <w:lang w:val="es-GT" w:eastAsia="es-GT"/>
              </w:rPr>
              <w:t>.</w:t>
            </w:r>
          </w:p>
        </w:tc>
        <w:tc>
          <w:tcPr>
            <w:tcW w:w="1275" w:type="dxa"/>
            <w:tcBorders>
              <w:top w:val="nil"/>
              <w:left w:val="nil"/>
              <w:bottom w:val="nil"/>
              <w:right w:val="single" w:sz="4"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9</w:t>
            </w:r>
          </w:p>
        </w:tc>
        <w:tc>
          <w:tcPr>
            <w:tcW w:w="1843" w:type="dxa"/>
            <w:tcBorders>
              <w:top w:val="nil"/>
              <w:left w:val="single" w:sz="4" w:space="0" w:color="auto"/>
              <w:bottom w:val="nil"/>
              <w:right w:val="nil"/>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288.6</w:t>
            </w:r>
          </w:p>
        </w:tc>
        <w:tc>
          <w:tcPr>
            <w:tcW w:w="1707" w:type="dxa"/>
            <w:tcBorders>
              <w:top w:val="nil"/>
              <w:left w:val="single" w:sz="4" w:space="0" w:color="auto"/>
              <w:bottom w:val="nil"/>
              <w:right w:val="single" w:sz="8"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86.7</w:t>
            </w:r>
          </w:p>
        </w:tc>
      </w:tr>
      <w:tr w:rsidR="00DE63EE" w:rsidRPr="00C354A0" w:rsidTr="00C83DD2">
        <w:trPr>
          <w:trHeight w:val="390"/>
        </w:trPr>
        <w:tc>
          <w:tcPr>
            <w:tcW w:w="4410" w:type="dxa"/>
            <w:tcBorders>
              <w:top w:val="nil"/>
              <w:left w:val="single" w:sz="8" w:space="0" w:color="auto"/>
              <w:bottom w:val="nil"/>
              <w:right w:val="single" w:sz="4" w:space="0" w:color="auto"/>
            </w:tcBorders>
            <w:shd w:val="clear" w:color="auto" w:fill="auto"/>
            <w:noWrap/>
            <w:vAlign w:val="bottom"/>
            <w:hideMark/>
          </w:tcPr>
          <w:p w:rsidR="00DE63EE" w:rsidRPr="00C354A0" w:rsidRDefault="00DE63EE" w:rsidP="00DE63EE">
            <w:pPr>
              <w:rPr>
                <w:color w:val="000000"/>
                <w:sz w:val="22"/>
                <w:szCs w:val="22"/>
                <w:lang w:val="es-GT" w:eastAsia="es-GT"/>
              </w:rPr>
            </w:pPr>
            <w:r w:rsidRPr="00C354A0">
              <w:rPr>
                <w:color w:val="000000"/>
                <w:sz w:val="22"/>
                <w:szCs w:val="22"/>
                <w:lang w:val="es-GT" w:eastAsia="es-GT"/>
              </w:rPr>
              <w:t>Mejoramiento de carreteras secundarias y puentes</w:t>
            </w:r>
            <w:r w:rsidR="00C83DD2" w:rsidRPr="00C354A0">
              <w:rPr>
                <w:color w:val="000000"/>
                <w:sz w:val="22"/>
                <w:szCs w:val="22"/>
                <w:lang w:val="es-GT" w:eastAsia="es-GT"/>
              </w:rPr>
              <w:t>.</w:t>
            </w:r>
          </w:p>
        </w:tc>
        <w:tc>
          <w:tcPr>
            <w:tcW w:w="1275" w:type="dxa"/>
            <w:tcBorders>
              <w:top w:val="nil"/>
              <w:left w:val="nil"/>
              <w:bottom w:val="nil"/>
              <w:right w:val="single" w:sz="4"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24</w:t>
            </w:r>
          </w:p>
        </w:tc>
        <w:tc>
          <w:tcPr>
            <w:tcW w:w="1843" w:type="dxa"/>
            <w:tcBorders>
              <w:top w:val="nil"/>
              <w:left w:val="single" w:sz="4" w:space="0" w:color="auto"/>
              <w:bottom w:val="nil"/>
              <w:right w:val="nil"/>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916.3</w:t>
            </w:r>
          </w:p>
        </w:tc>
        <w:tc>
          <w:tcPr>
            <w:tcW w:w="1707" w:type="dxa"/>
            <w:tcBorders>
              <w:top w:val="nil"/>
              <w:left w:val="single" w:sz="4" w:space="0" w:color="auto"/>
              <w:bottom w:val="nil"/>
              <w:right w:val="single" w:sz="8"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585.4</w:t>
            </w:r>
          </w:p>
        </w:tc>
      </w:tr>
      <w:tr w:rsidR="00DE63EE" w:rsidRPr="00C354A0" w:rsidTr="00C83DD2">
        <w:trPr>
          <w:trHeight w:val="390"/>
        </w:trPr>
        <w:tc>
          <w:tcPr>
            <w:tcW w:w="4410" w:type="dxa"/>
            <w:tcBorders>
              <w:top w:val="nil"/>
              <w:left w:val="single" w:sz="8" w:space="0" w:color="auto"/>
              <w:bottom w:val="nil"/>
              <w:right w:val="single" w:sz="4" w:space="0" w:color="auto"/>
            </w:tcBorders>
            <w:shd w:val="clear" w:color="auto" w:fill="auto"/>
            <w:noWrap/>
            <w:vAlign w:val="bottom"/>
            <w:hideMark/>
          </w:tcPr>
          <w:p w:rsidR="00DE63EE" w:rsidRPr="00C354A0" w:rsidRDefault="00DE63EE" w:rsidP="00DE63EE">
            <w:pPr>
              <w:rPr>
                <w:color w:val="000000"/>
                <w:sz w:val="22"/>
                <w:szCs w:val="22"/>
                <w:lang w:val="es-GT" w:eastAsia="es-GT"/>
              </w:rPr>
            </w:pPr>
            <w:r w:rsidRPr="00C354A0">
              <w:rPr>
                <w:color w:val="000000"/>
                <w:sz w:val="22"/>
                <w:szCs w:val="22"/>
                <w:lang w:val="es-GT" w:eastAsia="es-GT"/>
              </w:rPr>
              <w:t>Reposición de carreteras primarias, puentes y distribuidores de tránsito</w:t>
            </w:r>
            <w:r w:rsidR="00C83DD2" w:rsidRPr="00C354A0">
              <w:rPr>
                <w:color w:val="000000"/>
                <w:sz w:val="22"/>
                <w:szCs w:val="22"/>
                <w:lang w:val="es-GT" w:eastAsia="es-GT"/>
              </w:rPr>
              <w:t>.</w:t>
            </w:r>
          </w:p>
        </w:tc>
        <w:tc>
          <w:tcPr>
            <w:tcW w:w="1275" w:type="dxa"/>
            <w:tcBorders>
              <w:top w:val="nil"/>
              <w:left w:val="nil"/>
              <w:bottom w:val="nil"/>
              <w:right w:val="single" w:sz="4"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47</w:t>
            </w:r>
          </w:p>
        </w:tc>
        <w:tc>
          <w:tcPr>
            <w:tcW w:w="1843" w:type="dxa"/>
            <w:tcBorders>
              <w:top w:val="nil"/>
              <w:left w:val="single" w:sz="4" w:space="0" w:color="auto"/>
              <w:bottom w:val="nil"/>
              <w:right w:val="nil"/>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1,007.7</w:t>
            </w:r>
          </w:p>
        </w:tc>
        <w:tc>
          <w:tcPr>
            <w:tcW w:w="1707" w:type="dxa"/>
            <w:tcBorders>
              <w:top w:val="nil"/>
              <w:left w:val="single" w:sz="4" w:space="0" w:color="auto"/>
              <w:bottom w:val="nil"/>
              <w:right w:val="single" w:sz="8"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590.0</w:t>
            </w:r>
          </w:p>
        </w:tc>
      </w:tr>
      <w:tr w:rsidR="00DE63EE" w:rsidRPr="00C354A0" w:rsidTr="00C354A0">
        <w:trPr>
          <w:trHeight w:val="166"/>
        </w:trPr>
        <w:tc>
          <w:tcPr>
            <w:tcW w:w="4410" w:type="dxa"/>
            <w:tcBorders>
              <w:top w:val="nil"/>
              <w:left w:val="single" w:sz="8" w:space="0" w:color="auto"/>
              <w:bottom w:val="single" w:sz="8" w:space="0" w:color="auto"/>
              <w:right w:val="single" w:sz="4" w:space="0" w:color="auto"/>
            </w:tcBorders>
            <w:shd w:val="clear" w:color="auto" w:fill="auto"/>
            <w:noWrap/>
            <w:vAlign w:val="bottom"/>
            <w:hideMark/>
          </w:tcPr>
          <w:p w:rsidR="00DE63EE" w:rsidRPr="00C354A0" w:rsidRDefault="00DE63EE" w:rsidP="00DE63EE">
            <w:pPr>
              <w:rPr>
                <w:color w:val="000000"/>
                <w:sz w:val="22"/>
                <w:szCs w:val="22"/>
                <w:lang w:val="es-GT" w:eastAsia="es-GT"/>
              </w:rPr>
            </w:pPr>
            <w:r w:rsidRPr="00C354A0">
              <w:rPr>
                <w:color w:val="000000"/>
                <w:sz w:val="22"/>
                <w:szCs w:val="22"/>
                <w:lang w:val="es-GT" w:eastAsia="es-GT"/>
              </w:rPr>
              <w:t>Reposición de carreteras secundarias y puentes</w:t>
            </w:r>
            <w:r w:rsidR="00C83DD2" w:rsidRPr="00C354A0">
              <w:rPr>
                <w:color w:val="000000"/>
                <w:sz w:val="22"/>
                <w:szCs w:val="22"/>
                <w:lang w:val="es-GT" w:eastAsia="es-GT"/>
              </w:rPr>
              <w:t>.</w:t>
            </w:r>
          </w:p>
        </w:tc>
        <w:tc>
          <w:tcPr>
            <w:tcW w:w="1275" w:type="dxa"/>
            <w:tcBorders>
              <w:top w:val="nil"/>
              <w:left w:val="nil"/>
              <w:bottom w:val="single" w:sz="8" w:space="0" w:color="auto"/>
              <w:right w:val="single" w:sz="4"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26</w:t>
            </w:r>
          </w:p>
        </w:tc>
        <w:tc>
          <w:tcPr>
            <w:tcW w:w="1843" w:type="dxa"/>
            <w:tcBorders>
              <w:top w:val="nil"/>
              <w:left w:val="single" w:sz="4" w:space="0" w:color="auto"/>
              <w:bottom w:val="single" w:sz="8" w:space="0" w:color="auto"/>
              <w:right w:val="nil"/>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307.2</w:t>
            </w:r>
          </w:p>
        </w:tc>
        <w:tc>
          <w:tcPr>
            <w:tcW w:w="1707" w:type="dxa"/>
            <w:tcBorders>
              <w:top w:val="nil"/>
              <w:left w:val="single" w:sz="4" w:space="0" w:color="auto"/>
              <w:bottom w:val="single" w:sz="8" w:space="0" w:color="auto"/>
              <w:right w:val="single" w:sz="8" w:space="0" w:color="auto"/>
            </w:tcBorders>
            <w:shd w:val="clear" w:color="auto" w:fill="auto"/>
            <w:noWrap/>
            <w:vAlign w:val="bottom"/>
            <w:hideMark/>
          </w:tcPr>
          <w:p w:rsidR="00DE63EE" w:rsidRPr="00C354A0" w:rsidRDefault="00DE63EE" w:rsidP="00DE63EE">
            <w:pPr>
              <w:jc w:val="center"/>
              <w:rPr>
                <w:color w:val="000000"/>
                <w:sz w:val="22"/>
                <w:szCs w:val="22"/>
                <w:lang w:val="es-GT" w:eastAsia="es-GT"/>
              </w:rPr>
            </w:pPr>
            <w:r w:rsidRPr="00C354A0">
              <w:rPr>
                <w:color w:val="000000"/>
                <w:sz w:val="22"/>
                <w:szCs w:val="22"/>
                <w:lang w:val="es-GT" w:eastAsia="es-GT"/>
              </w:rPr>
              <w:t>222.4</w:t>
            </w:r>
          </w:p>
        </w:tc>
      </w:tr>
    </w:tbl>
    <w:p w:rsidR="00CC3CAE" w:rsidRDefault="003E5087" w:rsidP="003E5087">
      <w:r w:rsidRPr="004E678D">
        <w:rPr>
          <w:sz w:val="18"/>
        </w:rPr>
        <w:t xml:space="preserve">Fuente: </w:t>
      </w:r>
      <w:r w:rsidR="00DE63EE">
        <w:rPr>
          <w:sz w:val="18"/>
        </w:rPr>
        <w:t>Informe General de la República 2020</w:t>
      </w:r>
      <w:r>
        <w:rPr>
          <w:sz w:val="18"/>
        </w:rPr>
        <w:t>.</w:t>
      </w:r>
    </w:p>
    <w:p w:rsidR="00CC3CAE" w:rsidRDefault="00CC3CAE" w:rsidP="00E24F7B"/>
    <w:p w:rsidR="002956B8" w:rsidRDefault="002956B8" w:rsidP="00E24F7B"/>
    <w:p w:rsidR="008F7634" w:rsidRDefault="008F7634" w:rsidP="00E24F7B"/>
    <w:p w:rsidR="003C69AA" w:rsidRPr="00124AD6" w:rsidRDefault="003C69AA" w:rsidP="003C69AA">
      <w:pPr>
        <w:jc w:val="center"/>
        <w:rPr>
          <w:b/>
        </w:rPr>
      </w:pPr>
      <w:r w:rsidRPr="00124AD6">
        <w:rPr>
          <w:b/>
        </w:rPr>
        <w:t xml:space="preserve">Cuadro </w:t>
      </w:r>
      <w:r>
        <w:rPr>
          <w:b/>
        </w:rPr>
        <w:t>1</w:t>
      </w:r>
      <w:r w:rsidR="00A861C2">
        <w:rPr>
          <w:b/>
        </w:rPr>
        <w:t>9</w:t>
      </w:r>
    </w:p>
    <w:p w:rsidR="003C69AA" w:rsidRDefault="003C69AA" w:rsidP="003C69AA">
      <w:pPr>
        <w:jc w:val="center"/>
        <w:rPr>
          <w:b/>
        </w:rPr>
      </w:pPr>
      <w:r>
        <w:rPr>
          <w:b/>
        </w:rPr>
        <w:t xml:space="preserve">Cantidad de Proyectos, Asignación y </w:t>
      </w:r>
      <w:r w:rsidR="004928EC">
        <w:rPr>
          <w:b/>
        </w:rPr>
        <w:t>E</w:t>
      </w:r>
      <w:r>
        <w:rPr>
          <w:b/>
        </w:rPr>
        <w:t>jecución por Departamento</w:t>
      </w:r>
    </w:p>
    <w:p w:rsidR="00174075" w:rsidRPr="00124AD6" w:rsidRDefault="00174075" w:rsidP="003C69AA">
      <w:pPr>
        <w:jc w:val="center"/>
        <w:rPr>
          <w:b/>
        </w:rPr>
      </w:pPr>
      <w:r>
        <w:rPr>
          <w:b/>
        </w:rPr>
        <w:t>(Cifras en Millones de Quetzales)</w:t>
      </w:r>
    </w:p>
    <w:p w:rsidR="003C69AA" w:rsidRDefault="003C69AA" w:rsidP="003C69AA">
      <w:pPr>
        <w:jc w:val="center"/>
        <w:rPr>
          <w:b/>
        </w:rPr>
      </w:pPr>
      <w:r>
        <w:rPr>
          <w:b/>
        </w:rPr>
        <w:t>Ejercicio Fiscal 2020</w:t>
      </w:r>
    </w:p>
    <w:p w:rsidR="008F7634" w:rsidRPr="008F7634" w:rsidRDefault="008F7634" w:rsidP="003C69AA">
      <w:pPr>
        <w:jc w:val="center"/>
        <w:rPr>
          <w:b/>
          <w:sz w:val="16"/>
        </w:rPr>
      </w:pPr>
    </w:p>
    <w:tbl>
      <w:tblPr>
        <w:tblW w:w="9229" w:type="dxa"/>
        <w:tblInd w:w="55" w:type="dxa"/>
        <w:tblCellMar>
          <w:left w:w="70" w:type="dxa"/>
          <w:right w:w="70" w:type="dxa"/>
        </w:tblCellMar>
        <w:tblLook w:val="04A0" w:firstRow="1" w:lastRow="0" w:firstColumn="1" w:lastColumn="0" w:noHBand="0" w:noVBand="1"/>
      </w:tblPr>
      <w:tblGrid>
        <w:gridCol w:w="1647"/>
        <w:gridCol w:w="1220"/>
        <w:gridCol w:w="1620"/>
        <w:gridCol w:w="1620"/>
        <w:gridCol w:w="1620"/>
        <w:gridCol w:w="1502"/>
      </w:tblGrid>
      <w:tr w:rsidR="003C69AA" w:rsidRPr="006F0CA5" w:rsidTr="008F7634">
        <w:trPr>
          <w:trHeight w:val="859"/>
        </w:trPr>
        <w:tc>
          <w:tcPr>
            <w:tcW w:w="1647"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3C69AA" w:rsidRPr="006F0CA5" w:rsidRDefault="003C69AA" w:rsidP="003C69AA">
            <w:pPr>
              <w:jc w:val="center"/>
              <w:rPr>
                <w:b/>
                <w:bCs/>
                <w:color w:val="000000"/>
                <w:sz w:val="22"/>
                <w:szCs w:val="22"/>
                <w:lang w:val="es-GT" w:eastAsia="es-GT"/>
              </w:rPr>
            </w:pPr>
            <w:r w:rsidRPr="006F0CA5">
              <w:rPr>
                <w:b/>
                <w:bCs/>
                <w:color w:val="000000"/>
                <w:sz w:val="22"/>
                <w:szCs w:val="22"/>
                <w:lang w:val="es-GT" w:eastAsia="es-GT"/>
              </w:rPr>
              <w:t>Departamento</w:t>
            </w:r>
          </w:p>
        </w:tc>
        <w:tc>
          <w:tcPr>
            <w:tcW w:w="1220" w:type="dxa"/>
            <w:tcBorders>
              <w:top w:val="single" w:sz="8" w:space="0" w:color="auto"/>
              <w:left w:val="nil"/>
              <w:bottom w:val="single" w:sz="8" w:space="0" w:color="auto"/>
              <w:right w:val="single" w:sz="4" w:space="0" w:color="auto"/>
            </w:tcBorders>
            <w:shd w:val="clear" w:color="000000" w:fill="8DB4E2"/>
            <w:noWrap/>
            <w:vAlign w:val="center"/>
            <w:hideMark/>
          </w:tcPr>
          <w:p w:rsidR="003C69AA" w:rsidRPr="006F0CA5" w:rsidRDefault="003C69AA" w:rsidP="003C69AA">
            <w:pPr>
              <w:jc w:val="center"/>
              <w:rPr>
                <w:b/>
                <w:bCs/>
                <w:color w:val="000000"/>
                <w:sz w:val="22"/>
                <w:szCs w:val="22"/>
                <w:lang w:val="es-GT" w:eastAsia="es-GT"/>
              </w:rPr>
            </w:pPr>
            <w:r w:rsidRPr="006F0CA5">
              <w:rPr>
                <w:b/>
                <w:bCs/>
                <w:color w:val="000000"/>
                <w:sz w:val="22"/>
                <w:szCs w:val="22"/>
                <w:lang w:val="es-GT" w:eastAsia="es-GT"/>
              </w:rPr>
              <w:t>Proyectos</w:t>
            </w:r>
          </w:p>
        </w:tc>
        <w:tc>
          <w:tcPr>
            <w:tcW w:w="1620" w:type="dxa"/>
            <w:tcBorders>
              <w:top w:val="single" w:sz="8" w:space="0" w:color="auto"/>
              <w:left w:val="nil"/>
              <w:bottom w:val="single" w:sz="8" w:space="0" w:color="auto"/>
              <w:right w:val="single" w:sz="4" w:space="0" w:color="auto"/>
            </w:tcBorders>
            <w:shd w:val="clear" w:color="000000" w:fill="8DB4E2"/>
            <w:vAlign w:val="center"/>
            <w:hideMark/>
          </w:tcPr>
          <w:p w:rsidR="003C69AA" w:rsidRPr="006F0CA5" w:rsidRDefault="003C69AA" w:rsidP="003C69AA">
            <w:pPr>
              <w:jc w:val="center"/>
              <w:rPr>
                <w:b/>
                <w:bCs/>
                <w:color w:val="000000"/>
                <w:sz w:val="22"/>
                <w:szCs w:val="22"/>
                <w:lang w:val="es-GT" w:eastAsia="es-GT"/>
              </w:rPr>
            </w:pPr>
            <w:r w:rsidRPr="006F0CA5">
              <w:rPr>
                <w:b/>
                <w:bCs/>
                <w:color w:val="000000"/>
                <w:sz w:val="22"/>
                <w:szCs w:val="22"/>
                <w:lang w:val="es-GT" w:eastAsia="es-GT"/>
              </w:rPr>
              <w:t>Presupuesto Asignado</w:t>
            </w:r>
          </w:p>
        </w:tc>
        <w:tc>
          <w:tcPr>
            <w:tcW w:w="1620" w:type="dxa"/>
            <w:tcBorders>
              <w:top w:val="single" w:sz="8" w:space="0" w:color="auto"/>
              <w:left w:val="nil"/>
              <w:bottom w:val="single" w:sz="8" w:space="0" w:color="auto"/>
              <w:right w:val="single" w:sz="4" w:space="0" w:color="auto"/>
            </w:tcBorders>
            <w:shd w:val="clear" w:color="000000" w:fill="8DB4E2"/>
            <w:vAlign w:val="center"/>
            <w:hideMark/>
          </w:tcPr>
          <w:p w:rsidR="003C69AA" w:rsidRPr="006F0CA5" w:rsidRDefault="003C69AA" w:rsidP="003C69AA">
            <w:pPr>
              <w:jc w:val="center"/>
              <w:rPr>
                <w:b/>
                <w:bCs/>
                <w:color w:val="000000"/>
                <w:sz w:val="22"/>
                <w:szCs w:val="22"/>
                <w:lang w:val="es-GT" w:eastAsia="es-GT"/>
              </w:rPr>
            </w:pPr>
            <w:r w:rsidRPr="006F0CA5">
              <w:rPr>
                <w:b/>
                <w:bCs/>
                <w:color w:val="000000"/>
                <w:sz w:val="22"/>
                <w:szCs w:val="22"/>
                <w:lang w:val="es-GT" w:eastAsia="es-GT"/>
              </w:rPr>
              <w:t>Presupuesto Desembolsado</w:t>
            </w:r>
          </w:p>
        </w:tc>
        <w:tc>
          <w:tcPr>
            <w:tcW w:w="1620" w:type="dxa"/>
            <w:tcBorders>
              <w:top w:val="single" w:sz="8" w:space="0" w:color="auto"/>
              <w:left w:val="nil"/>
              <w:bottom w:val="single" w:sz="8" w:space="0" w:color="auto"/>
              <w:right w:val="single" w:sz="4" w:space="0" w:color="auto"/>
            </w:tcBorders>
            <w:shd w:val="clear" w:color="000000" w:fill="8DB4E2"/>
            <w:vAlign w:val="center"/>
            <w:hideMark/>
          </w:tcPr>
          <w:p w:rsidR="003C69AA" w:rsidRPr="006F0CA5" w:rsidRDefault="003C69AA" w:rsidP="003C69AA">
            <w:pPr>
              <w:jc w:val="center"/>
              <w:rPr>
                <w:b/>
                <w:bCs/>
                <w:color w:val="000000"/>
                <w:sz w:val="22"/>
                <w:szCs w:val="22"/>
                <w:lang w:val="es-GT" w:eastAsia="es-GT"/>
              </w:rPr>
            </w:pPr>
            <w:r w:rsidRPr="006F0CA5">
              <w:rPr>
                <w:b/>
                <w:bCs/>
                <w:color w:val="000000"/>
                <w:sz w:val="22"/>
                <w:szCs w:val="22"/>
                <w:lang w:val="es-GT" w:eastAsia="es-GT"/>
              </w:rPr>
              <w:t>Presupuesto Ejecutado</w:t>
            </w:r>
          </w:p>
        </w:tc>
        <w:tc>
          <w:tcPr>
            <w:tcW w:w="1502" w:type="dxa"/>
            <w:tcBorders>
              <w:top w:val="single" w:sz="8" w:space="0" w:color="auto"/>
              <w:left w:val="nil"/>
              <w:bottom w:val="single" w:sz="8" w:space="0" w:color="auto"/>
              <w:right w:val="single" w:sz="8" w:space="0" w:color="auto"/>
            </w:tcBorders>
            <w:shd w:val="clear" w:color="000000" w:fill="8DB4E2"/>
            <w:vAlign w:val="center"/>
            <w:hideMark/>
          </w:tcPr>
          <w:p w:rsidR="003C69AA" w:rsidRPr="006F0CA5" w:rsidRDefault="003C69AA" w:rsidP="003C69AA">
            <w:pPr>
              <w:jc w:val="center"/>
              <w:rPr>
                <w:b/>
                <w:bCs/>
                <w:color w:val="000000"/>
                <w:sz w:val="22"/>
                <w:szCs w:val="22"/>
                <w:lang w:val="es-GT" w:eastAsia="es-GT"/>
              </w:rPr>
            </w:pPr>
            <w:r w:rsidRPr="006F0CA5">
              <w:rPr>
                <w:b/>
                <w:bCs/>
                <w:color w:val="000000"/>
                <w:sz w:val="22"/>
                <w:szCs w:val="22"/>
                <w:lang w:val="es-GT" w:eastAsia="es-GT"/>
              </w:rPr>
              <w:t>Porcentaje de Ejecución</w:t>
            </w:r>
          </w:p>
        </w:tc>
      </w:tr>
      <w:tr w:rsidR="003C69AA" w:rsidRPr="006F0CA5" w:rsidTr="008F7634">
        <w:trPr>
          <w:trHeight w:val="532"/>
        </w:trPr>
        <w:tc>
          <w:tcPr>
            <w:tcW w:w="1647" w:type="dxa"/>
            <w:tcBorders>
              <w:top w:val="nil"/>
              <w:left w:val="single" w:sz="8" w:space="0" w:color="auto"/>
              <w:bottom w:val="nil"/>
              <w:right w:val="single" w:sz="4" w:space="0" w:color="auto"/>
            </w:tcBorders>
            <w:shd w:val="clear" w:color="000000" w:fill="FFFFFF"/>
            <w:noWrap/>
            <w:vAlign w:val="center"/>
            <w:hideMark/>
          </w:tcPr>
          <w:p w:rsidR="003C69AA" w:rsidRPr="006F0CA5" w:rsidRDefault="003C69AA" w:rsidP="003C69AA">
            <w:pPr>
              <w:jc w:val="center"/>
              <w:rPr>
                <w:b/>
                <w:bCs/>
                <w:color w:val="000000"/>
                <w:sz w:val="22"/>
                <w:szCs w:val="22"/>
                <w:lang w:val="es-GT" w:eastAsia="es-GT"/>
              </w:rPr>
            </w:pPr>
            <w:r w:rsidRPr="006F0CA5">
              <w:rPr>
                <w:b/>
                <w:bCs/>
                <w:color w:val="000000"/>
                <w:sz w:val="22"/>
                <w:szCs w:val="22"/>
                <w:lang w:val="es-GT" w:eastAsia="es-GT"/>
              </w:rPr>
              <w:t>Total</w:t>
            </w:r>
          </w:p>
        </w:tc>
        <w:tc>
          <w:tcPr>
            <w:tcW w:w="1220" w:type="dxa"/>
            <w:tcBorders>
              <w:top w:val="nil"/>
              <w:left w:val="nil"/>
              <w:bottom w:val="nil"/>
              <w:right w:val="single" w:sz="4" w:space="0" w:color="auto"/>
            </w:tcBorders>
            <w:shd w:val="clear" w:color="000000" w:fill="FFFFFF"/>
            <w:noWrap/>
            <w:vAlign w:val="center"/>
            <w:hideMark/>
          </w:tcPr>
          <w:p w:rsidR="003C69AA" w:rsidRPr="006F0CA5" w:rsidRDefault="003C69AA" w:rsidP="00174075">
            <w:pPr>
              <w:jc w:val="right"/>
              <w:rPr>
                <w:b/>
                <w:bCs/>
                <w:color w:val="000000"/>
                <w:sz w:val="22"/>
                <w:szCs w:val="22"/>
                <w:lang w:val="es-GT" w:eastAsia="es-GT"/>
              </w:rPr>
            </w:pPr>
            <w:r w:rsidRPr="006F0CA5">
              <w:rPr>
                <w:b/>
                <w:bCs/>
                <w:color w:val="000000"/>
                <w:sz w:val="22"/>
                <w:szCs w:val="22"/>
                <w:lang w:val="es-GT" w:eastAsia="es-GT"/>
              </w:rPr>
              <w:t>3,289</w:t>
            </w:r>
          </w:p>
        </w:tc>
        <w:tc>
          <w:tcPr>
            <w:tcW w:w="1620" w:type="dxa"/>
            <w:tcBorders>
              <w:top w:val="nil"/>
              <w:left w:val="nil"/>
              <w:bottom w:val="nil"/>
              <w:right w:val="single" w:sz="4" w:space="0" w:color="auto"/>
            </w:tcBorders>
            <w:shd w:val="clear" w:color="000000" w:fill="FFFFFF"/>
            <w:noWrap/>
            <w:vAlign w:val="center"/>
            <w:hideMark/>
          </w:tcPr>
          <w:p w:rsidR="003C69AA" w:rsidRPr="006F0CA5" w:rsidRDefault="003C69AA" w:rsidP="00174075">
            <w:pPr>
              <w:jc w:val="right"/>
              <w:rPr>
                <w:b/>
                <w:bCs/>
                <w:color w:val="000000"/>
                <w:sz w:val="22"/>
                <w:szCs w:val="22"/>
                <w:lang w:val="es-GT" w:eastAsia="es-GT"/>
              </w:rPr>
            </w:pPr>
            <w:r w:rsidRPr="006F0CA5">
              <w:rPr>
                <w:b/>
                <w:bCs/>
                <w:color w:val="000000"/>
                <w:sz w:val="22"/>
                <w:szCs w:val="22"/>
                <w:lang w:val="es-GT" w:eastAsia="es-GT"/>
              </w:rPr>
              <w:t>3,257.3</w:t>
            </w:r>
          </w:p>
        </w:tc>
        <w:tc>
          <w:tcPr>
            <w:tcW w:w="1620" w:type="dxa"/>
            <w:tcBorders>
              <w:top w:val="nil"/>
              <w:left w:val="nil"/>
              <w:bottom w:val="nil"/>
              <w:right w:val="single" w:sz="4" w:space="0" w:color="auto"/>
            </w:tcBorders>
            <w:shd w:val="clear" w:color="000000" w:fill="FFFFFF"/>
            <w:noWrap/>
            <w:vAlign w:val="center"/>
            <w:hideMark/>
          </w:tcPr>
          <w:p w:rsidR="003C69AA" w:rsidRPr="006F0CA5" w:rsidRDefault="003C69AA" w:rsidP="00174075">
            <w:pPr>
              <w:jc w:val="right"/>
              <w:rPr>
                <w:b/>
                <w:bCs/>
                <w:color w:val="000000"/>
                <w:sz w:val="22"/>
                <w:szCs w:val="22"/>
                <w:lang w:val="es-GT" w:eastAsia="es-GT"/>
              </w:rPr>
            </w:pPr>
            <w:r w:rsidRPr="006F0CA5">
              <w:rPr>
                <w:b/>
                <w:bCs/>
                <w:color w:val="000000"/>
                <w:sz w:val="22"/>
                <w:szCs w:val="22"/>
                <w:lang w:val="es-GT" w:eastAsia="es-GT"/>
              </w:rPr>
              <w:t>2,631.7</w:t>
            </w:r>
          </w:p>
        </w:tc>
        <w:tc>
          <w:tcPr>
            <w:tcW w:w="1620" w:type="dxa"/>
            <w:tcBorders>
              <w:top w:val="nil"/>
              <w:left w:val="nil"/>
              <w:bottom w:val="nil"/>
              <w:right w:val="single" w:sz="4" w:space="0" w:color="auto"/>
            </w:tcBorders>
            <w:shd w:val="clear" w:color="000000" w:fill="FFFFFF"/>
            <w:noWrap/>
            <w:vAlign w:val="center"/>
            <w:hideMark/>
          </w:tcPr>
          <w:p w:rsidR="003C69AA" w:rsidRPr="006F0CA5" w:rsidRDefault="003C69AA" w:rsidP="00174075">
            <w:pPr>
              <w:jc w:val="right"/>
              <w:rPr>
                <w:b/>
                <w:bCs/>
                <w:color w:val="000000"/>
                <w:sz w:val="22"/>
                <w:szCs w:val="22"/>
                <w:lang w:val="es-GT" w:eastAsia="es-GT"/>
              </w:rPr>
            </w:pPr>
            <w:r w:rsidRPr="006F0CA5">
              <w:rPr>
                <w:b/>
                <w:bCs/>
                <w:color w:val="000000"/>
                <w:sz w:val="22"/>
                <w:szCs w:val="22"/>
                <w:lang w:val="es-GT" w:eastAsia="es-GT"/>
              </w:rPr>
              <w:t>1,629.0</w:t>
            </w:r>
          </w:p>
        </w:tc>
        <w:tc>
          <w:tcPr>
            <w:tcW w:w="1502" w:type="dxa"/>
            <w:tcBorders>
              <w:top w:val="nil"/>
              <w:left w:val="nil"/>
              <w:bottom w:val="nil"/>
              <w:right w:val="single" w:sz="8" w:space="0" w:color="auto"/>
            </w:tcBorders>
            <w:shd w:val="clear" w:color="000000" w:fill="FFFFFF"/>
            <w:vAlign w:val="center"/>
            <w:hideMark/>
          </w:tcPr>
          <w:p w:rsidR="003C69AA" w:rsidRPr="006F0CA5" w:rsidRDefault="003C69AA" w:rsidP="003C69AA">
            <w:pPr>
              <w:jc w:val="center"/>
              <w:rPr>
                <w:b/>
                <w:bCs/>
                <w:color w:val="000000"/>
                <w:sz w:val="22"/>
                <w:szCs w:val="22"/>
                <w:lang w:val="es-GT" w:eastAsia="es-GT"/>
              </w:rPr>
            </w:pPr>
            <w:r w:rsidRPr="006F0CA5">
              <w:rPr>
                <w:b/>
                <w:bCs/>
                <w:color w:val="000000"/>
                <w:sz w:val="22"/>
                <w:szCs w:val="22"/>
                <w:lang w:val="es-GT" w:eastAsia="es-GT"/>
              </w:rPr>
              <w:t>61.9</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Alta Verapaz</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120</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163.7</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129.7</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75.3</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58.1</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Baja Verapaz</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70</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83.5</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78.3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65.9</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84.1</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Chimaltenango</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223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140.4</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113.2</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82.9</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73.3</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Chiquimula</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106</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97.8</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59.0</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28.3</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48.0</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El Progreso</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103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84.2</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78.5</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46.8</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59.6</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Escuintla</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77</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155.7</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147.6</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101.0</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68.5</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Guatemala</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241</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331.1</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185.0</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126.5</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68.4</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Huehuetenango</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206</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262.7</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209.4</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121.3</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57.9</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Izabal</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70</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121.5</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101.7</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34.8</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34.3</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Jalapa</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85</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96.3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90.9</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37.7</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41.5</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Jutiapa</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73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105.1</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89.3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71.5</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80.1</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Petén</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260</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195.2</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141.3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118.8</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84.0</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Quetzaltenango</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193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196.4</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164.9</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61.7</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37.4</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Quiché</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313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214.7</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179.2</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120.1</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67.0</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Retalhuleu</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136</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113.1</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110.6</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86.4</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78.2</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Sacatepéquez</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49</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82.1</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63.5</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28.9</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45.5</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San Marcos</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249</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254.5</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223.9</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119.2</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53.3</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Santa Rosa</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92</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99.4</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92.3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63.0</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68.2</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Sololá</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150</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135.2</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133.7</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117.3</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87.7</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Suchitepéquez</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153</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141.6</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126.5</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56.9</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45.0</w:t>
            </w:r>
          </w:p>
        </w:tc>
      </w:tr>
      <w:tr w:rsidR="003C69AA" w:rsidRPr="006F0CA5" w:rsidTr="003C69AA">
        <w:trPr>
          <w:trHeight w:val="390"/>
        </w:trPr>
        <w:tc>
          <w:tcPr>
            <w:tcW w:w="1647" w:type="dxa"/>
            <w:tcBorders>
              <w:top w:val="nil"/>
              <w:left w:val="single" w:sz="8" w:space="0" w:color="auto"/>
              <w:bottom w:val="nil"/>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Totonicapán</w:t>
            </w:r>
          </w:p>
        </w:tc>
        <w:tc>
          <w:tcPr>
            <w:tcW w:w="12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184</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102.1</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85.2</w:t>
            </w:r>
          </w:p>
        </w:tc>
        <w:tc>
          <w:tcPr>
            <w:tcW w:w="1620" w:type="dxa"/>
            <w:tcBorders>
              <w:top w:val="nil"/>
              <w:left w:val="nil"/>
              <w:bottom w:val="nil"/>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50.4</w:t>
            </w:r>
          </w:p>
        </w:tc>
        <w:tc>
          <w:tcPr>
            <w:tcW w:w="1502" w:type="dxa"/>
            <w:tcBorders>
              <w:top w:val="nil"/>
              <w:left w:val="nil"/>
              <w:bottom w:val="nil"/>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59.2</w:t>
            </w:r>
          </w:p>
        </w:tc>
      </w:tr>
      <w:tr w:rsidR="003C69AA" w:rsidRPr="006F0CA5" w:rsidTr="003C69AA">
        <w:trPr>
          <w:trHeight w:val="390"/>
        </w:trPr>
        <w:tc>
          <w:tcPr>
            <w:tcW w:w="1647" w:type="dxa"/>
            <w:tcBorders>
              <w:top w:val="nil"/>
              <w:left w:val="single" w:sz="8" w:space="0" w:color="auto"/>
              <w:bottom w:val="single" w:sz="8" w:space="0" w:color="auto"/>
              <w:right w:val="single" w:sz="4" w:space="0" w:color="auto"/>
            </w:tcBorders>
            <w:shd w:val="clear" w:color="auto" w:fill="auto"/>
            <w:noWrap/>
            <w:vAlign w:val="bottom"/>
            <w:hideMark/>
          </w:tcPr>
          <w:p w:rsidR="003C69AA" w:rsidRPr="006F0CA5" w:rsidRDefault="003C69AA" w:rsidP="003C69AA">
            <w:pPr>
              <w:rPr>
                <w:color w:val="000000"/>
                <w:sz w:val="22"/>
                <w:szCs w:val="22"/>
                <w:lang w:val="es-GT" w:eastAsia="es-GT"/>
              </w:rPr>
            </w:pPr>
            <w:r w:rsidRPr="006F0CA5">
              <w:rPr>
                <w:color w:val="000000"/>
                <w:sz w:val="22"/>
                <w:szCs w:val="22"/>
                <w:lang w:val="es-GT" w:eastAsia="es-GT"/>
              </w:rPr>
              <w:t>Zacapa</w:t>
            </w:r>
          </w:p>
        </w:tc>
        <w:tc>
          <w:tcPr>
            <w:tcW w:w="1220" w:type="dxa"/>
            <w:tcBorders>
              <w:top w:val="nil"/>
              <w:left w:val="single" w:sz="4" w:space="0" w:color="auto"/>
              <w:bottom w:val="single" w:sz="8" w:space="0" w:color="auto"/>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136</w:t>
            </w:r>
          </w:p>
        </w:tc>
        <w:tc>
          <w:tcPr>
            <w:tcW w:w="1620" w:type="dxa"/>
            <w:tcBorders>
              <w:top w:val="nil"/>
              <w:left w:val="nil"/>
              <w:bottom w:val="single" w:sz="8" w:space="0" w:color="auto"/>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81.1</w:t>
            </w:r>
          </w:p>
        </w:tc>
        <w:tc>
          <w:tcPr>
            <w:tcW w:w="1620" w:type="dxa"/>
            <w:tcBorders>
              <w:top w:val="nil"/>
              <w:left w:val="nil"/>
              <w:bottom w:val="single" w:sz="8" w:space="0" w:color="auto"/>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27.9</w:t>
            </w:r>
          </w:p>
        </w:tc>
        <w:tc>
          <w:tcPr>
            <w:tcW w:w="1620" w:type="dxa"/>
            <w:tcBorders>
              <w:top w:val="nil"/>
              <w:left w:val="nil"/>
              <w:bottom w:val="single" w:sz="8" w:space="0" w:color="auto"/>
              <w:right w:val="single" w:sz="4" w:space="0" w:color="auto"/>
            </w:tcBorders>
            <w:shd w:val="clear" w:color="auto" w:fill="auto"/>
            <w:noWrap/>
            <w:vAlign w:val="bottom"/>
            <w:hideMark/>
          </w:tcPr>
          <w:p w:rsidR="003C69AA" w:rsidRPr="006F0CA5" w:rsidRDefault="003C69AA" w:rsidP="003C69AA">
            <w:pPr>
              <w:jc w:val="right"/>
              <w:rPr>
                <w:color w:val="000000"/>
                <w:sz w:val="22"/>
                <w:szCs w:val="22"/>
                <w:lang w:val="es-GT" w:eastAsia="es-GT"/>
              </w:rPr>
            </w:pPr>
            <w:r w:rsidRPr="006F0CA5">
              <w:rPr>
                <w:color w:val="000000"/>
                <w:sz w:val="22"/>
                <w:szCs w:val="22"/>
                <w:lang w:val="es-GT" w:eastAsia="es-GT"/>
              </w:rPr>
              <w:t>14.2</w:t>
            </w:r>
          </w:p>
        </w:tc>
        <w:tc>
          <w:tcPr>
            <w:tcW w:w="1502" w:type="dxa"/>
            <w:tcBorders>
              <w:top w:val="nil"/>
              <w:left w:val="nil"/>
              <w:bottom w:val="single" w:sz="8" w:space="0" w:color="auto"/>
              <w:right w:val="single" w:sz="8" w:space="0" w:color="auto"/>
            </w:tcBorders>
            <w:shd w:val="clear" w:color="auto" w:fill="auto"/>
            <w:noWrap/>
            <w:vAlign w:val="bottom"/>
            <w:hideMark/>
          </w:tcPr>
          <w:p w:rsidR="003C69AA" w:rsidRPr="006F0CA5" w:rsidRDefault="003C69AA" w:rsidP="003C69AA">
            <w:pPr>
              <w:jc w:val="center"/>
              <w:rPr>
                <w:color w:val="000000"/>
                <w:sz w:val="22"/>
                <w:szCs w:val="22"/>
                <w:lang w:val="es-GT" w:eastAsia="es-GT"/>
              </w:rPr>
            </w:pPr>
            <w:r w:rsidRPr="006F0CA5">
              <w:rPr>
                <w:color w:val="000000"/>
                <w:sz w:val="22"/>
                <w:szCs w:val="22"/>
                <w:lang w:val="es-GT" w:eastAsia="es-GT"/>
              </w:rPr>
              <w:t>50.8</w:t>
            </w:r>
          </w:p>
        </w:tc>
      </w:tr>
    </w:tbl>
    <w:p w:rsidR="003C69AA" w:rsidRDefault="003C69AA" w:rsidP="003C69AA">
      <w:r w:rsidRPr="004E678D">
        <w:rPr>
          <w:sz w:val="18"/>
        </w:rPr>
        <w:t xml:space="preserve">Fuente: </w:t>
      </w:r>
      <w:r>
        <w:rPr>
          <w:sz w:val="18"/>
        </w:rPr>
        <w:t>Informe General de la República 2020.</w:t>
      </w:r>
    </w:p>
    <w:p w:rsidR="003C69AA" w:rsidRDefault="003C69AA" w:rsidP="00E24F7B"/>
    <w:p w:rsidR="00E3238A" w:rsidRDefault="00E3238A" w:rsidP="00E24F7B"/>
    <w:p w:rsidR="00CC3CAE" w:rsidRDefault="008464AC" w:rsidP="00723EE3">
      <w:pPr>
        <w:jc w:val="both"/>
      </w:pPr>
      <w:r>
        <w:t>E</w:t>
      </w:r>
      <w:r w:rsidR="00723EE3">
        <w:t>xiste una serie de indicadores</w:t>
      </w:r>
      <w:r w:rsidR="006C4B3A">
        <w:t>, metas</w:t>
      </w:r>
      <w:r w:rsidR="00723EE3">
        <w:t xml:space="preserve"> y resultados alcanzados</w:t>
      </w:r>
      <w:r w:rsidR="006C4B3A">
        <w:t xml:space="preserve"> en 20</w:t>
      </w:r>
      <w:r>
        <w:t>20</w:t>
      </w:r>
      <w:r w:rsidR="006C4B3A">
        <w:t xml:space="preserve"> cuyo detalle sería demasiado extenso (consultar </w:t>
      </w:r>
      <w:r>
        <w:t xml:space="preserve">Primer </w:t>
      </w:r>
      <w:r w:rsidR="006C4B3A">
        <w:t>Informe de Gobierno 20</w:t>
      </w:r>
      <w:r>
        <w:t>20-2024</w:t>
      </w:r>
      <w:r w:rsidR="006C4B3A">
        <w:t>)</w:t>
      </w:r>
      <w:r w:rsidR="00723EE3">
        <w:t xml:space="preserve"> que se enmarcan en temas</w:t>
      </w:r>
      <w:r w:rsidR="007146F3">
        <w:t>,</w:t>
      </w:r>
      <w:r w:rsidR="00723EE3">
        <w:t xml:space="preserve"> tales como: </w:t>
      </w:r>
      <w:r w:rsidR="00807118">
        <w:t xml:space="preserve">promoción de la </w:t>
      </w:r>
      <w:r w:rsidR="00723EE3">
        <w:t xml:space="preserve">transparencia y </w:t>
      </w:r>
      <w:r w:rsidR="00807118">
        <w:t>lucha contra</w:t>
      </w:r>
      <w:r w:rsidR="00723EE3">
        <w:t xml:space="preserve"> la corrupción; </w:t>
      </w:r>
      <w:r w:rsidR="008C1784">
        <w:t>modernización del Estado; seguridad alimentaria</w:t>
      </w:r>
      <w:r w:rsidR="00C63149">
        <w:t xml:space="preserve"> y nutricional</w:t>
      </w:r>
      <w:r w:rsidR="008C1784">
        <w:t>; salud; educación; acciones de protección social; infraestructura para la productividad y competitividad; gestión ambiental y de los recursos naturales; ordenamiento territorial; energías renovables; gestión de riesgo</w:t>
      </w:r>
      <w:r w:rsidR="007146F3">
        <w:t>;</w:t>
      </w:r>
      <w:r w:rsidR="008C1784">
        <w:t xml:space="preserve"> seguridad interna; entorno macroeconómico; política fiscal sostenible, entre otros.</w:t>
      </w:r>
    </w:p>
    <w:p w:rsidR="009A0BB6" w:rsidRPr="00E3238A" w:rsidRDefault="009A0BB6" w:rsidP="00723EE3">
      <w:pPr>
        <w:jc w:val="both"/>
      </w:pPr>
    </w:p>
    <w:p w:rsidR="00F061FE" w:rsidRDefault="00F061FE" w:rsidP="00723EE3">
      <w:pPr>
        <w:jc w:val="both"/>
      </w:pPr>
    </w:p>
    <w:p w:rsidR="00E3238A" w:rsidRPr="00E3238A" w:rsidRDefault="00E3238A" w:rsidP="00723EE3">
      <w:pPr>
        <w:jc w:val="both"/>
      </w:pPr>
    </w:p>
    <w:p w:rsidR="009A0BB6" w:rsidRDefault="009A0BB6" w:rsidP="00C774F3">
      <w:pPr>
        <w:pStyle w:val="Ttulo2"/>
        <w:numPr>
          <w:ilvl w:val="0"/>
          <w:numId w:val="3"/>
        </w:numPr>
        <w:spacing w:line="276" w:lineRule="auto"/>
        <w:ind w:left="567" w:hanging="567"/>
        <w:rPr>
          <w:rFonts w:ascii="Times New Roman" w:hAnsi="Times New Roman"/>
          <w:color w:val="auto"/>
          <w:sz w:val="24"/>
          <w:szCs w:val="24"/>
        </w:rPr>
      </w:pPr>
      <w:bookmarkStart w:id="35" w:name="_Toc65826764"/>
      <w:r>
        <w:rPr>
          <w:rFonts w:ascii="Times New Roman" w:hAnsi="Times New Roman"/>
          <w:color w:val="auto"/>
          <w:sz w:val="24"/>
          <w:szCs w:val="24"/>
        </w:rPr>
        <w:t>Fondos Extrapresupuestarios</w:t>
      </w:r>
      <w:bookmarkEnd w:id="35"/>
    </w:p>
    <w:p w:rsidR="009A0BB6" w:rsidRPr="00E3238A" w:rsidRDefault="009A0BB6" w:rsidP="00E24F7B">
      <w:pPr>
        <w:rPr>
          <w:sz w:val="32"/>
        </w:rPr>
      </w:pPr>
    </w:p>
    <w:p w:rsidR="009A0BB6" w:rsidRDefault="009A0BB6" w:rsidP="00BF239D">
      <w:pPr>
        <w:jc w:val="both"/>
      </w:pPr>
      <w:r>
        <w:t xml:space="preserve">Tanto el </w:t>
      </w:r>
      <w:r w:rsidR="00E44360">
        <w:t>p</w:t>
      </w:r>
      <w:r>
        <w:t xml:space="preserve">royecto </w:t>
      </w:r>
      <w:r w:rsidR="00AB214E">
        <w:t xml:space="preserve">de </w:t>
      </w:r>
      <w:r w:rsidR="00E44360">
        <w:t>p</w:t>
      </w:r>
      <w:r w:rsidR="00AB214E">
        <w:t xml:space="preserve">resupuesto </w:t>
      </w:r>
      <w:r>
        <w:t xml:space="preserve">que se traslada al Congreso de la República para su análisis y aprobación, como el Presupuesto General de Ingresos y Egresos del Estado del Ejercicio Fiscal que corresponda, contiene el detalle y desglose </w:t>
      </w:r>
      <w:r w:rsidR="00AB214E">
        <w:t xml:space="preserve">de </w:t>
      </w:r>
      <w:r>
        <w:t xml:space="preserve">los ingresos y gastos de las entidades de la Administración Central. Por lo tanto, </w:t>
      </w:r>
      <w:r w:rsidR="00FB1D8B">
        <w:t>existen</w:t>
      </w:r>
      <w:r>
        <w:t xml:space="preserve"> otras asignaciones que al </w:t>
      </w:r>
      <w:r w:rsidR="00FB1D8B">
        <w:t>no figurar en</w:t>
      </w:r>
      <w:r>
        <w:t xml:space="preserve"> </w:t>
      </w:r>
      <w:r w:rsidR="00FB1D8B">
        <w:t xml:space="preserve">dichos </w:t>
      </w:r>
      <w:r>
        <w:t xml:space="preserve">documentos se consideran fondos extrapresupuestarios, entre los cuales se pueden mencionar: los ingresos propios o privativos, los saldos de caja, </w:t>
      </w:r>
      <w:r w:rsidR="00FB1D8B">
        <w:t xml:space="preserve">las rentas de la propiedad, </w:t>
      </w:r>
      <w:r>
        <w:t>los ingresos de operación, las transferencias corrientes y de capital, entre otros, de las entidades descentralizadas y autónomas y de las municipalidades del país.</w:t>
      </w:r>
    </w:p>
    <w:p w:rsidR="009A0BB6" w:rsidRPr="00E3238A" w:rsidRDefault="009A0BB6" w:rsidP="00BF239D">
      <w:pPr>
        <w:jc w:val="both"/>
        <w:rPr>
          <w:sz w:val="32"/>
        </w:rPr>
      </w:pPr>
    </w:p>
    <w:p w:rsidR="000E0C87" w:rsidRDefault="00F6432D" w:rsidP="00BF239D">
      <w:pPr>
        <w:jc w:val="both"/>
      </w:pPr>
      <w:r>
        <w:t xml:space="preserve">De esa cuenta, en los siguientes dos cuadros se presenta el Presupuesto </w:t>
      </w:r>
      <w:r w:rsidR="00A74E6A">
        <w:t>Aprobado de I</w:t>
      </w:r>
      <w:r>
        <w:t xml:space="preserve">ngresos y </w:t>
      </w:r>
      <w:r w:rsidR="00A3418E">
        <w:t xml:space="preserve">el </w:t>
      </w:r>
      <w:r w:rsidR="008136F3">
        <w:t xml:space="preserve">Presupuesto </w:t>
      </w:r>
      <w:r w:rsidR="00A74E6A">
        <w:t xml:space="preserve">Percibido </w:t>
      </w:r>
      <w:r w:rsidR="008136F3">
        <w:t xml:space="preserve">de Ingresos </w:t>
      </w:r>
      <w:r w:rsidR="00A74E6A">
        <w:t>durante</w:t>
      </w:r>
      <w:r w:rsidR="00700012">
        <w:t xml:space="preserve"> el </w:t>
      </w:r>
      <w:r>
        <w:t>Ejercicio Fiscal 20</w:t>
      </w:r>
      <w:r w:rsidR="00AD1077">
        <w:t>20</w:t>
      </w:r>
      <w:r>
        <w:t>, de las entidades descentralizadas y autónomas bajo la Clasificación de Recursos por Rubro</w:t>
      </w:r>
      <w:r w:rsidR="00700012">
        <w:t xml:space="preserve">, en los cuales se puede destacar que en su conjunto, estas entidades </w:t>
      </w:r>
      <w:r w:rsidR="00DF0608">
        <w:t>ejecutaron</w:t>
      </w:r>
      <w:r w:rsidR="00700012">
        <w:t xml:space="preserve"> el </w:t>
      </w:r>
      <w:r w:rsidR="00E80AE0">
        <w:t>7</w:t>
      </w:r>
      <w:r w:rsidR="00AD1077">
        <w:t>8.3</w:t>
      </w:r>
      <w:r w:rsidR="00700012">
        <w:t xml:space="preserve">% de su presupuesto de ingresos aprobado, lo que significa un </w:t>
      </w:r>
      <w:r w:rsidR="00AD1077">
        <w:t>moderado</w:t>
      </w:r>
      <w:r w:rsidR="00700012">
        <w:t xml:space="preserve"> nivel de efectividad para percibir los ingresos programados, situación que vuelve a muchas de estas entidades, en altamente dependientes de los aportes del Gobierno Central para financiar sus actividades diarias.</w:t>
      </w:r>
      <w:r w:rsidR="008136F3">
        <w:t xml:space="preserve"> Esto ha ocasionado la emisión de leyes específicas para asignar y/o incrementar el traslado de recursos públicos vía aportes o transferencias, situación que provoca un alto nivel de rigide</w:t>
      </w:r>
      <w:r w:rsidR="00A3418E">
        <w:t>z</w:t>
      </w:r>
      <w:r w:rsidR="008136F3">
        <w:t xml:space="preserve"> al Presupuesto General de Ingresos y Egresos del Estado, ocasionando </w:t>
      </w:r>
      <w:r w:rsidR="00A3418E">
        <w:t xml:space="preserve">muchas veces </w:t>
      </w:r>
      <w:r w:rsidR="008136F3">
        <w:t>que los Ministerios de Estado o las Secretarías y Otras Dependencias del Ejecutivo dispongan de escasos recursos para el desarrollo de su gestión pública, encaminada a lograr el bienestar social y económico de la población</w:t>
      </w:r>
      <w:r w:rsidR="00A3418E">
        <w:t xml:space="preserve"> más necesitada del país.</w:t>
      </w:r>
    </w:p>
    <w:p w:rsidR="00700012" w:rsidRDefault="00700012" w:rsidP="00BF239D">
      <w:pPr>
        <w:jc w:val="both"/>
      </w:pPr>
    </w:p>
    <w:p w:rsidR="00E3238A" w:rsidRDefault="00E3238A" w:rsidP="00BF239D">
      <w:pPr>
        <w:jc w:val="both"/>
      </w:pPr>
    </w:p>
    <w:p w:rsidR="00E3238A" w:rsidRDefault="00E3238A" w:rsidP="00BF239D">
      <w:pPr>
        <w:jc w:val="both"/>
      </w:pPr>
    </w:p>
    <w:p w:rsidR="00E3238A" w:rsidRDefault="00E3238A" w:rsidP="00BF239D">
      <w:pPr>
        <w:jc w:val="both"/>
      </w:pPr>
    </w:p>
    <w:p w:rsidR="00E3238A" w:rsidRDefault="00E3238A" w:rsidP="00BF239D">
      <w:pPr>
        <w:jc w:val="both"/>
      </w:pPr>
    </w:p>
    <w:p w:rsidR="00E3238A" w:rsidRDefault="00E3238A" w:rsidP="00BF239D">
      <w:pPr>
        <w:jc w:val="both"/>
      </w:pPr>
    </w:p>
    <w:p w:rsidR="002A615C" w:rsidRDefault="002A615C" w:rsidP="00BF239D">
      <w:pPr>
        <w:jc w:val="both"/>
      </w:pPr>
    </w:p>
    <w:p w:rsidR="00E3238A" w:rsidRDefault="00E3238A" w:rsidP="00BF239D">
      <w:pPr>
        <w:jc w:val="both"/>
      </w:pPr>
    </w:p>
    <w:p w:rsidR="00A74E6A" w:rsidRPr="002A615C" w:rsidRDefault="00A74E6A" w:rsidP="00691DA3">
      <w:pPr>
        <w:jc w:val="center"/>
        <w:rPr>
          <w:b/>
          <w:sz w:val="36"/>
        </w:rPr>
      </w:pPr>
    </w:p>
    <w:p w:rsidR="00691DA3" w:rsidRPr="00124AD6" w:rsidRDefault="00691DA3" w:rsidP="00691DA3">
      <w:pPr>
        <w:jc w:val="center"/>
        <w:rPr>
          <w:b/>
        </w:rPr>
      </w:pPr>
      <w:r w:rsidRPr="00124AD6">
        <w:rPr>
          <w:b/>
        </w:rPr>
        <w:t xml:space="preserve">Cuadro </w:t>
      </w:r>
      <w:r w:rsidR="00A861C2">
        <w:rPr>
          <w:b/>
        </w:rPr>
        <w:t>20</w:t>
      </w:r>
      <w:r w:rsidR="000E0C87">
        <w:rPr>
          <w:b/>
        </w:rPr>
        <w:t xml:space="preserve"> (1/</w:t>
      </w:r>
      <w:r w:rsidR="002A615C">
        <w:rPr>
          <w:b/>
        </w:rPr>
        <w:t>4</w:t>
      </w:r>
      <w:r w:rsidR="000E0C87">
        <w:rPr>
          <w:b/>
        </w:rPr>
        <w:t>)</w:t>
      </w:r>
    </w:p>
    <w:p w:rsidR="00691DA3" w:rsidRDefault="00691DA3" w:rsidP="00691DA3">
      <w:pPr>
        <w:jc w:val="center"/>
        <w:rPr>
          <w:b/>
        </w:rPr>
      </w:pPr>
      <w:r>
        <w:rPr>
          <w:b/>
        </w:rPr>
        <w:t xml:space="preserve">Presupuesto Aprobado de </w:t>
      </w:r>
      <w:r w:rsidR="000E0C87">
        <w:rPr>
          <w:b/>
        </w:rPr>
        <w:t xml:space="preserve">Ingresos de </w:t>
      </w:r>
      <w:r>
        <w:rPr>
          <w:b/>
        </w:rPr>
        <w:t>Entidades Descentralizadas y Autónomas</w:t>
      </w:r>
    </w:p>
    <w:p w:rsidR="009A0BB6" w:rsidRDefault="00691DA3" w:rsidP="00691DA3">
      <w:pPr>
        <w:jc w:val="center"/>
        <w:rPr>
          <w:b/>
        </w:rPr>
      </w:pPr>
      <w:r>
        <w:rPr>
          <w:b/>
        </w:rPr>
        <w:t>Ejercicio Fiscal 20</w:t>
      </w:r>
      <w:r w:rsidR="00697325">
        <w:rPr>
          <w:b/>
        </w:rPr>
        <w:t>20</w:t>
      </w:r>
      <w:r w:rsidR="009E1E5D">
        <w:rPr>
          <w:b/>
        </w:rPr>
        <w:t>*</w:t>
      </w:r>
    </w:p>
    <w:p w:rsidR="00691DA3" w:rsidRDefault="00691DA3" w:rsidP="00691DA3">
      <w:pPr>
        <w:jc w:val="center"/>
        <w:rPr>
          <w:b/>
        </w:rPr>
      </w:pPr>
      <w:r>
        <w:rPr>
          <w:b/>
        </w:rPr>
        <w:t>(En Millones de Quetzales)</w:t>
      </w:r>
    </w:p>
    <w:p w:rsidR="002A615C" w:rsidRDefault="002A615C" w:rsidP="00691DA3">
      <w:pPr>
        <w:jc w:val="center"/>
        <w:rPr>
          <w:b/>
        </w:rPr>
      </w:pPr>
    </w:p>
    <w:p w:rsidR="00697325" w:rsidRDefault="002A615C" w:rsidP="00691DA3">
      <w:pPr>
        <w:jc w:val="center"/>
        <w:rPr>
          <w:b/>
        </w:rPr>
      </w:pPr>
      <w:r w:rsidRPr="002A615C">
        <w:rPr>
          <w:noProof/>
          <w:lang w:val="es-GT" w:eastAsia="es-GT"/>
        </w:rPr>
        <w:drawing>
          <wp:inline distT="0" distB="0" distL="0" distR="0" wp14:anchorId="15FE6EB2" wp14:editId="5CE96C2B">
            <wp:extent cx="6334963" cy="6283756"/>
            <wp:effectExtent l="0" t="0" r="889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43000" cy="6291728"/>
                    </a:xfrm>
                    <a:prstGeom prst="rect">
                      <a:avLst/>
                    </a:prstGeom>
                    <a:noFill/>
                    <a:ln>
                      <a:noFill/>
                    </a:ln>
                  </pic:spPr>
                </pic:pic>
              </a:graphicData>
            </a:graphic>
          </wp:inline>
        </w:drawing>
      </w:r>
    </w:p>
    <w:p w:rsidR="00697325" w:rsidRDefault="00697325" w:rsidP="00691DA3">
      <w:pPr>
        <w:jc w:val="center"/>
        <w:rPr>
          <w:b/>
        </w:rPr>
      </w:pPr>
    </w:p>
    <w:p w:rsidR="002A615C" w:rsidRDefault="002A615C" w:rsidP="00691DA3">
      <w:pPr>
        <w:jc w:val="center"/>
        <w:rPr>
          <w:b/>
        </w:rPr>
      </w:pPr>
    </w:p>
    <w:p w:rsidR="002A615C" w:rsidRDefault="002A615C" w:rsidP="00691DA3">
      <w:pPr>
        <w:jc w:val="center"/>
        <w:rPr>
          <w:b/>
        </w:rPr>
      </w:pPr>
    </w:p>
    <w:p w:rsidR="002A615C" w:rsidRPr="002A615C" w:rsidRDefault="002A615C" w:rsidP="00691DA3">
      <w:pPr>
        <w:jc w:val="center"/>
        <w:rPr>
          <w:b/>
          <w:sz w:val="36"/>
        </w:rPr>
      </w:pPr>
    </w:p>
    <w:p w:rsidR="002A615C" w:rsidRPr="00124AD6" w:rsidRDefault="002A615C" w:rsidP="002A615C">
      <w:pPr>
        <w:jc w:val="center"/>
        <w:rPr>
          <w:b/>
        </w:rPr>
      </w:pPr>
      <w:r w:rsidRPr="00124AD6">
        <w:rPr>
          <w:b/>
        </w:rPr>
        <w:t xml:space="preserve">Cuadro </w:t>
      </w:r>
      <w:r w:rsidR="007401CA">
        <w:rPr>
          <w:b/>
        </w:rPr>
        <w:t>20</w:t>
      </w:r>
      <w:r>
        <w:rPr>
          <w:b/>
        </w:rPr>
        <w:t xml:space="preserve"> (2/4)</w:t>
      </w:r>
    </w:p>
    <w:p w:rsidR="002A615C" w:rsidRDefault="002A615C" w:rsidP="002A615C">
      <w:pPr>
        <w:jc w:val="center"/>
        <w:rPr>
          <w:b/>
        </w:rPr>
      </w:pPr>
      <w:r>
        <w:rPr>
          <w:b/>
        </w:rPr>
        <w:t>Presupuesto Aprobado de Ingresos de Entidades Descentralizadas y Autónomas</w:t>
      </w:r>
    </w:p>
    <w:p w:rsidR="002A615C" w:rsidRDefault="002A615C" w:rsidP="002A615C">
      <w:pPr>
        <w:jc w:val="center"/>
        <w:rPr>
          <w:b/>
        </w:rPr>
      </w:pPr>
      <w:r>
        <w:rPr>
          <w:b/>
        </w:rPr>
        <w:t>Ejercicio Fiscal 20</w:t>
      </w:r>
      <w:r w:rsidR="0029018C">
        <w:rPr>
          <w:b/>
        </w:rPr>
        <w:t>20</w:t>
      </w:r>
      <w:r>
        <w:rPr>
          <w:b/>
        </w:rPr>
        <w:t>*</w:t>
      </w:r>
    </w:p>
    <w:p w:rsidR="002A615C" w:rsidRDefault="002A615C" w:rsidP="002A615C">
      <w:pPr>
        <w:jc w:val="center"/>
        <w:rPr>
          <w:b/>
        </w:rPr>
      </w:pPr>
      <w:r>
        <w:rPr>
          <w:b/>
        </w:rPr>
        <w:t>(En Millones de Quetzales)</w:t>
      </w:r>
    </w:p>
    <w:p w:rsidR="002A615C" w:rsidRDefault="002A615C" w:rsidP="00691DA3">
      <w:pPr>
        <w:jc w:val="center"/>
        <w:rPr>
          <w:b/>
        </w:rPr>
      </w:pPr>
    </w:p>
    <w:p w:rsidR="002A615C" w:rsidRDefault="002A615C" w:rsidP="00691DA3">
      <w:pPr>
        <w:jc w:val="center"/>
        <w:rPr>
          <w:b/>
        </w:rPr>
      </w:pPr>
      <w:r w:rsidRPr="002A615C">
        <w:rPr>
          <w:noProof/>
          <w:lang w:val="es-GT" w:eastAsia="es-GT"/>
        </w:rPr>
        <w:drawing>
          <wp:inline distT="0" distB="0" distL="0" distR="0" wp14:anchorId="01E78EBB" wp14:editId="2B5B5EFF">
            <wp:extent cx="6290134" cy="626912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84757" cy="6263766"/>
                    </a:xfrm>
                    <a:prstGeom prst="rect">
                      <a:avLst/>
                    </a:prstGeom>
                    <a:noFill/>
                    <a:ln>
                      <a:noFill/>
                    </a:ln>
                  </pic:spPr>
                </pic:pic>
              </a:graphicData>
            </a:graphic>
          </wp:inline>
        </w:drawing>
      </w:r>
    </w:p>
    <w:p w:rsidR="002A615C" w:rsidRDefault="002A615C" w:rsidP="00691DA3">
      <w:pPr>
        <w:jc w:val="center"/>
        <w:rPr>
          <w:b/>
        </w:rPr>
      </w:pPr>
    </w:p>
    <w:p w:rsidR="002A615C" w:rsidRDefault="002A615C" w:rsidP="00691DA3">
      <w:pPr>
        <w:jc w:val="center"/>
        <w:rPr>
          <w:b/>
        </w:rPr>
      </w:pPr>
    </w:p>
    <w:p w:rsidR="002A615C" w:rsidRDefault="002A615C" w:rsidP="00691DA3">
      <w:pPr>
        <w:jc w:val="center"/>
        <w:rPr>
          <w:b/>
        </w:rPr>
      </w:pPr>
    </w:p>
    <w:p w:rsidR="002A615C" w:rsidRPr="002A615C" w:rsidRDefault="002A615C" w:rsidP="00691DA3">
      <w:pPr>
        <w:jc w:val="center"/>
        <w:rPr>
          <w:b/>
          <w:sz w:val="36"/>
        </w:rPr>
      </w:pPr>
    </w:p>
    <w:p w:rsidR="002A615C" w:rsidRPr="00124AD6" w:rsidRDefault="002A615C" w:rsidP="002A615C">
      <w:pPr>
        <w:jc w:val="center"/>
        <w:rPr>
          <w:b/>
        </w:rPr>
      </w:pPr>
      <w:r w:rsidRPr="00124AD6">
        <w:rPr>
          <w:b/>
        </w:rPr>
        <w:t xml:space="preserve">Cuadro </w:t>
      </w:r>
      <w:r w:rsidR="007401CA">
        <w:rPr>
          <w:b/>
        </w:rPr>
        <w:t>20</w:t>
      </w:r>
      <w:r>
        <w:rPr>
          <w:b/>
        </w:rPr>
        <w:t xml:space="preserve"> (</w:t>
      </w:r>
      <w:r w:rsidR="0029018C">
        <w:rPr>
          <w:b/>
        </w:rPr>
        <w:t>3/4</w:t>
      </w:r>
      <w:r>
        <w:rPr>
          <w:b/>
        </w:rPr>
        <w:t>)</w:t>
      </w:r>
    </w:p>
    <w:p w:rsidR="002A615C" w:rsidRDefault="002A615C" w:rsidP="002A615C">
      <w:pPr>
        <w:jc w:val="center"/>
        <w:rPr>
          <w:b/>
        </w:rPr>
      </w:pPr>
      <w:r>
        <w:rPr>
          <w:b/>
        </w:rPr>
        <w:t>Presupuesto Aprobado de Ingresos de Entidades Descentralizadas y Autónomas</w:t>
      </w:r>
    </w:p>
    <w:p w:rsidR="002A615C" w:rsidRDefault="002A615C" w:rsidP="002A615C">
      <w:pPr>
        <w:jc w:val="center"/>
        <w:rPr>
          <w:b/>
        </w:rPr>
      </w:pPr>
      <w:r>
        <w:rPr>
          <w:b/>
        </w:rPr>
        <w:t>Ejercicio Fiscal 20</w:t>
      </w:r>
      <w:r w:rsidR="0029018C">
        <w:rPr>
          <w:b/>
        </w:rPr>
        <w:t>20</w:t>
      </w:r>
      <w:r>
        <w:rPr>
          <w:b/>
        </w:rPr>
        <w:t>*</w:t>
      </w:r>
    </w:p>
    <w:p w:rsidR="002A615C" w:rsidRDefault="002A615C" w:rsidP="002A615C">
      <w:pPr>
        <w:jc w:val="center"/>
        <w:rPr>
          <w:b/>
        </w:rPr>
      </w:pPr>
      <w:r>
        <w:rPr>
          <w:b/>
        </w:rPr>
        <w:t>(En Millones de Quetzales)</w:t>
      </w:r>
    </w:p>
    <w:p w:rsidR="002A615C" w:rsidRDefault="002A615C" w:rsidP="00691DA3">
      <w:pPr>
        <w:jc w:val="center"/>
        <w:rPr>
          <w:b/>
        </w:rPr>
      </w:pPr>
    </w:p>
    <w:p w:rsidR="002A615C" w:rsidRDefault="002A615C" w:rsidP="00691DA3">
      <w:pPr>
        <w:jc w:val="center"/>
        <w:rPr>
          <w:b/>
        </w:rPr>
      </w:pPr>
      <w:r w:rsidRPr="002A615C">
        <w:rPr>
          <w:noProof/>
          <w:lang w:val="es-GT" w:eastAsia="es-GT"/>
        </w:rPr>
        <w:drawing>
          <wp:inline distT="0" distB="0" distL="0" distR="0" wp14:anchorId="6B5825EB" wp14:editId="2FB38B94">
            <wp:extent cx="6360847" cy="5815584"/>
            <wp:effectExtent l="0" t="0" r="190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58157" cy="5813125"/>
                    </a:xfrm>
                    <a:prstGeom prst="rect">
                      <a:avLst/>
                    </a:prstGeom>
                    <a:noFill/>
                    <a:ln>
                      <a:noFill/>
                    </a:ln>
                  </pic:spPr>
                </pic:pic>
              </a:graphicData>
            </a:graphic>
          </wp:inline>
        </w:drawing>
      </w:r>
    </w:p>
    <w:p w:rsidR="002A615C" w:rsidRDefault="002A615C" w:rsidP="00691DA3">
      <w:pPr>
        <w:jc w:val="center"/>
        <w:rPr>
          <w:b/>
        </w:rPr>
      </w:pPr>
    </w:p>
    <w:p w:rsidR="0029018C" w:rsidRDefault="0029018C" w:rsidP="00691DA3">
      <w:pPr>
        <w:jc w:val="center"/>
        <w:rPr>
          <w:b/>
        </w:rPr>
      </w:pPr>
    </w:p>
    <w:p w:rsidR="0029018C" w:rsidRDefault="0029018C" w:rsidP="00691DA3">
      <w:pPr>
        <w:jc w:val="center"/>
        <w:rPr>
          <w:b/>
        </w:rPr>
      </w:pPr>
    </w:p>
    <w:p w:rsidR="0029018C" w:rsidRDefault="0029018C" w:rsidP="00691DA3">
      <w:pPr>
        <w:jc w:val="center"/>
        <w:rPr>
          <w:b/>
        </w:rPr>
      </w:pPr>
    </w:p>
    <w:p w:rsidR="0029018C" w:rsidRDefault="0029018C" w:rsidP="00691DA3">
      <w:pPr>
        <w:jc w:val="center"/>
        <w:rPr>
          <w:b/>
        </w:rPr>
      </w:pPr>
    </w:p>
    <w:p w:rsidR="0029018C" w:rsidRPr="0029018C" w:rsidRDefault="0029018C" w:rsidP="00691DA3">
      <w:pPr>
        <w:jc w:val="center"/>
        <w:rPr>
          <w:b/>
          <w:sz w:val="40"/>
        </w:rPr>
      </w:pPr>
    </w:p>
    <w:p w:rsidR="002A615C" w:rsidRPr="00124AD6" w:rsidRDefault="002A615C" w:rsidP="002A615C">
      <w:pPr>
        <w:jc w:val="center"/>
        <w:rPr>
          <w:b/>
        </w:rPr>
      </w:pPr>
      <w:r w:rsidRPr="00124AD6">
        <w:rPr>
          <w:b/>
        </w:rPr>
        <w:t xml:space="preserve">Cuadro </w:t>
      </w:r>
      <w:r w:rsidR="007401CA">
        <w:rPr>
          <w:b/>
        </w:rPr>
        <w:t>20</w:t>
      </w:r>
      <w:r>
        <w:rPr>
          <w:b/>
        </w:rPr>
        <w:t xml:space="preserve"> (</w:t>
      </w:r>
      <w:r w:rsidR="0029018C">
        <w:rPr>
          <w:b/>
        </w:rPr>
        <w:t>4/4</w:t>
      </w:r>
      <w:r>
        <w:rPr>
          <w:b/>
        </w:rPr>
        <w:t>)</w:t>
      </w:r>
    </w:p>
    <w:p w:rsidR="002A615C" w:rsidRDefault="002A615C" w:rsidP="002A615C">
      <w:pPr>
        <w:jc w:val="center"/>
        <w:rPr>
          <w:b/>
        </w:rPr>
      </w:pPr>
      <w:r>
        <w:rPr>
          <w:b/>
        </w:rPr>
        <w:t>Presupuesto Aprobado de Ingresos de Entidades Descentralizadas y Autónomas</w:t>
      </w:r>
    </w:p>
    <w:p w:rsidR="002A615C" w:rsidRDefault="002A615C" w:rsidP="002A615C">
      <w:pPr>
        <w:jc w:val="center"/>
        <w:rPr>
          <w:b/>
        </w:rPr>
      </w:pPr>
      <w:r>
        <w:rPr>
          <w:b/>
        </w:rPr>
        <w:t>Ejercicio Fiscal 20</w:t>
      </w:r>
      <w:r w:rsidR="0029018C">
        <w:rPr>
          <w:b/>
        </w:rPr>
        <w:t>20</w:t>
      </w:r>
      <w:r>
        <w:rPr>
          <w:b/>
        </w:rPr>
        <w:t>*</w:t>
      </w:r>
    </w:p>
    <w:p w:rsidR="002A615C" w:rsidRDefault="002A615C" w:rsidP="002A615C">
      <w:pPr>
        <w:jc w:val="center"/>
        <w:rPr>
          <w:b/>
        </w:rPr>
      </w:pPr>
      <w:r>
        <w:rPr>
          <w:b/>
        </w:rPr>
        <w:t>(En Millones de Quetzales)</w:t>
      </w:r>
    </w:p>
    <w:p w:rsidR="002A615C" w:rsidRDefault="002A615C" w:rsidP="00691DA3">
      <w:pPr>
        <w:jc w:val="center"/>
        <w:rPr>
          <w:b/>
        </w:rPr>
      </w:pPr>
    </w:p>
    <w:p w:rsidR="002A615C" w:rsidRDefault="002A615C" w:rsidP="00691DA3">
      <w:pPr>
        <w:jc w:val="center"/>
        <w:rPr>
          <w:b/>
        </w:rPr>
      </w:pPr>
      <w:r w:rsidRPr="002A615C">
        <w:rPr>
          <w:noProof/>
          <w:lang w:val="es-GT" w:eastAsia="es-GT"/>
        </w:rPr>
        <w:drawing>
          <wp:inline distT="0" distB="0" distL="0" distR="0" wp14:anchorId="15FE7320" wp14:editId="5D935B9B">
            <wp:extent cx="6317094" cy="548640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17076" cy="5486385"/>
                    </a:xfrm>
                    <a:prstGeom prst="rect">
                      <a:avLst/>
                    </a:prstGeom>
                    <a:noFill/>
                    <a:ln>
                      <a:noFill/>
                    </a:ln>
                  </pic:spPr>
                </pic:pic>
              </a:graphicData>
            </a:graphic>
          </wp:inline>
        </w:drawing>
      </w:r>
    </w:p>
    <w:p w:rsidR="00A74E6A" w:rsidRPr="00A74E6A" w:rsidRDefault="00A74E6A" w:rsidP="00A74E6A">
      <w:pPr>
        <w:rPr>
          <w:sz w:val="18"/>
        </w:rPr>
      </w:pPr>
      <w:r w:rsidRPr="00A74E6A">
        <w:rPr>
          <w:sz w:val="18"/>
        </w:rPr>
        <w:t>* Cifras</w:t>
      </w:r>
      <w:r>
        <w:rPr>
          <w:sz w:val="18"/>
        </w:rPr>
        <w:t xml:space="preserve"> preliminares</w:t>
      </w:r>
    </w:p>
    <w:p w:rsidR="000E0C87" w:rsidRDefault="00A74E6A" w:rsidP="000E0C87">
      <w:r>
        <w:rPr>
          <w:sz w:val="18"/>
        </w:rPr>
        <w:t xml:space="preserve">   </w:t>
      </w:r>
      <w:r w:rsidR="000E0C87" w:rsidRPr="004E678D">
        <w:rPr>
          <w:sz w:val="18"/>
        </w:rPr>
        <w:t xml:space="preserve">Fuente: </w:t>
      </w:r>
      <w:r w:rsidR="000E0C87">
        <w:rPr>
          <w:sz w:val="18"/>
        </w:rPr>
        <w:t>Ministerio de Finanzas Públicas, con base en el SICOIN.DES.</w:t>
      </w:r>
    </w:p>
    <w:p w:rsidR="009A0BB6" w:rsidRDefault="009A0BB6" w:rsidP="00E24F7B"/>
    <w:p w:rsidR="0025088D" w:rsidRDefault="0025088D" w:rsidP="00E24F7B"/>
    <w:p w:rsidR="0029018C" w:rsidRDefault="0029018C" w:rsidP="00E24F7B"/>
    <w:p w:rsidR="0029018C" w:rsidRDefault="0029018C" w:rsidP="00E24F7B"/>
    <w:p w:rsidR="0029018C" w:rsidRDefault="0029018C" w:rsidP="00E24F7B"/>
    <w:p w:rsidR="0099768A" w:rsidRPr="00465859" w:rsidRDefault="0099768A" w:rsidP="00E24F7B">
      <w:pPr>
        <w:rPr>
          <w:sz w:val="40"/>
        </w:rPr>
      </w:pPr>
    </w:p>
    <w:p w:rsidR="000E0C87" w:rsidRPr="00124AD6" w:rsidRDefault="000E0C87" w:rsidP="000E0C87">
      <w:pPr>
        <w:jc w:val="center"/>
        <w:rPr>
          <w:b/>
        </w:rPr>
      </w:pPr>
      <w:r w:rsidRPr="00124AD6">
        <w:rPr>
          <w:b/>
        </w:rPr>
        <w:t xml:space="preserve">Cuadro </w:t>
      </w:r>
      <w:r w:rsidR="007401CA">
        <w:rPr>
          <w:b/>
        </w:rPr>
        <w:t>21</w:t>
      </w:r>
      <w:r>
        <w:rPr>
          <w:b/>
        </w:rPr>
        <w:t xml:space="preserve"> (1/</w:t>
      </w:r>
      <w:r w:rsidR="00465859">
        <w:rPr>
          <w:b/>
        </w:rPr>
        <w:t>4</w:t>
      </w:r>
      <w:r>
        <w:rPr>
          <w:b/>
        </w:rPr>
        <w:t>)</w:t>
      </w:r>
    </w:p>
    <w:p w:rsidR="000E0C87" w:rsidRDefault="000E0C87" w:rsidP="000E0C87">
      <w:pPr>
        <w:jc w:val="center"/>
        <w:rPr>
          <w:b/>
        </w:rPr>
      </w:pPr>
      <w:r>
        <w:rPr>
          <w:b/>
        </w:rPr>
        <w:t>Presupuesto Percibido de Ingresos de Entidades Descentralizadas y Autónomas</w:t>
      </w:r>
    </w:p>
    <w:p w:rsidR="000E0C87" w:rsidRDefault="000E0C87" w:rsidP="000E0C87">
      <w:pPr>
        <w:jc w:val="center"/>
        <w:rPr>
          <w:b/>
        </w:rPr>
      </w:pPr>
      <w:r>
        <w:rPr>
          <w:b/>
        </w:rPr>
        <w:t>Ejercicio Fiscal 20</w:t>
      </w:r>
      <w:r w:rsidR="00697325">
        <w:rPr>
          <w:b/>
        </w:rPr>
        <w:t>20</w:t>
      </w:r>
      <w:r>
        <w:rPr>
          <w:b/>
        </w:rPr>
        <w:t>*</w:t>
      </w:r>
    </w:p>
    <w:p w:rsidR="000E0C87" w:rsidRDefault="000E0C87" w:rsidP="000E0C87">
      <w:pPr>
        <w:jc w:val="center"/>
        <w:rPr>
          <w:b/>
        </w:rPr>
      </w:pPr>
      <w:r>
        <w:rPr>
          <w:b/>
        </w:rPr>
        <w:t>(En Millones de Quetzales)</w:t>
      </w:r>
    </w:p>
    <w:p w:rsidR="00465859" w:rsidRPr="00465859" w:rsidRDefault="00465859" w:rsidP="000E0C87">
      <w:pPr>
        <w:jc w:val="center"/>
        <w:rPr>
          <w:b/>
          <w:sz w:val="22"/>
        </w:rPr>
      </w:pPr>
    </w:p>
    <w:p w:rsidR="00697325" w:rsidRDefault="00465859" w:rsidP="000E0C87">
      <w:pPr>
        <w:jc w:val="center"/>
        <w:rPr>
          <w:b/>
        </w:rPr>
      </w:pPr>
      <w:r w:rsidRPr="00465859">
        <w:rPr>
          <w:noProof/>
          <w:lang w:val="es-GT" w:eastAsia="es-GT"/>
        </w:rPr>
        <w:drawing>
          <wp:inline distT="0" distB="0" distL="0" distR="0" wp14:anchorId="792E1FFF" wp14:editId="798E7FE8">
            <wp:extent cx="6298387" cy="6517843"/>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01390" cy="6520951"/>
                    </a:xfrm>
                    <a:prstGeom prst="rect">
                      <a:avLst/>
                    </a:prstGeom>
                    <a:noFill/>
                    <a:ln>
                      <a:noFill/>
                    </a:ln>
                  </pic:spPr>
                </pic:pic>
              </a:graphicData>
            </a:graphic>
          </wp:inline>
        </w:drawing>
      </w:r>
    </w:p>
    <w:p w:rsidR="00465859" w:rsidRDefault="00465859" w:rsidP="000E0C87">
      <w:pPr>
        <w:jc w:val="center"/>
        <w:rPr>
          <w:b/>
        </w:rPr>
      </w:pPr>
    </w:p>
    <w:p w:rsidR="006F70B5" w:rsidRPr="00465859" w:rsidRDefault="006F70B5" w:rsidP="000E0C87">
      <w:pPr>
        <w:jc w:val="center"/>
        <w:rPr>
          <w:b/>
          <w:sz w:val="40"/>
        </w:rPr>
      </w:pPr>
    </w:p>
    <w:p w:rsidR="000E0C87" w:rsidRPr="00124AD6" w:rsidRDefault="000E0C87" w:rsidP="000E0C87">
      <w:pPr>
        <w:jc w:val="center"/>
        <w:rPr>
          <w:b/>
        </w:rPr>
      </w:pPr>
      <w:r w:rsidRPr="00124AD6">
        <w:rPr>
          <w:b/>
        </w:rPr>
        <w:t xml:space="preserve">Cuadro </w:t>
      </w:r>
      <w:r w:rsidR="007401CA">
        <w:rPr>
          <w:b/>
        </w:rPr>
        <w:t>21</w:t>
      </w:r>
      <w:r>
        <w:rPr>
          <w:b/>
        </w:rPr>
        <w:t xml:space="preserve"> (2/</w:t>
      </w:r>
      <w:r w:rsidR="00465859">
        <w:rPr>
          <w:b/>
        </w:rPr>
        <w:t>4</w:t>
      </w:r>
      <w:r>
        <w:rPr>
          <w:b/>
        </w:rPr>
        <w:t>)</w:t>
      </w:r>
    </w:p>
    <w:p w:rsidR="000E0C87" w:rsidRDefault="000E0C87" w:rsidP="000E0C87">
      <w:pPr>
        <w:jc w:val="center"/>
        <w:rPr>
          <w:b/>
        </w:rPr>
      </w:pPr>
      <w:r>
        <w:rPr>
          <w:b/>
        </w:rPr>
        <w:t>Presupuesto Percibido de Ingresos de Entidades Descentralizadas y Autónomas</w:t>
      </w:r>
    </w:p>
    <w:p w:rsidR="000E0C87" w:rsidRDefault="000E0C87" w:rsidP="000E0C87">
      <w:pPr>
        <w:jc w:val="center"/>
        <w:rPr>
          <w:b/>
        </w:rPr>
      </w:pPr>
      <w:r>
        <w:rPr>
          <w:b/>
        </w:rPr>
        <w:t>Ejercicio Fiscal 20</w:t>
      </w:r>
      <w:r w:rsidR="00465859">
        <w:rPr>
          <w:b/>
        </w:rPr>
        <w:t>20</w:t>
      </w:r>
      <w:r>
        <w:rPr>
          <w:b/>
        </w:rPr>
        <w:t>*</w:t>
      </w:r>
    </w:p>
    <w:p w:rsidR="000E0C87" w:rsidRDefault="000E0C87" w:rsidP="000E0C87">
      <w:pPr>
        <w:jc w:val="center"/>
        <w:rPr>
          <w:b/>
        </w:rPr>
      </w:pPr>
      <w:r>
        <w:rPr>
          <w:b/>
        </w:rPr>
        <w:t>(En Millones de Quetzales)</w:t>
      </w:r>
    </w:p>
    <w:p w:rsidR="00085F77" w:rsidRDefault="00085F77" w:rsidP="000E0C87">
      <w:pPr>
        <w:jc w:val="center"/>
        <w:rPr>
          <w:b/>
        </w:rPr>
      </w:pPr>
    </w:p>
    <w:p w:rsidR="00465859" w:rsidRDefault="00465859" w:rsidP="000E0C87">
      <w:pPr>
        <w:jc w:val="center"/>
        <w:rPr>
          <w:b/>
        </w:rPr>
      </w:pPr>
      <w:r w:rsidRPr="00465859">
        <w:rPr>
          <w:noProof/>
          <w:lang w:val="es-GT" w:eastAsia="es-GT"/>
        </w:rPr>
        <w:drawing>
          <wp:inline distT="0" distB="0" distL="0" distR="0" wp14:anchorId="6ACDD44D" wp14:editId="755672E6">
            <wp:extent cx="6324214" cy="6320333"/>
            <wp:effectExtent l="0" t="0" r="635"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20651" cy="6316773"/>
                    </a:xfrm>
                    <a:prstGeom prst="rect">
                      <a:avLst/>
                    </a:prstGeom>
                    <a:noFill/>
                    <a:ln>
                      <a:noFill/>
                    </a:ln>
                  </pic:spPr>
                </pic:pic>
              </a:graphicData>
            </a:graphic>
          </wp:inline>
        </w:drawing>
      </w:r>
    </w:p>
    <w:p w:rsidR="00465859" w:rsidRDefault="00465859" w:rsidP="000E0C87">
      <w:pPr>
        <w:jc w:val="center"/>
        <w:rPr>
          <w:b/>
        </w:rPr>
      </w:pPr>
    </w:p>
    <w:p w:rsidR="00465859" w:rsidRDefault="00465859" w:rsidP="000E0C87">
      <w:pPr>
        <w:jc w:val="center"/>
        <w:rPr>
          <w:b/>
        </w:rPr>
      </w:pPr>
    </w:p>
    <w:p w:rsidR="00465859" w:rsidRPr="00465859" w:rsidRDefault="00465859" w:rsidP="000E0C87">
      <w:pPr>
        <w:jc w:val="center"/>
        <w:rPr>
          <w:b/>
          <w:sz w:val="40"/>
        </w:rPr>
      </w:pPr>
    </w:p>
    <w:p w:rsidR="00465859" w:rsidRPr="00124AD6" w:rsidRDefault="00465859" w:rsidP="00465859">
      <w:pPr>
        <w:jc w:val="center"/>
        <w:rPr>
          <w:b/>
        </w:rPr>
      </w:pPr>
      <w:r w:rsidRPr="00124AD6">
        <w:rPr>
          <w:b/>
        </w:rPr>
        <w:t xml:space="preserve">Cuadro </w:t>
      </w:r>
      <w:r w:rsidR="007401CA">
        <w:rPr>
          <w:b/>
        </w:rPr>
        <w:t>21</w:t>
      </w:r>
      <w:r>
        <w:rPr>
          <w:b/>
        </w:rPr>
        <w:t xml:space="preserve"> (3/4)</w:t>
      </w:r>
    </w:p>
    <w:p w:rsidR="00465859" w:rsidRDefault="00465859" w:rsidP="00465859">
      <w:pPr>
        <w:jc w:val="center"/>
        <w:rPr>
          <w:b/>
        </w:rPr>
      </w:pPr>
      <w:r>
        <w:rPr>
          <w:b/>
        </w:rPr>
        <w:t>Presupuesto Percibido de Ingresos de Entidades Descentralizadas y Autónomas</w:t>
      </w:r>
    </w:p>
    <w:p w:rsidR="00465859" w:rsidRDefault="00465859" w:rsidP="00465859">
      <w:pPr>
        <w:jc w:val="center"/>
        <w:rPr>
          <w:b/>
        </w:rPr>
      </w:pPr>
      <w:r>
        <w:rPr>
          <w:b/>
        </w:rPr>
        <w:t>Ejercicio Fiscal 2020*</w:t>
      </w:r>
    </w:p>
    <w:p w:rsidR="00465859" w:rsidRDefault="00465859" w:rsidP="00465859">
      <w:pPr>
        <w:jc w:val="center"/>
        <w:rPr>
          <w:b/>
        </w:rPr>
      </w:pPr>
      <w:r>
        <w:rPr>
          <w:b/>
        </w:rPr>
        <w:t>(En Millones de Quetzales)</w:t>
      </w:r>
    </w:p>
    <w:p w:rsidR="00465859" w:rsidRDefault="00465859" w:rsidP="000E0C87">
      <w:pPr>
        <w:jc w:val="center"/>
        <w:rPr>
          <w:b/>
        </w:rPr>
      </w:pPr>
    </w:p>
    <w:p w:rsidR="00465859" w:rsidRDefault="00465859" w:rsidP="000E0C87">
      <w:pPr>
        <w:jc w:val="center"/>
        <w:rPr>
          <w:b/>
        </w:rPr>
      </w:pPr>
      <w:r w:rsidRPr="00465859">
        <w:rPr>
          <w:noProof/>
          <w:lang w:val="es-GT" w:eastAsia="es-GT"/>
        </w:rPr>
        <w:drawing>
          <wp:inline distT="0" distB="0" distL="0" distR="0" wp14:anchorId="1082D52C" wp14:editId="0638B6F4">
            <wp:extent cx="6297354" cy="6078932"/>
            <wp:effectExtent l="0" t="0" r="825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0071" cy="6081555"/>
                    </a:xfrm>
                    <a:prstGeom prst="rect">
                      <a:avLst/>
                    </a:prstGeom>
                    <a:noFill/>
                    <a:ln>
                      <a:noFill/>
                    </a:ln>
                  </pic:spPr>
                </pic:pic>
              </a:graphicData>
            </a:graphic>
          </wp:inline>
        </w:drawing>
      </w:r>
    </w:p>
    <w:p w:rsidR="00465859" w:rsidRDefault="00465859" w:rsidP="000E0C87">
      <w:pPr>
        <w:jc w:val="center"/>
        <w:rPr>
          <w:b/>
        </w:rPr>
      </w:pPr>
    </w:p>
    <w:p w:rsidR="00465859" w:rsidRDefault="00465859" w:rsidP="000E0C87">
      <w:pPr>
        <w:jc w:val="center"/>
        <w:rPr>
          <w:b/>
        </w:rPr>
      </w:pPr>
    </w:p>
    <w:p w:rsidR="00465859" w:rsidRDefault="00465859" w:rsidP="000E0C87">
      <w:pPr>
        <w:jc w:val="center"/>
        <w:rPr>
          <w:b/>
        </w:rPr>
      </w:pPr>
    </w:p>
    <w:p w:rsidR="00465859" w:rsidRDefault="00465859" w:rsidP="000E0C87">
      <w:pPr>
        <w:jc w:val="center"/>
        <w:rPr>
          <w:b/>
        </w:rPr>
      </w:pPr>
    </w:p>
    <w:p w:rsidR="00465859" w:rsidRPr="00465859" w:rsidRDefault="00465859" w:rsidP="000E0C87">
      <w:pPr>
        <w:jc w:val="center"/>
        <w:rPr>
          <w:b/>
          <w:sz w:val="40"/>
        </w:rPr>
      </w:pPr>
    </w:p>
    <w:p w:rsidR="00465859" w:rsidRPr="00124AD6" w:rsidRDefault="00465859" w:rsidP="00465859">
      <w:pPr>
        <w:jc w:val="center"/>
        <w:rPr>
          <w:b/>
        </w:rPr>
      </w:pPr>
      <w:r w:rsidRPr="00124AD6">
        <w:rPr>
          <w:b/>
        </w:rPr>
        <w:t xml:space="preserve">Cuadro </w:t>
      </w:r>
      <w:r w:rsidR="007401CA">
        <w:rPr>
          <w:b/>
        </w:rPr>
        <w:t>21</w:t>
      </w:r>
      <w:r>
        <w:rPr>
          <w:b/>
        </w:rPr>
        <w:t xml:space="preserve"> (4/4)</w:t>
      </w:r>
    </w:p>
    <w:p w:rsidR="00465859" w:rsidRDefault="00465859" w:rsidP="00465859">
      <w:pPr>
        <w:jc w:val="center"/>
        <w:rPr>
          <w:b/>
        </w:rPr>
      </w:pPr>
      <w:r>
        <w:rPr>
          <w:b/>
        </w:rPr>
        <w:t>Presupuesto Percibido de Ingresos de Entidades Descentralizadas y Autónomas</w:t>
      </w:r>
    </w:p>
    <w:p w:rsidR="00465859" w:rsidRDefault="00465859" w:rsidP="00465859">
      <w:pPr>
        <w:jc w:val="center"/>
        <w:rPr>
          <w:b/>
        </w:rPr>
      </w:pPr>
      <w:r>
        <w:rPr>
          <w:b/>
        </w:rPr>
        <w:t>Ejercicio Fiscal 2020*</w:t>
      </w:r>
    </w:p>
    <w:p w:rsidR="00465859" w:rsidRDefault="00465859" w:rsidP="00465859">
      <w:pPr>
        <w:jc w:val="center"/>
        <w:rPr>
          <w:b/>
        </w:rPr>
      </w:pPr>
      <w:r>
        <w:rPr>
          <w:b/>
        </w:rPr>
        <w:t>(En Millones de Quetzales)</w:t>
      </w:r>
    </w:p>
    <w:p w:rsidR="00465859" w:rsidRDefault="00465859" w:rsidP="000E0C87">
      <w:pPr>
        <w:jc w:val="center"/>
        <w:rPr>
          <w:b/>
        </w:rPr>
      </w:pPr>
    </w:p>
    <w:p w:rsidR="00465859" w:rsidRDefault="00465859" w:rsidP="000E0C87">
      <w:pPr>
        <w:jc w:val="center"/>
        <w:rPr>
          <w:b/>
        </w:rPr>
      </w:pPr>
      <w:r w:rsidRPr="00465859">
        <w:rPr>
          <w:noProof/>
          <w:lang w:val="es-GT" w:eastAsia="es-GT"/>
        </w:rPr>
        <w:drawing>
          <wp:inline distT="0" distB="0" distL="0" distR="0" wp14:anchorId="48CF6A6F" wp14:editId="5832FC37">
            <wp:extent cx="6298387" cy="6130138"/>
            <wp:effectExtent l="0" t="0" r="762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01124" cy="6132802"/>
                    </a:xfrm>
                    <a:prstGeom prst="rect">
                      <a:avLst/>
                    </a:prstGeom>
                    <a:noFill/>
                    <a:ln>
                      <a:noFill/>
                    </a:ln>
                  </pic:spPr>
                </pic:pic>
              </a:graphicData>
            </a:graphic>
          </wp:inline>
        </w:drawing>
      </w:r>
    </w:p>
    <w:p w:rsidR="000D786F" w:rsidRPr="004E678D" w:rsidRDefault="000D786F" w:rsidP="000D786F">
      <w:pPr>
        <w:jc w:val="both"/>
        <w:rPr>
          <w:sz w:val="18"/>
        </w:rPr>
      </w:pPr>
      <w:r w:rsidRPr="004E678D">
        <w:rPr>
          <w:sz w:val="18"/>
          <w:lang w:val="es-GT"/>
        </w:rPr>
        <w:t>* Cifras preliminares</w:t>
      </w:r>
    </w:p>
    <w:p w:rsidR="000D786F" w:rsidRDefault="006469FA" w:rsidP="000D786F">
      <w:pPr>
        <w:rPr>
          <w:sz w:val="18"/>
        </w:rPr>
      </w:pPr>
      <w:r>
        <w:rPr>
          <w:sz w:val="18"/>
        </w:rPr>
        <w:t xml:space="preserve">   </w:t>
      </w:r>
      <w:r w:rsidR="000D786F" w:rsidRPr="004E678D">
        <w:rPr>
          <w:sz w:val="18"/>
        </w:rPr>
        <w:t xml:space="preserve">Fuente: </w:t>
      </w:r>
      <w:r w:rsidR="000D786F">
        <w:rPr>
          <w:sz w:val="18"/>
        </w:rPr>
        <w:t>Ministerio de Finanzas Públicas, con base en el SICOIN.DES.</w:t>
      </w:r>
    </w:p>
    <w:p w:rsidR="00085F77" w:rsidRDefault="006469FA">
      <w:pPr>
        <w:rPr>
          <w:sz w:val="18"/>
        </w:rPr>
      </w:pPr>
      <w:r>
        <w:rPr>
          <w:sz w:val="18"/>
        </w:rPr>
        <w:t xml:space="preserve"> </w:t>
      </w:r>
      <w:r w:rsidR="00085F77">
        <w:rPr>
          <w:sz w:val="18"/>
        </w:rPr>
        <w:br w:type="page"/>
      </w:r>
    </w:p>
    <w:p w:rsidR="00C620A4" w:rsidRPr="003609E0" w:rsidRDefault="00C620A4" w:rsidP="00C620A4">
      <w:pPr>
        <w:pStyle w:val="Ttulo1"/>
        <w:rPr>
          <w:lang w:val="es-MX"/>
        </w:rPr>
      </w:pPr>
      <w:bookmarkStart w:id="36" w:name="_Toc417992544"/>
      <w:bookmarkStart w:id="37" w:name="_Toc443491862"/>
      <w:bookmarkStart w:id="38" w:name="_Toc482339312"/>
      <w:bookmarkStart w:id="39" w:name="_Toc65826765"/>
      <w:bookmarkEnd w:id="33"/>
      <w:r w:rsidRPr="003609E0">
        <w:rPr>
          <w:lang w:val="es-MX"/>
        </w:rPr>
        <w:lastRenderedPageBreak/>
        <w:t xml:space="preserve">Logros de la Gestión de las Finanzas Públicas </w:t>
      </w:r>
      <w:r w:rsidR="00AD1077" w:rsidRPr="003609E0">
        <w:rPr>
          <w:lang w:val="es-MX"/>
        </w:rPr>
        <w:t xml:space="preserve">durante el </w:t>
      </w:r>
      <w:r w:rsidRPr="003609E0">
        <w:rPr>
          <w:lang w:val="es-MX"/>
        </w:rPr>
        <w:t>20</w:t>
      </w:r>
      <w:r w:rsidR="00697325" w:rsidRPr="003609E0">
        <w:rPr>
          <w:lang w:val="es-MX"/>
        </w:rPr>
        <w:t>20</w:t>
      </w:r>
      <w:bookmarkEnd w:id="36"/>
      <w:bookmarkEnd w:id="37"/>
      <w:bookmarkEnd w:id="38"/>
      <w:bookmarkEnd w:id="39"/>
    </w:p>
    <w:p w:rsidR="00C620A4" w:rsidRPr="00267603" w:rsidRDefault="00C620A4" w:rsidP="00C620A4">
      <w:pPr>
        <w:rPr>
          <w:rFonts w:eastAsia="Calibri"/>
          <w:sz w:val="16"/>
          <w:lang w:val="es-MX" w:eastAsia="en-US" w:bidi="en-US"/>
        </w:rPr>
      </w:pPr>
    </w:p>
    <w:p w:rsidR="00C620A4" w:rsidRPr="009F6AC2" w:rsidRDefault="00C620A4" w:rsidP="00C620A4">
      <w:pPr>
        <w:rPr>
          <w:rFonts w:eastAsia="Calibri"/>
          <w:lang w:val="es-GT" w:eastAsia="en-US" w:bidi="en-US"/>
        </w:rPr>
      </w:pPr>
      <w:r w:rsidRPr="009F6AC2">
        <w:rPr>
          <w:rFonts w:eastAsia="Calibri"/>
          <w:lang w:val="es-GT" w:eastAsia="en-US" w:bidi="en-US"/>
        </w:rPr>
        <w:t xml:space="preserve">Dentro de los principales logros </w:t>
      </w:r>
      <w:r w:rsidR="0043775E">
        <w:rPr>
          <w:rFonts w:eastAsia="Calibri"/>
          <w:lang w:val="es-GT" w:eastAsia="en-US" w:bidi="en-US"/>
        </w:rPr>
        <w:t xml:space="preserve">y resultados </w:t>
      </w:r>
      <w:r w:rsidRPr="009F6AC2">
        <w:rPr>
          <w:rFonts w:eastAsia="Calibri"/>
          <w:lang w:val="es-GT" w:eastAsia="en-US" w:bidi="en-US"/>
        </w:rPr>
        <w:t>obtenidos durante 20</w:t>
      </w:r>
      <w:r w:rsidR="00697325">
        <w:rPr>
          <w:rFonts w:eastAsia="Calibri"/>
          <w:lang w:val="es-GT" w:eastAsia="en-US" w:bidi="en-US"/>
        </w:rPr>
        <w:t>20</w:t>
      </w:r>
      <w:r w:rsidRPr="009F6AC2">
        <w:rPr>
          <w:rFonts w:eastAsia="Calibri"/>
          <w:lang w:val="es-GT" w:eastAsia="en-US" w:bidi="en-US"/>
        </w:rPr>
        <w:t xml:space="preserve"> se pueden destacar:</w:t>
      </w:r>
    </w:p>
    <w:p w:rsidR="00C620A4" w:rsidRPr="00267603" w:rsidRDefault="00C620A4" w:rsidP="00C620A4">
      <w:pPr>
        <w:rPr>
          <w:rFonts w:eastAsia="Calibri"/>
          <w:sz w:val="16"/>
          <w:lang w:val="es-GT" w:eastAsia="en-US" w:bidi="en-US"/>
        </w:rPr>
      </w:pPr>
    </w:p>
    <w:p w:rsidR="00C620A4" w:rsidRPr="009F6AC2" w:rsidRDefault="00C620A4" w:rsidP="00C620A4">
      <w:pPr>
        <w:pStyle w:val="Ttulo2"/>
        <w:rPr>
          <w:rFonts w:ascii="Times New Roman" w:eastAsia="Calibri" w:hAnsi="Times New Roman"/>
          <w:color w:val="auto"/>
          <w:sz w:val="24"/>
          <w:szCs w:val="24"/>
          <w:lang w:val="es-GT" w:eastAsia="en-US" w:bidi="en-US"/>
        </w:rPr>
      </w:pPr>
      <w:bookmarkStart w:id="40" w:name="_Toc417992545"/>
      <w:bookmarkStart w:id="41" w:name="_Toc443491863"/>
      <w:bookmarkStart w:id="42" w:name="_Toc482339313"/>
      <w:bookmarkStart w:id="43" w:name="_Toc65826766"/>
      <w:r>
        <w:rPr>
          <w:rFonts w:ascii="Times New Roman" w:eastAsia="Calibri" w:hAnsi="Times New Roman"/>
          <w:color w:val="auto"/>
          <w:sz w:val="24"/>
          <w:szCs w:val="24"/>
          <w:lang w:val="es-GT" w:eastAsia="en-US" w:bidi="en-US"/>
        </w:rPr>
        <w:t>Gobierno Abierto y Transparencia</w:t>
      </w:r>
      <w:bookmarkEnd w:id="40"/>
      <w:bookmarkEnd w:id="41"/>
      <w:r>
        <w:rPr>
          <w:rFonts w:ascii="Times New Roman" w:eastAsia="Calibri" w:hAnsi="Times New Roman"/>
          <w:color w:val="auto"/>
          <w:sz w:val="24"/>
          <w:szCs w:val="24"/>
          <w:lang w:val="es-GT" w:eastAsia="en-US" w:bidi="en-US"/>
        </w:rPr>
        <w:t xml:space="preserve"> Fiscal</w:t>
      </w:r>
      <w:bookmarkEnd w:id="42"/>
      <w:bookmarkEnd w:id="43"/>
    </w:p>
    <w:p w:rsidR="00C620A4" w:rsidRPr="00267603" w:rsidRDefault="00C620A4" w:rsidP="00C620A4">
      <w:pPr>
        <w:jc w:val="both"/>
        <w:rPr>
          <w:rFonts w:eastAsia="Calibri"/>
          <w:sz w:val="20"/>
          <w:lang w:val="es-GT" w:eastAsia="en-US" w:bidi="en-US"/>
        </w:rPr>
      </w:pPr>
    </w:p>
    <w:p w:rsidR="000548B6" w:rsidRDefault="0043775E" w:rsidP="00C620A4">
      <w:pPr>
        <w:jc w:val="both"/>
        <w:rPr>
          <w:rFonts w:eastAsia="Calibri"/>
          <w:lang w:val="es-GT" w:eastAsia="en-US" w:bidi="en-US"/>
        </w:rPr>
      </w:pPr>
      <w:r>
        <w:rPr>
          <w:rFonts w:eastAsia="Calibri"/>
          <w:lang w:val="es-GT" w:eastAsia="en-US" w:bidi="en-US"/>
        </w:rPr>
        <w:t xml:space="preserve">Durante el </w:t>
      </w:r>
      <w:r w:rsidR="00D2637E">
        <w:rPr>
          <w:rFonts w:eastAsia="Calibri"/>
          <w:lang w:val="es-GT" w:eastAsia="en-US" w:bidi="en-US"/>
        </w:rPr>
        <w:t>E</w:t>
      </w:r>
      <w:r>
        <w:rPr>
          <w:rFonts w:eastAsia="Calibri"/>
          <w:lang w:val="es-GT" w:eastAsia="en-US" w:bidi="en-US"/>
        </w:rPr>
        <w:t xml:space="preserve">jercicio </w:t>
      </w:r>
      <w:r w:rsidR="00D2637E">
        <w:rPr>
          <w:rFonts w:eastAsia="Calibri"/>
          <w:lang w:val="es-GT" w:eastAsia="en-US" w:bidi="en-US"/>
        </w:rPr>
        <w:t>F</w:t>
      </w:r>
      <w:r>
        <w:rPr>
          <w:rFonts w:eastAsia="Calibri"/>
          <w:lang w:val="es-GT" w:eastAsia="en-US" w:bidi="en-US"/>
        </w:rPr>
        <w:t>iscal 20</w:t>
      </w:r>
      <w:r w:rsidR="00146C7F">
        <w:rPr>
          <w:rFonts w:eastAsia="Calibri"/>
          <w:lang w:val="es-GT" w:eastAsia="en-US" w:bidi="en-US"/>
        </w:rPr>
        <w:t>20</w:t>
      </w:r>
      <w:r>
        <w:rPr>
          <w:rFonts w:eastAsia="Calibri"/>
          <w:lang w:val="es-GT" w:eastAsia="en-US" w:bidi="en-US"/>
        </w:rPr>
        <w:t xml:space="preserve"> </w:t>
      </w:r>
      <w:r w:rsidR="00146C7F">
        <w:rPr>
          <w:rFonts w:eastAsia="Calibri"/>
          <w:lang w:val="es-GT" w:eastAsia="en-US" w:bidi="en-US"/>
        </w:rPr>
        <w:t xml:space="preserve">continuó la </w:t>
      </w:r>
      <w:r>
        <w:rPr>
          <w:rFonts w:eastAsia="Calibri"/>
          <w:lang w:val="es-GT" w:eastAsia="en-US" w:bidi="en-US"/>
        </w:rPr>
        <w:t xml:space="preserve">implementación de los compromisos del </w:t>
      </w:r>
      <w:r w:rsidR="00D41D38">
        <w:rPr>
          <w:rFonts w:eastAsia="Calibri"/>
          <w:lang w:val="es-GT" w:eastAsia="en-US" w:bidi="en-US"/>
        </w:rPr>
        <w:t>Cuarto</w:t>
      </w:r>
      <w:r>
        <w:rPr>
          <w:rFonts w:eastAsia="Calibri"/>
          <w:lang w:val="es-GT" w:eastAsia="en-US" w:bidi="en-US"/>
        </w:rPr>
        <w:t xml:space="preserve"> Plan de Acción Nacional de Gobierno Abierto 201</w:t>
      </w:r>
      <w:r w:rsidR="00D41D38">
        <w:rPr>
          <w:rFonts w:eastAsia="Calibri"/>
          <w:lang w:val="es-GT" w:eastAsia="en-US" w:bidi="en-US"/>
        </w:rPr>
        <w:t>8-2020</w:t>
      </w:r>
      <w:r>
        <w:rPr>
          <w:rFonts w:eastAsia="Calibri"/>
          <w:lang w:val="es-GT" w:eastAsia="en-US" w:bidi="en-US"/>
        </w:rPr>
        <w:t xml:space="preserve">, </w:t>
      </w:r>
      <w:r w:rsidR="00146C7F">
        <w:rPr>
          <w:rFonts w:eastAsia="Calibri"/>
          <w:lang w:val="es-GT" w:eastAsia="en-US" w:bidi="en-US"/>
        </w:rPr>
        <w:t xml:space="preserve">que había alcanzado un adecuado nivel de cumplimiento a diciembre de 2019. </w:t>
      </w:r>
      <w:r w:rsidR="00F935BB">
        <w:rPr>
          <w:rFonts w:eastAsia="Calibri"/>
          <w:lang w:val="es-GT" w:eastAsia="en-US" w:bidi="en-US"/>
        </w:rPr>
        <w:t>Desafortunadamente por las emergencias dec</w:t>
      </w:r>
      <w:r w:rsidR="000548B6">
        <w:rPr>
          <w:rFonts w:eastAsia="Calibri"/>
          <w:lang w:val="es-GT" w:eastAsia="en-US" w:bidi="en-US"/>
        </w:rPr>
        <w:t>laradas</w:t>
      </w:r>
      <w:r w:rsidR="00F935BB">
        <w:rPr>
          <w:rFonts w:eastAsia="Calibri"/>
          <w:lang w:val="es-GT" w:eastAsia="en-US" w:bidi="en-US"/>
        </w:rPr>
        <w:t xml:space="preserve"> </w:t>
      </w:r>
      <w:r w:rsidR="0067458F">
        <w:rPr>
          <w:rFonts w:eastAsia="Calibri"/>
          <w:lang w:val="es-GT" w:eastAsia="en-US" w:bidi="en-US"/>
        </w:rPr>
        <w:t xml:space="preserve">en el 2020 </w:t>
      </w:r>
      <w:r w:rsidR="00F935BB">
        <w:rPr>
          <w:rFonts w:eastAsia="Calibri"/>
          <w:lang w:val="es-GT" w:eastAsia="en-US" w:bidi="en-US"/>
        </w:rPr>
        <w:t xml:space="preserve">por efectos de la pandemia del Covid-19 y las tormentas tropicales Eta e Iota, las entidades públicas debieron volcar la utilización de sus recursos, principalmente el humano, en la atención de las acciones prioritarias </w:t>
      </w:r>
      <w:r w:rsidR="006D114D">
        <w:rPr>
          <w:rFonts w:eastAsia="Calibri"/>
          <w:lang w:val="es-GT" w:eastAsia="en-US" w:bidi="en-US"/>
        </w:rPr>
        <w:t xml:space="preserve">y urgentes para atender </w:t>
      </w:r>
      <w:r w:rsidR="0067458F">
        <w:rPr>
          <w:rFonts w:eastAsia="Calibri"/>
          <w:lang w:val="es-GT" w:eastAsia="en-US" w:bidi="en-US"/>
        </w:rPr>
        <w:t>los estados de calamidad pública</w:t>
      </w:r>
      <w:r w:rsidR="000548B6">
        <w:rPr>
          <w:rFonts w:eastAsia="Calibri"/>
          <w:lang w:val="es-GT" w:eastAsia="en-US" w:bidi="en-US"/>
        </w:rPr>
        <w:t xml:space="preserve"> que fueron decretados</w:t>
      </w:r>
      <w:r w:rsidR="0067458F">
        <w:rPr>
          <w:rFonts w:eastAsia="Calibri"/>
          <w:lang w:val="es-GT" w:eastAsia="en-US" w:bidi="en-US"/>
        </w:rPr>
        <w:t>. De esa cuenta, al 3</w:t>
      </w:r>
      <w:r w:rsidR="003609E0">
        <w:rPr>
          <w:rFonts w:eastAsia="Calibri"/>
          <w:lang w:val="es-GT" w:eastAsia="en-US" w:bidi="en-US"/>
        </w:rPr>
        <w:t>0</w:t>
      </w:r>
      <w:r w:rsidR="0067458F">
        <w:rPr>
          <w:rFonts w:eastAsia="Calibri"/>
          <w:lang w:val="es-GT" w:eastAsia="en-US" w:bidi="en-US"/>
        </w:rPr>
        <w:t xml:space="preserve"> de agosto de 2020 cuando concluyó la vigencia oficial del Cuarto Plan de Gobierno Abierto, se alcanzó un nivel general de ejecución del 82.6%. </w:t>
      </w:r>
      <w:r w:rsidR="000548B6">
        <w:rPr>
          <w:rFonts w:eastAsia="Calibri"/>
          <w:lang w:val="es-GT" w:eastAsia="en-US" w:bidi="en-US"/>
        </w:rPr>
        <w:t>Al respecto, las organizaciones de sociedad civil participantes en el Comité Técnico de Gobierno Abierto solicitaron al Presidente de la República, por conducto de la Comisión Presidencial de Gobierno Abierto y Electrónico</w:t>
      </w:r>
      <w:r w:rsidR="003609E0">
        <w:rPr>
          <w:rFonts w:eastAsia="Calibri"/>
          <w:lang w:val="es-GT" w:eastAsia="en-US" w:bidi="en-US"/>
        </w:rPr>
        <w:t xml:space="preserve"> (GAE)</w:t>
      </w:r>
      <w:r w:rsidR="000548B6">
        <w:rPr>
          <w:rFonts w:eastAsia="Calibri"/>
          <w:lang w:val="es-GT" w:eastAsia="en-US" w:bidi="en-US"/>
        </w:rPr>
        <w:t xml:space="preserve">, que instruyera a las entidades públicas para continuar implementando los compromisos pendientes, a efecto de concluirlos en su totalidad, sin importar el tiempo que se </w:t>
      </w:r>
      <w:r w:rsidR="002C4C3D">
        <w:rPr>
          <w:rFonts w:eastAsia="Calibri"/>
          <w:lang w:val="es-GT" w:eastAsia="en-US" w:bidi="en-US"/>
        </w:rPr>
        <w:t xml:space="preserve">considere </w:t>
      </w:r>
      <w:r w:rsidR="000548B6">
        <w:rPr>
          <w:rFonts w:eastAsia="Calibri"/>
          <w:lang w:val="es-GT" w:eastAsia="en-US" w:bidi="en-US"/>
        </w:rPr>
        <w:t>neces</w:t>
      </w:r>
      <w:r w:rsidR="002C4C3D">
        <w:rPr>
          <w:rFonts w:eastAsia="Calibri"/>
          <w:lang w:val="es-GT" w:eastAsia="en-US" w:bidi="en-US"/>
        </w:rPr>
        <w:t>ario</w:t>
      </w:r>
      <w:r w:rsidR="000548B6">
        <w:rPr>
          <w:rFonts w:eastAsia="Calibri"/>
          <w:lang w:val="es-GT" w:eastAsia="en-US" w:bidi="en-US"/>
        </w:rPr>
        <w:t>.</w:t>
      </w:r>
    </w:p>
    <w:p w:rsidR="000548B6" w:rsidRPr="00267603" w:rsidRDefault="000548B6" w:rsidP="00C620A4">
      <w:pPr>
        <w:jc w:val="both"/>
        <w:rPr>
          <w:rFonts w:eastAsia="Calibri"/>
          <w:sz w:val="20"/>
          <w:lang w:val="es-GT" w:eastAsia="en-US" w:bidi="en-US"/>
        </w:rPr>
      </w:pPr>
    </w:p>
    <w:p w:rsidR="00F079F1" w:rsidRDefault="00053D26" w:rsidP="00C620A4">
      <w:pPr>
        <w:jc w:val="both"/>
        <w:rPr>
          <w:rFonts w:eastAsia="Calibri"/>
          <w:lang w:val="es-GT" w:eastAsia="en-US" w:bidi="en-US"/>
        </w:rPr>
      </w:pPr>
      <w:r>
        <w:rPr>
          <w:rFonts w:eastAsia="Calibri"/>
          <w:lang w:val="es-GT" w:eastAsia="en-US" w:bidi="en-US"/>
        </w:rPr>
        <w:t>En el caso del Ministerio de Finanzas P</w:t>
      </w:r>
      <w:r w:rsidR="00B27FE7">
        <w:rPr>
          <w:rFonts w:eastAsia="Calibri"/>
          <w:lang w:val="es-GT" w:eastAsia="en-US" w:bidi="en-US"/>
        </w:rPr>
        <w:t xml:space="preserve">úblicas, se completaron 10 de las 11 metas acordadas, habiéndose reportado un nivel de cumplimiento del 98.6%, con el compromiso de las autoridades </w:t>
      </w:r>
      <w:r w:rsidR="006636EE">
        <w:rPr>
          <w:rFonts w:eastAsia="Calibri"/>
          <w:lang w:val="es-GT" w:eastAsia="en-US" w:bidi="en-US"/>
        </w:rPr>
        <w:t xml:space="preserve">superiores </w:t>
      </w:r>
      <w:r w:rsidR="00B27FE7">
        <w:rPr>
          <w:rFonts w:eastAsia="Calibri"/>
          <w:lang w:val="es-GT" w:eastAsia="en-US" w:bidi="en-US"/>
        </w:rPr>
        <w:t xml:space="preserve">de concluirlo en su totalidad a más tardar el 30 de abril de 2021. La meta inconclusa, reportada con el 79.0% de ejecución, corresponde al “Estándar de datos abiertos en las contrataciones públicas”, a cargo de la Dirección General de Adquisiciones del Estado (DGAE), </w:t>
      </w:r>
      <w:r w:rsidR="00382AD3">
        <w:rPr>
          <w:rFonts w:eastAsia="Calibri"/>
          <w:lang w:val="es-GT" w:eastAsia="en-US" w:bidi="en-US"/>
        </w:rPr>
        <w:t xml:space="preserve">dependencia que se vio obligada a desarrollar sus funciones exclusivamente para atender y asistir a las unidades compradoras en </w:t>
      </w:r>
      <w:r w:rsidR="00C1137C">
        <w:rPr>
          <w:rFonts w:eastAsia="Calibri"/>
          <w:lang w:val="es-GT" w:eastAsia="en-US" w:bidi="en-US"/>
        </w:rPr>
        <w:t xml:space="preserve">el desarrollo y publicación de eventos para </w:t>
      </w:r>
      <w:r w:rsidR="00382AD3">
        <w:rPr>
          <w:rFonts w:eastAsia="Calibri"/>
          <w:lang w:val="es-GT" w:eastAsia="en-US" w:bidi="en-US"/>
        </w:rPr>
        <w:t xml:space="preserve">la contratación y adquisición de bienes y servicios y construcción de infraestructura pública necesaria para la atención de los estados de emergencia. </w:t>
      </w:r>
      <w:r w:rsidR="006C5B43">
        <w:rPr>
          <w:rFonts w:eastAsia="Calibri"/>
          <w:lang w:val="es-GT" w:eastAsia="en-US" w:bidi="en-US"/>
        </w:rPr>
        <w:t xml:space="preserve">Asimismo, se desarrollaron las acciones relacionadas con </w:t>
      </w:r>
      <w:r w:rsidR="00C1137C">
        <w:rPr>
          <w:rFonts w:eastAsia="Calibri"/>
          <w:lang w:val="es-GT" w:eastAsia="en-US" w:bidi="en-US"/>
        </w:rPr>
        <w:t>la conceptualización,</w:t>
      </w:r>
      <w:r w:rsidR="006C5B43">
        <w:rPr>
          <w:rFonts w:eastAsia="Calibri"/>
          <w:lang w:val="es-GT" w:eastAsia="en-US" w:bidi="en-US"/>
        </w:rPr>
        <w:t xml:space="preserve"> diseño e implementación de los </w:t>
      </w:r>
      <w:r w:rsidR="00C1137C">
        <w:rPr>
          <w:rFonts w:eastAsia="Calibri"/>
          <w:lang w:val="es-GT" w:eastAsia="en-US" w:bidi="en-US"/>
        </w:rPr>
        <w:t>P</w:t>
      </w:r>
      <w:r w:rsidR="006C5B43">
        <w:rPr>
          <w:rFonts w:eastAsia="Calibri"/>
          <w:lang w:val="es-GT" w:eastAsia="en-US" w:bidi="en-US"/>
        </w:rPr>
        <w:t>ortales</w:t>
      </w:r>
      <w:r w:rsidR="00C1137C">
        <w:rPr>
          <w:rFonts w:eastAsia="Calibri"/>
          <w:lang w:val="es-GT" w:eastAsia="en-US" w:bidi="en-US"/>
        </w:rPr>
        <w:t xml:space="preserve"> de Seguimiento a los Programas Sociales y Económicos </w:t>
      </w:r>
      <w:r w:rsidR="00E9392B">
        <w:rPr>
          <w:rFonts w:eastAsia="Calibri"/>
          <w:lang w:val="es-GT" w:eastAsia="en-US" w:bidi="en-US"/>
        </w:rPr>
        <w:t xml:space="preserve">para </w:t>
      </w:r>
      <w:r w:rsidR="00C26249">
        <w:rPr>
          <w:rFonts w:eastAsia="Calibri"/>
          <w:lang w:val="es-GT" w:eastAsia="en-US" w:bidi="en-US"/>
        </w:rPr>
        <w:t>el monitoreo</w:t>
      </w:r>
      <w:r w:rsidR="00E9392B">
        <w:rPr>
          <w:rFonts w:eastAsia="Calibri"/>
          <w:lang w:val="es-GT" w:eastAsia="en-US" w:bidi="en-US"/>
        </w:rPr>
        <w:t xml:space="preserve"> de las asignaciones presupuestarias</w:t>
      </w:r>
      <w:r w:rsidR="00C26249">
        <w:rPr>
          <w:rFonts w:eastAsia="Calibri"/>
          <w:lang w:val="es-GT" w:eastAsia="en-US" w:bidi="en-US"/>
        </w:rPr>
        <w:t xml:space="preserve"> autorizadas por el Congreso de la República de Guatemala </w:t>
      </w:r>
      <w:r w:rsidR="002504EA">
        <w:rPr>
          <w:rFonts w:eastAsia="Calibri"/>
          <w:lang w:val="es-GT" w:eastAsia="en-US" w:bidi="en-US"/>
        </w:rPr>
        <w:t xml:space="preserve">para atender dichas emergencias, </w:t>
      </w:r>
      <w:r w:rsidR="00C26249">
        <w:rPr>
          <w:rFonts w:eastAsia="Calibri"/>
          <w:lang w:val="es-GT" w:eastAsia="en-US" w:bidi="en-US"/>
        </w:rPr>
        <w:t xml:space="preserve">mediante la emisión de los Decretos Nos. 12-2020, </w:t>
      </w:r>
      <w:r w:rsidR="006636EE">
        <w:rPr>
          <w:rFonts w:eastAsia="Calibri"/>
          <w:lang w:val="es-GT" w:eastAsia="en-US" w:bidi="en-US"/>
        </w:rPr>
        <w:t xml:space="preserve"> </w:t>
      </w:r>
      <w:r w:rsidR="00C26249">
        <w:rPr>
          <w:rFonts w:eastAsia="Calibri"/>
          <w:lang w:val="es-GT" w:eastAsia="en-US" w:bidi="en-US"/>
        </w:rPr>
        <w:t xml:space="preserve">13-2020, </w:t>
      </w:r>
      <w:r w:rsidR="006636EE">
        <w:rPr>
          <w:rFonts w:eastAsia="Calibri"/>
          <w:lang w:val="es-GT" w:eastAsia="en-US" w:bidi="en-US"/>
        </w:rPr>
        <w:t xml:space="preserve"> </w:t>
      </w:r>
      <w:r w:rsidR="00C26249">
        <w:rPr>
          <w:rFonts w:eastAsia="Calibri"/>
          <w:lang w:val="es-GT" w:eastAsia="en-US" w:bidi="en-US"/>
        </w:rPr>
        <w:t>20-2020</w:t>
      </w:r>
      <w:r w:rsidR="006636EE">
        <w:rPr>
          <w:rFonts w:eastAsia="Calibri"/>
          <w:lang w:val="es-GT" w:eastAsia="en-US" w:bidi="en-US"/>
        </w:rPr>
        <w:t xml:space="preserve"> </w:t>
      </w:r>
      <w:r w:rsidR="00C26249">
        <w:rPr>
          <w:rFonts w:eastAsia="Calibri"/>
          <w:lang w:val="es-GT" w:eastAsia="en-US" w:bidi="en-US"/>
        </w:rPr>
        <w:t xml:space="preserve"> y</w:t>
      </w:r>
      <w:r w:rsidR="006636EE">
        <w:rPr>
          <w:rFonts w:eastAsia="Calibri"/>
          <w:lang w:val="es-GT" w:eastAsia="en-US" w:bidi="en-US"/>
        </w:rPr>
        <w:t xml:space="preserve"> </w:t>
      </w:r>
      <w:r w:rsidR="00C26249">
        <w:rPr>
          <w:rFonts w:eastAsia="Calibri"/>
          <w:lang w:val="es-GT" w:eastAsia="en-US" w:bidi="en-US"/>
        </w:rPr>
        <w:t xml:space="preserve"> 25-2020.</w:t>
      </w:r>
    </w:p>
    <w:p w:rsidR="00117A88" w:rsidRPr="00267603" w:rsidRDefault="00117A88" w:rsidP="00C620A4">
      <w:pPr>
        <w:jc w:val="both"/>
        <w:rPr>
          <w:rFonts w:eastAsia="Calibri"/>
          <w:sz w:val="20"/>
          <w:lang w:val="es-GT" w:eastAsia="en-US" w:bidi="en-US"/>
        </w:rPr>
      </w:pPr>
    </w:p>
    <w:p w:rsidR="006F5527" w:rsidRDefault="006F5527" w:rsidP="00C620A4">
      <w:pPr>
        <w:jc w:val="both"/>
        <w:rPr>
          <w:rFonts w:eastAsia="Calibri"/>
          <w:lang w:val="es-GT" w:eastAsia="en-US" w:bidi="en-US"/>
        </w:rPr>
      </w:pPr>
      <w:r>
        <w:rPr>
          <w:rFonts w:eastAsia="Calibri"/>
          <w:lang w:val="es-GT" w:eastAsia="en-US" w:bidi="en-US"/>
        </w:rPr>
        <w:t xml:space="preserve">El Cuarto Plan de Acción Nacional de Gobierno Abierto 2018-2020 </w:t>
      </w:r>
      <w:r w:rsidR="002504EA">
        <w:rPr>
          <w:rFonts w:eastAsia="Calibri"/>
          <w:lang w:val="es-GT" w:eastAsia="en-US" w:bidi="en-US"/>
        </w:rPr>
        <w:t>se</w:t>
      </w:r>
      <w:r>
        <w:rPr>
          <w:rFonts w:eastAsia="Calibri"/>
          <w:lang w:val="es-GT" w:eastAsia="en-US" w:bidi="en-US"/>
        </w:rPr>
        <w:t xml:space="preserve"> integr</w:t>
      </w:r>
      <w:r w:rsidR="002504EA">
        <w:rPr>
          <w:rFonts w:eastAsia="Calibri"/>
          <w:lang w:val="es-GT" w:eastAsia="en-US" w:bidi="en-US"/>
        </w:rPr>
        <w:t>ó</w:t>
      </w:r>
      <w:r>
        <w:rPr>
          <w:rFonts w:eastAsia="Calibri"/>
          <w:lang w:val="es-GT" w:eastAsia="en-US" w:bidi="en-US"/>
        </w:rPr>
        <w:t xml:space="preserve"> por </w:t>
      </w:r>
      <w:r w:rsidR="00CA330C">
        <w:rPr>
          <w:rFonts w:eastAsia="Calibri"/>
          <w:lang w:val="es-GT" w:eastAsia="en-US" w:bidi="en-US"/>
        </w:rPr>
        <w:t xml:space="preserve">24 compromisos y 137 hitos o metas que se agrupan en los </w:t>
      </w:r>
      <w:r>
        <w:rPr>
          <w:rFonts w:eastAsia="Calibri"/>
          <w:lang w:val="es-GT" w:eastAsia="en-US" w:bidi="en-US"/>
        </w:rPr>
        <w:t>12 ejes temáticos</w:t>
      </w:r>
      <w:r w:rsidR="00CA330C">
        <w:rPr>
          <w:rFonts w:eastAsia="Calibri"/>
          <w:lang w:val="es-GT" w:eastAsia="en-US" w:bidi="en-US"/>
        </w:rPr>
        <w:t xml:space="preserve"> que a continuación se indican:</w:t>
      </w:r>
    </w:p>
    <w:p w:rsidR="00884D4E" w:rsidRPr="00267603" w:rsidRDefault="00884D4E" w:rsidP="00C620A4">
      <w:pPr>
        <w:jc w:val="both"/>
        <w:rPr>
          <w:rFonts w:eastAsia="Calibri"/>
          <w:sz w:val="20"/>
          <w:lang w:val="es-GT" w:eastAsia="en-US" w:bidi="en-US"/>
        </w:rPr>
      </w:pPr>
    </w:p>
    <w:p w:rsidR="00884D4E" w:rsidRPr="00CD0AF0" w:rsidRDefault="00884D4E" w:rsidP="00C774F3">
      <w:pPr>
        <w:pStyle w:val="Prrafodelista"/>
        <w:numPr>
          <w:ilvl w:val="0"/>
          <w:numId w:val="7"/>
        </w:numPr>
        <w:jc w:val="both"/>
        <w:rPr>
          <w:lang w:val="es-ES_tradnl"/>
        </w:rPr>
      </w:pPr>
      <w:r w:rsidRPr="00CD0AF0">
        <w:rPr>
          <w:lang w:val="es-ES_tradnl"/>
        </w:rPr>
        <w:t>Ambiente</w:t>
      </w:r>
      <w:r>
        <w:rPr>
          <w:lang w:val="es-ES_tradnl"/>
        </w:rPr>
        <w:t>,</w:t>
      </w:r>
      <w:r w:rsidRPr="00CD0AF0">
        <w:rPr>
          <w:lang w:val="es-ES_tradnl"/>
        </w:rPr>
        <w:t xml:space="preserve"> </w:t>
      </w:r>
      <w:r>
        <w:rPr>
          <w:lang w:val="es-ES_tradnl"/>
        </w:rPr>
        <w:t>R</w:t>
      </w:r>
      <w:r w:rsidRPr="00CD0AF0">
        <w:rPr>
          <w:lang w:val="es-ES_tradnl"/>
        </w:rPr>
        <w:t xml:space="preserve">ecursos </w:t>
      </w:r>
      <w:r>
        <w:rPr>
          <w:lang w:val="es-ES_tradnl"/>
        </w:rPr>
        <w:t>N</w:t>
      </w:r>
      <w:r w:rsidRPr="00CD0AF0">
        <w:rPr>
          <w:lang w:val="es-ES_tradnl"/>
        </w:rPr>
        <w:t>aturales</w:t>
      </w:r>
      <w:r>
        <w:rPr>
          <w:lang w:val="es-ES_tradnl"/>
        </w:rPr>
        <w:t xml:space="preserve"> y Gestión de Riesgo</w:t>
      </w:r>
    </w:p>
    <w:p w:rsidR="00884D4E" w:rsidRPr="00CD0AF0" w:rsidRDefault="00884D4E" w:rsidP="00C774F3">
      <w:pPr>
        <w:pStyle w:val="Prrafodelista"/>
        <w:numPr>
          <w:ilvl w:val="0"/>
          <w:numId w:val="7"/>
        </w:numPr>
        <w:jc w:val="both"/>
        <w:rPr>
          <w:lang w:val="es-ES_tradnl"/>
        </w:rPr>
      </w:pPr>
      <w:r w:rsidRPr="00CD0AF0">
        <w:rPr>
          <w:lang w:val="es-ES_tradnl"/>
        </w:rPr>
        <w:t>Educación</w:t>
      </w:r>
    </w:p>
    <w:p w:rsidR="00884D4E" w:rsidRPr="00CD0AF0" w:rsidRDefault="00884D4E" w:rsidP="00C774F3">
      <w:pPr>
        <w:pStyle w:val="Prrafodelista"/>
        <w:numPr>
          <w:ilvl w:val="0"/>
          <w:numId w:val="7"/>
        </w:numPr>
        <w:jc w:val="both"/>
        <w:rPr>
          <w:lang w:val="es-ES_tradnl"/>
        </w:rPr>
      </w:pPr>
      <w:r w:rsidRPr="00CD0AF0">
        <w:rPr>
          <w:lang w:val="es-ES_tradnl"/>
        </w:rPr>
        <w:t xml:space="preserve">Fortalecimiento </w:t>
      </w:r>
      <w:r>
        <w:rPr>
          <w:lang w:val="es-ES_tradnl"/>
        </w:rPr>
        <w:t>I</w:t>
      </w:r>
      <w:r w:rsidRPr="00CD0AF0">
        <w:rPr>
          <w:lang w:val="es-ES_tradnl"/>
        </w:rPr>
        <w:t xml:space="preserve">nstitucional en </w:t>
      </w:r>
      <w:r>
        <w:rPr>
          <w:lang w:val="es-ES_tradnl"/>
        </w:rPr>
        <w:t>S</w:t>
      </w:r>
      <w:r w:rsidRPr="00CD0AF0">
        <w:rPr>
          <w:lang w:val="es-ES_tradnl"/>
        </w:rPr>
        <w:t>eguridad</w:t>
      </w:r>
    </w:p>
    <w:p w:rsidR="00884D4E" w:rsidRPr="00CD0AF0" w:rsidRDefault="00884D4E" w:rsidP="00C774F3">
      <w:pPr>
        <w:pStyle w:val="Prrafodelista"/>
        <w:numPr>
          <w:ilvl w:val="0"/>
          <w:numId w:val="7"/>
        </w:numPr>
        <w:jc w:val="both"/>
        <w:rPr>
          <w:lang w:val="es-ES_tradnl"/>
        </w:rPr>
      </w:pPr>
      <w:r w:rsidRPr="00CD0AF0">
        <w:rPr>
          <w:lang w:val="es-ES_tradnl"/>
        </w:rPr>
        <w:t xml:space="preserve">Gobierno </w:t>
      </w:r>
      <w:r>
        <w:rPr>
          <w:lang w:val="es-ES_tradnl"/>
        </w:rPr>
        <w:t>E</w:t>
      </w:r>
      <w:r w:rsidRPr="00CD0AF0">
        <w:rPr>
          <w:lang w:val="es-ES_tradnl"/>
        </w:rPr>
        <w:t xml:space="preserve">lectrónico y </w:t>
      </w:r>
      <w:r>
        <w:rPr>
          <w:lang w:val="es-ES_tradnl"/>
        </w:rPr>
        <w:t>S</w:t>
      </w:r>
      <w:r w:rsidRPr="00CD0AF0">
        <w:rPr>
          <w:lang w:val="es-ES_tradnl"/>
        </w:rPr>
        <w:t xml:space="preserve">ervicios </w:t>
      </w:r>
      <w:r>
        <w:rPr>
          <w:lang w:val="es-ES_tradnl"/>
        </w:rPr>
        <w:t>P</w:t>
      </w:r>
      <w:r w:rsidRPr="00CD0AF0">
        <w:rPr>
          <w:lang w:val="es-ES_tradnl"/>
        </w:rPr>
        <w:t xml:space="preserve">úblicos en </w:t>
      </w:r>
      <w:r>
        <w:rPr>
          <w:lang w:val="es-ES_tradnl"/>
        </w:rPr>
        <w:t>L</w:t>
      </w:r>
      <w:r w:rsidRPr="00CD0AF0">
        <w:rPr>
          <w:lang w:val="es-ES_tradnl"/>
        </w:rPr>
        <w:t>ínea</w:t>
      </w:r>
    </w:p>
    <w:p w:rsidR="00884D4E" w:rsidRPr="00CD0AF0" w:rsidRDefault="00884D4E" w:rsidP="00C774F3">
      <w:pPr>
        <w:pStyle w:val="Prrafodelista"/>
        <w:numPr>
          <w:ilvl w:val="0"/>
          <w:numId w:val="7"/>
        </w:numPr>
        <w:jc w:val="both"/>
        <w:rPr>
          <w:lang w:val="es-ES_tradnl"/>
        </w:rPr>
      </w:pPr>
      <w:r w:rsidRPr="00CD0AF0">
        <w:rPr>
          <w:lang w:val="es-ES_tradnl"/>
        </w:rPr>
        <w:t xml:space="preserve">Gobiernos </w:t>
      </w:r>
      <w:r>
        <w:rPr>
          <w:lang w:val="es-ES_tradnl"/>
        </w:rPr>
        <w:t>L</w:t>
      </w:r>
      <w:r w:rsidRPr="00CD0AF0">
        <w:rPr>
          <w:lang w:val="es-ES_tradnl"/>
        </w:rPr>
        <w:t>ocales</w:t>
      </w:r>
    </w:p>
    <w:p w:rsidR="00884D4E" w:rsidRPr="00CD0AF0" w:rsidRDefault="00884D4E" w:rsidP="00C774F3">
      <w:pPr>
        <w:pStyle w:val="Prrafodelista"/>
        <w:numPr>
          <w:ilvl w:val="0"/>
          <w:numId w:val="7"/>
        </w:numPr>
        <w:jc w:val="both"/>
        <w:rPr>
          <w:lang w:val="es-ES_tradnl"/>
        </w:rPr>
      </w:pPr>
      <w:r w:rsidRPr="00CD0AF0">
        <w:rPr>
          <w:lang w:val="es-ES_tradnl"/>
        </w:rPr>
        <w:t xml:space="preserve">Innovación en la </w:t>
      </w:r>
      <w:r>
        <w:rPr>
          <w:lang w:val="es-ES_tradnl"/>
        </w:rPr>
        <w:t>G</w:t>
      </w:r>
      <w:r w:rsidRPr="00CD0AF0">
        <w:rPr>
          <w:lang w:val="es-ES_tradnl"/>
        </w:rPr>
        <w:t xml:space="preserve">estión </w:t>
      </w:r>
      <w:r>
        <w:rPr>
          <w:lang w:val="es-ES_tradnl"/>
        </w:rPr>
        <w:t>P</w:t>
      </w:r>
      <w:r w:rsidRPr="00CD0AF0">
        <w:rPr>
          <w:lang w:val="es-ES_tradnl"/>
        </w:rPr>
        <w:t>ública</w:t>
      </w:r>
    </w:p>
    <w:p w:rsidR="00884D4E" w:rsidRPr="00CD0AF0" w:rsidRDefault="00884D4E" w:rsidP="00C774F3">
      <w:pPr>
        <w:pStyle w:val="Prrafodelista"/>
        <w:numPr>
          <w:ilvl w:val="0"/>
          <w:numId w:val="7"/>
        </w:numPr>
        <w:jc w:val="both"/>
        <w:rPr>
          <w:lang w:val="es-ES_tradnl"/>
        </w:rPr>
      </w:pPr>
      <w:r w:rsidRPr="00CD0AF0">
        <w:rPr>
          <w:lang w:val="es-ES_tradnl"/>
        </w:rPr>
        <w:t xml:space="preserve">Inversión y </w:t>
      </w:r>
      <w:r>
        <w:rPr>
          <w:lang w:val="es-ES_tradnl"/>
        </w:rPr>
        <w:t>E</w:t>
      </w:r>
      <w:r w:rsidRPr="00CD0AF0">
        <w:rPr>
          <w:lang w:val="es-ES_tradnl"/>
        </w:rPr>
        <w:t>mpleo</w:t>
      </w:r>
    </w:p>
    <w:p w:rsidR="00884D4E" w:rsidRPr="00CD0AF0" w:rsidRDefault="00884D4E" w:rsidP="00C774F3">
      <w:pPr>
        <w:pStyle w:val="Prrafodelista"/>
        <w:numPr>
          <w:ilvl w:val="0"/>
          <w:numId w:val="7"/>
        </w:numPr>
        <w:jc w:val="both"/>
        <w:rPr>
          <w:lang w:val="es-ES_tradnl"/>
        </w:rPr>
      </w:pPr>
      <w:r w:rsidRPr="00CD0AF0">
        <w:rPr>
          <w:lang w:val="es-ES_tradnl"/>
        </w:rPr>
        <w:t xml:space="preserve">Mecanismos de </w:t>
      </w:r>
      <w:r>
        <w:rPr>
          <w:lang w:val="es-ES_tradnl"/>
        </w:rPr>
        <w:t>T</w:t>
      </w:r>
      <w:r w:rsidRPr="00CD0AF0">
        <w:rPr>
          <w:lang w:val="es-ES_tradnl"/>
        </w:rPr>
        <w:t xml:space="preserve">ransparencia y </w:t>
      </w:r>
      <w:r>
        <w:rPr>
          <w:lang w:val="es-ES_tradnl"/>
        </w:rPr>
        <w:t>A</w:t>
      </w:r>
      <w:r w:rsidRPr="00CD0AF0">
        <w:rPr>
          <w:lang w:val="es-ES_tradnl"/>
        </w:rPr>
        <w:t>nticorrupción</w:t>
      </w:r>
    </w:p>
    <w:p w:rsidR="00884D4E" w:rsidRPr="00CD0AF0" w:rsidRDefault="00884D4E" w:rsidP="00C774F3">
      <w:pPr>
        <w:pStyle w:val="Prrafodelista"/>
        <w:numPr>
          <w:ilvl w:val="0"/>
          <w:numId w:val="7"/>
        </w:numPr>
        <w:jc w:val="both"/>
        <w:rPr>
          <w:lang w:val="es-ES_tradnl"/>
        </w:rPr>
      </w:pPr>
      <w:r w:rsidRPr="00CD0AF0">
        <w:rPr>
          <w:lang w:val="es-ES_tradnl"/>
        </w:rPr>
        <w:lastRenderedPageBreak/>
        <w:t xml:space="preserve">Protección e </w:t>
      </w:r>
      <w:r>
        <w:rPr>
          <w:lang w:val="es-ES_tradnl"/>
        </w:rPr>
        <w:t>I</w:t>
      </w:r>
      <w:r w:rsidRPr="00CD0AF0">
        <w:rPr>
          <w:lang w:val="es-ES_tradnl"/>
        </w:rPr>
        <w:t xml:space="preserve">nclusión </w:t>
      </w:r>
      <w:r>
        <w:rPr>
          <w:lang w:val="es-ES_tradnl"/>
        </w:rPr>
        <w:t>S</w:t>
      </w:r>
      <w:r w:rsidRPr="00CD0AF0">
        <w:rPr>
          <w:lang w:val="es-ES_tradnl"/>
        </w:rPr>
        <w:t>ocial</w:t>
      </w:r>
    </w:p>
    <w:p w:rsidR="00884D4E" w:rsidRPr="00CD0AF0" w:rsidRDefault="00884D4E" w:rsidP="00C774F3">
      <w:pPr>
        <w:pStyle w:val="Prrafodelista"/>
        <w:numPr>
          <w:ilvl w:val="0"/>
          <w:numId w:val="7"/>
        </w:numPr>
        <w:jc w:val="both"/>
        <w:rPr>
          <w:lang w:val="es-ES_tradnl"/>
        </w:rPr>
      </w:pPr>
      <w:r w:rsidRPr="00CD0AF0">
        <w:rPr>
          <w:lang w:val="es-ES_tradnl"/>
        </w:rPr>
        <w:t xml:space="preserve">Salud, </w:t>
      </w:r>
      <w:r>
        <w:rPr>
          <w:lang w:val="es-ES_tradnl"/>
        </w:rPr>
        <w:t>S</w:t>
      </w:r>
      <w:r w:rsidRPr="00CD0AF0">
        <w:rPr>
          <w:lang w:val="es-ES_tradnl"/>
        </w:rPr>
        <w:t xml:space="preserve">eguridad </w:t>
      </w:r>
      <w:r>
        <w:rPr>
          <w:lang w:val="es-ES_tradnl"/>
        </w:rPr>
        <w:t>A</w:t>
      </w:r>
      <w:r w:rsidRPr="00CD0AF0">
        <w:rPr>
          <w:lang w:val="es-ES_tradnl"/>
        </w:rPr>
        <w:t xml:space="preserve">limentaria y </w:t>
      </w:r>
      <w:r>
        <w:rPr>
          <w:lang w:val="es-ES_tradnl"/>
        </w:rPr>
        <w:t>N</w:t>
      </w:r>
      <w:r w:rsidRPr="00CD0AF0">
        <w:rPr>
          <w:lang w:val="es-ES_tradnl"/>
        </w:rPr>
        <w:t>utricional</w:t>
      </w:r>
    </w:p>
    <w:p w:rsidR="00884D4E" w:rsidRDefault="00884D4E" w:rsidP="00C774F3">
      <w:pPr>
        <w:pStyle w:val="Prrafodelista"/>
        <w:numPr>
          <w:ilvl w:val="0"/>
          <w:numId w:val="7"/>
        </w:numPr>
        <w:jc w:val="both"/>
        <w:rPr>
          <w:lang w:val="es-ES_tradnl"/>
        </w:rPr>
      </w:pPr>
      <w:r w:rsidRPr="00CD0AF0">
        <w:rPr>
          <w:lang w:val="es-ES_tradnl"/>
        </w:rPr>
        <w:t xml:space="preserve">Transparencia en los </w:t>
      </w:r>
      <w:r>
        <w:rPr>
          <w:lang w:val="es-ES_tradnl"/>
        </w:rPr>
        <w:t>P</w:t>
      </w:r>
      <w:r w:rsidRPr="00CD0AF0">
        <w:rPr>
          <w:lang w:val="es-ES_tradnl"/>
        </w:rPr>
        <w:t xml:space="preserve">rocesos </w:t>
      </w:r>
      <w:r>
        <w:rPr>
          <w:lang w:val="es-ES_tradnl"/>
        </w:rPr>
        <w:t>E</w:t>
      </w:r>
      <w:r w:rsidRPr="00CD0AF0">
        <w:rPr>
          <w:lang w:val="es-ES_tradnl"/>
        </w:rPr>
        <w:t>lectorales</w:t>
      </w:r>
    </w:p>
    <w:p w:rsidR="00884D4E" w:rsidRPr="00CD0AF0" w:rsidRDefault="00884D4E" w:rsidP="00C774F3">
      <w:pPr>
        <w:pStyle w:val="Prrafodelista"/>
        <w:numPr>
          <w:ilvl w:val="0"/>
          <w:numId w:val="7"/>
        </w:numPr>
        <w:jc w:val="both"/>
        <w:rPr>
          <w:lang w:val="es-ES_tradnl"/>
        </w:rPr>
      </w:pPr>
      <w:r w:rsidRPr="00CD0AF0">
        <w:rPr>
          <w:lang w:val="es-ES_tradnl"/>
        </w:rPr>
        <w:t xml:space="preserve">Transparencia </w:t>
      </w:r>
      <w:r>
        <w:rPr>
          <w:lang w:val="es-ES_tradnl"/>
        </w:rPr>
        <w:t>F</w:t>
      </w:r>
      <w:r w:rsidRPr="00CD0AF0">
        <w:rPr>
          <w:lang w:val="es-ES_tradnl"/>
        </w:rPr>
        <w:t xml:space="preserve">iscal, </w:t>
      </w:r>
      <w:r>
        <w:rPr>
          <w:lang w:val="es-ES_tradnl"/>
        </w:rPr>
        <w:t>C</w:t>
      </w:r>
      <w:r w:rsidRPr="00CD0AF0">
        <w:rPr>
          <w:lang w:val="es-ES_tradnl"/>
        </w:rPr>
        <w:t xml:space="preserve">ompras y </w:t>
      </w:r>
      <w:r>
        <w:rPr>
          <w:lang w:val="es-ES_tradnl"/>
        </w:rPr>
        <w:t>C</w:t>
      </w:r>
      <w:r w:rsidRPr="00CD0AF0">
        <w:rPr>
          <w:lang w:val="es-ES_tradnl"/>
        </w:rPr>
        <w:t xml:space="preserve">ontrataciones </w:t>
      </w:r>
      <w:r>
        <w:rPr>
          <w:lang w:val="es-ES_tradnl"/>
        </w:rPr>
        <w:t>P</w:t>
      </w:r>
      <w:r w:rsidRPr="00CD0AF0">
        <w:rPr>
          <w:lang w:val="es-ES_tradnl"/>
        </w:rPr>
        <w:t>úblicas</w:t>
      </w:r>
    </w:p>
    <w:p w:rsidR="00884D4E" w:rsidRPr="00260C73" w:rsidRDefault="00884D4E" w:rsidP="00C620A4">
      <w:pPr>
        <w:jc w:val="both"/>
        <w:rPr>
          <w:rFonts w:eastAsia="Calibri"/>
          <w:sz w:val="28"/>
          <w:lang w:val="es-ES_tradnl" w:eastAsia="en-US" w:bidi="en-US"/>
        </w:rPr>
      </w:pPr>
    </w:p>
    <w:p w:rsidR="00CA330C" w:rsidRDefault="006F5527" w:rsidP="00C620A4">
      <w:pPr>
        <w:jc w:val="both"/>
        <w:rPr>
          <w:rFonts w:eastAsia="Calibri"/>
          <w:lang w:val="es-GT" w:eastAsia="en-US" w:bidi="en-US"/>
        </w:rPr>
      </w:pPr>
      <w:r>
        <w:rPr>
          <w:rFonts w:eastAsia="Calibri"/>
          <w:lang w:val="es-GT" w:eastAsia="en-US" w:bidi="en-US"/>
        </w:rPr>
        <w:t>El</w:t>
      </w:r>
      <w:r w:rsidR="00E447DB">
        <w:rPr>
          <w:rFonts w:eastAsia="Calibri"/>
          <w:lang w:val="es-GT" w:eastAsia="en-US" w:bidi="en-US"/>
        </w:rPr>
        <w:t xml:space="preserve"> Ministerio de Finanzas Públicas </w:t>
      </w:r>
      <w:r w:rsidR="006636EE">
        <w:rPr>
          <w:rFonts w:eastAsia="Calibri"/>
          <w:lang w:val="es-GT" w:eastAsia="en-US" w:bidi="en-US"/>
        </w:rPr>
        <w:t>fue</w:t>
      </w:r>
      <w:r>
        <w:rPr>
          <w:rFonts w:eastAsia="Calibri"/>
          <w:lang w:val="es-GT" w:eastAsia="en-US" w:bidi="en-US"/>
        </w:rPr>
        <w:t xml:space="preserve"> la entidad responsable directa del eje de Transparencia Fiscal, Compras y Contrataciones Públicas</w:t>
      </w:r>
      <w:r w:rsidR="006369BD">
        <w:rPr>
          <w:rFonts w:eastAsia="Calibri"/>
          <w:lang w:val="es-GT" w:eastAsia="en-US" w:bidi="en-US"/>
        </w:rPr>
        <w:t>,</w:t>
      </w:r>
      <w:r>
        <w:rPr>
          <w:rFonts w:eastAsia="Calibri"/>
          <w:lang w:val="es-GT" w:eastAsia="en-US" w:bidi="en-US"/>
        </w:rPr>
        <w:t xml:space="preserve"> </w:t>
      </w:r>
      <w:r w:rsidR="00CA330C">
        <w:rPr>
          <w:rFonts w:eastAsia="Calibri"/>
          <w:lang w:val="es-GT" w:eastAsia="en-US" w:bidi="en-US"/>
        </w:rPr>
        <w:t xml:space="preserve">integrado por </w:t>
      </w:r>
      <w:r w:rsidR="002504EA">
        <w:rPr>
          <w:rFonts w:eastAsia="Calibri"/>
          <w:lang w:val="es-GT" w:eastAsia="en-US" w:bidi="en-US"/>
        </w:rPr>
        <w:t xml:space="preserve">los </w:t>
      </w:r>
      <w:r w:rsidR="00CA330C">
        <w:rPr>
          <w:rFonts w:eastAsia="Calibri"/>
          <w:lang w:val="es-GT" w:eastAsia="en-US" w:bidi="en-US"/>
        </w:rPr>
        <w:t>tres compromisos</w:t>
      </w:r>
      <w:r w:rsidR="00CA6464">
        <w:rPr>
          <w:rFonts w:eastAsia="Calibri"/>
          <w:lang w:val="es-GT" w:eastAsia="en-US" w:bidi="en-US"/>
        </w:rPr>
        <w:t xml:space="preserve"> y once metas</w:t>
      </w:r>
      <w:r w:rsidR="002504EA">
        <w:rPr>
          <w:rFonts w:eastAsia="Calibri"/>
          <w:lang w:val="es-GT" w:eastAsia="en-US" w:bidi="en-US"/>
        </w:rPr>
        <w:t xml:space="preserve"> siguientes</w:t>
      </w:r>
      <w:r w:rsidR="00CA330C">
        <w:rPr>
          <w:rFonts w:eastAsia="Calibri"/>
          <w:lang w:val="es-GT" w:eastAsia="en-US" w:bidi="en-US"/>
        </w:rPr>
        <w:t>:</w:t>
      </w:r>
    </w:p>
    <w:p w:rsidR="00CA330C" w:rsidRDefault="00CA330C" w:rsidP="00C620A4">
      <w:pPr>
        <w:jc w:val="both"/>
        <w:rPr>
          <w:rFonts w:eastAsia="Calibri"/>
          <w:lang w:val="es-GT" w:eastAsia="en-US" w:bidi="en-US"/>
        </w:rPr>
      </w:pPr>
    </w:p>
    <w:p w:rsidR="009B3ED8" w:rsidRDefault="009B3ED8" w:rsidP="00C774F3">
      <w:pPr>
        <w:pStyle w:val="Prrafodelista"/>
        <w:numPr>
          <w:ilvl w:val="0"/>
          <w:numId w:val="9"/>
        </w:numPr>
        <w:ind w:left="567" w:hanging="567"/>
        <w:contextualSpacing/>
        <w:jc w:val="both"/>
        <w:rPr>
          <w:rFonts w:eastAsia="Calibri"/>
          <w:b/>
          <w:lang w:val="es-MX"/>
        </w:rPr>
      </w:pPr>
      <w:r w:rsidRPr="0069616A">
        <w:rPr>
          <w:rFonts w:eastAsia="Calibri"/>
          <w:b/>
          <w:lang w:val="es-MX"/>
        </w:rPr>
        <w:t xml:space="preserve">Acciones para </w:t>
      </w:r>
      <w:r>
        <w:rPr>
          <w:rFonts w:eastAsia="Calibri"/>
          <w:b/>
          <w:lang w:val="es-MX"/>
        </w:rPr>
        <w:t xml:space="preserve">seguir </w:t>
      </w:r>
      <w:r w:rsidRPr="0069616A">
        <w:rPr>
          <w:rFonts w:eastAsia="Calibri"/>
          <w:b/>
          <w:lang w:val="es-MX"/>
        </w:rPr>
        <w:t>avanza</w:t>
      </w:r>
      <w:r>
        <w:rPr>
          <w:rFonts w:eastAsia="Calibri"/>
          <w:b/>
          <w:lang w:val="es-MX"/>
        </w:rPr>
        <w:t>ndo en la adopción de estándares internacionales de transparencia fiscal, c</w:t>
      </w:r>
      <w:r w:rsidR="00CA6464">
        <w:rPr>
          <w:rFonts w:eastAsia="Calibri"/>
          <w:b/>
          <w:lang w:val="es-MX"/>
        </w:rPr>
        <w:t>ompras y contrataciones</w:t>
      </w:r>
      <w:r w:rsidR="002504EA">
        <w:rPr>
          <w:rFonts w:eastAsia="Calibri"/>
          <w:b/>
          <w:lang w:val="es-MX"/>
        </w:rPr>
        <w:t>.</w:t>
      </w:r>
    </w:p>
    <w:p w:rsidR="00260C73" w:rsidRPr="0069616A" w:rsidRDefault="00260C73" w:rsidP="00260C73">
      <w:pPr>
        <w:pStyle w:val="Prrafodelista"/>
        <w:ind w:left="567"/>
        <w:contextualSpacing/>
        <w:jc w:val="both"/>
        <w:rPr>
          <w:rFonts w:eastAsia="Calibri"/>
          <w:b/>
          <w:lang w:val="es-MX"/>
        </w:rPr>
      </w:pPr>
    </w:p>
    <w:p w:rsidR="009B3ED8" w:rsidRPr="00CD0AF0" w:rsidRDefault="009B3ED8" w:rsidP="00C774F3">
      <w:pPr>
        <w:numPr>
          <w:ilvl w:val="1"/>
          <w:numId w:val="8"/>
        </w:numPr>
        <w:ind w:left="1134"/>
        <w:contextualSpacing/>
        <w:jc w:val="both"/>
        <w:rPr>
          <w:rFonts w:eastAsia="Calibri"/>
          <w:lang w:val="es-MX"/>
        </w:rPr>
      </w:pPr>
      <w:r>
        <w:rPr>
          <w:rFonts w:eastAsia="Calibri"/>
          <w:lang w:val="es-MX"/>
        </w:rPr>
        <w:t xml:space="preserve">Talleres de sensibilización y capacitación sobre el uso del módulo de </w:t>
      </w:r>
      <w:r w:rsidR="00CA6464">
        <w:rPr>
          <w:rFonts w:eastAsia="Calibri"/>
          <w:lang w:val="es-MX"/>
        </w:rPr>
        <w:t xml:space="preserve">la </w:t>
      </w:r>
      <w:r>
        <w:rPr>
          <w:rFonts w:eastAsia="Calibri"/>
          <w:lang w:val="es-MX"/>
        </w:rPr>
        <w:t>Subasta Electrónica Inversa (SEI).</w:t>
      </w:r>
    </w:p>
    <w:p w:rsidR="009B3ED8" w:rsidRPr="00CD0AF0" w:rsidRDefault="009B3ED8" w:rsidP="00C774F3">
      <w:pPr>
        <w:numPr>
          <w:ilvl w:val="1"/>
          <w:numId w:val="8"/>
        </w:numPr>
        <w:ind w:left="1134"/>
        <w:contextualSpacing/>
        <w:jc w:val="both"/>
        <w:rPr>
          <w:rFonts w:eastAsia="Calibri"/>
          <w:lang w:val="es-MX"/>
        </w:rPr>
      </w:pPr>
      <w:r>
        <w:rPr>
          <w:rFonts w:eastAsia="Calibri"/>
          <w:lang w:val="es-MX"/>
        </w:rPr>
        <w:t>Propuesta de iniciativa de ley y reglamento para un registro de beneficiario final, según estándares del Foro Global de la OCDE y GAFILAT.</w:t>
      </w:r>
    </w:p>
    <w:p w:rsidR="009B3ED8" w:rsidRPr="00CD0AF0" w:rsidRDefault="009B3ED8" w:rsidP="00C774F3">
      <w:pPr>
        <w:numPr>
          <w:ilvl w:val="1"/>
          <w:numId w:val="8"/>
        </w:numPr>
        <w:ind w:left="1134"/>
        <w:contextualSpacing/>
        <w:jc w:val="both"/>
        <w:rPr>
          <w:rFonts w:eastAsia="Calibri"/>
          <w:lang w:val="es-MX"/>
        </w:rPr>
      </w:pPr>
      <w:r>
        <w:rPr>
          <w:rFonts w:eastAsia="Calibri"/>
          <w:lang w:val="es-MX"/>
        </w:rPr>
        <w:t>Estándar de datos abiertos para las contrataciones abiertas.</w:t>
      </w:r>
    </w:p>
    <w:p w:rsidR="009B3ED8" w:rsidRPr="00CD0AF0" w:rsidRDefault="009B3ED8" w:rsidP="00C774F3">
      <w:pPr>
        <w:numPr>
          <w:ilvl w:val="1"/>
          <w:numId w:val="8"/>
        </w:numPr>
        <w:ind w:left="1134"/>
        <w:contextualSpacing/>
        <w:jc w:val="both"/>
        <w:rPr>
          <w:rFonts w:eastAsia="Calibri"/>
          <w:lang w:val="es-MX"/>
        </w:rPr>
      </w:pPr>
      <w:r>
        <w:rPr>
          <w:rFonts w:eastAsia="Calibri"/>
          <w:lang w:val="es-MX"/>
        </w:rPr>
        <w:t>Publicación de las principales iniciativas y estándares internacionales de transparencia fiscal.</w:t>
      </w:r>
    </w:p>
    <w:p w:rsidR="009B3ED8" w:rsidRPr="00CD0AF0" w:rsidRDefault="009B3ED8" w:rsidP="00C774F3">
      <w:pPr>
        <w:numPr>
          <w:ilvl w:val="1"/>
          <w:numId w:val="8"/>
        </w:numPr>
        <w:ind w:left="1134"/>
        <w:contextualSpacing/>
        <w:jc w:val="both"/>
        <w:rPr>
          <w:rFonts w:eastAsia="Calibri"/>
          <w:lang w:val="es-MX"/>
        </w:rPr>
      </w:pPr>
      <w:r>
        <w:rPr>
          <w:rFonts w:eastAsia="Calibri"/>
          <w:lang w:val="es-MX"/>
        </w:rPr>
        <w:t xml:space="preserve">Plan de </w:t>
      </w:r>
      <w:r w:rsidR="00CA6464">
        <w:rPr>
          <w:rFonts w:eastAsia="Calibri"/>
          <w:lang w:val="es-MX"/>
        </w:rPr>
        <w:t>a</w:t>
      </w:r>
      <w:r>
        <w:rPr>
          <w:rFonts w:eastAsia="Calibri"/>
          <w:lang w:val="es-MX"/>
        </w:rPr>
        <w:t>cción para implementar las recomendaciones de cada iniciativa y estándar internacional de transparencia fiscal.</w:t>
      </w:r>
    </w:p>
    <w:p w:rsidR="009B3ED8" w:rsidRPr="00260C73" w:rsidRDefault="009B3ED8" w:rsidP="009B3ED8">
      <w:pPr>
        <w:ind w:left="1440"/>
        <w:contextualSpacing/>
        <w:jc w:val="both"/>
        <w:rPr>
          <w:rFonts w:eastAsia="Calibri"/>
          <w:sz w:val="40"/>
          <w:lang w:val="es-MX"/>
        </w:rPr>
      </w:pPr>
    </w:p>
    <w:p w:rsidR="009B3ED8" w:rsidRDefault="009B3ED8" w:rsidP="00C774F3">
      <w:pPr>
        <w:pStyle w:val="Prrafodelista"/>
        <w:numPr>
          <w:ilvl w:val="0"/>
          <w:numId w:val="9"/>
        </w:numPr>
        <w:ind w:left="567" w:hanging="567"/>
        <w:contextualSpacing/>
        <w:jc w:val="both"/>
        <w:rPr>
          <w:rFonts w:eastAsia="Calibri"/>
          <w:b/>
          <w:lang w:val="es-MX"/>
        </w:rPr>
      </w:pPr>
      <w:r w:rsidRPr="0069616A">
        <w:rPr>
          <w:rFonts w:eastAsia="Calibri"/>
          <w:b/>
          <w:lang w:val="es-MX"/>
        </w:rPr>
        <w:t xml:space="preserve">Acciones para avanzar en </w:t>
      </w:r>
      <w:r>
        <w:rPr>
          <w:rFonts w:eastAsia="Calibri"/>
          <w:b/>
          <w:lang w:val="es-MX"/>
        </w:rPr>
        <w:t>la presentación y disponibilidad de información presupuestaria</w:t>
      </w:r>
      <w:r w:rsidR="002504EA">
        <w:rPr>
          <w:rFonts w:eastAsia="Calibri"/>
          <w:b/>
          <w:lang w:val="es-MX"/>
        </w:rPr>
        <w:t>.</w:t>
      </w:r>
    </w:p>
    <w:p w:rsidR="00260C73" w:rsidRPr="0069616A" w:rsidRDefault="00260C73" w:rsidP="00260C73">
      <w:pPr>
        <w:pStyle w:val="Prrafodelista"/>
        <w:ind w:left="567"/>
        <w:contextualSpacing/>
        <w:jc w:val="both"/>
        <w:rPr>
          <w:rFonts w:eastAsia="Calibri"/>
          <w:b/>
          <w:lang w:val="es-MX"/>
        </w:rPr>
      </w:pPr>
    </w:p>
    <w:p w:rsidR="009B3ED8" w:rsidRPr="00CD0AF0" w:rsidRDefault="009B3ED8" w:rsidP="00C774F3">
      <w:pPr>
        <w:numPr>
          <w:ilvl w:val="0"/>
          <w:numId w:val="10"/>
        </w:numPr>
        <w:ind w:left="1134"/>
        <w:contextualSpacing/>
        <w:jc w:val="both"/>
        <w:rPr>
          <w:rFonts w:eastAsia="Calibri"/>
          <w:lang w:val="es-MX"/>
        </w:rPr>
      </w:pPr>
      <w:r>
        <w:rPr>
          <w:rFonts w:eastAsia="Calibri"/>
          <w:lang w:val="es-MX"/>
        </w:rPr>
        <w:t xml:space="preserve">Elaborar una hoja de ruta para presentar información presupuestaria a través de un Observatorio del </w:t>
      </w:r>
      <w:r w:rsidR="00260C73">
        <w:rPr>
          <w:rFonts w:eastAsia="Calibri"/>
          <w:lang w:val="es-MX"/>
        </w:rPr>
        <w:t>Presupuesto</w:t>
      </w:r>
      <w:r>
        <w:rPr>
          <w:rFonts w:eastAsia="Calibri"/>
          <w:lang w:val="es-MX"/>
        </w:rPr>
        <w:t xml:space="preserve"> Público.</w:t>
      </w:r>
    </w:p>
    <w:p w:rsidR="009B3ED8" w:rsidRDefault="009B3ED8" w:rsidP="00C774F3">
      <w:pPr>
        <w:numPr>
          <w:ilvl w:val="0"/>
          <w:numId w:val="10"/>
        </w:numPr>
        <w:ind w:left="1134"/>
        <w:contextualSpacing/>
        <w:jc w:val="both"/>
        <w:rPr>
          <w:rFonts w:eastAsia="Calibri"/>
          <w:lang w:val="es-MX"/>
        </w:rPr>
      </w:pPr>
      <w:r>
        <w:rPr>
          <w:rFonts w:eastAsia="Calibri"/>
          <w:lang w:val="es-MX"/>
        </w:rPr>
        <w:t>Elaboración y publicación de informes para el monitoreo y seguimiento de la ejecución de préstamos externos.</w:t>
      </w:r>
    </w:p>
    <w:p w:rsidR="009B3ED8" w:rsidRPr="00260C73" w:rsidRDefault="009B3ED8" w:rsidP="009B3ED8">
      <w:pPr>
        <w:ind w:left="1440"/>
        <w:contextualSpacing/>
        <w:jc w:val="both"/>
        <w:rPr>
          <w:rFonts w:eastAsia="Calibri"/>
          <w:sz w:val="40"/>
          <w:lang w:val="es-MX"/>
        </w:rPr>
      </w:pPr>
    </w:p>
    <w:p w:rsidR="009B3ED8" w:rsidRDefault="009B3ED8" w:rsidP="00C774F3">
      <w:pPr>
        <w:pStyle w:val="Prrafodelista"/>
        <w:numPr>
          <w:ilvl w:val="0"/>
          <w:numId w:val="9"/>
        </w:numPr>
        <w:ind w:left="567" w:hanging="567"/>
        <w:contextualSpacing/>
        <w:jc w:val="both"/>
        <w:rPr>
          <w:rFonts w:eastAsia="Calibri"/>
          <w:b/>
          <w:lang w:val="es-MX"/>
        </w:rPr>
      </w:pPr>
      <w:r w:rsidRPr="0069616A">
        <w:rPr>
          <w:rFonts w:eastAsia="Calibri"/>
          <w:b/>
          <w:lang w:val="es-MX"/>
        </w:rPr>
        <w:t xml:space="preserve">Acciones para </w:t>
      </w:r>
      <w:r>
        <w:rPr>
          <w:rFonts w:eastAsia="Calibri"/>
          <w:b/>
          <w:lang w:val="es-MX"/>
        </w:rPr>
        <w:t>diseñar y desarrollar una herramienta informática que permita a las instituciones públicas proveer información de los beneficiarios de los bienes y servicios públicos, a través de la apertura de la meta física “persona”, con características de sexo, edad y etnia</w:t>
      </w:r>
      <w:r w:rsidR="002504EA">
        <w:rPr>
          <w:rFonts w:eastAsia="Calibri"/>
          <w:b/>
          <w:lang w:val="es-MX"/>
        </w:rPr>
        <w:t>.</w:t>
      </w:r>
    </w:p>
    <w:p w:rsidR="00260C73" w:rsidRPr="0069616A" w:rsidRDefault="00260C73" w:rsidP="00260C73">
      <w:pPr>
        <w:pStyle w:val="Prrafodelista"/>
        <w:ind w:left="567"/>
        <w:contextualSpacing/>
        <w:jc w:val="both"/>
        <w:rPr>
          <w:rFonts w:eastAsia="Calibri"/>
          <w:b/>
          <w:lang w:val="es-MX"/>
        </w:rPr>
      </w:pPr>
    </w:p>
    <w:p w:rsidR="009B3ED8" w:rsidRPr="00CD0AF0" w:rsidRDefault="009B3ED8" w:rsidP="00C774F3">
      <w:pPr>
        <w:numPr>
          <w:ilvl w:val="0"/>
          <w:numId w:val="11"/>
        </w:numPr>
        <w:ind w:left="1134"/>
        <w:contextualSpacing/>
        <w:jc w:val="both"/>
        <w:rPr>
          <w:rFonts w:eastAsia="Calibri"/>
          <w:lang w:val="es-MX"/>
        </w:rPr>
      </w:pPr>
      <w:r>
        <w:rPr>
          <w:rFonts w:eastAsia="Calibri"/>
          <w:lang w:val="es-MX"/>
        </w:rPr>
        <w:t xml:space="preserve">Elaboración de un </w:t>
      </w:r>
      <w:r w:rsidR="00260C73">
        <w:rPr>
          <w:rFonts w:eastAsia="Calibri"/>
          <w:lang w:val="es-MX"/>
        </w:rPr>
        <w:t>p</w:t>
      </w:r>
      <w:r>
        <w:rPr>
          <w:rFonts w:eastAsia="Calibri"/>
          <w:lang w:val="es-MX"/>
        </w:rPr>
        <w:t xml:space="preserve">lan de </w:t>
      </w:r>
      <w:r w:rsidR="00260C73">
        <w:rPr>
          <w:rFonts w:eastAsia="Calibri"/>
          <w:lang w:val="es-MX"/>
        </w:rPr>
        <w:t>t</w:t>
      </w:r>
      <w:r>
        <w:rPr>
          <w:rFonts w:eastAsia="Calibri"/>
          <w:lang w:val="es-MX"/>
        </w:rPr>
        <w:t>rabajo para la provisión de una herramienta informática que brinde dicha información desagregada.</w:t>
      </w:r>
    </w:p>
    <w:p w:rsidR="009B3ED8" w:rsidRPr="00CD0AF0" w:rsidRDefault="009B3ED8" w:rsidP="00C774F3">
      <w:pPr>
        <w:numPr>
          <w:ilvl w:val="0"/>
          <w:numId w:val="11"/>
        </w:numPr>
        <w:ind w:left="1134"/>
        <w:contextualSpacing/>
        <w:jc w:val="both"/>
        <w:rPr>
          <w:rFonts w:eastAsia="Calibri"/>
          <w:lang w:val="es-MX"/>
        </w:rPr>
      </w:pPr>
      <w:r>
        <w:rPr>
          <w:rFonts w:eastAsia="Calibri"/>
          <w:lang w:val="es-MX"/>
        </w:rPr>
        <w:t>Diseño y desarrollo de la herramienta informática.</w:t>
      </w:r>
    </w:p>
    <w:p w:rsidR="009B3ED8" w:rsidRPr="00CD0AF0" w:rsidRDefault="009B3ED8" w:rsidP="00C774F3">
      <w:pPr>
        <w:numPr>
          <w:ilvl w:val="0"/>
          <w:numId w:val="11"/>
        </w:numPr>
        <w:ind w:left="1134"/>
        <w:contextualSpacing/>
        <w:jc w:val="both"/>
        <w:rPr>
          <w:rFonts w:eastAsia="Calibri"/>
          <w:lang w:val="es-MX"/>
        </w:rPr>
      </w:pPr>
      <w:r>
        <w:rPr>
          <w:rFonts w:eastAsia="Calibri"/>
          <w:lang w:val="es-MX"/>
        </w:rPr>
        <w:t>Elaboración e implementación de un programa de capacitación y sensibilización sobre el uso y utilidad de la herramienta informática.</w:t>
      </w:r>
    </w:p>
    <w:p w:rsidR="009B3ED8" w:rsidRPr="00CD0AF0" w:rsidRDefault="009B3ED8" w:rsidP="00C774F3">
      <w:pPr>
        <w:numPr>
          <w:ilvl w:val="0"/>
          <w:numId w:val="11"/>
        </w:numPr>
        <w:ind w:left="1134"/>
        <w:contextualSpacing/>
        <w:jc w:val="both"/>
        <w:rPr>
          <w:rFonts w:eastAsia="Calibri"/>
          <w:lang w:val="es-MX"/>
        </w:rPr>
      </w:pPr>
      <w:r>
        <w:rPr>
          <w:rFonts w:eastAsia="Calibri"/>
          <w:lang w:val="es-MX"/>
        </w:rPr>
        <w:t>Publicación de la información que las instituciones públicas registren en la herramienta informática puesta en funcionamiento.</w:t>
      </w:r>
    </w:p>
    <w:p w:rsidR="0009220D" w:rsidRPr="00AA2749" w:rsidRDefault="0009220D" w:rsidP="00C620A4">
      <w:pPr>
        <w:jc w:val="both"/>
        <w:rPr>
          <w:rFonts w:eastAsia="Calibri"/>
          <w:sz w:val="28"/>
          <w:lang w:val="es-GT" w:eastAsia="en-US" w:bidi="en-US"/>
        </w:rPr>
      </w:pPr>
    </w:p>
    <w:p w:rsidR="002E0FD6" w:rsidRDefault="002504EA" w:rsidP="00C620A4">
      <w:pPr>
        <w:jc w:val="both"/>
        <w:rPr>
          <w:rFonts w:eastAsia="Calibri"/>
          <w:lang w:val="es-GT" w:eastAsia="en-US" w:bidi="en-US"/>
        </w:rPr>
      </w:pPr>
      <w:r>
        <w:rPr>
          <w:rFonts w:eastAsia="Calibri"/>
          <w:lang w:val="es-GT" w:eastAsia="en-US" w:bidi="en-US"/>
        </w:rPr>
        <w:lastRenderedPageBreak/>
        <w:t>E</w:t>
      </w:r>
      <w:r w:rsidR="002E0FD6">
        <w:rPr>
          <w:rFonts w:eastAsia="Calibri"/>
          <w:lang w:val="es-GT" w:eastAsia="en-US" w:bidi="en-US"/>
        </w:rPr>
        <w:t xml:space="preserve">n el siguiente cuadro se muestra el estatus de los </w:t>
      </w:r>
      <w:r>
        <w:rPr>
          <w:rFonts w:eastAsia="Calibri"/>
          <w:lang w:val="es-GT" w:eastAsia="en-US" w:bidi="en-US"/>
        </w:rPr>
        <w:t>cuatro</w:t>
      </w:r>
      <w:r w:rsidR="002E0FD6">
        <w:rPr>
          <w:rFonts w:eastAsia="Calibri"/>
          <w:lang w:val="es-GT" w:eastAsia="en-US" w:bidi="en-US"/>
        </w:rPr>
        <w:t xml:space="preserve"> Planes de Acción Nacional de Gobierno Abierto que ha </w:t>
      </w:r>
      <w:r w:rsidR="00131670">
        <w:rPr>
          <w:rFonts w:eastAsia="Calibri"/>
          <w:lang w:val="es-GT" w:eastAsia="en-US" w:bidi="en-US"/>
        </w:rPr>
        <w:t xml:space="preserve">suscrito </w:t>
      </w:r>
      <w:r w:rsidR="002E0FD6">
        <w:rPr>
          <w:rFonts w:eastAsia="Calibri"/>
          <w:lang w:val="es-GT" w:eastAsia="en-US" w:bidi="en-US"/>
        </w:rPr>
        <w:t>la República de Guatemala</w:t>
      </w:r>
      <w:r>
        <w:rPr>
          <w:rFonts w:eastAsia="Calibri"/>
          <w:lang w:val="es-GT" w:eastAsia="en-US" w:bidi="en-US"/>
        </w:rPr>
        <w:t xml:space="preserve"> a partir del 2012, fecha en que se adhirió a la Alianza para el Gobierno Abierto (OGP por sus siglas en inglés)</w:t>
      </w:r>
      <w:r w:rsidR="002E0FD6">
        <w:rPr>
          <w:rFonts w:eastAsia="Calibri"/>
          <w:lang w:val="es-GT" w:eastAsia="en-US" w:bidi="en-US"/>
        </w:rPr>
        <w:t>:</w:t>
      </w:r>
    </w:p>
    <w:p w:rsidR="002E0FD6" w:rsidRDefault="002E0FD6" w:rsidP="00C620A4">
      <w:pPr>
        <w:jc w:val="both"/>
        <w:rPr>
          <w:rFonts w:eastAsia="Calibri"/>
          <w:lang w:val="es-GT" w:eastAsia="en-US" w:bidi="en-US"/>
        </w:rPr>
      </w:pPr>
    </w:p>
    <w:p w:rsidR="0099619F" w:rsidRPr="00124AD6" w:rsidRDefault="0099619F" w:rsidP="0099619F">
      <w:pPr>
        <w:jc w:val="center"/>
        <w:rPr>
          <w:b/>
        </w:rPr>
      </w:pPr>
      <w:r w:rsidRPr="00124AD6">
        <w:rPr>
          <w:b/>
        </w:rPr>
        <w:t xml:space="preserve">Cuadro </w:t>
      </w:r>
      <w:r w:rsidR="007401CA">
        <w:rPr>
          <w:b/>
        </w:rPr>
        <w:t>22</w:t>
      </w:r>
    </w:p>
    <w:p w:rsidR="0099619F" w:rsidRDefault="0099619F" w:rsidP="0099619F">
      <w:pPr>
        <w:jc w:val="center"/>
        <w:rPr>
          <w:b/>
        </w:rPr>
      </w:pPr>
      <w:r>
        <w:rPr>
          <w:b/>
        </w:rPr>
        <w:t xml:space="preserve">Situación de los </w:t>
      </w:r>
      <w:r w:rsidR="00260C73">
        <w:rPr>
          <w:b/>
        </w:rPr>
        <w:t xml:space="preserve">Cuatro </w:t>
      </w:r>
      <w:r>
        <w:rPr>
          <w:b/>
        </w:rPr>
        <w:t>Planes de Acción Nacional de Gobierno Abierto</w:t>
      </w:r>
    </w:p>
    <w:p w:rsidR="00267603" w:rsidRPr="00267603" w:rsidRDefault="00267603" w:rsidP="0099619F">
      <w:pPr>
        <w:jc w:val="center"/>
        <w:rPr>
          <w:b/>
          <w:sz w:val="16"/>
        </w:rPr>
      </w:pPr>
    </w:p>
    <w:tbl>
      <w:tblPr>
        <w:tblStyle w:val="Tablaconcuadrcula"/>
        <w:tblW w:w="9640" w:type="dxa"/>
        <w:tblInd w:w="-318" w:type="dxa"/>
        <w:tblBorders>
          <w:insideH w:val="none" w:sz="0" w:space="0" w:color="auto"/>
          <w:insideV w:val="none" w:sz="0" w:space="0" w:color="auto"/>
        </w:tblBorders>
        <w:tblLook w:val="04A0" w:firstRow="1" w:lastRow="0" w:firstColumn="1" w:lastColumn="0" w:noHBand="0" w:noVBand="1"/>
      </w:tblPr>
      <w:tblGrid>
        <w:gridCol w:w="2401"/>
        <w:gridCol w:w="2561"/>
        <w:gridCol w:w="2410"/>
        <w:gridCol w:w="2268"/>
      </w:tblGrid>
      <w:tr w:rsidR="002E0FD6" w:rsidRPr="002E0FD6" w:rsidTr="005F75BB">
        <w:tc>
          <w:tcPr>
            <w:tcW w:w="2401" w:type="dxa"/>
            <w:tcBorders>
              <w:top w:val="single" w:sz="4" w:space="0" w:color="auto"/>
              <w:bottom w:val="single" w:sz="4" w:space="0" w:color="auto"/>
              <w:right w:val="single" w:sz="4" w:space="0" w:color="auto"/>
            </w:tcBorders>
            <w:shd w:val="clear" w:color="auto" w:fill="99CCFF"/>
          </w:tcPr>
          <w:p w:rsidR="002E0FD6" w:rsidRPr="002E0FD6" w:rsidRDefault="002E0FD6" w:rsidP="00691DA3">
            <w:pPr>
              <w:jc w:val="center"/>
              <w:rPr>
                <w:b/>
                <w:sz w:val="22"/>
                <w:szCs w:val="22"/>
              </w:rPr>
            </w:pPr>
            <w:r w:rsidRPr="002E0FD6">
              <w:rPr>
                <w:b/>
                <w:sz w:val="22"/>
                <w:szCs w:val="22"/>
              </w:rPr>
              <w:t>1</w:t>
            </w:r>
            <w:r w:rsidRPr="002E0FD6">
              <w:rPr>
                <w:b/>
                <w:sz w:val="22"/>
                <w:szCs w:val="22"/>
                <w:vertAlign w:val="superscript"/>
              </w:rPr>
              <w:t>er</w:t>
            </w:r>
            <w:r w:rsidRPr="002E0FD6">
              <w:rPr>
                <w:b/>
                <w:sz w:val="22"/>
                <w:szCs w:val="22"/>
              </w:rPr>
              <w:t xml:space="preserve"> Plan 2012-2014</w:t>
            </w:r>
          </w:p>
        </w:tc>
        <w:tc>
          <w:tcPr>
            <w:tcW w:w="2561" w:type="dxa"/>
            <w:tcBorders>
              <w:top w:val="single" w:sz="4" w:space="0" w:color="auto"/>
              <w:left w:val="single" w:sz="4" w:space="0" w:color="auto"/>
              <w:bottom w:val="single" w:sz="4" w:space="0" w:color="auto"/>
              <w:right w:val="single" w:sz="4" w:space="0" w:color="auto"/>
            </w:tcBorders>
            <w:shd w:val="clear" w:color="auto" w:fill="99CCFF"/>
          </w:tcPr>
          <w:p w:rsidR="002E0FD6" w:rsidRPr="002E0FD6" w:rsidRDefault="002E0FD6" w:rsidP="00691DA3">
            <w:pPr>
              <w:jc w:val="center"/>
              <w:rPr>
                <w:b/>
                <w:sz w:val="22"/>
                <w:szCs w:val="22"/>
              </w:rPr>
            </w:pPr>
            <w:r w:rsidRPr="002E0FD6">
              <w:rPr>
                <w:b/>
                <w:sz w:val="22"/>
                <w:szCs w:val="22"/>
              </w:rPr>
              <w:t>2</w:t>
            </w:r>
            <w:r w:rsidRPr="002E0FD6">
              <w:rPr>
                <w:b/>
                <w:sz w:val="22"/>
                <w:szCs w:val="22"/>
                <w:vertAlign w:val="superscript"/>
              </w:rPr>
              <w:t>do</w:t>
            </w:r>
            <w:r w:rsidRPr="002E0FD6">
              <w:rPr>
                <w:b/>
                <w:sz w:val="22"/>
                <w:szCs w:val="22"/>
              </w:rPr>
              <w:t xml:space="preserve"> Plan 2014-2016</w:t>
            </w:r>
          </w:p>
        </w:tc>
        <w:tc>
          <w:tcPr>
            <w:tcW w:w="2410" w:type="dxa"/>
            <w:tcBorders>
              <w:top w:val="single" w:sz="4" w:space="0" w:color="auto"/>
              <w:left w:val="single" w:sz="4" w:space="0" w:color="auto"/>
              <w:bottom w:val="single" w:sz="4" w:space="0" w:color="auto"/>
              <w:right w:val="single" w:sz="4" w:space="0" w:color="auto"/>
            </w:tcBorders>
            <w:shd w:val="clear" w:color="auto" w:fill="99CCFF"/>
          </w:tcPr>
          <w:p w:rsidR="002E0FD6" w:rsidRPr="002E0FD6" w:rsidRDefault="002E0FD6" w:rsidP="00691DA3">
            <w:pPr>
              <w:jc w:val="center"/>
              <w:rPr>
                <w:b/>
                <w:sz w:val="22"/>
                <w:szCs w:val="22"/>
              </w:rPr>
            </w:pPr>
            <w:r w:rsidRPr="002E0FD6">
              <w:rPr>
                <w:b/>
                <w:sz w:val="22"/>
                <w:szCs w:val="22"/>
              </w:rPr>
              <w:t>3</w:t>
            </w:r>
            <w:r w:rsidRPr="002E0FD6">
              <w:rPr>
                <w:b/>
                <w:sz w:val="22"/>
                <w:szCs w:val="22"/>
                <w:vertAlign w:val="superscript"/>
              </w:rPr>
              <w:t>er</w:t>
            </w:r>
            <w:r w:rsidRPr="002E0FD6">
              <w:rPr>
                <w:b/>
                <w:sz w:val="22"/>
                <w:szCs w:val="22"/>
              </w:rPr>
              <w:t xml:space="preserve"> Plan 2016-2018</w:t>
            </w:r>
          </w:p>
        </w:tc>
        <w:tc>
          <w:tcPr>
            <w:tcW w:w="2268" w:type="dxa"/>
            <w:tcBorders>
              <w:top w:val="single" w:sz="4" w:space="0" w:color="auto"/>
              <w:left w:val="single" w:sz="4" w:space="0" w:color="auto"/>
              <w:bottom w:val="single" w:sz="4" w:space="0" w:color="auto"/>
            </w:tcBorders>
            <w:shd w:val="clear" w:color="auto" w:fill="99CCFF"/>
          </w:tcPr>
          <w:p w:rsidR="002E0FD6" w:rsidRPr="002E0FD6" w:rsidRDefault="002E0FD6" w:rsidP="00691DA3">
            <w:pPr>
              <w:jc w:val="center"/>
              <w:rPr>
                <w:b/>
                <w:sz w:val="22"/>
                <w:szCs w:val="22"/>
              </w:rPr>
            </w:pPr>
            <w:r w:rsidRPr="002E0FD6">
              <w:rPr>
                <w:b/>
                <w:sz w:val="22"/>
                <w:szCs w:val="22"/>
              </w:rPr>
              <w:t>4</w:t>
            </w:r>
            <w:r w:rsidRPr="002E0FD6">
              <w:rPr>
                <w:b/>
                <w:sz w:val="22"/>
                <w:szCs w:val="22"/>
                <w:vertAlign w:val="superscript"/>
              </w:rPr>
              <w:t>to</w:t>
            </w:r>
            <w:r w:rsidRPr="002E0FD6">
              <w:rPr>
                <w:b/>
                <w:sz w:val="22"/>
                <w:szCs w:val="22"/>
              </w:rPr>
              <w:t xml:space="preserve"> Plan 2018-2020</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2 Ejes temáticos</w:t>
            </w:r>
            <w:r w:rsidR="003A289D">
              <w:rPr>
                <w:sz w:val="22"/>
                <w:szCs w:val="22"/>
              </w:rPr>
              <w:t>.</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5 Ejes temáticos</w:t>
            </w:r>
            <w:r w:rsidR="003A289D">
              <w:rPr>
                <w:sz w:val="22"/>
                <w:szCs w:val="22"/>
              </w:rPr>
              <w:t>.</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5 Ejes temáticos</w:t>
            </w:r>
            <w:r w:rsidR="003A289D">
              <w:rPr>
                <w:sz w:val="22"/>
                <w:szCs w:val="22"/>
              </w:rPr>
              <w:t>.</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12 Ejes temáticos</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3 Compromisos (14 hitos o metas)</w:t>
            </w:r>
            <w:r w:rsidR="003A289D">
              <w:rPr>
                <w:sz w:val="22"/>
                <w:szCs w:val="22"/>
              </w:rPr>
              <w:t>.</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48 Compromisos</w:t>
            </w:r>
            <w:r w:rsidR="003A289D">
              <w:rPr>
                <w:sz w:val="22"/>
                <w:szCs w:val="22"/>
              </w:rPr>
              <w:t>.</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22 Compromisos</w:t>
            </w:r>
            <w:r w:rsidR="003A289D">
              <w:rPr>
                <w:sz w:val="22"/>
                <w:szCs w:val="22"/>
              </w:rPr>
              <w:t>.</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24 Compromisos</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w:t>
            </w:r>
            <w:r w:rsidR="00BE6EA4" w:rsidRPr="002E0FD6">
              <w:rPr>
                <w:sz w:val="22"/>
                <w:szCs w:val="22"/>
              </w:rPr>
              <w:t>Todos</w:t>
            </w:r>
            <w:r w:rsidRPr="002E0FD6">
              <w:rPr>
                <w:sz w:val="22"/>
                <w:szCs w:val="22"/>
              </w:rPr>
              <w:t xml:space="preserve"> de Transparencia Fiscal)</w:t>
            </w:r>
            <w:r w:rsidR="003A289D">
              <w:rPr>
                <w:sz w:val="22"/>
                <w:szCs w:val="22"/>
              </w:rPr>
              <w:t>.</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22 propuestos por Gobierno</w:t>
            </w:r>
            <w:r w:rsidR="003A289D">
              <w:rPr>
                <w:sz w:val="22"/>
                <w:szCs w:val="22"/>
              </w:rPr>
              <w:t>.</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(7 de Transparencia Fiscal)</w:t>
            </w:r>
            <w:r w:rsidR="003A289D">
              <w:rPr>
                <w:sz w:val="22"/>
                <w:szCs w:val="22"/>
              </w:rPr>
              <w:t>.</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(3 de Transparencia Fiscal)</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26 propuestos por OSC</w:t>
            </w:r>
          </w:p>
        </w:tc>
        <w:tc>
          <w:tcPr>
            <w:tcW w:w="2410" w:type="dxa"/>
            <w:tcBorders>
              <w:left w:val="single" w:sz="4" w:space="0" w:color="auto"/>
              <w:right w:val="single" w:sz="4" w:space="0" w:color="auto"/>
            </w:tcBorders>
          </w:tcPr>
          <w:p w:rsidR="002E0FD6" w:rsidRPr="002E0FD6" w:rsidRDefault="002E0FD6" w:rsidP="00691DA3">
            <w:pPr>
              <w:rPr>
                <w:sz w:val="22"/>
                <w:szCs w:val="22"/>
              </w:rPr>
            </w:pPr>
          </w:p>
        </w:tc>
        <w:tc>
          <w:tcPr>
            <w:tcW w:w="2268" w:type="dxa"/>
            <w:tcBorders>
              <w:left w:val="single" w:sz="4" w:space="0" w:color="auto"/>
            </w:tcBorders>
          </w:tcPr>
          <w:p w:rsidR="002E0FD6" w:rsidRPr="002E0FD6" w:rsidRDefault="002E0FD6" w:rsidP="00691DA3">
            <w:pPr>
              <w:rPr>
                <w:sz w:val="22"/>
                <w:szCs w:val="22"/>
              </w:rPr>
            </w:pP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(12 de Transparencia Fiscal)</w:t>
            </w:r>
            <w:r w:rsidR="003A289D">
              <w:rPr>
                <w:sz w:val="22"/>
                <w:szCs w:val="22"/>
              </w:rPr>
              <w:t>.</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3 Foros de Consulta Ciudadana</w:t>
            </w:r>
            <w:r w:rsidR="002A7078">
              <w:rPr>
                <w:sz w:val="22"/>
                <w:szCs w:val="22"/>
              </w:rPr>
              <w:t xml:space="preserve"> en el interior</w:t>
            </w:r>
            <w:r w:rsidR="003A289D">
              <w:rPr>
                <w:sz w:val="22"/>
                <w:szCs w:val="22"/>
              </w:rPr>
              <w:t>.</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6 Foros de Consulta Ciudadana</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p>
        </w:tc>
        <w:tc>
          <w:tcPr>
            <w:tcW w:w="2561" w:type="dxa"/>
            <w:tcBorders>
              <w:left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right w:val="single" w:sz="4" w:space="0" w:color="auto"/>
            </w:tcBorders>
          </w:tcPr>
          <w:p w:rsidR="002E0FD6" w:rsidRPr="002E0FD6" w:rsidRDefault="002A7078" w:rsidP="002A7078">
            <w:pPr>
              <w:rPr>
                <w:sz w:val="22"/>
                <w:szCs w:val="22"/>
              </w:rPr>
            </w:pPr>
            <w:r>
              <w:rPr>
                <w:sz w:val="22"/>
                <w:szCs w:val="22"/>
              </w:rPr>
              <w:t>Un c</w:t>
            </w:r>
            <w:r w:rsidR="002E0FD6" w:rsidRPr="002E0FD6">
              <w:rPr>
                <w:sz w:val="22"/>
                <w:szCs w:val="22"/>
              </w:rPr>
              <w:t xml:space="preserve">omité </w:t>
            </w:r>
            <w:r>
              <w:rPr>
                <w:sz w:val="22"/>
                <w:szCs w:val="22"/>
              </w:rPr>
              <w:t>t</w:t>
            </w:r>
            <w:r w:rsidR="002E0FD6" w:rsidRPr="002E0FD6">
              <w:rPr>
                <w:sz w:val="22"/>
                <w:szCs w:val="22"/>
              </w:rPr>
              <w:t>écnico por cada eje temático</w:t>
            </w:r>
            <w:r w:rsidR="003A289D">
              <w:rPr>
                <w:sz w:val="22"/>
                <w:szCs w:val="22"/>
              </w:rPr>
              <w:t>.</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3 Rondas de Mesas de Trabajo</w:t>
            </w:r>
            <w:r w:rsidR="004C269F">
              <w:rPr>
                <w:sz w:val="22"/>
                <w:szCs w:val="22"/>
              </w:rPr>
              <w:t>.</w:t>
            </w:r>
          </w:p>
          <w:p w:rsidR="002E0FD6" w:rsidRPr="002E0FD6" w:rsidRDefault="002E0FD6" w:rsidP="00691DA3">
            <w:pPr>
              <w:rPr>
                <w:sz w:val="22"/>
                <w:szCs w:val="22"/>
              </w:rPr>
            </w:pPr>
            <w:r w:rsidRPr="002E0FD6">
              <w:rPr>
                <w:sz w:val="22"/>
                <w:szCs w:val="22"/>
              </w:rPr>
              <w:t>Varias reuniones técnicas</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p>
        </w:tc>
        <w:tc>
          <w:tcPr>
            <w:tcW w:w="2561" w:type="dxa"/>
            <w:tcBorders>
              <w:left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right w:val="single" w:sz="4" w:space="0" w:color="auto"/>
            </w:tcBorders>
          </w:tcPr>
          <w:p w:rsidR="002E0FD6" w:rsidRPr="002E0FD6" w:rsidRDefault="002E0FD6" w:rsidP="00691DA3">
            <w:pPr>
              <w:rPr>
                <w:sz w:val="22"/>
                <w:szCs w:val="22"/>
              </w:rPr>
            </w:pPr>
          </w:p>
        </w:tc>
        <w:tc>
          <w:tcPr>
            <w:tcW w:w="2268" w:type="dxa"/>
            <w:tcBorders>
              <w:left w:val="single" w:sz="4" w:space="0" w:color="auto"/>
            </w:tcBorders>
          </w:tcPr>
          <w:p w:rsidR="002E0FD6" w:rsidRPr="002E0FD6" w:rsidRDefault="002E0FD6" w:rsidP="00691DA3">
            <w:pPr>
              <w:rPr>
                <w:sz w:val="22"/>
                <w:szCs w:val="22"/>
              </w:rPr>
            </w:pP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Propuesta</w:t>
            </w:r>
            <w:r w:rsidR="00131670">
              <w:rPr>
                <w:sz w:val="22"/>
                <w:szCs w:val="22"/>
              </w:rPr>
              <w:t>s</w:t>
            </w:r>
            <w:r w:rsidRPr="002E0FD6">
              <w:rPr>
                <w:sz w:val="22"/>
                <w:szCs w:val="22"/>
              </w:rPr>
              <w:t xml:space="preserve"> solo de</w:t>
            </w:r>
            <w:r w:rsidR="00131670">
              <w:rPr>
                <w:sz w:val="22"/>
                <w:szCs w:val="22"/>
              </w:rPr>
              <w:t>l</w:t>
            </w:r>
            <w:r w:rsidRPr="002E0FD6">
              <w:rPr>
                <w:sz w:val="22"/>
                <w:szCs w:val="22"/>
              </w:rPr>
              <w:t xml:space="preserve"> Gobierno</w:t>
            </w:r>
            <w:r w:rsidR="003A289D">
              <w:rPr>
                <w:sz w:val="22"/>
                <w:szCs w:val="22"/>
              </w:rPr>
              <w:t>.</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Coyuntura política de 2015</w:t>
            </w:r>
            <w:r w:rsidR="003A289D">
              <w:rPr>
                <w:sz w:val="22"/>
                <w:szCs w:val="22"/>
              </w:rPr>
              <w:t>.</w:t>
            </w:r>
          </w:p>
        </w:tc>
        <w:tc>
          <w:tcPr>
            <w:tcW w:w="2410" w:type="dxa"/>
            <w:tcBorders>
              <w:left w:val="single" w:sz="4" w:space="0" w:color="auto"/>
              <w:right w:val="single" w:sz="4" w:space="0" w:color="auto"/>
            </w:tcBorders>
          </w:tcPr>
          <w:p w:rsidR="002E0FD6" w:rsidRPr="002E0FD6" w:rsidRDefault="002A7078" w:rsidP="002A7078">
            <w:pPr>
              <w:rPr>
                <w:sz w:val="22"/>
                <w:szCs w:val="22"/>
              </w:rPr>
            </w:pPr>
            <w:r>
              <w:rPr>
                <w:sz w:val="22"/>
                <w:szCs w:val="22"/>
              </w:rPr>
              <w:t>Existió a</w:t>
            </w:r>
            <w:r w:rsidR="002E0FD6" w:rsidRPr="002E0FD6">
              <w:rPr>
                <w:sz w:val="22"/>
                <w:szCs w:val="22"/>
              </w:rPr>
              <w:t xml:space="preserve">utoevaluación </w:t>
            </w:r>
            <w:r>
              <w:rPr>
                <w:sz w:val="22"/>
                <w:szCs w:val="22"/>
              </w:rPr>
              <w:t xml:space="preserve">por parte </w:t>
            </w:r>
            <w:r w:rsidR="002E0FD6" w:rsidRPr="002E0FD6">
              <w:rPr>
                <w:sz w:val="22"/>
                <w:szCs w:val="22"/>
              </w:rPr>
              <w:t>de</w:t>
            </w:r>
            <w:r>
              <w:rPr>
                <w:sz w:val="22"/>
                <w:szCs w:val="22"/>
              </w:rPr>
              <w:t>l</w:t>
            </w:r>
            <w:r w:rsidR="002E0FD6" w:rsidRPr="002E0FD6">
              <w:rPr>
                <w:sz w:val="22"/>
                <w:szCs w:val="22"/>
              </w:rPr>
              <w:t xml:space="preserve"> Gobierno</w:t>
            </w:r>
            <w:r w:rsidR="003A289D">
              <w:rPr>
                <w:sz w:val="22"/>
                <w:szCs w:val="22"/>
              </w:rPr>
              <w:t>.</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Revisión a la metodología propuesta por organizaciones de sociedad civil</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No participó sociedad civil</w:t>
            </w:r>
            <w:r w:rsidR="003A289D">
              <w:rPr>
                <w:sz w:val="22"/>
                <w:szCs w:val="22"/>
              </w:rPr>
              <w:t>.</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COPRET suspende funciones</w:t>
            </w:r>
            <w:r w:rsidR="00131670">
              <w:rPr>
                <w:sz w:val="22"/>
                <w:szCs w:val="22"/>
              </w:rPr>
              <w:t xml:space="preserve"> en 2015</w:t>
            </w:r>
            <w:r w:rsidR="003A289D">
              <w:rPr>
                <w:sz w:val="22"/>
                <w:szCs w:val="22"/>
              </w:rPr>
              <w:t>.</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Evaluación del MRI</w:t>
            </w:r>
            <w:r w:rsidR="002A7078">
              <w:rPr>
                <w:sz w:val="22"/>
                <w:szCs w:val="22"/>
              </w:rPr>
              <w:t xml:space="preserve"> (investigador independiente)</w:t>
            </w:r>
            <w:r w:rsidR="003A289D">
              <w:rPr>
                <w:sz w:val="22"/>
                <w:szCs w:val="22"/>
              </w:rPr>
              <w:t>.</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Evaluación en línea</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COPRET no consultó con entidades públicas ni con sociedad civil</w:t>
            </w:r>
            <w:r w:rsidR="003A289D">
              <w:rPr>
                <w:sz w:val="22"/>
                <w:szCs w:val="22"/>
              </w:rPr>
              <w:t>.</w:t>
            </w:r>
          </w:p>
        </w:tc>
        <w:tc>
          <w:tcPr>
            <w:tcW w:w="2561" w:type="dxa"/>
            <w:tcBorders>
              <w:left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right w:val="single" w:sz="4" w:space="0" w:color="auto"/>
            </w:tcBorders>
          </w:tcPr>
          <w:p w:rsidR="002E0FD6" w:rsidRPr="002E0FD6" w:rsidRDefault="002E0FD6" w:rsidP="00691DA3">
            <w:pPr>
              <w:rPr>
                <w:sz w:val="22"/>
                <w:szCs w:val="22"/>
              </w:rPr>
            </w:pP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Revisión del Comité Técnico</w:t>
            </w:r>
            <w:r w:rsidR="004C269F">
              <w:rPr>
                <w:sz w:val="22"/>
                <w:szCs w:val="22"/>
              </w:rPr>
              <w:t>.</w:t>
            </w:r>
          </w:p>
          <w:p w:rsidR="002E0FD6" w:rsidRPr="002E0FD6" w:rsidRDefault="002E0FD6" w:rsidP="00691DA3">
            <w:pPr>
              <w:rPr>
                <w:sz w:val="22"/>
                <w:szCs w:val="22"/>
              </w:rPr>
            </w:pPr>
            <w:r w:rsidRPr="002E0FD6">
              <w:rPr>
                <w:sz w:val="22"/>
                <w:szCs w:val="22"/>
              </w:rPr>
              <w:t>Revisión del Comité de Estilo</w:t>
            </w:r>
            <w:r w:rsidR="004C269F">
              <w:rPr>
                <w:sz w:val="22"/>
                <w:szCs w:val="22"/>
              </w:rPr>
              <w:t>.</w:t>
            </w:r>
          </w:p>
          <w:p w:rsidR="002E0FD6" w:rsidRPr="002E0FD6" w:rsidRDefault="002E0FD6" w:rsidP="00691DA3">
            <w:pPr>
              <w:rPr>
                <w:sz w:val="22"/>
                <w:szCs w:val="22"/>
              </w:rPr>
            </w:pPr>
            <w:r w:rsidRPr="002E0FD6">
              <w:rPr>
                <w:sz w:val="22"/>
                <w:szCs w:val="22"/>
              </w:rPr>
              <w:t>Revisión de la OGP</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Contenido irrelevante para sociedad civil</w:t>
            </w:r>
            <w:r w:rsidR="003A289D">
              <w:rPr>
                <w:sz w:val="22"/>
                <w:szCs w:val="22"/>
              </w:rPr>
              <w:t>.</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 xml:space="preserve">No existe evaluación oficial </w:t>
            </w:r>
            <w:r w:rsidR="00131670">
              <w:rPr>
                <w:sz w:val="22"/>
                <w:szCs w:val="22"/>
              </w:rPr>
              <w:t xml:space="preserve">del Plan por parte </w:t>
            </w:r>
            <w:r w:rsidRPr="002E0FD6">
              <w:rPr>
                <w:sz w:val="22"/>
                <w:szCs w:val="22"/>
              </w:rPr>
              <w:t>de</w:t>
            </w:r>
            <w:r w:rsidR="00131670">
              <w:rPr>
                <w:sz w:val="22"/>
                <w:szCs w:val="22"/>
              </w:rPr>
              <w:t>l</w:t>
            </w:r>
            <w:r w:rsidRPr="002E0FD6">
              <w:rPr>
                <w:sz w:val="22"/>
                <w:szCs w:val="22"/>
              </w:rPr>
              <w:t xml:space="preserve"> Gobierno</w:t>
            </w:r>
            <w:r w:rsidR="003A289D">
              <w:rPr>
                <w:sz w:val="22"/>
                <w:szCs w:val="22"/>
              </w:rPr>
              <w:t>.</w:t>
            </w:r>
          </w:p>
        </w:tc>
        <w:tc>
          <w:tcPr>
            <w:tcW w:w="2410" w:type="dxa"/>
            <w:tcBorders>
              <w:left w:val="single" w:sz="4" w:space="0" w:color="auto"/>
              <w:right w:val="single" w:sz="4" w:space="0" w:color="auto"/>
            </w:tcBorders>
          </w:tcPr>
          <w:p w:rsidR="002E0FD6" w:rsidRPr="002E0FD6" w:rsidRDefault="002E0FD6" w:rsidP="003A289D">
            <w:pPr>
              <w:rPr>
                <w:sz w:val="22"/>
                <w:szCs w:val="22"/>
              </w:rPr>
            </w:pPr>
            <w:r w:rsidRPr="002E0FD6">
              <w:rPr>
                <w:sz w:val="22"/>
                <w:szCs w:val="22"/>
              </w:rPr>
              <w:t xml:space="preserve">96.6% de </w:t>
            </w:r>
            <w:r w:rsidR="002A7078">
              <w:rPr>
                <w:sz w:val="22"/>
                <w:szCs w:val="22"/>
              </w:rPr>
              <w:t>a</w:t>
            </w:r>
            <w:r w:rsidRPr="002E0FD6">
              <w:rPr>
                <w:sz w:val="22"/>
                <w:szCs w:val="22"/>
              </w:rPr>
              <w:t>vance en los compromisos de transparencia fiscal</w:t>
            </w:r>
            <w:r w:rsidR="003A289D">
              <w:rPr>
                <w:sz w:val="22"/>
                <w:szCs w:val="22"/>
              </w:rPr>
              <w:t>.</w:t>
            </w:r>
          </w:p>
        </w:tc>
        <w:tc>
          <w:tcPr>
            <w:tcW w:w="2268" w:type="dxa"/>
            <w:tcBorders>
              <w:left w:val="single" w:sz="4" w:space="0" w:color="auto"/>
            </w:tcBorders>
          </w:tcPr>
          <w:p w:rsidR="002E0FD6" w:rsidRPr="002E0FD6" w:rsidRDefault="003A289D" w:rsidP="003A289D">
            <w:pPr>
              <w:rPr>
                <w:sz w:val="22"/>
                <w:szCs w:val="22"/>
              </w:rPr>
            </w:pPr>
            <w:r w:rsidRPr="002E0FD6">
              <w:rPr>
                <w:sz w:val="22"/>
                <w:szCs w:val="22"/>
              </w:rPr>
              <w:t>9</w:t>
            </w:r>
            <w:r>
              <w:rPr>
                <w:sz w:val="22"/>
                <w:szCs w:val="22"/>
              </w:rPr>
              <w:t>8.6</w:t>
            </w:r>
            <w:r w:rsidRPr="002E0FD6">
              <w:rPr>
                <w:sz w:val="22"/>
                <w:szCs w:val="22"/>
              </w:rPr>
              <w:t xml:space="preserve">% de </w:t>
            </w:r>
            <w:r>
              <w:rPr>
                <w:sz w:val="22"/>
                <w:szCs w:val="22"/>
              </w:rPr>
              <w:t>a</w:t>
            </w:r>
            <w:r w:rsidRPr="002E0FD6">
              <w:rPr>
                <w:sz w:val="22"/>
                <w:szCs w:val="22"/>
              </w:rPr>
              <w:t>vance en los compromisos de transparencia fiscal</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Impacto Medio</w:t>
            </w:r>
            <w:r w:rsidR="003A289D">
              <w:rPr>
                <w:sz w:val="22"/>
                <w:szCs w:val="22"/>
              </w:rPr>
              <w:t>.</w:t>
            </w:r>
          </w:p>
        </w:tc>
        <w:tc>
          <w:tcPr>
            <w:tcW w:w="2561" w:type="dxa"/>
            <w:tcBorders>
              <w:left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right w:val="single" w:sz="4" w:space="0" w:color="auto"/>
            </w:tcBorders>
          </w:tcPr>
          <w:p w:rsidR="002E0FD6" w:rsidRPr="002E0FD6" w:rsidRDefault="002E0FD6" w:rsidP="002A7078">
            <w:pPr>
              <w:rPr>
                <w:sz w:val="22"/>
                <w:szCs w:val="22"/>
              </w:rPr>
            </w:pPr>
            <w:r w:rsidRPr="002E0FD6">
              <w:rPr>
                <w:sz w:val="22"/>
                <w:szCs w:val="22"/>
              </w:rPr>
              <w:t xml:space="preserve">90.22 % de </w:t>
            </w:r>
            <w:r w:rsidR="002A7078">
              <w:rPr>
                <w:sz w:val="22"/>
                <w:szCs w:val="22"/>
              </w:rPr>
              <w:t>a</w:t>
            </w:r>
            <w:r w:rsidRPr="002E0FD6">
              <w:rPr>
                <w:sz w:val="22"/>
                <w:szCs w:val="22"/>
              </w:rPr>
              <w:t xml:space="preserve">vance </w:t>
            </w:r>
            <w:r w:rsidR="002A7078">
              <w:rPr>
                <w:sz w:val="22"/>
                <w:szCs w:val="22"/>
              </w:rPr>
              <w:t>g</w:t>
            </w:r>
            <w:r w:rsidRPr="002E0FD6">
              <w:rPr>
                <w:sz w:val="22"/>
                <w:szCs w:val="22"/>
              </w:rPr>
              <w:t>lobal del Plan</w:t>
            </w:r>
            <w:r w:rsidR="003A289D">
              <w:rPr>
                <w:sz w:val="22"/>
                <w:szCs w:val="22"/>
              </w:rPr>
              <w:t>.</w:t>
            </w:r>
          </w:p>
        </w:tc>
        <w:tc>
          <w:tcPr>
            <w:tcW w:w="2268" w:type="dxa"/>
            <w:tcBorders>
              <w:left w:val="single" w:sz="4" w:space="0" w:color="auto"/>
            </w:tcBorders>
          </w:tcPr>
          <w:p w:rsidR="002E0FD6" w:rsidRPr="002E0FD6" w:rsidRDefault="003A289D" w:rsidP="00691DA3">
            <w:pPr>
              <w:rPr>
                <w:sz w:val="22"/>
                <w:szCs w:val="22"/>
              </w:rPr>
            </w:pPr>
            <w:r>
              <w:rPr>
                <w:sz w:val="22"/>
                <w:szCs w:val="22"/>
              </w:rPr>
              <w:t>82.6% de avance global del Plan</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p>
        </w:tc>
        <w:tc>
          <w:tcPr>
            <w:tcW w:w="2561" w:type="dxa"/>
            <w:tcBorders>
              <w:left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right w:val="single" w:sz="4" w:space="0" w:color="auto"/>
            </w:tcBorders>
          </w:tcPr>
          <w:p w:rsidR="002E0FD6" w:rsidRPr="002E0FD6" w:rsidRDefault="002E0FD6" w:rsidP="00691DA3">
            <w:pPr>
              <w:rPr>
                <w:sz w:val="22"/>
                <w:szCs w:val="22"/>
              </w:rPr>
            </w:pPr>
          </w:p>
        </w:tc>
        <w:tc>
          <w:tcPr>
            <w:tcW w:w="2268" w:type="dxa"/>
            <w:tcBorders>
              <w:left w:val="single" w:sz="4" w:space="0" w:color="auto"/>
            </w:tcBorders>
          </w:tcPr>
          <w:p w:rsidR="002E0FD6" w:rsidRPr="002E0FD6" w:rsidRDefault="002E0FD6" w:rsidP="00691DA3">
            <w:pPr>
              <w:rPr>
                <w:sz w:val="22"/>
                <w:szCs w:val="22"/>
              </w:rPr>
            </w:pP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Evaluación de 14 hitos (según MRI):</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MINFIN rescata sus compromisos de Transparencia Fiscal:</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Informe Final en página de Gobierno Abierto para comentarios de la ciudadanía</w:t>
            </w:r>
            <w:r w:rsidR="003A289D">
              <w:rPr>
                <w:sz w:val="22"/>
                <w:szCs w:val="22"/>
              </w:rPr>
              <w:t>.</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20 de noviembre validación técnica por autoridades superiores</w:t>
            </w:r>
            <w:r w:rsidR="002A7078">
              <w:rPr>
                <w:sz w:val="22"/>
                <w:szCs w:val="22"/>
              </w:rPr>
              <w:t xml:space="preserve"> de entidades públicas</w:t>
            </w:r>
            <w:r w:rsidR="004C269F">
              <w:rPr>
                <w:sz w:val="22"/>
                <w:szCs w:val="22"/>
              </w:rPr>
              <w:t>.</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No iniciados          2</w:t>
            </w:r>
          </w:p>
          <w:p w:rsidR="002E0FD6" w:rsidRPr="002E0FD6" w:rsidRDefault="002E0FD6" w:rsidP="00691DA3">
            <w:pPr>
              <w:rPr>
                <w:sz w:val="22"/>
                <w:szCs w:val="22"/>
              </w:rPr>
            </w:pPr>
            <w:r w:rsidRPr="002E0FD6">
              <w:rPr>
                <w:sz w:val="22"/>
                <w:szCs w:val="22"/>
              </w:rPr>
              <w:t>Limitados            10</w:t>
            </w:r>
          </w:p>
          <w:p w:rsidR="002E0FD6" w:rsidRPr="002E0FD6" w:rsidRDefault="002E0FD6" w:rsidP="00691DA3">
            <w:pPr>
              <w:rPr>
                <w:sz w:val="22"/>
                <w:szCs w:val="22"/>
              </w:rPr>
            </w:pPr>
            <w:r w:rsidRPr="002E0FD6">
              <w:rPr>
                <w:sz w:val="22"/>
                <w:szCs w:val="22"/>
              </w:rPr>
              <w:t>Sustantivos           2</w:t>
            </w:r>
          </w:p>
          <w:p w:rsidR="002E0FD6" w:rsidRPr="002E0FD6" w:rsidRDefault="002E0FD6" w:rsidP="00691DA3">
            <w:pPr>
              <w:rPr>
                <w:sz w:val="22"/>
                <w:szCs w:val="22"/>
              </w:rPr>
            </w:pPr>
            <w:r w:rsidRPr="002E0FD6">
              <w:rPr>
                <w:sz w:val="22"/>
                <w:szCs w:val="22"/>
              </w:rPr>
              <w:t>Completos            0</w:t>
            </w:r>
          </w:p>
        </w:tc>
        <w:tc>
          <w:tcPr>
            <w:tcW w:w="2561" w:type="dxa"/>
            <w:tcBorders>
              <w:left w:val="single" w:sz="4" w:space="0" w:color="auto"/>
              <w:right w:val="single" w:sz="4" w:space="0" w:color="auto"/>
            </w:tcBorders>
          </w:tcPr>
          <w:p w:rsidR="002E0FD6" w:rsidRPr="002E0FD6" w:rsidRDefault="00131670" w:rsidP="00691DA3">
            <w:pPr>
              <w:rPr>
                <w:sz w:val="22"/>
                <w:szCs w:val="22"/>
              </w:rPr>
            </w:pPr>
            <w:r>
              <w:rPr>
                <w:sz w:val="22"/>
                <w:szCs w:val="22"/>
              </w:rPr>
              <w:t>I</w:t>
            </w:r>
            <w:r w:rsidR="002E0FD6" w:rsidRPr="002E0FD6">
              <w:rPr>
                <w:sz w:val="22"/>
                <w:szCs w:val="22"/>
              </w:rPr>
              <w:t xml:space="preserve">niciados </w:t>
            </w:r>
            <w:r>
              <w:rPr>
                <w:sz w:val="22"/>
                <w:szCs w:val="22"/>
              </w:rPr>
              <w:t xml:space="preserve">         </w:t>
            </w:r>
            <w:r w:rsidR="002E0FD6" w:rsidRPr="002E0FD6">
              <w:rPr>
                <w:sz w:val="22"/>
                <w:szCs w:val="22"/>
              </w:rPr>
              <w:t xml:space="preserve"> </w:t>
            </w:r>
            <w:r>
              <w:rPr>
                <w:sz w:val="22"/>
                <w:szCs w:val="22"/>
              </w:rPr>
              <w:t xml:space="preserve"> </w:t>
            </w:r>
            <w:r w:rsidR="002E0FD6" w:rsidRPr="002E0FD6">
              <w:rPr>
                <w:sz w:val="22"/>
                <w:szCs w:val="22"/>
              </w:rPr>
              <w:t>2</w:t>
            </w:r>
          </w:p>
          <w:p w:rsidR="002E0FD6" w:rsidRPr="002E0FD6" w:rsidRDefault="00131670" w:rsidP="00691DA3">
            <w:pPr>
              <w:rPr>
                <w:sz w:val="22"/>
                <w:szCs w:val="22"/>
              </w:rPr>
            </w:pPr>
            <w:r>
              <w:rPr>
                <w:sz w:val="22"/>
                <w:szCs w:val="22"/>
              </w:rPr>
              <w:t>E</w:t>
            </w:r>
            <w:r w:rsidR="002E0FD6" w:rsidRPr="002E0FD6">
              <w:rPr>
                <w:sz w:val="22"/>
                <w:szCs w:val="22"/>
              </w:rPr>
              <w:t xml:space="preserve">n curso     </w:t>
            </w:r>
            <w:r>
              <w:rPr>
                <w:sz w:val="22"/>
                <w:szCs w:val="22"/>
              </w:rPr>
              <w:t xml:space="preserve">     </w:t>
            </w:r>
            <w:r w:rsidR="002E0FD6" w:rsidRPr="002E0FD6">
              <w:rPr>
                <w:sz w:val="22"/>
                <w:szCs w:val="22"/>
              </w:rPr>
              <w:t xml:space="preserve"> </w:t>
            </w:r>
            <w:r>
              <w:rPr>
                <w:sz w:val="22"/>
                <w:szCs w:val="22"/>
              </w:rPr>
              <w:t xml:space="preserve"> </w:t>
            </w:r>
            <w:r w:rsidR="002E0FD6" w:rsidRPr="002E0FD6">
              <w:rPr>
                <w:sz w:val="22"/>
                <w:szCs w:val="22"/>
              </w:rPr>
              <w:t>5</w:t>
            </w:r>
          </w:p>
          <w:p w:rsidR="002E0FD6" w:rsidRPr="002E0FD6" w:rsidRDefault="00131670" w:rsidP="00691DA3">
            <w:pPr>
              <w:rPr>
                <w:sz w:val="22"/>
                <w:szCs w:val="22"/>
              </w:rPr>
            </w:pPr>
            <w:r>
              <w:rPr>
                <w:sz w:val="22"/>
                <w:szCs w:val="22"/>
              </w:rPr>
              <w:t>S</w:t>
            </w:r>
            <w:r w:rsidR="002E0FD6" w:rsidRPr="002E0FD6">
              <w:rPr>
                <w:sz w:val="22"/>
                <w:szCs w:val="22"/>
              </w:rPr>
              <w:t>ustanciales</w:t>
            </w:r>
            <w:r>
              <w:rPr>
                <w:sz w:val="22"/>
                <w:szCs w:val="22"/>
              </w:rPr>
              <w:t xml:space="preserve">       </w:t>
            </w:r>
            <w:r w:rsidR="002E0FD6" w:rsidRPr="002E0FD6">
              <w:rPr>
                <w:sz w:val="22"/>
                <w:szCs w:val="22"/>
              </w:rPr>
              <w:t>3</w:t>
            </w:r>
          </w:p>
          <w:p w:rsidR="002E0FD6" w:rsidRPr="002E0FD6" w:rsidRDefault="00131670" w:rsidP="00131670">
            <w:pPr>
              <w:rPr>
                <w:sz w:val="22"/>
                <w:szCs w:val="22"/>
              </w:rPr>
            </w:pPr>
            <w:r>
              <w:rPr>
                <w:sz w:val="22"/>
                <w:szCs w:val="22"/>
              </w:rPr>
              <w:t xml:space="preserve">Completos        </w:t>
            </w:r>
            <w:r w:rsidR="002E0FD6" w:rsidRPr="002E0FD6">
              <w:rPr>
                <w:sz w:val="22"/>
                <w:szCs w:val="22"/>
              </w:rPr>
              <w:t xml:space="preserve"> 2</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 xml:space="preserve">Buen ejercicio de co-creación entre </w:t>
            </w:r>
            <w:r w:rsidR="002A7078">
              <w:rPr>
                <w:sz w:val="22"/>
                <w:szCs w:val="22"/>
              </w:rPr>
              <w:t xml:space="preserve">el </w:t>
            </w:r>
            <w:r w:rsidRPr="002E0FD6">
              <w:rPr>
                <w:sz w:val="22"/>
                <w:szCs w:val="22"/>
              </w:rPr>
              <w:t xml:space="preserve">Gobierno y </w:t>
            </w:r>
            <w:r w:rsidR="002A7078">
              <w:rPr>
                <w:sz w:val="22"/>
                <w:szCs w:val="22"/>
              </w:rPr>
              <w:t xml:space="preserve">organizaciones de la </w:t>
            </w:r>
            <w:r w:rsidRPr="002E0FD6">
              <w:rPr>
                <w:sz w:val="22"/>
                <w:szCs w:val="22"/>
              </w:rPr>
              <w:t>sociedad civil</w:t>
            </w:r>
            <w:r w:rsidR="003A289D">
              <w:rPr>
                <w:sz w:val="22"/>
                <w:szCs w:val="22"/>
              </w:rPr>
              <w:t>.</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28 de noviembre lanzamiento oficial por el Presidente de la República</w:t>
            </w:r>
            <w:r w:rsidR="004C269F">
              <w:rPr>
                <w:sz w:val="22"/>
                <w:szCs w:val="22"/>
              </w:rPr>
              <w:t>.</w:t>
            </w:r>
          </w:p>
        </w:tc>
      </w:tr>
      <w:tr w:rsidR="002E0FD6" w:rsidRPr="002E0FD6" w:rsidTr="00131670">
        <w:tc>
          <w:tcPr>
            <w:tcW w:w="2401" w:type="dxa"/>
            <w:tcBorders>
              <w:bottom w:val="single" w:sz="4" w:space="0" w:color="auto"/>
              <w:right w:val="single" w:sz="4" w:space="0" w:color="auto"/>
            </w:tcBorders>
          </w:tcPr>
          <w:p w:rsidR="002E0FD6" w:rsidRPr="00267603" w:rsidRDefault="002E0FD6" w:rsidP="00691DA3">
            <w:pPr>
              <w:rPr>
                <w:sz w:val="8"/>
                <w:szCs w:val="22"/>
              </w:rPr>
            </w:pPr>
          </w:p>
        </w:tc>
        <w:tc>
          <w:tcPr>
            <w:tcW w:w="2561" w:type="dxa"/>
            <w:tcBorders>
              <w:left w:val="single" w:sz="4" w:space="0" w:color="auto"/>
              <w:bottom w:val="single" w:sz="4" w:space="0" w:color="auto"/>
              <w:right w:val="single" w:sz="4" w:space="0" w:color="auto"/>
            </w:tcBorders>
          </w:tcPr>
          <w:p w:rsidR="002E0FD6" w:rsidRPr="00267603" w:rsidRDefault="002E0FD6" w:rsidP="00691DA3">
            <w:pPr>
              <w:rPr>
                <w:sz w:val="8"/>
                <w:szCs w:val="22"/>
              </w:rPr>
            </w:pPr>
          </w:p>
        </w:tc>
        <w:tc>
          <w:tcPr>
            <w:tcW w:w="2410" w:type="dxa"/>
            <w:tcBorders>
              <w:left w:val="single" w:sz="4" w:space="0" w:color="auto"/>
              <w:bottom w:val="single" w:sz="4" w:space="0" w:color="auto"/>
              <w:right w:val="single" w:sz="4" w:space="0" w:color="auto"/>
            </w:tcBorders>
          </w:tcPr>
          <w:p w:rsidR="002E0FD6" w:rsidRPr="00267603" w:rsidRDefault="002E0FD6" w:rsidP="00691DA3">
            <w:pPr>
              <w:rPr>
                <w:sz w:val="8"/>
                <w:szCs w:val="22"/>
              </w:rPr>
            </w:pPr>
          </w:p>
        </w:tc>
        <w:tc>
          <w:tcPr>
            <w:tcW w:w="2268" w:type="dxa"/>
            <w:tcBorders>
              <w:left w:val="single" w:sz="4" w:space="0" w:color="auto"/>
              <w:bottom w:val="single" w:sz="4" w:space="0" w:color="auto"/>
            </w:tcBorders>
          </w:tcPr>
          <w:p w:rsidR="002E0FD6" w:rsidRPr="00267603" w:rsidRDefault="002E0FD6" w:rsidP="00691DA3">
            <w:pPr>
              <w:rPr>
                <w:sz w:val="8"/>
                <w:szCs w:val="22"/>
              </w:rPr>
            </w:pPr>
          </w:p>
        </w:tc>
      </w:tr>
    </w:tbl>
    <w:p w:rsidR="002E0FD6" w:rsidRDefault="002E0FD6" w:rsidP="002E0FD6">
      <w:pPr>
        <w:ind w:left="-426"/>
        <w:jc w:val="both"/>
        <w:rPr>
          <w:rFonts w:eastAsia="Calibri"/>
          <w:sz w:val="18"/>
          <w:lang w:eastAsia="en-US" w:bidi="en-US"/>
        </w:rPr>
      </w:pPr>
      <w:r w:rsidRPr="002E0FD6">
        <w:rPr>
          <w:rFonts w:eastAsia="Calibri"/>
          <w:sz w:val="18"/>
          <w:lang w:eastAsia="en-US" w:bidi="en-US"/>
        </w:rPr>
        <w:t xml:space="preserve">Fuente: </w:t>
      </w:r>
      <w:r w:rsidR="00131670">
        <w:rPr>
          <w:rFonts w:eastAsia="Calibri"/>
          <w:sz w:val="18"/>
          <w:lang w:eastAsia="en-US" w:bidi="en-US"/>
        </w:rPr>
        <w:t>Ministerio de Finanzas Públicas, conforme informes de OGP.</w:t>
      </w:r>
    </w:p>
    <w:p w:rsidR="006369BD" w:rsidRDefault="006369BD" w:rsidP="002E0FD6">
      <w:pPr>
        <w:ind w:left="-426"/>
        <w:jc w:val="both"/>
        <w:rPr>
          <w:rFonts w:eastAsia="Calibri"/>
          <w:sz w:val="18"/>
          <w:lang w:eastAsia="en-US" w:bidi="en-US"/>
        </w:rPr>
      </w:pPr>
    </w:p>
    <w:p w:rsidR="002E0FD6" w:rsidRDefault="002E0FD6" w:rsidP="00C620A4">
      <w:pPr>
        <w:jc w:val="both"/>
        <w:rPr>
          <w:rFonts w:eastAsia="Calibri"/>
          <w:lang w:val="es-GT" w:eastAsia="en-US" w:bidi="en-US"/>
        </w:rPr>
      </w:pPr>
    </w:p>
    <w:p w:rsidR="002C4C3D" w:rsidRDefault="006636EE" w:rsidP="00C620A4">
      <w:pPr>
        <w:jc w:val="both"/>
        <w:rPr>
          <w:rFonts w:eastAsia="Calibri"/>
          <w:lang w:val="es-GT" w:eastAsia="en-US" w:bidi="en-US"/>
        </w:rPr>
      </w:pPr>
      <w:r>
        <w:rPr>
          <w:rFonts w:eastAsia="Calibri"/>
          <w:lang w:val="es-GT" w:eastAsia="en-US" w:bidi="en-US"/>
        </w:rPr>
        <w:t xml:space="preserve">En octubre de 2020, por parte del Presidente de la República se dio la apertura oficial al proceso de co-creación del Quinto Plan de Acción Nacional de Gobierno Abierto </w:t>
      </w:r>
      <w:r w:rsidR="0062652F">
        <w:rPr>
          <w:rFonts w:eastAsia="Calibri"/>
          <w:lang w:val="es-GT" w:eastAsia="en-US" w:bidi="en-US"/>
        </w:rPr>
        <w:t>que estará vigente durante</w:t>
      </w:r>
      <w:r>
        <w:rPr>
          <w:rFonts w:eastAsia="Calibri"/>
          <w:lang w:val="es-GT" w:eastAsia="en-US" w:bidi="en-US"/>
        </w:rPr>
        <w:t xml:space="preserve"> el período 2021-2023</w:t>
      </w:r>
      <w:r w:rsidR="00B74BAE">
        <w:rPr>
          <w:rFonts w:eastAsia="Calibri"/>
          <w:lang w:val="es-GT" w:eastAsia="en-US" w:bidi="en-US"/>
        </w:rPr>
        <w:t>, invitando a más organizaciones de sociedad civil, tanques de pensamiento, academia y sector empresarial a unirse a la Iniciativa de Gobierno Abierto en Guatemala, para hacer más participativos dichos procesos.</w:t>
      </w:r>
    </w:p>
    <w:p w:rsidR="002C4C3D" w:rsidRDefault="002C4C3D" w:rsidP="00C620A4">
      <w:pPr>
        <w:jc w:val="both"/>
        <w:rPr>
          <w:rFonts w:eastAsia="Calibri"/>
          <w:lang w:val="es-GT" w:eastAsia="en-US" w:bidi="en-US"/>
        </w:rPr>
      </w:pPr>
    </w:p>
    <w:p w:rsidR="002C4C3D" w:rsidRDefault="002C4C3D" w:rsidP="00C620A4">
      <w:pPr>
        <w:jc w:val="both"/>
        <w:rPr>
          <w:rFonts w:eastAsia="Calibri"/>
          <w:lang w:val="es-GT" w:eastAsia="en-US" w:bidi="en-US"/>
        </w:rPr>
      </w:pPr>
    </w:p>
    <w:p w:rsidR="00821DF9" w:rsidRPr="009F6AC2" w:rsidRDefault="00904D9E" w:rsidP="00821DF9">
      <w:pPr>
        <w:pStyle w:val="Ttulo2"/>
        <w:rPr>
          <w:rFonts w:ascii="Times New Roman" w:eastAsia="Calibri" w:hAnsi="Times New Roman"/>
          <w:color w:val="auto"/>
          <w:sz w:val="24"/>
          <w:szCs w:val="24"/>
          <w:lang w:val="es-GT" w:eastAsia="en-US" w:bidi="en-US"/>
        </w:rPr>
      </w:pPr>
      <w:bookmarkStart w:id="44" w:name="_Toc65826767"/>
      <w:r>
        <w:rPr>
          <w:rFonts w:ascii="Times New Roman" w:eastAsia="Calibri" w:hAnsi="Times New Roman"/>
          <w:color w:val="auto"/>
          <w:sz w:val="24"/>
          <w:szCs w:val="24"/>
          <w:lang w:val="es-GT" w:eastAsia="en-US" w:bidi="en-US"/>
        </w:rPr>
        <w:t>Realización</w:t>
      </w:r>
      <w:r w:rsidR="004E6B51">
        <w:rPr>
          <w:rFonts w:ascii="Times New Roman" w:eastAsia="Calibri" w:hAnsi="Times New Roman"/>
          <w:color w:val="auto"/>
          <w:sz w:val="24"/>
          <w:szCs w:val="24"/>
          <w:lang w:val="es-GT" w:eastAsia="en-US" w:bidi="en-US"/>
        </w:rPr>
        <w:t xml:space="preserve"> de </w:t>
      </w:r>
      <w:r w:rsidR="0021606F">
        <w:rPr>
          <w:rFonts w:ascii="Times New Roman" w:eastAsia="Calibri" w:hAnsi="Times New Roman"/>
          <w:color w:val="auto"/>
          <w:sz w:val="24"/>
          <w:szCs w:val="24"/>
          <w:lang w:val="es-GT" w:eastAsia="en-US" w:bidi="en-US"/>
        </w:rPr>
        <w:t xml:space="preserve">los </w:t>
      </w:r>
      <w:r w:rsidR="00821DF9">
        <w:rPr>
          <w:rFonts w:ascii="Times New Roman" w:eastAsia="Calibri" w:hAnsi="Times New Roman"/>
          <w:color w:val="auto"/>
          <w:sz w:val="24"/>
          <w:szCs w:val="24"/>
          <w:lang w:val="es-GT" w:eastAsia="en-US" w:bidi="en-US"/>
        </w:rPr>
        <w:t>Talleres de Presupuesto Abierto</w:t>
      </w:r>
      <w:r>
        <w:rPr>
          <w:rFonts w:ascii="Times New Roman" w:eastAsia="Calibri" w:hAnsi="Times New Roman"/>
          <w:color w:val="auto"/>
          <w:sz w:val="24"/>
          <w:szCs w:val="24"/>
          <w:lang w:val="es-GT" w:eastAsia="en-US" w:bidi="en-US"/>
        </w:rPr>
        <w:t xml:space="preserve"> 2021</w:t>
      </w:r>
      <w:bookmarkEnd w:id="44"/>
    </w:p>
    <w:p w:rsidR="00821DF9" w:rsidRDefault="00821DF9" w:rsidP="00C620A4">
      <w:pPr>
        <w:jc w:val="both"/>
        <w:rPr>
          <w:rFonts w:eastAsia="Calibri"/>
          <w:lang w:val="es-GT" w:eastAsia="en-US" w:bidi="en-US"/>
        </w:rPr>
      </w:pPr>
    </w:p>
    <w:p w:rsidR="004E6B51" w:rsidRDefault="00A600B4" w:rsidP="00C620A4">
      <w:pPr>
        <w:jc w:val="both"/>
        <w:rPr>
          <w:rFonts w:eastAsia="Calibri"/>
          <w:lang w:val="es-GT" w:eastAsia="en-US" w:bidi="en-US"/>
        </w:rPr>
      </w:pPr>
      <w:r>
        <w:rPr>
          <w:rFonts w:eastAsia="Calibri"/>
          <w:lang w:val="es-GT" w:eastAsia="en-US" w:bidi="en-US"/>
        </w:rPr>
        <w:t xml:space="preserve">Desde </w:t>
      </w:r>
      <w:r w:rsidR="00CF194A">
        <w:rPr>
          <w:rFonts w:eastAsia="Calibri"/>
          <w:lang w:val="es-GT" w:eastAsia="en-US" w:bidi="en-US"/>
        </w:rPr>
        <w:t>el año 2017</w:t>
      </w:r>
      <w:r>
        <w:rPr>
          <w:rFonts w:eastAsia="Calibri"/>
          <w:lang w:val="es-GT" w:eastAsia="en-US" w:bidi="en-US"/>
        </w:rPr>
        <w:t xml:space="preserve"> que </w:t>
      </w:r>
      <w:r w:rsidR="006B1801">
        <w:rPr>
          <w:rFonts w:eastAsia="Calibri"/>
          <w:lang w:val="es-GT" w:eastAsia="en-US" w:bidi="en-US"/>
        </w:rPr>
        <w:t xml:space="preserve">se </w:t>
      </w:r>
      <w:r w:rsidR="004E6B51" w:rsidRPr="004E6B51">
        <w:rPr>
          <w:rFonts w:eastAsia="Calibri"/>
          <w:lang w:val="es-GT" w:eastAsia="en-US" w:bidi="en-US"/>
        </w:rPr>
        <w:t>institucionaliz</w:t>
      </w:r>
      <w:r>
        <w:rPr>
          <w:rFonts w:eastAsia="Calibri"/>
          <w:lang w:val="es-GT" w:eastAsia="en-US" w:bidi="en-US"/>
        </w:rPr>
        <w:t xml:space="preserve">aron los </w:t>
      </w:r>
      <w:r w:rsidR="004E6B51" w:rsidRPr="004E6B51">
        <w:rPr>
          <w:rFonts w:eastAsia="Calibri"/>
          <w:lang w:val="es-GT" w:eastAsia="en-US" w:bidi="en-US"/>
        </w:rPr>
        <w:t xml:space="preserve">Talleres de Presupuesto Abierto </w:t>
      </w:r>
      <w:r w:rsidR="006B1801">
        <w:rPr>
          <w:rFonts w:eastAsia="Calibri"/>
          <w:lang w:val="es-GT" w:eastAsia="en-US" w:bidi="en-US"/>
        </w:rPr>
        <w:t xml:space="preserve">durante </w:t>
      </w:r>
      <w:r>
        <w:rPr>
          <w:rFonts w:eastAsia="Calibri"/>
          <w:lang w:val="es-GT" w:eastAsia="en-US" w:bidi="en-US"/>
        </w:rPr>
        <w:t xml:space="preserve">el </w:t>
      </w:r>
      <w:r w:rsidR="004E6B51" w:rsidRPr="004E6B51">
        <w:rPr>
          <w:rFonts w:eastAsia="Calibri"/>
          <w:lang w:val="es-GT" w:eastAsia="en-US" w:bidi="en-US"/>
        </w:rPr>
        <w:t>proceso</w:t>
      </w:r>
      <w:r>
        <w:rPr>
          <w:rFonts w:eastAsia="Calibri"/>
          <w:lang w:val="es-GT" w:eastAsia="en-US" w:bidi="en-US"/>
        </w:rPr>
        <w:t xml:space="preserve"> de formulación del Proyecto de Presupuesto General de Ingresos y Egresos del Estado</w:t>
      </w:r>
      <w:r w:rsidR="006B1801">
        <w:rPr>
          <w:rFonts w:eastAsia="Calibri"/>
          <w:lang w:val="es-GT" w:eastAsia="en-US" w:bidi="en-US"/>
        </w:rPr>
        <w:t xml:space="preserve">, anualmente se realizan estos eventos </w:t>
      </w:r>
      <w:r w:rsidR="006B1801" w:rsidRPr="004E6B51">
        <w:rPr>
          <w:rFonts w:eastAsia="Calibri"/>
          <w:lang w:val="es-GT" w:eastAsia="en-US" w:bidi="en-US"/>
        </w:rPr>
        <w:t xml:space="preserve">para propiciar la participación y colaboración de organizaciones de la sociedad civil </w:t>
      </w:r>
      <w:r w:rsidR="006B1801">
        <w:rPr>
          <w:rFonts w:eastAsia="Calibri"/>
          <w:lang w:val="es-GT" w:eastAsia="en-US" w:bidi="en-US"/>
        </w:rPr>
        <w:t xml:space="preserve">y ciudadanos en general que con sus aportes y sugerencias enriquecen </w:t>
      </w:r>
      <w:r w:rsidR="007B5163">
        <w:rPr>
          <w:rFonts w:eastAsia="Calibri"/>
          <w:lang w:val="es-GT" w:eastAsia="en-US" w:bidi="en-US"/>
        </w:rPr>
        <w:t>este proceso</w:t>
      </w:r>
      <w:r w:rsidR="006B1801">
        <w:rPr>
          <w:rFonts w:eastAsia="Calibri"/>
          <w:lang w:val="es-GT" w:eastAsia="en-US" w:bidi="en-US"/>
        </w:rPr>
        <w:t xml:space="preserve">. </w:t>
      </w:r>
      <w:r w:rsidR="004A21A2">
        <w:rPr>
          <w:rFonts w:eastAsia="Calibri"/>
          <w:lang w:val="es-GT" w:eastAsia="en-US" w:bidi="en-US"/>
        </w:rPr>
        <w:t xml:space="preserve">Estos Talleres </w:t>
      </w:r>
      <w:r w:rsidR="006B1801">
        <w:rPr>
          <w:rFonts w:eastAsia="Calibri"/>
          <w:lang w:val="es-GT" w:eastAsia="en-US" w:bidi="en-US"/>
        </w:rPr>
        <w:t>se han realizado</w:t>
      </w:r>
      <w:r w:rsidR="004A21A2">
        <w:rPr>
          <w:rFonts w:eastAsia="Calibri"/>
          <w:lang w:val="es-GT" w:eastAsia="en-US" w:bidi="en-US"/>
        </w:rPr>
        <w:t xml:space="preserve"> principalmente d</w:t>
      </w:r>
      <w:r w:rsidR="00D20B55">
        <w:rPr>
          <w:rFonts w:eastAsia="Calibri"/>
          <w:lang w:val="es-GT" w:eastAsia="en-US" w:bidi="en-US"/>
        </w:rPr>
        <w:t xml:space="preserve">urante los meses de </w:t>
      </w:r>
      <w:r w:rsidR="00CF194A">
        <w:rPr>
          <w:rFonts w:eastAsia="Calibri"/>
          <w:lang w:val="es-GT" w:eastAsia="en-US" w:bidi="en-US"/>
        </w:rPr>
        <w:t xml:space="preserve">junio y julio </w:t>
      </w:r>
      <w:r w:rsidR="004E6B51" w:rsidRPr="004E6B51">
        <w:rPr>
          <w:rFonts w:eastAsia="Calibri"/>
          <w:lang w:val="es-GT" w:eastAsia="en-US" w:bidi="en-US"/>
        </w:rPr>
        <w:t>para dar a conocer y discutir sobre las variables macroeconómicas y proyecciones de ingresos tributarios</w:t>
      </w:r>
      <w:r w:rsidR="004E6B51">
        <w:rPr>
          <w:rFonts w:eastAsia="Calibri"/>
          <w:lang w:val="es-GT" w:eastAsia="en-US" w:bidi="en-US"/>
        </w:rPr>
        <w:t xml:space="preserve"> a cargo del Banco de Guatemala, Superintendencia de Administración Tributaria (SAT) y Ministerio de Finanzas Públicas</w:t>
      </w:r>
      <w:r w:rsidR="0078601B">
        <w:rPr>
          <w:rFonts w:eastAsia="Calibri"/>
          <w:lang w:val="es-GT" w:eastAsia="en-US" w:bidi="en-US"/>
        </w:rPr>
        <w:t>. A</w:t>
      </w:r>
      <w:r w:rsidR="004A21A2">
        <w:rPr>
          <w:rFonts w:eastAsia="Calibri"/>
          <w:lang w:val="es-GT" w:eastAsia="en-US" w:bidi="en-US"/>
        </w:rPr>
        <w:t xml:space="preserve">demás </w:t>
      </w:r>
      <w:r w:rsidR="00025229">
        <w:rPr>
          <w:rFonts w:eastAsia="Calibri"/>
          <w:lang w:val="es-GT" w:eastAsia="en-US" w:bidi="en-US"/>
        </w:rPr>
        <w:t xml:space="preserve">se realizan talleres </w:t>
      </w:r>
      <w:r w:rsidR="004E6B51" w:rsidRPr="004E6B51">
        <w:rPr>
          <w:rFonts w:eastAsia="Calibri"/>
          <w:lang w:val="es-GT" w:eastAsia="en-US" w:bidi="en-US"/>
        </w:rPr>
        <w:t>para conocer los planes, programas</w:t>
      </w:r>
      <w:r w:rsidR="00025229">
        <w:rPr>
          <w:rFonts w:eastAsia="Calibri"/>
          <w:lang w:val="es-GT" w:eastAsia="en-US" w:bidi="en-US"/>
        </w:rPr>
        <w:t>,</w:t>
      </w:r>
      <w:r w:rsidR="004E6B51" w:rsidRPr="004E6B51">
        <w:rPr>
          <w:rFonts w:eastAsia="Calibri"/>
          <w:lang w:val="es-GT" w:eastAsia="en-US" w:bidi="en-US"/>
        </w:rPr>
        <w:t xml:space="preserve"> proyectos</w:t>
      </w:r>
      <w:r w:rsidR="00025229">
        <w:rPr>
          <w:rFonts w:eastAsia="Calibri"/>
          <w:lang w:val="es-GT" w:eastAsia="en-US" w:bidi="en-US"/>
        </w:rPr>
        <w:t xml:space="preserve"> y techos presupuestarios</w:t>
      </w:r>
      <w:r w:rsidR="004E6B51" w:rsidRPr="004E6B51">
        <w:rPr>
          <w:rFonts w:eastAsia="Calibri"/>
          <w:lang w:val="es-GT" w:eastAsia="en-US" w:bidi="en-US"/>
        </w:rPr>
        <w:t xml:space="preserve"> institucionales</w:t>
      </w:r>
      <w:r w:rsidR="0078601B">
        <w:rPr>
          <w:rFonts w:eastAsia="Calibri"/>
          <w:lang w:val="es-GT" w:eastAsia="en-US" w:bidi="en-US"/>
        </w:rPr>
        <w:t>; a</w:t>
      </w:r>
      <w:r w:rsidR="004A21A2">
        <w:rPr>
          <w:rFonts w:eastAsia="Calibri"/>
          <w:lang w:val="es-GT" w:eastAsia="en-US" w:bidi="en-US"/>
        </w:rPr>
        <w:t xml:space="preserve">simismo, </w:t>
      </w:r>
      <w:r w:rsidR="00025229">
        <w:rPr>
          <w:rFonts w:eastAsia="Calibri"/>
          <w:lang w:val="es-GT" w:eastAsia="en-US" w:bidi="en-US"/>
        </w:rPr>
        <w:t xml:space="preserve">se </w:t>
      </w:r>
      <w:r w:rsidR="00D20B55">
        <w:rPr>
          <w:rFonts w:eastAsia="Calibri"/>
          <w:lang w:val="es-GT" w:eastAsia="en-US" w:bidi="en-US"/>
        </w:rPr>
        <w:t>efect</w:t>
      </w:r>
      <w:r w:rsidR="004A21A2">
        <w:rPr>
          <w:rFonts w:eastAsia="Calibri"/>
          <w:lang w:val="es-GT" w:eastAsia="en-US" w:bidi="en-US"/>
        </w:rPr>
        <w:t>úan</w:t>
      </w:r>
      <w:r w:rsidR="00025229">
        <w:rPr>
          <w:rFonts w:eastAsia="Calibri"/>
          <w:lang w:val="es-GT" w:eastAsia="en-US" w:bidi="en-US"/>
        </w:rPr>
        <w:t xml:space="preserve"> talleres complementarios al proceso de </w:t>
      </w:r>
      <w:r w:rsidR="004A21A2">
        <w:rPr>
          <w:rFonts w:eastAsia="Calibri"/>
          <w:lang w:val="es-GT" w:eastAsia="en-US" w:bidi="en-US"/>
        </w:rPr>
        <w:t xml:space="preserve">la </w:t>
      </w:r>
      <w:r w:rsidR="00025229">
        <w:rPr>
          <w:rFonts w:eastAsia="Calibri"/>
          <w:lang w:val="es-GT" w:eastAsia="en-US" w:bidi="en-US"/>
        </w:rPr>
        <w:t>formulación, tales como:</w:t>
      </w:r>
      <w:r w:rsidR="004E6B51" w:rsidRPr="004E6B51">
        <w:rPr>
          <w:rFonts w:eastAsia="Calibri"/>
          <w:lang w:val="es-GT" w:eastAsia="en-US" w:bidi="en-US"/>
        </w:rPr>
        <w:t xml:space="preserve"> análisis de riesgos fiscales; </w:t>
      </w:r>
      <w:r w:rsidR="004A21A2">
        <w:rPr>
          <w:rFonts w:eastAsia="Calibri"/>
          <w:lang w:val="es-GT" w:eastAsia="en-US" w:bidi="en-US"/>
        </w:rPr>
        <w:t>discusión del</w:t>
      </w:r>
      <w:r w:rsidR="004E6B51" w:rsidRPr="004E6B51">
        <w:rPr>
          <w:rFonts w:eastAsia="Calibri"/>
          <w:lang w:val="es-GT" w:eastAsia="en-US" w:bidi="en-US"/>
        </w:rPr>
        <w:t xml:space="preserve"> Listado Geográfico de Obras</w:t>
      </w:r>
      <w:r w:rsidR="0021606F">
        <w:rPr>
          <w:rFonts w:eastAsia="Calibri"/>
          <w:lang w:val="es-GT" w:eastAsia="en-US" w:bidi="en-US"/>
        </w:rPr>
        <w:t>; sobre</w:t>
      </w:r>
      <w:r w:rsidR="004E6B51" w:rsidRPr="004E6B51">
        <w:rPr>
          <w:rFonts w:eastAsia="Calibri"/>
          <w:lang w:val="es-GT" w:eastAsia="en-US" w:bidi="en-US"/>
        </w:rPr>
        <w:t xml:space="preserve"> </w:t>
      </w:r>
      <w:r w:rsidR="004A21A2">
        <w:rPr>
          <w:rFonts w:eastAsia="Calibri"/>
          <w:lang w:val="es-GT" w:eastAsia="en-US" w:bidi="en-US"/>
        </w:rPr>
        <w:t xml:space="preserve">los </w:t>
      </w:r>
      <w:r w:rsidR="004E6B51" w:rsidRPr="004E6B51">
        <w:rPr>
          <w:rFonts w:eastAsia="Calibri"/>
          <w:lang w:val="es-GT" w:eastAsia="en-US" w:bidi="en-US"/>
        </w:rPr>
        <w:t xml:space="preserve">aportes a Organizaciones No Gubernamentales y </w:t>
      </w:r>
      <w:r w:rsidR="0021606F">
        <w:rPr>
          <w:rFonts w:eastAsia="Calibri"/>
          <w:lang w:val="es-GT" w:eastAsia="en-US" w:bidi="en-US"/>
        </w:rPr>
        <w:t xml:space="preserve">sobre </w:t>
      </w:r>
      <w:r w:rsidR="004E6B51" w:rsidRPr="004E6B51">
        <w:rPr>
          <w:rFonts w:eastAsia="Calibri"/>
          <w:lang w:val="es-GT" w:eastAsia="en-US" w:bidi="en-US"/>
        </w:rPr>
        <w:t xml:space="preserve">normas de transparencia y calidad del gasto público </w:t>
      </w:r>
      <w:r w:rsidR="004A21A2">
        <w:rPr>
          <w:rFonts w:eastAsia="Calibri"/>
          <w:lang w:val="es-GT" w:eastAsia="en-US" w:bidi="en-US"/>
        </w:rPr>
        <w:t>que se incluyeron en</w:t>
      </w:r>
      <w:r w:rsidR="004E6B51" w:rsidRPr="004E6B51">
        <w:rPr>
          <w:rFonts w:eastAsia="Calibri"/>
          <w:lang w:val="es-GT" w:eastAsia="en-US" w:bidi="en-US"/>
        </w:rPr>
        <w:t xml:space="preserve"> la iniciativa de Ley Anual del Presupuesto</w:t>
      </w:r>
      <w:r w:rsidR="00D20B55">
        <w:rPr>
          <w:rFonts w:eastAsia="Calibri"/>
          <w:lang w:val="es-GT" w:eastAsia="en-US" w:bidi="en-US"/>
        </w:rPr>
        <w:t xml:space="preserve"> de 20</w:t>
      </w:r>
      <w:r w:rsidR="00CF194A">
        <w:rPr>
          <w:rFonts w:eastAsia="Calibri"/>
          <w:lang w:val="es-GT" w:eastAsia="en-US" w:bidi="en-US"/>
        </w:rPr>
        <w:t>2</w:t>
      </w:r>
      <w:r w:rsidR="004A21A2">
        <w:rPr>
          <w:rFonts w:eastAsia="Calibri"/>
          <w:lang w:val="es-GT" w:eastAsia="en-US" w:bidi="en-US"/>
        </w:rPr>
        <w:t>1</w:t>
      </w:r>
      <w:r w:rsidR="00025229">
        <w:rPr>
          <w:rFonts w:eastAsia="Calibri"/>
          <w:lang w:val="es-GT" w:eastAsia="en-US" w:bidi="en-US"/>
        </w:rPr>
        <w:t>.</w:t>
      </w:r>
    </w:p>
    <w:p w:rsidR="004E6B51" w:rsidRDefault="004E6B51" w:rsidP="00C620A4">
      <w:pPr>
        <w:jc w:val="both"/>
        <w:rPr>
          <w:rFonts w:eastAsia="Calibri"/>
          <w:lang w:val="es-GT" w:eastAsia="en-US" w:bidi="en-US"/>
        </w:rPr>
      </w:pPr>
    </w:p>
    <w:p w:rsidR="0078601B" w:rsidRDefault="0078601B" w:rsidP="00C620A4">
      <w:pPr>
        <w:jc w:val="both"/>
        <w:rPr>
          <w:rFonts w:eastAsia="Calibri"/>
          <w:lang w:val="es-GT" w:eastAsia="en-US" w:bidi="en-US"/>
        </w:rPr>
      </w:pPr>
      <w:r>
        <w:rPr>
          <w:rFonts w:eastAsia="Calibri"/>
          <w:lang w:val="es-GT" w:eastAsia="en-US" w:bidi="en-US"/>
        </w:rPr>
        <w:t>Desafortunadamente el Congreso de la República no aprobó por segundo año consecutivo el proyecto de presupuesto</w:t>
      </w:r>
      <w:r w:rsidR="007B5163">
        <w:rPr>
          <w:rFonts w:eastAsia="Calibri"/>
          <w:lang w:val="es-GT" w:eastAsia="en-US" w:bidi="en-US"/>
        </w:rPr>
        <w:t>;</w:t>
      </w:r>
      <w:r>
        <w:rPr>
          <w:rFonts w:eastAsia="Calibri"/>
          <w:lang w:val="es-GT" w:eastAsia="en-US" w:bidi="en-US"/>
        </w:rPr>
        <w:t xml:space="preserve"> por lo</w:t>
      </w:r>
      <w:r w:rsidR="007B5163">
        <w:rPr>
          <w:rFonts w:eastAsia="Calibri"/>
          <w:lang w:val="es-GT" w:eastAsia="en-US" w:bidi="en-US"/>
        </w:rPr>
        <w:t xml:space="preserve"> tanto, </w:t>
      </w:r>
      <w:r>
        <w:rPr>
          <w:rFonts w:eastAsia="Calibri"/>
          <w:lang w:val="es-GT" w:eastAsia="en-US" w:bidi="en-US"/>
        </w:rPr>
        <w:t xml:space="preserve">de conformidad con el artículo 171, literal b) de la Constitución Política de la República de Guatemala, entra a regir el presupuesto en vigencia del año anterior. En ese sentido, para el 2021 </w:t>
      </w:r>
      <w:r w:rsidR="007B5163">
        <w:rPr>
          <w:rFonts w:eastAsia="Calibri"/>
          <w:lang w:val="es-GT" w:eastAsia="en-US" w:bidi="en-US"/>
        </w:rPr>
        <w:t xml:space="preserve">el monto del presupuesto inicial está constituido por el presupuesto aprobado en 2019, más las ampliaciones presupuestarias autorizadas </w:t>
      </w:r>
      <w:r w:rsidR="001F0CDD">
        <w:rPr>
          <w:rFonts w:eastAsia="Calibri"/>
          <w:lang w:val="es-GT" w:eastAsia="en-US" w:bidi="en-US"/>
        </w:rPr>
        <w:t>mediante Decretos del</w:t>
      </w:r>
      <w:r w:rsidR="007B5163">
        <w:rPr>
          <w:rFonts w:eastAsia="Calibri"/>
          <w:lang w:val="es-GT" w:eastAsia="en-US" w:bidi="en-US"/>
        </w:rPr>
        <w:t xml:space="preserve"> Congreso de la República en 2019 y 2020. De esa cuenta, durante noviembre y diciembre de 2020, se llevaron a cabo nuevos Talleres de Presupuesto Abierto, para escuchar sugerencias de organizaciones de sociedad civil, tanques de pensamiento, sector académico, centros de investigación y sector empresarial, </w:t>
      </w:r>
      <w:r w:rsidR="00C115A6">
        <w:rPr>
          <w:rFonts w:eastAsia="Calibri"/>
          <w:lang w:val="es-GT" w:eastAsia="en-US" w:bidi="en-US"/>
        </w:rPr>
        <w:t>sobre el proceso de reestructuración del</w:t>
      </w:r>
      <w:r w:rsidR="0073471D">
        <w:rPr>
          <w:rFonts w:eastAsia="Calibri"/>
          <w:lang w:val="es-GT" w:eastAsia="en-US" w:bidi="en-US"/>
        </w:rPr>
        <w:t xml:space="preserve"> presupuesto a ejecutar en 2021, dado que parte de las asignaciones vigentes no cuentan con el debido respaldo financiero que posibilite su ejecución.</w:t>
      </w:r>
    </w:p>
    <w:p w:rsidR="0078601B" w:rsidRDefault="0078601B" w:rsidP="00C620A4">
      <w:pPr>
        <w:jc w:val="both"/>
        <w:rPr>
          <w:rFonts w:eastAsia="Calibri"/>
          <w:lang w:val="es-GT" w:eastAsia="en-US" w:bidi="en-US"/>
        </w:rPr>
      </w:pPr>
    </w:p>
    <w:p w:rsidR="00C620A4" w:rsidRPr="00D12482" w:rsidRDefault="00D12482" w:rsidP="00D12482">
      <w:pPr>
        <w:pStyle w:val="Ttulo2"/>
        <w:rPr>
          <w:rFonts w:ascii="Times New Roman" w:eastAsia="Calibri" w:hAnsi="Times New Roman"/>
          <w:color w:val="auto"/>
          <w:sz w:val="24"/>
          <w:szCs w:val="24"/>
          <w:lang w:val="es-GT" w:eastAsia="en-US" w:bidi="en-US"/>
        </w:rPr>
      </w:pPr>
      <w:bookmarkStart w:id="45" w:name="_Toc65826768"/>
      <w:r>
        <w:rPr>
          <w:rFonts w:ascii="Times New Roman" w:eastAsia="Calibri" w:hAnsi="Times New Roman"/>
          <w:color w:val="auto"/>
          <w:sz w:val="24"/>
          <w:szCs w:val="24"/>
          <w:lang w:val="es-GT" w:eastAsia="en-US" w:bidi="en-US"/>
        </w:rPr>
        <w:t>Mejora en la Calificación del Índice de Presupuesto Abierto (OBI)</w:t>
      </w:r>
      <w:bookmarkEnd w:id="45"/>
    </w:p>
    <w:p w:rsidR="00C620A4" w:rsidRDefault="00C620A4" w:rsidP="00C620A4">
      <w:pPr>
        <w:jc w:val="both"/>
        <w:rPr>
          <w:rFonts w:eastAsia="Calibri"/>
          <w:lang w:val="es-GT" w:eastAsia="en-US" w:bidi="en-US"/>
        </w:rPr>
      </w:pPr>
    </w:p>
    <w:p w:rsidR="00B268AB" w:rsidRPr="00B268AB" w:rsidRDefault="00B268AB" w:rsidP="00B268AB">
      <w:pPr>
        <w:jc w:val="both"/>
        <w:rPr>
          <w:rFonts w:eastAsia="Calibri"/>
          <w:lang w:val="es-GT" w:eastAsia="en-US" w:bidi="en-US"/>
        </w:rPr>
      </w:pPr>
      <w:r w:rsidRPr="00B268AB">
        <w:rPr>
          <w:rFonts w:eastAsia="Calibri"/>
          <w:lang w:val="es-GT" w:eastAsia="en-US" w:bidi="en-US"/>
        </w:rPr>
        <w:t xml:space="preserve">En la última evaluación del Índice de Presupuesto Abierto (OBI), a cargo de la International Budget Partnership (IBP) y su evaluador independiente en el país, Guatemala obtuvo una calificación de 61 puntos que la ubica en el grupo de países que proporcionan “información sustancial disponible”. En la más reciente evaluación, realizada a finales de 2019, cuyos resultados se dieron a conocer en abril de 2020, Guatemala continuó ascendiendo en su buen </w:t>
      </w:r>
      <w:r w:rsidRPr="00B268AB">
        <w:rPr>
          <w:rFonts w:eastAsia="Calibri"/>
          <w:lang w:val="es-GT" w:eastAsia="en-US" w:bidi="en-US"/>
        </w:rPr>
        <w:lastRenderedPageBreak/>
        <w:t xml:space="preserve">desempeño, habiendo alcanzado en esta ocasión una calificación de 65 puntos que la ubica en el tercer lugar a nivel de América Latina </w:t>
      </w:r>
      <w:r w:rsidR="009D4361">
        <w:rPr>
          <w:rFonts w:eastAsia="Calibri"/>
          <w:lang w:val="es-GT" w:eastAsia="en-US" w:bidi="en-US"/>
        </w:rPr>
        <w:t xml:space="preserve">(después de México y la República Dominicana) </w:t>
      </w:r>
      <w:r w:rsidRPr="00B268AB">
        <w:rPr>
          <w:rFonts w:eastAsia="Calibri"/>
          <w:lang w:val="es-GT" w:eastAsia="en-US" w:bidi="en-US"/>
        </w:rPr>
        <w:t>y en la posición 24 dentro del ranking mundial compuesto por 117 países.</w:t>
      </w:r>
    </w:p>
    <w:p w:rsidR="00B268AB" w:rsidRPr="00B268AB" w:rsidRDefault="00B268AB" w:rsidP="00B268AB">
      <w:pPr>
        <w:jc w:val="both"/>
        <w:rPr>
          <w:rFonts w:eastAsia="Calibri"/>
          <w:lang w:val="es-GT" w:eastAsia="en-US" w:bidi="en-US"/>
        </w:rPr>
      </w:pPr>
    </w:p>
    <w:p w:rsidR="00B268AB" w:rsidRPr="00B268AB" w:rsidRDefault="00B268AB" w:rsidP="00B268AB">
      <w:pPr>
        <w:jc w:val="both"/>
        <w:rPr>
          <w:rFonts w:eastAsia="Calibri"/>
          <w:lang w:val="es-GT" w:eastAsia="en-US" w:bidi="en-US"/>
        </w:rPr>
      </w:pPr>
      <w:r w:rsidRPr="00B268AB">
        <w:rPr>
          <w:rFonts w:eastAsia="Calibri"/>
          <w:lang w:val="es-GT" w:eastAsia="en-US" w:bidi="en-US"/>
        </w:rPr>
        <w:t>Estos resultados han sido posibles gracias a la dedicación y empeño puestos de manifiesto por las dependencias del Ministerio de Finanzas Públicas que tienen a su cargo la elaboración y publicación de los 8 documentos clave del ciclo presupuestario que evalúa el Índice de Presupuesto Abierto</w:t>
      </w:r>
      <w:r w:rsidR="00AD0ACA">
        <w:rPr>
          <w:rFonts w:eastAsia="Calibri"/>
          <w:lang w:val="es-GT" w:eastAsia="en-US" w:bidi="en-US"/>
        </w:rPr>
        <w:t xml:space="preserve"> (OBI)</w:t>
      </w:r>
      <w:r w:rsidRPr="00B268AB">
        <w:rPr>
          <w:rFonts w:eastAsia="Calibri"/>
          <w:lang w:val="es-GT" w:eastAsia="en-US" w:bidi="en-US"/>
        </w:rPr>
        <w:t>, tomando en cuenta los estándares y lineamientos contenidos en la Guía para la Transparencia en los Documentos Presupuestarios del Gobierno y en la Encuesta de Presupuesto Abierto</w:t>
      </w:r>
      <w:r w:rsidR="00AD0ACA">
        <w:rPr>
          <w:rFonts w:eastAsia="Calibri"/>
          <w:lang w:val="es-GT" w:eastAsia="en-US" w:bidi="en-US"/>
        </w:rPr>
        <w:t xml:space="preserve"> (OBS)</w:t>
      </w:r>
      <w:r w:rsidRPr="00B268AB">
        <w:rPr>
          <w:rFonts w:eastAsia="Calibri"/>
          <w:lang w:val="es-GT" w:eastAsia="en-US" w:bidi="en-US"/>
        </w:rPr>
        <w:t>, ambos emitidos por la International Budget Partnership (IBP). Estos ocho documentos presupuestarios son: 1) Proyecto de Presupuesto del Ejecutivo (EBP); 2) Documento Preliminar de Presupuesto (PBS); 3) Presupuesto Aprobado (EB); 4) Presupuesto Ciudadano (CB); 5) Informes Entregados Durante el Año (IYR); 6) Revisión de Mitad de Año (MYR); 7) Informe de Fin de Año (YER); y 8) Informe de Auditoría (AR).</w:t>
      </w:r>
    </w:p>
    <w:p w:rsidR="00B268AB" w:rsidRPr="00B268AB" w:rsidRDefault="00B268AB" w:rsidP="00B268AB">
      <w:pPr>
        <w:jc w:val="both"/>
        <w:rPr>
          <w:rFonts w:eastAsia="Calibri"/>
          <w:lang w:val="es-GT" w:eastAsia="en-US" w:bidi="en-US"/>
        </w:rPr>
      </w:pPr>
    </w:p>
    <w:p w:rsidR="00B268AB" w:rsidRDefault="00B268AB" w:rsidP="00B268AB">
      <w:pPr>
        <w:jc w:val="both"/>
        <w:rPr>
          <w:rFonts w:eastAsia="Calibri"/>
          <w:lang w:val="es-GT" w:eastAsia="en-US" w:bidi="en-US"/>
        </w:rPr>
      </w:pPr>
      <w:r w:rsidRPr="00B268AB">
        <w:rPr>
          <w:rFonts w:eastAsia="Calibri"/>
          <w:lang w:val="es-GT" w:eastAsia="en-US" w:bidi="en-US"/>
        </w:rPr>
        <w:t xml:space="preserve">Asimismo, ha influido grandemente la institucionalización de este proceso mediante la emisión del Acuerdo Ministerial No. 194-2017, que designa a las dependencias directamente responsables de la elaboración y publicación de los ocho documentos clave del ciclo presupuestario, así como las fechas límites en que </w:t>
      </w:r>
      <w:r w:rsidR="00AD0ACA">
        <w:rPr>
          <w:rFonts w:eastAsia="Calibri"/>
          <w:lang w:val="es-GT" w:eastAsia="en-US" w:bidi="en-US"/>
        </w:rPr>
        <w:t>e</w:t>
      </w:r>
      <w:r w:rsidRPr="00B268AB">
        <w:rPr>
          <w:rFonts w:eastAsia="Calibri"/>
          <w:lang w:val="es-GT" w:eastAsia="en-US" w:bidi="en-US"/>
        </w:rPr>
        <w:t>stos deben ser publicados en la página web institucional. Como etapa preparatoria para el proceso de la evaluación que se realiza cada dos años, el Ministerio de Finanzas Públicas ha implementado la buena práctica de hacer un Informe de Autoevaluación, a través de un programa de simulación, sobre la revisión objetiva de los documentos que serán objeto de la próxima evaluación, lo que muestra una calificación tentativa por obtener, considerando la calidad y exhaustividad de la información presupuestaria que se produce y la fecha en que se publica.</w:t>
      </w:r>
    </w:p>
    <w:p w:rsidR="00B268AB" w:rsidRDefault="00B268AB" w:rsidP="00C620A4">
      <w:pPr>
        <w:jc w:val="both"/>
        <w:rPr>
          <w:rFonts w:eastAsia="Calibri"/>
          <w:lang w:val="es-GT" w:eastAsia="en-US" w:bidi="en-US"/>
        </w:rPr>
      </w:pPr>
    </w:p>
    <w:p w:rsidR="00C620A4" w:rsidRPr="00AD0ACA" w:rsidRDefault="00AD0ACA" w:rsidP="00AD0ACA">
      <w:pPr>
        <w:jc w:val="both"/>
        <w:rPr>
          <w:rFonts w:eastAsia="Calibri"/>
          <w:lang w:val="es-GT" w:eastAsia="en-US" w:bidi="en-US"/>
        </w:rPr>
      </w:pPr>
      <w:r>
        <w:rPr>
          <w:rFonts w:eastAsia="Calibri"/>
          <w:lang w:val="es-GT" w:eastAsia="en-US" w:bidi="en-US"/>
        </w:rPr>
        <w:t>El investigador independiente en Guatemala, responsable de realizar dicha evaluación lo constituye la organización de sociedad civil denominada</w:t>
      </w:r>
      <w:r w:rsidRPr="00AD0ACA">
        <w:rPr>
          <w:rFonts w:eastAsia="Calibri"/>
          <w:lang w:val="es-GT" w:eastAsia="en-US" w:bidi="en-US"/>
        </w:rPr>
        <w:t xml:space="preserve"> </w:t>
      </w:r>
      <w:r w:rsidR="00C620A4" w:rsidRPr="00AD0ACA">
        <w:rPr>
          <w:rFonts w:eastAsia="Calibri"/>
          <w:lang w:val="es-GT" w:eastAsia="en-US" w:bidi="en-US"/>
        </w:rPr>
        <w:t>Centro Internacional de Investigaciones en Derechos Humanos (CIIDH).</w:t>
      </w:r>
    </w:p>
    <w:p w:rsidR="00CC3F10" w:rsidRPr="00AD0ACA" w:rsidRDefault="00CC3F10" w:rsidP="00C620A4">
      <w:pPr>
        <w:jc w:val="both"/>
        <w:rPr>
          <w:rFonts w:eastAsia="Calibri"/>
          <w:lang w:val="es-GT" w:eastAsia="en-US" w:bidi="en-US"/>
        </w:rPr>
      </w:pPr>
    </w:p>
    <w:p w:rsidR="00CC3F10" w:rsidRDefault="00CC3F10" w:rsidP="00C620A4">
      <w:pPr>
        <w:jc w:val="both"/>
        <w:rPr>
          <w:rFonts w:eastAsia="Calibri"/>
          <w:lang w:val="es-GT" w:eastAsia="en-US" w:bidi="en-US"/>
        </w:rPr>
      </w:pPr>
    </w:p>
    <w:p w:rsidR="00DD7FEC" w:rsidRPr="0061795D" w:rsidRDefault="00264FBA" w:rsidP="0061795D">
      <w:pPr>
        <w:pStyle w:val="Ttulo2"/>
        <w:jc w:val="both"/>
        <w:rPr>
          <w:rFonts w:ascii="Times New Roman" w:eastAsia="Calibri" w:hAnsi="Times New Roman"/>
          <w:color w:val="auto"/>
          <w:sz w:val="24"/>
          <w:szCs w:val="24"/>
          <w:lang w:val="es-GT" w:eastAsia="en-US" w:bidi="en-US"/>
        </w:rPr>
      </w:pPr>
      <w:bookmarkStart w:id="46" w:name="_Toc65826769"/>
      <w:r>
        <w:rPr>
          <w:rFonts w:ascii="Times New Roman" w:eastAsia="Calibri" w:hAnsi="Times New Roman"/>
          <w:color w:val="auto"/>
          <w:sz w:val="24"/>
          <w:szCs w:val="24"/>
          <w:lang w:val="es-GT" w:eastAsia="en-US" w:bidi="en-US"/>
        </w:rPr>
        <w:t>Sistema de Transferencias, Subsidios y Subvenciones</w:t>
      </w:r>
      <w:r w:rsidR="00D52CB4">
        <w:rPr>
          <w:rFonts w:ascii="Times New Roman" w:eastAsia="Calibri" w:hAnsi="Times New Roman"/>
          <w:color w:val="auto"/>
          <w:sz w:val="24"/>
          <w:szCs w:val="24"/>
          <w:lang w:val="es-GT" w:eastAsia="en-US" w:bidi="en-US"/>
        </w:rPr>
        <w:t xml:space="preserve"> (</w:t>
      </w:r>
      <w:r w:rsidR="00DD0E59">
        <w:rPr>
          <w:rFonts w:ascii="Times New Roman" w:eastAsia="Calibri" w:hAnsi="Times New Roman"/>
          <w:color w:val="auto"/>
          <w:sz w:val="24"/>
          <w:szCs w:val="24"/>
          <w:lang w:val="es-GT" w:eastAsia="en-US" w:bidi="en-US"/>
        </w:rPr>
        <w:t xml:space="preserve">Sistema </w:t>
      </w:r>
      <w:r w:rsidR="00D52CB4">
        <w:rPr>
          <w:rFonts w:ascii="Times New Roman" w:eastAsia="Calibri" w:hAnsi="Times New Roman"/>
          <w:color w:val="auto"/>
          <w:sz w:val="24"/>
          <w:szCs w:val="24"/>
          <w:lang w:val="es-GT" w:eastAsia="en-US" w:bidi="en-US"/>
        </w:rPr>
        <w:t>TSS)</w:t>
      </w:r>
      <w:bookmarkEnd w:id="46"/>
    </w:p>
    <w:p w:rsidR="00DD7FEC" w:rsidRDefault="00DD7FEC" w:rsidP="00C620A4">
      <w:pPr>
        <w:jc w:val="both"/>
        <w:rPr>
          <w:rFonts w:eastAsia="Calibri"/>
          <w:lang w:val="es-GT" w:eastAsia="en-US" w:bidi="en-US"/>
        </w:rPr>
      </w:pPr>
    </w:p>
    <w:p w:rsidR="00B268AB" w:rsidRDefault="00B268AB" w:rsidP="00C620A4">
      <w:pPr>
        <w:jc w:val="both"/>
        <w:rPr>
          <w:lang w:val="es-ES_tradnl"/>
        </w:rPr>
      </w:pPr>
      <w:r>
        <w:rPr>
          <w:lang w:val="es-ES_tradnl"/>
        </w:rPr>
        <w:t>En el Presupuesto General de Ingresos y Egresos del Estado de cada ejercicio fiscal, se programan asignaciones por concepto de transferencias corrientes y/o de capital a favor de entidades del sector privado y de organismos regionales e internacionales. De conformidad con la Ley Orgánica del Presupuesto, Decreto No. 101-97 del Congreso de la República, y del Reglamento de Manejo de Subsidios y Subvenciones, Acuerdo Gubernativo No. 55-2016, y sus Reformas; tanto las entidades públicas otorgantes de los recursos, como las entidades receptoras de los mismos, deben presentar informes mensuales de avance físico y financiero, destacando los objetivos, metas, resultados, indicadores, impactos y beneficiarios atendidos con las intervenciones públicas. En ese sentido, se diseñó e implementó el Sistema de Transferencias, Subsidios y Subvenciones (S</w:t>
      </w:r>
      <w:r w:rsidR="00313019">
        <w:rPr>
          <w:lang w:val="es-ES_tradnl"/>
        </w:rPr>
        <w:t xml:space="preserve">istema </w:t>
      </w:r>
      <w:r>
        <w:rPr>
          <w:lang w:val="es-ES_tradnl"/>
        </w:rPr>
        <w:t xml:space="preserve">TSS) </w:t>
      </w:r>
      <w:r w:rsidR="00040BDD">
        <w:rPr>
          <w:lang w:val="es-ES_tradnl"/>
        </w:rPr>
        <w:t>definido como</w:t>
      </w:r>
      <w:r w:rsidR="00040BDD" w:rsidRPr="00040BDD">
        <w:rPr>
          <w:lang w:val="es-ES_tradnl"/>
        </w:rPr>
        <w:t xml:space="preserve"> el sistema informático oficial y de carácter obligatorio, </w:t>
      </w:r>
      <w:r w:rsidR="00674D03">
        <w:rPr>
          <w:lang w:val="es-ES_tradnl"/>
        </w:rPr>
        <w:t xml:space="preserve">diseñado y </w:t>
      </w:r>
      <w:r w:rsidR="00040BDD" w:rsidRPr="00040BDD">
        <w:rPr>
          <w:lang w:val="es-ES_tradnl"/>
        </w:rPr>
        <w:t xml:space="preserve">administrado por el Ministerio de Finanzas Públicas, por medio </w:t>
      </w:r>
      <w:r w:rsidR="00040BDD" w:rsidRPr="00040BDD">
        <w:rPr>
          <w:lang w:val="es-ES_tradnl"/>
        </w:rPr>
        <w:lastRenderedPageBreak/>
        <w:t xml:space="preserve">del cual se presentan los informes </w:t>
      </w:r>
      <w:r w:rsidR="00040BDD">
        <w:rPr>
          <w:lang w:val="es-ES_tradnl"/>
        </w:rPr>
        <w:t xml:space="preserve">mensuales </w:t>
      </w:r>
      <w:r w:rsidR="00040BDD" w:rsidRPr="00040BDD">
        <w:rPr>
          <w:lang w:val="es-ES_tradnl"/>
        </w:rPr>
        <w:t>de avance físico y financiero de los subsidios y subvenciones</w:t>
      </w:r>
      <w:r w:rsidR="00040BDD">
        <w:rPr>
          <w:lang w:val="es-ES_tradnl"/>
        </w:rPr>
        <w:t xml:space="preserve">, </w:t>
      </w:r>
      <w:r>
        <w:rPr>
          <w:lang w:val="es-ES_tradnl"/>
        </w:rPr>
        <w:t xml:space="preserve">para que las entidades otorgantes y receptoras de </w:t>
      </w:r>
      <w:r w:rsidR="00040BDD">
        <w:rPr>
          <w:lang w:val="es-ES_tradnl"/>
        </w:rPr>
        <w:t xml:space="preserve">los </w:t>
      </w:r>
      <w:r>
        <w:rPr>
          <w:lang w:val="es-ES_tradnl"/>
        </w:rPr>
        <w:t xml:space="preserve">recursos públicos procedan a </w:t>
      </w:r>
      <w:r w:rsidR="00040BDD">
        <w:rPr>
          <w:lang w:val="es-ES_tradnl"/>
        </w:rPr>
        <w:t>efectuar sus respectivos</w:t>
      </w:r>
      <w:r w:rsidR="00674D03">
        <w:rPr>
          <w:lang w:val="es-ES_tradnl"/>
        </w:rPr>
        <w:t xml:space="preserve"> registros</w:t>
      </w:r>
      <w:r>
        <w:rPr>
          <w:lang w:val="es-ES_tradnl"/>
        </w:rPr>
        <w:t>, de conformidad con la normativa</w:t>
      </w:r>
      <w:r w:rsidR="00040BDD">
        <w:rPr>
          <w:lang w:val="es-ES_tradnl"/>
        </w:rPr>
        <w:t xml:space="preserve"> legal</w:t>
      </w:r>
      <w:r>
        <w:rPr>
          <w:lang w:val="es-ES_tradnl"/>
        </w:rPr>
        <w:t xml:space="preserve"> vigente. Además, en 2020 se diseñó y desarrolló un Portal de ONG para facilitar a los ciudadanos en general, las consultas sobre la ejecución de los recursos públicos por parte de entidades privadas e internacionales ejecutoras de los mismos</w:t>
      </w:r>
      <w:r w:rsidR="00040BDD">
        <w:rPr>
          <w:lang w:val="es-ES_tradnl"/>
        </w:rPr>
        <w:t>.</w:t>
      </w:r>
    </w:p>
    <w:p w:rsidR="00040BDD" w:rsidRDefault="00040BDD" w:rsidP="00C620A4">
      <w:pPr>
        <w:jc w:val="both"/>
        <w:rPr>
          <w:lang w:val="es-ES_tradnl"/>
        </w:rPr>
      </w:pPr>
    </w:p>
    <w:p w:rsidR="00040BDD" w:rsidRDefault="00674D03" w:rsidP="00C620A4">
      <w:pPr>
        <w:jc w:val="both"/>
        <w:rPr>
          <w:rFonts w:eastAsia="Calibri"/>
          <w:lang w:val="es-GT" w:eastAsia="en-US" w:bidi="en-US"/>
        </w:rPr>
      </w:pPr>
      <w:r>
        <w:rPr>
          <w:rFonts w:eastAsia="Calibri"/>
          <w:lang w:val="es-GT" w:eastAsia="en-US" w:bidi="en-US"/>
        </w:rPr>
        <w:t xml:space="preserve">Por otra parte, en el 2020 se inició un proceso de revisión y propuesta de modificaciones al </w:t>
      </w:r>
      <w:r w:rsidRPr="00674D03">
        <w:rPr>
          <w:rFonts w:eastAsia="Calibri"/>
          <w:lang w:val="es-GT" w:eastAsia="en-US" w:bidi="en-US"/>
        </w:rPr>
        <w:t xml:space="preserve">Acuerdo Gubernativo No. 55-2016 del 28 de marzo de 2016 y sus reformas contenidas en el Acuerdo Gubernativo No. 142-2017 del 3 de julio de 2017, </w:t>
      </w:r>
      <w:r>
        <w:rPr>
          <w:rFonts w:eastAsia="Calibri"/>
          <w:lang w:val="es-GT" w:eastAsia="en-US" w:bidi="en-US"/>
        </w:rPr>
        <w:t>que contienen</w:t>
      </w:r>
      <w:r w:rsidRPr="00674D03">
        <w:rPr>
          <w:rFonts w:eastAsia="Calibri"/>
          <w:lang w:val="es-GT" w:eastAsia="en-US" w:bidi="en-US"/>
        </w:rPr>
        <w:t xml:space="preserve"> el </w:t>
      </w:r>
      <w:r>
        <w:rPr>
          <w:rFonts w:eastAsia="Calibri"/>
          <w:lang w:val="es-GT" w:eastAsia="en-US" w:bidi="en-US"/>
        </w:rPr>
        <w:t>“</w:t>
      </w:r>
      <w:r w:rsidRPr="00674D03">
        <w:rPr>
          <w:rFonts w:eastAsia="Calibri"/>
          <w:lang w:val="es-GT" w:eastAsia="en-US" w:bidi="en-US"/>
        </w:rPr>
        <w:t>Reglamento de Manejo de Subsidios y Subvenciones</w:t>
      </w:r>
      <w:r>
        <w:rPr>
          <w:rFonts w:eastAsia="Calibri"/>
          <w:lang w:val="es-GT" w:eastAsia="en-US" w:bidi="en-US"/>
        </w:rPr>
        <w:t>”</w:t>
      </w:r>
      <w:r w:rsidRPr="00674D03">
        <w:rPr>
          <w:rFonts w:eastAsia="Calibri"/>
          <w:lang w:val="es-GT" w:eastAsia="en-US" w:bidi="en-US"/>
        </w:rPr>
        <w:t>,</w:t>
      </w:r>
      <w:r>
        <w:rPr>
          <w:rFonts w:eastAsia="Calibri"/>
          <w:lang w:val="es-GT" w:eastAsia="en-US" w:bidi="en-US"/>
        </w:rPr>
        <w:t xml:space="preserve"> </w:t>
      </w:r>
      <w:r w:rsidRPr="00674D03">
        <w:rPr>
          <w:rFonts w:eastAsia="Calibri"/>
          <w:lang w:val="es-GT" w:eastAsia="en-US" w:bidi="en-US"/>
        </w:rPr>
        <w:t>para que la normativa</w:t>
      </w:r>
      <w:r>
        <w:rPr>
          <w:rFonts w:eastAsia="Calibri"/>
          <w:lang w:val="es-GT" w:eastAsia="en-US" w:bidi="en-US"/>
        </w:rPr>
        <w:t xml:space="preserve"> legal </w:t>
      </w:r>
      <w:r w:rsidRPr="00674D03">
        <w:rPr>
          <w:rFonts w:eastAsia="Calibri"/>
          <w:lang w:val="es-GT" w:eastAsia="en-US" w:bidi="en-US"/>
        </w:rPr>
        <w:t>responda al ordenamiento técnico y jurídico vigente, manteniendo presentes los principios de transparencia, eficiencia y eficacia en el manejo de los recursos públicos</w:t>
      </w:r>
      <w:r>
        <w:rPr>
          <w:rFonts w:eastAsia="Calibri"/>
          <w:lang w:val="es-GT" w:eastAsia="en-US" w:bidi="en-US"/>
        </w:rPr>
        <w:t xml:space="preserve">. </w:t>
      </w:r>
      <w:r w:rsidR="001867FE">
        <w:rPr>
          <w:rFonts w:eastAsia="Calibri"/>
          <w:lang w:val="es-GT" w:eastAsia="en-US" w:bidi="en-US"/>
        </w:rPr>
        <w:t xml:space="preserve">En este ejercicio </w:t>
      </w:r>
      <w:r w:rsidR="00D2518E">
        <w:rPr>
          <w:rFonts w:eastAsia="Calibri"/>
          <w:lang w:val="es-GT" w:eastAsia="en-US" w:bidi="en-US"/>
        </w:rPr>
        <w:t xml:space="preserve">participaron varias dependencias del Ministerio de Finanzas Públicas, </w:t>
      </w:r>
      <w:r w:rsidR="000C11C4">
        <w:rPr>
          <w:rFonts w:eastAsia="Calibri"/>
          <w:lang w:val="es-GT" w:eastAsia="en-US" w:bidi="en-US"/>
        </w:rPr>
        <w:t xml:space="preserve">quedando </w:t>
      </w:r>
      <w:r w:rsidR="00D2518E">
        <w:rPr>
          <w:rFonts w:eastAsia="Calibri"/>
          <w:lang w:val="es-GT" w:eastAsia="en-US" w:bidi="en-US"/>
        </w:rPr>
        <w:t xml:space="preserve">pendiente únicamente de efectuar las gestiones </w:t>
      </w:r>
      <w:r w:rsidR="000C11C4">
        <w:rPr>
          <w:rFonts w:eastAsia="Calibri"/>
          <w:lang w:val="es-GT" w:eastAsia="en-US" w:bidi="en-US"/>
        </w:rPr>
        <w:t>respectivas</w:t>
      </w:r>
      <w:r w:rsidR="00D2518E">
        <w:rPr>
          <w:rFonts w:eastAsia="Calibri"/>
          <w:lang w:val="es-GT" w:eastAsia="en-US" w:bidi="en-US"/>
        </w:rPr>
        <w:t xml:space="preserve"> ante la Procuraduría General de la Nación</w:t>
      </w:r>
      <w:r w:rsidR="00376DEE">
        <w:rPr>
          <w:rFonts w:eastAsia="Calibri"/>
          <w:lang w:val="es-GT" w:eastAsia="en-US" w:bidi="en-US"/>
        </w:rPr>
        <w:t xml:space="preserve"> (PGN)</w:t>
      </w:r>
      <w:r w:rsidR="00D2518E">
        <w:rPr>
          <w:rFonts w:eastAsia="Calibri"/>
          <w:lang w:val="es-GT" w:eastAsia="en-US" w:bidi="en-US"/>
        </w:rPr>
        <w:t xml:space="preserve"> y la Secretaría General de la Presidencia de la República.</w:t>
      </w:r>
    </w:p>
    <w:p w:rsidR="00B268AB" w:rsidRDefault="00B268AB" w:rsidP="00C620A4">
      <w:pPr>
        <w:jc w:val="both"/>
        <w:rPr>
          <w:rFonts w:eastAsia="Calibri"/>
          <w:lang w:val="es-GT" w:eastAsia="en-US" w:bidi="en-US"/>
        </w:rPr>
      </w:pPr>
    </w:p>
    <w:p w:rsidR="00CC3F10" w:rsidRDefault="00CC3F10" w:rsidP="00C620A4">
      <w:pPr>
        <w:ind w:left="709" w:hanging="709"/>
        <w:jc w:val="both"/>
        <w:rPr>
          <w:rFonts w:eastAsia="Calibri"/>
          <w:lang w:val="es-GT" w:eastAsia="en-US" w:bidi="en-US"/>
        </w:rPr>
      </w:pPr>
    </w:p>
    <w:p w:rsidR="00C620A4" w:rsidRDefault="00C620A4" w:rsidP="00C620A4">
      <w:pPr>
        <w:pStyle w:val="Ttulo2"/>
        <w:rPr>
          <w:rFonts w:ascii="Times New Roman" w:eastAsia="Calibri" w:hAnsi="Times New Roman"/>
          <w:color w:val="auto"/>
          <w:sz w:val="24"/>
          <w:szCs w:val="24"/>
          <w:lang w:val="es-GT" w:eastAsia="en-US" w:bidi="en-US"/>
        </w:rPr>
      </w:pPr>
      <w:bookmarkStart w:id="47" w:name="_Toc417992546"/>
      <w:bookmarkStart w:id="48" w:name="_Toc443491864"/>
      <w:bookmarkStart w:id="49" w:name="_Toc482339314"/>
      <w:bookmarkStart w:id="50" w:name="_Toc65826770"/>
      <w:r w:rsidRPr="00C620A4">
        <w:rPr>
          <w:rFonts w:ascii="Times New Roman" w:eastAsia="Calibri" w:hAnsi="Times New Roman"/>
          <w:color w:val="auto"/>
          <w:sz w:val="24"/>
          <w:szCs w:val="24"/>
          <w:lang w:val="es-GT" w:eastAsia="en-US" w:bidi="en-US"/>
        </w:rPr>
        <w:t>Gestión de Riesgos Fiscales</w:t>
      </w:r>
      <w:bookmarkEnd w:id="47"/>
      <w:bookmarkEnd w:id="48"/>
      <w:bookmarkEnd w:id="49"/>
      <w:bookmarkEnd w:id="50"/>
    </w:p>
    <w:p w:rsidR="00C7403B" w:rsidRDefault="00C7403B" w:rsidP="00C7403B">
      <w:pPr>
        <w:rPr>
          <w:rFonts w:eastAsia="Calibri"/>
          <w:lang w:val="es-GT" w:eastAsia="en-US" w:bidi="en-US"/>
        </w:rPr>
      </w:pPr>
    </w:p>
    <w:p w:rsidR="00B268AB" w:rsidRDefault="00B268AB" w:rsidP="00313872">
      <w:pPr>
        <w:jc w:val="both"/>
        <w:rPr>
          <w:rFonts w:eastAsia="Calibri"/>
          <w:lang w:val="es-GT" w:eastAsia="en-US" w:bidi="en-US"/>
        </w:rPr>
      </w:pPr>
      <w:r w:rsidRPr="002B005D">
        <w:rPr>
          <w:lang w:val="es-ES_tradnl"/>
        </w:rPr>
        <w:t>Por quinto año consecutivo, en la etapa de formulación del Proyecto de Presupuesto General de Ingresos y Egresos del Estado, se incorpora una separata o informe ejecutivo sobre el análisis y gestión de los riesgos fiscales</w:t>
      </w:r>
      <w:r w:rsidRPr="00B77826">
        <w:rPr>
          <w:lang w:val="es-ES_tradnl"/>
        </w:rPr>
        <w:t xml:space="preserve"> </w:t>
      </w:r>
      <w:r w:rsidRPr="00ED72FA">
        <w:rPr>
          <w:lang w:val="es-ES_tradnl"/>
        </w:rPr>
        <w:t xml:space="preserve">que podrían tener un impacto en la evolución de las principales variables </w:t>
      </w:r>
      <w:r>
        <w:rPr>
          <w:lang w:val="es-ES_tradnl"/>
        </w:rPr>
        <w:t xml:space="preserve">macroeconómicas y </w:t>
      </w:r>
      <w:r w:rsidRPr="00ED72FA">
        <w:rPr>
          <w:lang w:val="es-ES_tradnl"/>
        </w:rPr>
        <w:t>fiscales</w:t>
      </w:r>
      <w:r>
        <w:rPr>
          <w:lang w:val="es-ES_tradnl"/>
        </w:rPr>
        <w:t>,</w:t>
      </w:r>
      <w:r w:rsidRPr="00ED72FA">
        <w:rPr>
          <w:lang w:val="es-ES_tradnl"/>
        </w:rPr>
        <w:t xml:space="preserve"> y que</w:t>
      </w:r>
      <w:r>
        <w:rPr>
          <w:lang w:val="es-ES_tradnl"/>
        </w:rPr>
        <w:t xml:space="preserve"> adicionalmente</w:t>
      </w:r>
      <w:r w:rsidRPr="00ED72FA">
        <w:rPr>
          <w:lang w:val="es-ES_tradnl"/>
        </w:rPr>
        <w:t xml:space="preserve"> </w:t>
      </w:r>
      <w:r>
        <w:rPr>
          <w:lang w:val="es-ES_tradnl"/>
        </w:rPr>
        <w:t xml:space="preserve">podrían </w:t>
      </w:r>
      <w:r w:rsidRPr="00ED72FA">
        <w:rPr>
          <w:lang w:val="es-ES_tradnl"/>
        </w:rPr>
        <w:t>afectar la sostenibilidad de la deu</w:t>
      </w:r>
      <w:r>
        <w:rPr>
          <w:lang w:val="es-ES_tradnl"/>
        </w:rPr>
        <w:t xml:space="preserve">da pública en el mediano plazo. </w:t>
      </w:r>
      <w:r w:rsidRPr="00ED72FA">
        <w:rPr>
          <w:lang w:val="es-ES_tradnl"/>
        </w:rPr>
        <w:t xml:space="preserve">Dicho análisis tiene el objetivo de cumplir los compromisos que el país ha asumido en materia de transparencia fiscal, </w:t>
      </w:r>
      <w:r>
        <w:rPr>
          <w:lang w:val="es-ES_tradnl"/>
        </w:rPr>
        <w:t>según</w:t>
      </w:r>
      <w:r w:rsidRPr="00ED72FA">
        <w:rPr>
          <w:lang w:val="es-ES_tradnl"/>
        </w:rPr>
        <w:t xml:space="preserve"> las recomendaciones del</w:t>
      </w:r>
      <w:r>
        <w:rPr>
          <w:lang w:val="es-ES_tradnl"/>
        </w:rPr>
        <w:t xml:space="preserve"> Fondo Monetario Internacional</w:t>
      </w:r>
      <w:r w:rsidRPr="00ED72FA">
        <w:rPr>
          <w:lang w:val="es-ES_tradnl"/>
        </w:rPr>
        <w:t xml:space="preserve"> </w:t>
      </w:r>
      <w:r>
        <w:rPr>
          <w:lang w:val="es-ES_tradnl"/>
        </w:rPr>
        <w:t>(</w:t>
      </w:r>
      <w:r w:rsidRPr="00ED72FA">
        <w:rPr>
          <w:lang w:val="es-ES_tradnl"/>
        </w:rPr>
        <w:t>FMI</w:t>
      </w:r>
      <w:r>
        <w:rPr>
          <w:lang w:val="es-ES_tradnl"/>
        </w:rPr>
        <w:t>)</w:t>
      </w:r>
      <w:r w:rsidRPr="00ED72FA">
        <w:rPr>
          <w:lang w:val="es-ES_tradnl"/>
        </w:rPr>
        <w:t>,</w:t>
      </w:r>
      <w:r>
        <w:rPr>
          <w:lang w:val="es-ES_tradnl"/>
        </w:rPr>
        <w:t xml:space="preserve"> de</w:t>
      </w:r>
      <w:r w:rsidRPr="00ED72FA">
        <w:rPr>
          <w:lang w:val="es-ES_tradnl"/>
        </w:rPr>
        <w:t xml:space="preserve"> </w:t>
      </w:r>
      <w:r>
        <w:rPr>
          <w:lang w:val="es-ES_tradnl"/>
        </w:rPr>
        <w:t xml:space="preserve">conformidad </w:t>
      </w:r>
      <w:r w:rsidR="00313872">
        <w:rPr>
          <w:lang w:val="es-ES_tradnl"/>
        </w:rPr>
        <w:t>con</w:t>
      </w:r>
      <w:r w:rsidRPr="00ED72FA">
        <w:rPr>
          <w:lang w:val="es-ES_tradnl"/>
        </w:rPr>
        <w:t xml:space="preserve"> la evaluación formal sobre transparencia fiscal</w:t>
      </w:r>
      <w:r>
        <w:rPr>
          <w:lang w:val="es-ES_tradnl"/>
        </w:rPr>
        <w:t xml:space="preserve"> que realizó en el país, entre marzo y abril de</w:t>
      </w:r>
      <w:r w:rsidRPr="00ED72FA">
        <w:rPr>
          <w:lang w:val="es-ES_tradnl"/>
        </w:rPr>
        <w:t xml:space="preserve"> 2016. De esa cuenta desde el año 2017 se incluye como una separata </w:t>
      </w:r>
      <w:r>
        <w:rPr>
          <w:lang w:val="es-ES_tradnl"/>
        </w:rPr>
        <w:t>que integra el</w:t>
      </w:r>
      <w:r w:rsidRPr="00ED72FA">
        <w:rPr>
          <w:lang w:val="es-ES_tradnl"/>
        </w:rPr>
        <w:t xml:space="preserve"> Proyecto de Presupuesto</w:t>
      </w:r>
      <w:r>
        <w:rPr>
          <w:lang w:val="es-ES_tradnl"/>
        </w:rPr>
        <w:t xml:space="preserve"> General de Ingresos y Egresos del Estado,</w:t>
      </w:r>
      <w:r w:rsidRPr="00ED72FA">
        <w:rPr>
          <w:lang w:val="es-ES_tradnl"/>
        </w:rPr>
        <w:t xml:space="preserve"> </w:t>
      </w:r>
      <w:r>
        <w:rPr>
          <w:lang w:val="es-ES_tradnl"/>
        </w:rPr>
        <w:t>un</w:t>
      </w:r>
      <w:r w:rsidRPr="00ED72FA">
        <w:rPr>
          <w:lang w:val="es-ES_tradnl"/>
        </w:rPr>
        <w:t xml:space="preserve"> informe </w:t>
      </w:r>
      <w:r>
        <w:rPr>
          <w:lang w:val="es-ES_tradnl"/>
        </w:rPr>
        <w:t>sobre</w:t>
      </w:r>
      <w:r w:rsidRPr="00ED72FA">
        <w:rPr>
          <w:lang w:val="es-ES_tradnl"/>
        </w:rPr>
        <w:t xml:space="preserve"> los principales riesgos fiscales</w:t>
      </w:r>
      <w:r>
        <w:rPr>
          <w:lang w:val="es-ES_tradnl"/>
        </w:rPr>
        <w:t xml:space="preserve"> que pudieran afectar las finanzas del Estado</w:t>
      </w:r>
      <w:r w:rsidRPr="00ED72FA">
        <w:rPr>
          <w:lang w:val="es-ES_tradnl"/>
        </w:rPr>
        <w:t>.</w:t>
      </w:r>
    </w:p>
    <w:p w:rsidR="00B268AB" w:rsidRDefault="00B268AB" w:rsidP="00C7403B">
      <w:pPr>
        <w:rPr>
          <w:rFonts w:eastAsia="Calibri"/>
          <w:lang w:val="es-GT" w:eastAsia="en-US" w:bidi="en-US"/>
        </w:rPr>
      </w:pPr>
    </w:p>
    <w:p w:rsidR="00B268AB" w:rsidRDefault="00B268AB" w:rsidP="00B268AB">
      <w:pPr>
        <w:jc w:val="both"/>
        <w:rPr>
          <w:lang w:val="es-ES_tradnl"/>
        </w:rPr>
      </w:pPr>
      <w:r w:rsidRPr="00ED72FA">
        <w:rPr>
          <w:lang w:val="es-ES_tradnl"/>
        </w:rPr>
        <w:t xml:space="preserve">La inclusión del análisis </w:t>
      </w:r>
      <w:r>
        <w:rPr>
          <w:lang w:val="es-ES_tradnl"/>
        </w:rPr>
        <w:t xml:space="preserve">en </w:t>
      </w:r>
      <w:r w:rsidRPr="00ED72FA">
        <w:rPr>
          <w:lang w:val="es-ES_tradnl"/>
        </w:rPr>
        <w:t xml:space="preserve">la </w:t>
      </w:r>
      <w:r>
        <w:rPr>
          <w:lang w:val="es-ES_tradnl"/>
        </w:rPr>
        <w:t>g</w:t>
      </w:r>
      <w:r w:rsidRPr="00ED72FA">
        <w:rPr>
          <w:lang w:val="es-ES_tradnl"/>
        </w:rPr>
        <w:t xml:space="preserve">estión de </w:t>
      </w:r>
      <w:r>
        <w:rPr>
          <w:lang w:val="es-ES_tradnl"/>
        </w:rPr>
        <w:t>r</w:t>
      </w:r>
      <w:r w:rsidRPr="00ED72FA">
        <w:rPr>
          <w:lang w:val="es-ES_tradnl"/>
        </w:rPr>
        <w:t xml:space="preserve">iesgos </w:t>
      </w:r>
      <w:r>
        <w:rPr>
          <w:lang w:val="es-ES_tradnl"/>
        </w:rPr>
        <w:t>f</w:t>
      </w:r>
      <w:r w:rsidRPr="00ED72FA">
        <w:rPr>
          <w:lang w:val="es-ES_tradnl"/>
        </w:rPr>
        <w:t xml:space="preserve">iscales ha adquirido </w:t>
      </w:r>
      <w:r>
        <w:rPr>
          <w:lang w:val="es-ES_tradnl"/>
        </w:rPr>
        <w:t>vital</w:t>
      </w:r>
      <w:r w:rsidRPr="00ED72FA">
        <w:rPr>
          <w:lang w:val="es-ES_tradnl"/>
        </w:rPr>
        <w:t xml:space="preserve"> importancia durante los últimos años, pues el impacto de la globalización, de las incidencias del comercio internacional, la volatilidad de los mercados financieros, el creciente proteccionismo comercial liderado por las principales potencias económicas, la vulnerabilidad de las economías ante desastres climatológicos, los pasivos laborales, </w:t>
      </w:r>
      <w:r>
        <w:rPr>
          <w:lang w:val="es-ES_tradnl"/>
        </w:rPr>
        <w:t xml:space="preserve">entre otros, </w:t>
      </w:r>
      <w:r w:rsidRPr="00ED72FA">
        <w:rPr>
          <w:lang w:val="es-ES_tradnl"/>
        </w:rPr>
        <w:t xml:space="preserve">son la muestra de una gama de variables que afectan las economías, </w:t>
      </w:r>
      <w:r>
        <w:rPr>
          <w:lang w:val="es-ES_tradnl"/>
        </w:rPr>
        <w:t xml:space="preserve">así como </w:t>
      </w:r>
      <w:r w:rsidRPr="00ED72FA">
        <w:rPr>
          <w:lang w:val="es-ES_tradnl"/>
        </w:rPr>
        <w:t>la evolución de las finanzas y la sostenibilidad de la deuda</w:t>
      </w:r>
      <w:r>
        <w:rPr>
          <w:lang w:val="es-ES_tradnl"/>
        </w:rPr>
        <w:t xml:space="preserve"> pública,</w:t>
      </w:r>
      <w:r w:rsidRPr="00ED72FA">
        <w:rPr>
          <w:lang w:val="es-ES_tradnl"/>
        </w:rPr>
        <w:t xml:space="preserve"> sobre todo en el mediano y largo plazos. Sobre esta visión, tal como lo indica la </w:t>
      </w:r>
      <w:r>
        <w:rPr>
          <w:lang w:val="es-ES_tradnl"/>
        </w:rPr>
        <w:t>Organización para la Cooperación y Desarrollo Económicos (OCDE)</w:t>
      </w:r>
      <w:r w:rsidRPr="00ED72FA">
        <w:rPr>
          <w:lang w:val="es-ES_tradnl"/>
        </w:rPr>
        <w:t>, es importante la evaluación del impacto de eventos que tienen el potencial de alterar los datos efectivos de las variables fiscales con relación a sus valores proyectados. Los riesgos fiscales pueden tener impactos significativos sobre el resultado fiscal, es decir</w:t>
      </w:r>
      <w:r>
        <w:rPr>
          <w:lang w:val="es-ES_tradnl"/>
        </w:rPr>
        <w:t>,</w:t>
      </w:r>
      <w:r w:rsidRPr="00ED72FA">
        <w:rPr>
          <w:lang w:val="es-ES_tradnl"/>
        </w:rPr>
        <w:t xml:space="preserve"> el superávit o déficit del sector público, e impactar </w:t>
      </w:r>
      <w:r>
        <w:rPr>
          <w:lang w:val="es-ES_tradnl"/>
        </w:rPr>
        <w:t xml:space="preserve">en </w:t>
      </w:r>
      <w:r w:rsidRPr="00ED72FA">
        <w:rPr>
          <w:lang w:val="es-ES_tradnl"/>
        </w:rPr>
        <w:t>las necesidades de financiamiento.</w:t>
      </w:r>
    </w:p>
    <w:p w:rsidR="00B268AB" w:rsidRDefault="00B268AB" w:rsidP="00B268AB">
      <w:pPr>
        <w:jc w:val="both"/>
        <w:rPr>
          <w:lang w:val="es-ES_tradnl"/>
        </w:rPr>
      </w:pPr>
    </w:p>
    <w:p w:rsidR="00B268AB" w:rsidRDefault="00B268AB" w:rsidP="00E92E1D">
      <w:pPr>
        <w:jc w:val="both"/>
        <w:rPr>
          <w:rFonts w:eastAsia="Calibri"/>
          <w:lang w:val="es-GT" w:eastAsia="en-US" w:bidi="en-US"/>
        </w:rPr>
      </w:pPr>
      <w:r w:rsidRPr="00C563F6">
        <w:rPr>
          <w:lang w:val="es-ES_tradnl"/>
        </w:rPr>
        <w:t>En este sentido</w:t>
      </w:r>
      <w:r>
        <w:rPr>
          <w:lang w:val="es-ES_tradnl"/>
        </w:rPr>
        <w:t>,</w:t>
      </w:r>
      <w:r w:rsidRPr="00C563F6">
        <w:rPr>
          <w:lang w:val="es-ES_tradnl"/>
        </w:rPr>
        <w:t xml:space="preserve"> el Ministerio de Finanzas Públicas ha avanzado durante los últimos años en la inclusión de este tipo de análisis ya que se ha considerado la importancia de un adecuado manejo </w:t>
      </w:r>
      <w:r>
        <w:rPr>
          <w:lang w:val="es-ES_tradnl"/>
        </w:rPr>
        <w:t>en</w:t>
      </w:r>
      <w:r w:rsidRPr="00C563F6">
        <w:rPr>
          <w:lang w:val="es-ES_tradnl"/>
        </w:rPr>
        <w:t xml:space="preserve"> la gestión de riesgos, </w:t>
      </w:r>
      <w:r>
        <w:rPr>
          <w:lang w:val="es-ES_tradnl"/>
        </w:rPr>
        <w:t>específicamente</w:t>
      </w:r>
      <w:r w:rsidRPr="00C563F6">
        <w:rPr>
          <w:lang w:val="es-ES_tradnl"/>
        </w:rPr>
        <w:t xml:space="preserve"> en la identificación de los riesgos fiscales, incluyendo la cuantificación de sus posibles impactos. Ello implica la inclusión de medidas de política orientadas a mitigar los </w:t>
      </w:r>
      <w:r>
        <w:rPr>
          <w:lang w:val="es-ES_tradnl"/>
        </w:rPr>
        <w:t>mismos</w:t>
      </w:r>
      <w:r w:rsidRPr="00C563F6">
        <w:rPr>
          <w:lang w:val="es-ES_tradnl"/>
        </w:rPr>
        <w:t xml:space="preserve"> y la creación de instrumentos orientados a facilitar la toma de decisiones y previsiones para cubrir sus potenciales costos o para aceptarlo</w:t>
      </w:r>
      <w:r>
        <w:rPr>
          <w:lang w:val="es-ES_tradnl"/>
        </w:rPr>
        <w:t>s</w:t>
      </w:r>
      <w:r w:rsidRPr="00C563F6">
        <w:rPr>
          <w:lang w:val="es-ES_tradnl"/>
        </w:rPr>
        <w:t xml:space="preserve"> y acomodarlo</w:t>
      </w:r>
      <w:r>
        <w:rPr>
          <w:lang w:val="es-ES_tradnl"/>
        </w:rPr>
        <w:t>s</w:t>
      </w:r>
      <w:r w:rsidRPr="00C563F6">
        <w:rPr>
          <w:lang w:val="es-ES_tradnl"/>
        </w:rPr>
        <w:t>. La importancia radica en la identificación de medidas de mitigación de riesgos fiscales</w:t>
      </w:r>
      <w:r>
        <w:rPr>
          <w:lang w:val="es-ES_tradnl"/>
        </w:rPr>
        <w:t>,</w:t>
      </w:r>
      <w:r w:rsidRPr="00C563F6">
        <w:rPr>
          <w:lang w:val="es-ES_tradnl"/>
        </w:rPr>
        <w:t xml:space="preserve"> tales como</w:t>
      </w:r>
      <w:r>
        <w:rPr>
          <w:lang w:val="es-ES_tradnl"/>
        </w:rPr>
        <w:t>,</w:t>
      </w:r>
      <w:r w:rsidRPr="00C563F6">
        <w:rPr>
          <w:lang w:val="es-ES_tradnl"/>
        </w:rPr>
        <w:t xml:space="preserve"> controles directos o los límites de exposición, elaboración de estrategias para la gestión de riesgos financieros, regulaciones, y otras medidas y mecanismos para transferir</w:t>
      </w:r>
      <w:r>
        <w:rPr>
          <w:lang w:val="es-ES_tradnl"/>
        </w:rPr>
        <w:t>, mitigar</w:t>
      </w:r>
      <w:r w:rsidRPr="00C563F6">
        <w:rPr>
          <w:lang w:val="es-ES_tradnl"/>
        </w:rPr>
        <w:t xml:space="preserve"> o compartir </w:t>
      </w:r>
      <w:r>
        <w:rPr>
          <w:lang w:val="es-ES_tradnl"/>
        </w:rPr>
        <w:t>los</w:t>
      </w:r>
      <w:r w:rsidRPr="00C563F6">
        <w:rPr>
          <w:lang w:val="es-ES_tradnl"/>
        </w:rPr>
        <w:t xml:space="preserve"> riesgo</w:t>
      </w:r>
      <w:r>
        <w:rPr>
          <w:lang w:val="es-ES_tradnl"/>
        </w:rPr>
        <w:t>s.</w:t>
      </w:r>
    </w:p>
    <w:p w:rsidR="00B268AB" w:rsidRDefault="00B268AB" w:rsidP="00C7403B">
      <w:pPr>
        <w:rPr>
          <w:rFonts w:eastAsia="Calibri"/>
          <w:lang w:val="es-GT" w:eastAsia="en-US" w:bidi="en-US"/>
        </w:rPr>
      </w:pPr>
    </w:p>
    <w:p w:rsidR="00C7403B" w:rsidRDefault="00C7403B" w:rsidP="00C7403B">
      <w:pPr>
        <w:pStyle w:val="Sinespaciado"/>
        <w:jc w:val="both"/>
        <w:rPr>
          <w:rFonts w:ascii="Times New Roman" w:hAnsi="Times New Roman" w:cs="Times New Roman"/>
          <w:lang w:val="es-MX"/>
        </w:rPr>
      </w:pPr>
    </w:p>
    <w:p w:rsidR="00365D39" w:rsidRPr="00B82BE9" w:rsidRDefault="00B82BE9" w:rsidP="00B82BE9">
      <w:pPr>
        <w:pStyle w:val="Ttulo2"/>
        <w:rPr>
          <w:rFonts w:ascii="Times New Roman" w:eastAsia="Calibri" w:hAnsi="Times New Roman"/>
          <w:color w:val="auto"/>
          <w:sz w:val="24"/>
          <w:szCs w:val="24"/>
          <w:lang w:val="es-GT" w:eastAsia="en-US" w:bidi="en-US"/>
        </w:rPr>
      </w:pPr>
      <w:bookmarkStart w:id="51" w:name="_Toc65826771"/>
      <w:r w:rsidRPr="00B82BE9">
        <w:rPr>
          <w:rFonts w:ascii="Times New Roman" w:eastAsia="Calibri" w:hAnsi="Times New Roman"/>
          <w:color w:val="auto"/>
          <w:sz w:val="24"/>
          <w:szCs w:val="24"/>
          <w:lang w:val="es-GT" w:eastAsia="en-US" w:bidi="en-US"/>
        </w:rPr>
        <w:t>Estrategia de Transparencia Fiscal del Ministerio de Finanzas Públicas</w:t>
      </w:r>
      <w:bookmarkEnd w:id="51"/>
    </w:p>
    <w:p w:rsidR="00365D39" w:rsidRDefault="00365D39" w:rsidP="00C7403B">
      <w:pPr>
        <w:pStyle w:val="Sinespaciado"/>
        <w:jc w:val="both"/>
        <w:rPr>
          <w:rFonts w:ascii="Times New Roman" w:hAnsi="Times New Roman" w:cs="Times New Roman"/>
          <w:lang w:val="es-MX"/>
        </w:rPr>
      </w:pPr>
    </w:p>
    <w:p w:rsidR="00B82BE9" w:rsidRPr="00B82BE9" w:rsidRDefault="00B82BE9" w:rsidP="00B82BE9">
      <w:pPr>
        <w:pStyle w:val="Sinespaciado"/>
        <w:jc w:val="both"/>
        <w:rPr>
          <w:rFonts w:ascii="Times New Roman" w:hAnsi="Times New Roman" w:cs="Times New Roman"/>
          <w:lang w:val="es-MX"/>
        </w:rPr>
      </w:pPr>
      <w:r w:rsidRPr="00B82BE9">
        <w:rPr>
          <w:rFonts w:ascii="Times New Roman" w:hAnsi="Times New Roman" w:cs="Times New Roman"/>
          <w:lang w:val="es-MX"/>
        </w:rPr>
        <w:t>La importancia de que exista una estrategia de transparencia fiscal que sirva de marco referencial en la administración financiera, radica en que, por un lado, se genera la cultura de rendición de cuentas a la población, por las medidas y acciones realizadas en la gestión pública; y por otro, se contribuye con la prevención de la corrupción, con lo cual se influye en mejorar las condiciones que favorecen entre otros aspectos, la gobernanza, tributación, inversión, clima de negocios, así como una mayor armonización entre las políticas económica y social que redunden en beneficio de la población en general, sin descartar que a nivel internacional favorece el posicionamiento del país en áreas como el comercio, la inversión extranjera y la cooperación técnica y financiera.</w:t>
      </w:r>
    </w:p>
    <w:p w:rsidR="00B82BE9" w:rsidRPr="00B82BE9" w:rsidRDefault="00B82BE9" w:rsidP="00B82BE9">
      <w:pPr>
        <w:pStyle w:val="Sinespaciado"/>
        <w:jc w:val="both"/>
        <w:rPr>
          <w:rFonts w:ascii="Times New Roman" w:hAnsi="Times New Roman" w:cs="Times New Roman"/>
          <w:lang w:val="es-MX"/>
        </w:rPr>
      </w:pPr>
    </w:p>
    <w:p w:rsidR="00B82BE9" w:rsidRDefault="00B82BE9" w:rsidP="00B82BE9">
      <w:pPr>
        <w:pStyle w:val="Sinespaciado"/>
        <w:jc w:val="both"/>
        <w:rPr>
          <w:rFonts w:ascii="Times New Roman" w:hAnsi="Times New Roman" w:cs="Times New Roman"/>
          <w:lang w:val="es-MX"/>
        </w:rPr>
      </w:pPr>
      <w:r w:rsidRPr="00B82BE9">
        <w:rPr>
          <w:rFonts w:ascii="Times New Roman" w:hAnsi="Times New Roman" w:cs="Times New Roman"/>
          <w:lang w:val="es-MX"/>
        </w:rPr>
        <w:t xml:space="preserve">En ese sentido, </w:t>
      </w:r>
      <w:r w:rsidR="00376DEE">
        <w:rPr>
          <w:rFonts w:ascii="Times New Roman" w:hAnsi="Times New Roman" w:cs="Times New Roman"/>
          <w:lang w:val="es-MX"/>
        </w:rPr>
        <w:t xml:space="preserve">durante el 2020 se continuó con la implementación de las acciones contenidas en la </w:t>
      </w:r>
      <w:r w:rsidRPr="00B82BE9">
        <w:rPr>
          <w:rFonts w:ascii="Times New Roman" w:hAnsi="Times New Roman" w:cs="Times New Roman"/>
          <w:lang w:val="es-MX"/>
        </w:rPr>
        <w:t>Estrategia de Transparencia Fiscal del Ministerio de Finanzas Públicas</w:t>
      </w:r>
      <w:r w:rsidR="00376DEE">
        <w:rPr>
          <w:rFonts w:ascii="Times New Roman" w:hAnsi="Times New Roman" w:cs="Times New Roman"/>
          <w:lang w:val="es-MX"/>
        </w:rPr>
        <w:t>, ya que</w:t>
      </w:r>
      <w:r w:rsidRPr="00B82BE9">
        <w:rPr>
          <w:rFonts w:ascii="Times New Roman" w:hAnsi="Times New Roman" w:cs="Times New Roman"/>
          <w:lang w:val="es-MX"/>
        </w:rPr>
        <w:t xml:space="preserve"> permite a la ciudadanía obtener el conocimiento de las finanzas públicas del país así como su dinámica, toda vez que el alcance y limitación de los recursos públicos son determinantes para que el gobierno y sus instituciones puedan atender las diversas demandas de bienes y servicios por parte de la población guatemalteca. Por otro lado, la administración de los recursos del Estado constituye en sí misma, una responsabilidad por la cual los funcionarios en los distintos niveles de la administración pública, han de rendir cuentas como parte de la ética en el manejo y gestión pública.</w:t>
      </w:r>
    </w:p>
    <w:p w:rsidR="00B82BE9" w:rsidRDefault="00B82BE9" w:rsidP="00C7403B">
      <w:pPr>
        <w:pStyle w:val="Sinespaciado"/>
        <w:jc w:val="both"/>
        <w:rPr>
          <w:rFonts w:ascii="Times New Roman" w:hAnsi="Times New Roman" w:cs="Times New Roman"/>
          <w:lang w:val="es-MX"/>
        </w:rPr>
      </w:pPr>
    </w:p>
    <w:p w:rsidR="00313019" w:rsidRDefault="00313019" w:rsidP="00C7403B">
      <w:pPr>
        <w:pStyle w:val="Sinespaciado"/>
        <w:jc w:val="both"/>
        <w:rPr>
          <w:rFonts w:ascii="Times New Roman" w:hAnsi="Times New Roman" w:cs="Times New Roman"/>
          <w:lang w:val="es-MX"/>
        </w:rPr>
      </w:pPr>
    </w:p>
    <w:p w:rsidR="00313019" w:rsidRPr="00B25D87" w:rsidRDefault="00313019" w:rsidP="00313019">
      <w:pPr>
        <w:jc w:val="both"/>
        <w:rPr>
          <w:rFonts w:eastAsia="Calibri"/>
          <w:lang w:val="es-GT" w:eastAsia="en-US" w:bidi="en-US"/>
        </w:rPr>
      </w:pPr>
      <w:r>
        <w:rPr>
          <w:rFonts w:eastAsia="Calibri"/>
          <w:lang w:val="es-GT" w:eastAsia="en-US" w:bidi="en-US"/>
        </w:rPr>
        <w:t xml:space="preserve">Por último, </w:t>
      </w:r>
      <w:r w:rsidRPr="00B25D87">
        <w:rPr>
          <w:rFonts w:eastAsia="Calibri"/>
          <w:lang w:val="es-GT" w:eastAsia="en-US" w:bidi="en-US"/>
        </w:rPr>
        <w:t>se continúa trabajando en diversas iniciativas</w:t>
      </w:r>
      <w:r>
        <w:rPr>
          <w:rFonts w:eastAsia="Calibri"/>
          <w:lang w:val="es-GT" w:eastAsia="en-US" w:bidi="en-US"/>
        </w:rPr>
        <w:t xml:space="preserve"> y mecanismos de transparencia y participación ciudadana </w:t>
      </w:r>
      <w:r w:rsidRPr="00B25D87">
        <w:rPr>
          <w:rFonts w:eastAsia="Calibri"/>
          <w:lang w:val="es-GT" w:eastAsia="en-US" w:bidi="en-US"/>
        </w:rPr>
        <w:t>que evalúan la situación del país comparada con determinados parámetros y estándares que recomiendan las buenas prácticas internacionales, tales como:</w:t>
      </w:r>
    </w:p>
    <w:p w:rsidR="00313019" w:rsidRPr="00B25D87" w:rsidRDefault="00313019" w:rsidP="00313019">
      <w:pPr>
        <w:jc w:val="both"/>
        <w:rPr>
          <w:rFonts w:eastAsia="Calibri"/>
          <w:lang w:val="es-GT" w:eastAsia="en-US" w:bidi="en-US"/>
        </w:rPr>
      </w:pPr>
    </w:p>
    <w:p w:rsidR="00313019" w:rsidRDefault="00313019" w:rsidP="00313019">
      <w:pPr>
        <w:ind w:left="709" w:hanging="709"/>
        <w:jc w:val="both"/>
        <w:rPr>
          <w:rFonts w:eastAsia="Calibri"/>
          <w:lang w:val="es-GT" w:eastAsia="en-US" w:bidi="en-US"/>
        </w:rPr>
      </w:pPr>
      <w:r w:rsidRPr="00B25D87">
        <w:rPr>
          <w:rFonts w:eastAsia="Calibri"/>
          <w:lang w:val="es-GT" w:eastAsia="en-US" w:bidi="en-US"/>
        </w:rPr>
        <w:t>•</w:t>
      </w:r>
      <w:r w:rsidRPr="00B25D87">
        <w:rPr>
          <w:rFonts w:eastAsia="Calibri"/>
          <w:lang w:val="es-GT" w:eastAsia="en-US" w:bidi="en-US"/>
        </w:rPr>
        <w:tab/>
        <w:t>Informe PEFA (Public Expenditures and Financial Accountability) que evalúa la gestión de las finanzas públicas y la rendición de cuentas.</w:t>
      </w:r>
    </w:p>
    <w:p w:rsidR="00313019" w:rsidRPr="004E438A" w:rsidRDefault="00313019" w:rsidP="00313019">
      <w:pPr>
        <w:ind w:left="709" w:hanging="709"/>
        <w:jc w:val="both"/>
        <w:rPr>
          <w:rFonts w:eastAsia="Calibri"/>
          <w:sz w:val="14"/>
          <w:lang w:val="es-GT" w:eastAsia="en-US" w:bidi="en-US"/>
        </w:rPr>
      </w:pPr>
    </w:p>
    <w:p w:rsidR="00313019" w:rsidRDefault="00313019" w:rsidP="00313019">
      <w:pPr>
        <w:ind w:left="709" w:hanging="709"/>
        <w:jc w:val="both"/>
        <w:rPr>
          <w:rFonts w:eastAsia="Calibri"/>
          <w:lang w:val="es-GT" w:eastAsia="en-US" w:bidi="en-US"/>
        </w:rPr>
      </w:pPr>
      <w:r w:rsidRPr="00B25D87">
        <w:rPr>
          <w:rFonts w:eastAsia="Calibri"/>
          <w:lang w:val="es-GT" w:eastAsia="en-US" w:bidi="en-US"/>
        </w:rPr>
        <w:t>•</w:t>
      </w:r>
      <w:r w:rsidRPr="00B25D87">
        <w:rPr>
          <w:rFonts w:eastAsia="Calibri"/>
          <w:lang w:val="es-GT" w:eastAsia="en-US" w:bidi="en-US"/>
        </w:rPr>
        <w:tab/>
        <w:t>Índice de Percepción de la Corrupción (IPC) que evalúa</w:t>
      </w:r>
      <w:r>
        <w:rPr>
          <w:rFonts w:eastAsia="Calibri"/>
          <w:lang w:val="es-GT" w:eastAsia="en-US" w:bidi="en-US"/>
        </w:rPr>
        <w:t>,</w:t>
      </w:r>
      <w:r w:rsidRPr="00B25D87">
        <w:rPr>
          <w:rFonts w:eastAsia="Calibri"/>
          <w:lang w:val="es-GT" w:eastAsia="en-US" w:bidi="en-US"/>
        </w:rPr>
        <w:t xml:space="preserve"> con base en la opinión de expertos, la percepción de la corrupción en el país.</w:t>
      </w:r>
    </w:p>
    <w:p w:rsidR="00313019" w:rsidRDefault="00313019" w:rsidP="00313019">
      <w:pPr>
        <w:ind w:left="709" w:hanging="709"/>
        <w:jc w:val="both"/>
        <w:rPr>
          <w:rFonts w:eastAsia="Calibri"/>
          <w:sz w:val="14"/>
          <w:lang w:val="es-GT" w:eastAsia="en-US" w:bidi="en-US"/>
        </w:rPr>
      </w:pPr>
    </w:p>
    <w:p w:rsidR="00BC2EC7" w:rsidRDefault="00BC2EC7" w:rsidP="00313019">
      <w:pPr>
        <w:ind w:left="709" w:hanging="709"/>
        <w:jc w:val="both"/>
        <w:rPr>
          <w:rFonts w:eastAsia="Calibri"/>
          <w:sz w:val="14"/>
          <w:lang w:val="es-GT" w:eastAsia="en-US" w:bidi="en-US"/>
        </w:rPr>
      </w:pPr>
    </w:p>
    <w:p w:rsidR="00BC2EC7" w:rsidRPr="004E438A" w:rsidRDefault="00BC2EC7" w:rsidP="00313019">
      <w:pPr>
        <w:ind w:left="709" w:hanging="709"/>
        <w:jc w:val="both"/>
        <w:rPr>
          <w:rFonts w:eastAsia="Calibri"/>
          <w:sz w:val="14"/>
          <w:lang w:val="es-GT" w:eastAsia="en-US" w:bidi="en-US"/>
        </w:rPr>
      </w:pPr>
    </w:p>
    <w:p w:rsidR="00313019" w:rsidRDefault="00313019" w:rsidP="00313019">
      <w:pPr>
        <w:ind w:left="709" w:hanging="709"/>
        <w:jc w:val="both"/>
        <w:rPr>
          <w:rFonts w:eastAsia="Calibri"/>
          <w:lang w:val="es-GT" w:eastAsia="en-US" w:bidi="en-US"/>
        </w:rPr>
      </w:pPr>
      <w:r w:rsidRPr="00B25D87">
        <w:rPr>
          <w:rFonts w:eastAsia="Calibri"/>
          <w:lang w:val="es-GT" w:eastAsia="en-US" w:bidi="en-US"/>
        </w:rPr>
        <w:t>•</w:t>
      </w:r>
      <w:r w:rsidRPr="00B25D87">
        <w:rPr>
          <w:rFonts w:eastAsia="Calibri"/>
          <w:lang w:val="es-GT" w:eastAsia="en-US" w:bidi="en-US"/>
        </w:rPr>
        <w:tab/>
        <w:t xml:space="preserve">Iniciativa Global </w:t>
      </w:r>
      <w:r>
        <w:rPr>
          <w:rFonts w:eastAsia="Calibri"/>
          <w:lang w:val="es-GT" w:eastAsia="en-US" w:bidi="en-US"/>
        </w:rPr>
        <w:t>para la</w:t>
      </w:r>
      <w:r w:rsidRPr="00B25D87">
        <w:rPr>
          <w:rFonts w:eastAsia="Calibri"/>
          <w:lang w:val="es-GT" w:eastAsia="en-US" w:bidi="en-US"/>
        </w:rPr>
        <w:t xml:space="preserve"> Transparencia Fiscal (GIFT),</w:t>
      </w:r>
      <w:r w:rsidR="00376DEE">
        <w:rPr>
          <w:rFonts w:eastAsia="Calibri"/>
          <w:lang w:val="es-GT" w:eastAsia="en-US" w:bidi="en-US"/>
        </w:rPr>
        <w:t xml:space="preserve"> que formula los Principios Básicos de Participación Pública en la Política Fiscal</w:t>
      </w:r>
      <w:r w:rsidR="009A4590">
        <w:rPr>
          <w:rFonts w:eastAsia="Calibri"/>
          <w:lang w:val="es-GT" w:eastAsia="en-US" w:bidi="en-US"/>
        </w:rPr>
        <w:t xml:space="preserve"> y los </w:t>
      </w:r>
      <w:r w:rsidR="009A4590" w:rsidRPr="009A4590">
        <w:rPr>
          <w:rFonts w:eastAsia="Calibri"/>
          <w:lang w:val="es-GT" w:eastAsia="en-US" w:bidi="en-US"/>
        </w:rPr>
        <w:t xml:space="preserve">Principios de Alto Nivel de Transparencia Fiscal, Participación </w:t>
      </w:r>
      <w:r w:rsidR="009A4590">
        <w:rPr>
          <w:rFonts w:eastAsia="Calibri"/>
          <w:lang w:val="es-GT" w:eastAsia="en-US" w:bidi="en-US"/>
        </w:rPr>
        <w:t xml:space="preserve">Pública </w:t>
      </w:r>
      <w:r w:rsidR="009A4590" w:rsidRPr="009A4590">
        <w:rPr>
          <w:rFonts w:eastAsia="Calibri"/>
          <w:lang w:val="es-GT" w:eastAsia="en-US" w:bidi="en-US"/>
        </w:rPr>
        <w:t>y Rendición de Cuentas</w:t>
      </w:r>
      <w:r w:rsidR="00376DEE">
        <w:rPr>
          <w:rFonts w:eastAsia="Calibri"/>
          <w:lang w:val="es-GT" w:eastAsia="en-US" w:bidi="en-US"/>
        </w:rPr>
        <w:t>, bajo sus dos pilares fundamentales que es propiciar la transparencia presupuestaria y la participación ciudadana.</w:t>
      </w:r>
    </w:p>
    <w:p w:rsidR="00376DEE" w:rsidRDefault="00376DEE" w:rsidP="00313019">
      <w:pPr>
        <w:ind w:left="709" w:hanging="709"/>
        <w:jc w:val="both"/>
        <w:rPr>
          <w:rFonts w:eastAsia="Calibri"/>
          <w:lang w:val="es-GT" w:eastAsia="en-US" w:bidi="en-US"/>
        </w:rPr>
      </w:pPr>
    </w:p>
    <w:p w:rsidR="00376DEE" w:rsidRDefault="00376DEE" w:rsidP="00376DEE">
      <w:pPr>
        <w:ind w:left="709" w:hanging="709"/>
        <w:jc w:val="both"/>
        <w:rPr>
          <w:rFonts w:eastAsia="Calibri"/>
          <w:lang w:val="es-GT" w:eastAsia="en-US" w:bidi="en-US"/>
        </w:rPr>
      </w:pPr>
      <w:r w:rsidRPr="00B25D87">
        <w:rPr>
          <w:rFonts w:eastAsia="Calibri"/>
          <w:lang w:val="es-GT" w:eastAsia="en-US" w:bidi="en-US"/>
        </w:rPr>
        <w:t>•</w:t>
      </w:r>
      <w:r w:rsidRPr="00B25D87">
        <w:rPr>
          <w:rFonts w:eastAsia="Calibri"/>
          <w:lang w:val="es-GT" w:eastAsia="en-US" w:bidi="en-US"/>
        </w:rPr>
        <w:tab/>
        <w:t xml:space="preserve">Iniciativa de Transparencia en </w:t>
      </w:r>
      <w:r>
        <w:rPr>
          <w:rFonts w:eastAsia="Calibri"/>
          <w:lang w:val="es-GT" w:eastAsia="en-US" w:bidi="en-US"/>
        </w:rPr>
        <w:t>Infraestructura Pública (Co</w:t>
      </w:r>
      <w:r w:rsidRPr="00B25D87">
        <w:rPr>
          <w:rFonts w:eastAsia="Calibri"/>
          <w:lang w:val="es-GT" w:eastAsia="en-US" w:bidi="en-US"/>
        </w:rPr>
        <w:t xml:space="preserve">ST), </w:t>
      </w:r>
      <w:r w:rsidR="00314041">
        <w:rPr>
          <w:rFonts w:eastAsia="Calibri"/>
          <w:lang w:val="es-GT" w:eastAsia="en-US" w:bidi="en-US"/>
        </w:rPr>
        <w:t>la cual mediante la aplicación de una batería de 31 indicadores, evalúa y verifica el grado de transparencia en el proceso de planeación, ejecución, supervisión y liquidación de obras públicas generadoras de formación bruta de capital fijo.</w:t>
      </w:r>
    </w:p>
    <w:p w:rsidR="00376DEE" w:rsidRDefault="00376DEE" w:rsidP="00313019">
      <w:pPr>
        <w:ind w:left="709" w:hanging="709"/>
        <w:jc w:val="both"/>
        <w:rPr>
          <w:rFonts w:eastAsia="Calibri"/>
          <w:lang w:val="es-GT" w:eastAsia="en-US" w:bidi="en-US"/>
        </w:rPr>
      </w:pPr>
    </w:p>
    <w:p w:rsidR="00376DEE" w:rsidRDefault="00376DEE" w:rsidP="00093790">
      <w:pPr>
        <w:ind w:left="709" w:hanging="709"/>
        <w:jc w:val="both"/>
        <w:rPr>
          <w:rFonts w:eastAsia="Calibri"/>
          <w:lang w:val="es-GT" w:eastAsia="en-US" w:bidi="en-US"/>
        </w:rPr>
      </w:pPr>
      <w:r w:rsidRPr="00B25D87">
        <w:rPr>
          <w:rFonts w:eastAsia="Calibri"/>
          <w:lang w:val="es-GT" w:eastAsia="en-US" w:bidi="en-US"/>
        </w:rPr>
        <w:t>•</w:t>
      </w:r>
      <w:r w:rsidRPr="00B25D87">
        <w:rPr>
          <w:rFonts w:eastAsia="Calibri"/>
          <w:lang w:val="es-GT" w:eastAsia="en-US" w:bidi="en-US"/>
        </w:rPr>
        <w:tab/>
        <w:t xml:space="preserve">Iniciativa de Transparencia de las Industrias Extractivas (EITI), </w:t>
      </w:r>
      <w:r w:rsidR="00093790">
        <w:rPr>
          <w:rFonts w:eastAsia="Calibri"/>
          <w:lang w:val="es-GT" w:eastAsia="en-US" w:bidi="en-US"/>
        </w:rPr>
        <w:t xml:space="preserve">que </w:t>
      </w:r>
      <w:r w:rsidR="00093790" w:rsidRPr="00093790">
        <w:rPr>
          <w:rFonts w:eastAsia="Calibri"/>
          <w:lang w:val="es-GT" w:eastAsia="en-US" w:bidi="en-US"/>
        </w:rPr>
        <w:t>es un estándar global para promover la gestión abierta y responsable de los recursos petroleros, gasíferos y mineros</w:t>
      </w:r>
      <w:r w:rsidR="00093790">
        <w:rPr>
          <w:rFonts w:eastAsia="Calibri"/>
          <w:lang w:val="es-GT" w:eastAsia="en-US" w:bidi="en-US"/>
        </w:rPr>
        <w:t>, cuyo o</w:t>
      </w:r>
      <w:r w:rsidR="00093790" w:rsidRPr="00093790">
        <w:rPr>
          <w:rFonts w:eastAsia="Calibri"/>
          <w:lang w:val="es-GT" w:eastAsia="en-US" w:bidi="en-US"/>
        </w:rPr>
        <w:t>bjetivo es fortalecer los sistemas de gobierno y empresas, aportar información al debate público y promover el entendimiento</w:t>
      </w:r>
      <w:r w:rsidR="007E09F7">
        <w:rPr>
          <w:rFonts w:eastAsia="Calibri"/>
          <w:lang w:val="es-GT" w:eastAsia="en-US" w:bidi="en-US"/>
        </w:rPr>
        <w:t xml:space="preserve"> entre las partes</w:t>
      </w:r>
      <w:r w:rsidR="00093790" w:rsidRPr="00093790">
        <w:rPr>
          <w:rFonts w:eastAsia="Calibri"/>
          <w:lang w:val="es-GT" w:eastAsia="en-US" w:bidi="en-US"/>
        </w:rPr>
        <w:t>.</w:t>
      </w:r>
      <w:r w:rsidR="00093790">
        <w:rPr>
          <w:rFonts w:eastAsia="Calibri"/>
          <w:lang w:val="es-GT" w:eastAsia="en-US" w:bidi="en-US"/>
        </w:rPr>
        <w:t xml:space="preserve"> </w:t>
      </w:r>
      <w:r w:rsidR="00093790" w:rsidRPr="00093790">
        <w:rPr>
          <w:rFonts w:eastAsia="Calibri"/>
          <w:lang w:val="es-GT" w:eastAsia="en-US" w:bidi="en-US"/>
        </w:rPr>
        <w:t>En cada uno de los países implementadores</w:t>
      </w:r>
      <w:r w:rsidR="00093790">
        <w:rPr>
          <w:rFonts w:eastAsia="Calibri"/>
          <w:lang w:val="es-GT" w:eastAsia="en-US" w:bidi="en-US"/>
        </w:rPr>
        <w:t xml:space="preserve"> de esta iniciativa, existe el </w:t>
      </w:r>
      <w:r w:rsidR="00093790" w:rsidRPr="00093790">
        <w:rPr>
          <w:rFonts w:eastAsia="Calibri"/>
          <w:lang w:val="es-GT" w:eastAsia="en-US" w:bidi="en-US"/>
        </w:rPr>
        <w:t xml:space="preserve">respaldo </w:t>
      </w:r>
      <w:r w:rsidR="00093790">
        <w:rPr>
          <w:rFonts w:eastAsia="Calibri"/>
          <w:lang w:val="es-GT" w:eastAsia="en-US" w:bidi="en-US"/>
        </w:rPr>
        <w:t>de</w:t>
      </w:r>
      <w:r w:rsidR="00093790" w:rsidRPr="00093790">
        <w:rPr>
          <w:rFonts w:eastAsia="Calibri"/>
          <w:lang w:val="es-GT" w:eastAsia="en-US" w:bidi="en-US"/>
        </w:rPr>
        <w:t xml:space="preserve"> una coalición de gobierno, empresas y sociedad civil</w:t>
      </w:r>
      <w:r w:rsidR="00093790">
        <w:rPr>
          <w:rFonts w:eastAsia="Calibri"/>
          <w:lang w:val="es-GT" w:eastAsia="en-US" w:bidi="en-US"/>
        </w:rPr>
        <w:t xml:space="preserve"> que velan por la aplicación del e</w:t>
      </w:r>
      <w:r w:rsidR="00093790" w:rsidRPr="00093790">
        <w:rPr>
          <w:rFonts w:eastAsia="Calibri"/>
          <w:lang w:val="es-GT" w:eastAsia="en-US" w:bidi="en-US"/>
        </w:rPr>
        <w:t xml:space="preserve">stándar </w:t>
      </w:r>
      <w:r w:rsidR="00093790">
        <w:rPr>
          <w:rFonts w:eastAsia="Calibri"/>
          <w:lang w:val="es-GT" w:eastAsia="en-US" w:bidi="en-US"/>
        </w:rPr>
        <w:t>que</w:t>
      </w:r>
      <w:r w:rsidR="00093790" w:rsidRPr="00093790">
        <w:rPr>
          <w:rFonts w:eastAsia="Calibri"/>
          <w:lang w:val="es-GT" w:eastAsia="en-US" w:bidi="en-US"/>
        </w:rPr>
        <w:t xml:space="preserve"> exige a países y empresas</w:t>
      </w:r>
      <w:r w:rsidR="00093790">
        <w:rPr>
          <w:rFonts w:eastAsia="Calibri"/>
          <w:lang w:val="es-GT" w:eastAsia="en-US" w:bidi="en-US"/>
        </w:rPr>
        <w:t>,</w:t>
      </w:r>
      <w:r w:rsidR="00093790" w:rsidRPr="00093790">
        <w:rPr>
          <w:rFonts w:eastAsia="Calibri"/>
          <w:lang w:val="es-GT" w:eastAsia="en-US" w:bidi="en-US"/>
        </w:rPr>
        <w:t xml:space="preserve"> la divulgación de información sobre los pasos clave en la gobernanza de los ingresos procedentes del petróleo, gas y miner</w:t>
      </w:r>
      <w:r w:rsidR="007E09F7">
        <w:rPr>
          <w:rFonts w:eastAsia="Calibri"/>
          <w:lang w:val="es-GT" w:eastAsia="en-US" w:bidi="en-US"/>
        </w:rPr>
        <w:t>ales</w:t>
      </w:r>
      <w:r>
        <w:rPr>
          <w:rFonts w:eastAsia="Calibri"/>
          <w:lang w:val="es-GT" w:eastAsia="en-US" w:bidi="en-US"/>
        </w:rPr>
        <w:t>.</w:t>
      </w:r>
    </w:p>
    <w:p w:rsidR="00181D3E" w:rsidRDefault="00181D3E" w:rsidP="00C7403B">
      <w:pPr>
        <w:pStyle w:val="Sinespaciado"/>
        <w:jc w:val="both"/>
        <w:rPr>
          <w:rFonts w:ascii="Times New Roman" w:hAnsi="Times New Roman" w:cs="Times New Roman"/>
          <w:lang w:val="es-GT"/>
        </w:rPr>
      </w:pPr>
    </w:p>
    <w:p w:rsidR="00376DEE" w:rsidRDefault="00376DEE" w:rsidP="00376DEE">
      <w:pPr>
        <w:ind w:left="709" w:hanging="709"/>
        <w:jc w:val="both"/>
        <w:rPr>
          <w:rFonts w:eastAsia="Calibri"/>
          <w:lang w:val="es-GT" w:eastAsia="en-US" w:bidi="en-US"/>
        </w:rPr>
      </w:pPr>
      <w:r w:rsidRPr="00B25D87">
        <w:rPr>
          <w:rFonts w:eastAsia="Calibri"/>
          <w:lang w:val="es-GT" w:eastAsia="en-US" w:bidi="en-US"/>
        </w:rPr>
        <w:t>•</w:t>
      </w:r>
      <w:r w:rsidRPr="00B25D87">
        <w:rPr>
          <w:rFonts w:eastAsia="Calibri"/>
          <w:lang w:val="es-GT" w:eastAsia="en-US" w:bidi="en-US"/>
        </w:rPr>
        <w:tab/>
      </w:r>
      <w:r w:rsidR="007E09F7">
        <w:rPr>
          <w:rFonts w:eastAsia="Calibri"/>
          <w:lang w:val="es-GT" w:eastAsia="en-US" w:bidi="en-US"/>
        </w:rPr>
        <w:t xml:space="preserve">Asimismo, la República de Guatemala es signataria de la </w:t>
      </w:r>
      <w:r w:rsidRPr="00B25D87">
        <w:rPr>
          <w:rFonts w:eastAsia="Calibri"/>
          <w:lang w:val="es-GT" w:eastAsia="en-US" w:bidi="en-US"/>
        </w:rPr>
        <w:t xml:space="preserve">Convención Interamericana </w:t>
      </w:r>
      <w:r>
        <w:rPr>
          <w:rFonts w:eastAsia="Calibri"/>
          <w:lang w:val="es-GT" w:eastAsia="en-US" w:bidi="en-US"/>
        </w:rPr>
        <w:t>c</w:t>
      </w:r>
      <w:r w:rsidRPr="00B25D87">
        <w:rPr>
          <w:rFonts w:eastAsia="Calibri"/>
          <w:lang w:val="es-GT" w:eastAsia="en-US" w:bidi="en-US"/>
        </w:rPr>
        <w:t>ontra la Corrupción (</w:t>
      </w:r>
      <w:r w:rsidR="007E09F7">
        <w:rPr>
          <w:rFonts w:eastAsia="Calibri"/>
          <w:lang w:val="es-GT" w:eastAsia="en-US" w:bidi="en-US"/>
        </w:rPr>
        <w:t>CICC</w:t>
      </w:r>
      <w:r w:rsidRPr="00B25D87">
        <w:rPr>
          <w:rFonts w:eastAsia="Calibri"/>
          <w:lang w:val="es-GT" w:eastAsia="en-US" w:bidi="en-US"/>
        </w:rPr>
        <w:t>)</w:t>
      </w:r>
      <w:r w:rsidR="007E09F7">
        <w:rPr>
          <w:rFonts w:eastAsia="Calibri"/>
          <w:lang w:val="es-GT" w:eastAsia="en-US" w:bidi="en-US"/>
        </w:rPr>
        <w:t xml:space="preserve"> y de la</w:t>
      </w:r>
      <w:r>
        <w:rPr>
          <w:rFonts w:eastAsia="Calibri"/>
          <w:lang w:val="es-GT" w:eastAsia="en-US" w:bidi="en-US"/>
        </w:rPr>
        <w:t xml:space="preserve"> Convención de Naciones Unidas contra la Corrupción (CNUCC), </w:t>
      </w:r>
      <w:r w:rsidR="000956A5">
        <w:rPr>
          <w:rFonts w:eastAsia="Calibri"/>
          <w:lang w:val="es-GT" w:eastAsia="en-US" w:bidi="en-US"/>
        </w:rPr>
        <w:t xml:space="preserve">cuyos objetivos consisten en promover y fortalecer el desarrollo en cada uno de los Estados Parte, de los mecanismos necesarios para prevenir, detectar, sancionar y erradicar la corrupción, </w:t>
      </w:r>
      <w:r w:rsidRPr="00B25D87">
        <w:rPr>
          <w:rFonts w:eastAsia="Calibri"/>
          <w:lang w:val="es-GT" w:eastAsia="en-US" w:bidi="en-US"/>
        </w:rPr>
        <w:t>entre otras</w:t>
      </w:r>
      <w:r w:rsidR="000956A5">
        <w:rPr>
          <w:rFonts w:eastAsia="Calibri"/>
          <w:lang w:val="es-GT" w:eastAsia="en-US" w:bidi="en-US"/>
        </w:rPr>
        <w:t xml:space="preserve"> iniciativas y estándares internacionales de los que Guatemala forma parte</w:t>
      </w:r>
      <w:r>
        <w:rPr>
          <w:rFonts w:eastAsia="Calibri"/>
          <w:lang w:val="es-GT" w:eastAsia="en-US" w:bidi="en-US"/>
        </w:rPr>
        <w:t>.</w:t>
      </w:r>
    </w:p>
    <w:p w:rsidR="00376DEE" w:rsidRPr="00313019" w:rsidRDefault="00376DEE" w:rsidP="00C7403B">
      <w:pPr>
        <w:pStyle w:val="Sinespaciado"/>
        <w:jc w:val="both"/>
        <w:rPr>
          <w:rFonts w:ascii="Times New Roman" w:hAnsi="Times New Roman" w:cs="Times New Roman"/>
          <w:lang w:val="es-GT"/>
        </w:rPr>
      </w:pPr>
    </w:p>
    <w:p w:rsidR="00EC6694" w:rsidRDefault="00EC6694">
      <w:pPr>
        <w:rPr>
          <w:rFonts w:eastAsiaTheme="minorEastAsia"/>
          <w:lang w:val="es-MX" w:eastAsia="ja-JP"/>
        </w:rPr>
      </w:pPr>
      <w:r>
        <w:rPr>
          <w:lang w:val="es-MX"/>
        </w:rPr>
        <w:br w:type="page"/>
      </w: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4C0853" w:rsidRDefault="00EC6694" w:rsidP="00EC6694">
      <w:pPr>
        <w:jc w:val="center"/>
        <w:rPr>
          <w:b/>
          <w:sz w:val="36"/>
        </w:rPr>
      </w:pPr>
      <w:r w:rsidRPr="00EC6694">
        <w:rPr>
          <w:b/>
          <w:sz w:val="72"/>
        </w:rPr>
        <w:t>ANEXOS</w:t>
      </w:r>
    </w:p>
    <w:p w:rsidR="00EC6694" w:rsidRPr="004C0853" w:rsidRDefault="00EC6694" w:rsidP="00EC6694">
      <w:pPr>
        <w:jc w:val="center"/>
        <w:rPr>
          <w:b/>
          <w:sz w:val="36"/>
        </w:rPr>
      </w:pPr>
    </w:p>
    <w:p w:rsidR="00EC6694" w:rsidRPr="00124AD6" w:rsidRDefault="00EC6694" w:rsidP="00EC6694">
      <w:pPr>
        <w:tabs>
          <w:tab w:val="left" w:pos="142"/>
        </w:tabs>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Default="00EC6694" w:rsidP="00EC6694">
      <w:pPr>
        <w:jc w:val="center"/>
        <w:rPr>
          <w:b/>
        </w:rPr>
      </w:pPr>
    </w:p>
    <w:p w:rsidR="00EC6694" w:rsidRPr="00124AD6" w:rsidRDefault="00EC6694" w:rsidP="00EC6694">
      <w:pPr>
        <w:jc w:val="center"/>
        <w:rPr>
          <w:b/>
        </w:rPr>
      </w:pPr>
    </w:p>
    <w:p w:rsidR="00EC6694" w:rsidRPr="00124AD6" w:rsidRDefault="00EC6694" w:rsidP="00EC6694">
      <w:pPr>
        <w:rPr>
          <w:b/>
        </w:rPr>
      </w:pPr>
    </w:p>
    <w:p w:rsidR="00EC6694" w:rsidRPr="00124AD6" w:rsidRDefault="00EC6694" w:rsidP="00EC6694">
      <w:pPr>
        <w:jc w:val="center"/>
        <w:rPr>
          <w:b/>
        </w:rPr>
      </w:pPr>
    </w:p>
    <w:p w:rsidR="00EC6694" w:rsidRPr="00124AD6" w:rsidRDefault="00EC6694" w:rsidP="00EC6694">
      <w:pPr>
        <w:rPr>
          <w:b/>
        </w:rPr>
      </w:pPr>
    </w:p>
    <w:p w:rsidR="00EC6694" w:rsidRPr="00124AD6" w:rsidRDefault="00EC6694" w:rsidP="00EC6694">
      <w:pPr>
        <w:rPr>
          <w:b/>
        </w:rPr>
      </w:pPr>
    </w:p>
    <w:p w:rsidR="00EC6694" w:rsidRPr="00124AD6" w:rsidRDefault="00EC6694" w:rsidP="00EC6694">
      <w:pPr>
        <w:jc w:val="center"/>
        <w:rPr>
          <w:b/>
        </w:rPr>
      </w:pPr>
      <w:r w:rsidRPr="00124AD6">
        <w:rPr>
          <w:b/>
        </w:rPr>
        <w:t>MINISTERIO DE FINANZAS PÚBLICAS</w:t>
      </w:r>
    </w:p>
    <w:p w:rsidR="00EC6694" w:rsidRPr="00124AD6" w:rsidRDefault="00EC6694" w:rsidP="00EC6694">
      <w:pPr>
        <w:jc w:val="center"/>
        <w:rPr>
          <w:b/>
        </w:rPr>
      </w:pPr>
    </w:p>
    <w:p w:rsidR="00EC6694" w:rsidRPr="00124AD6" w:rsidRDefault="00EC6694" w:rsidP="00EC6694">
      <w:pPr>
        <w:jc w:val="center"/>
        <w:rPr>
          <w:b/>
        </w:rPr>
      </w:pPr>
      <w:r w:rsidRPr="00124AD6">
        <w:rPr>
          <w:b/>
        </w:rPr>
        <w:t xml:space="preserve">Guatemala, </w:t>
      </w:r>
      <w:r w:rsidR="00006FBB">
        <w:rPr>
          <w:b/>
        </w:rPr>
        <w:t>marzo</w:t>
      </w:r>
      <w:r>
        <w:rPr>
          <w:b/>
        </w:rPr>
        <w:t xml:space="preserve"> de 20</w:t>
      </w:r>
      <w:r w:rsidR="007D6A00">
        <w:rPr>
          <w:b/>
        </w:rPr>
        <w:t>2</w:t>
      </w:r>
      <w:r w:rsidR="00ED5EFF">
        <w:rPr>
          <w:b/>
        </w:rPr>
        <w:t>1</w:t>
      </w:r>
      <w:r>
        <w:rPr>
          <w:b/>
        </w:rPr>
        <w:t>.</w:t>
      </w:r>
    </w:p>
    <w:p w:rsidR="00EC6694" w:rsidRDefault="00EC6694" w:rsidP="00EC6694">
      <w:pPr>
        <w:jc w:val="center"/>
        <w:rPr>
          <w:b/>
        </w:rPr>
      </w:pPr>
    </w:p>
    <w:p w:rsidR="00694E7F" w:rsidRDefault="00694E7F" w:rsidP="00694E7F">
      <w:pPr>
        <w:jc w:val="center"/>
        <w:rPr>
          <w:b/>
        </w:rPr>
      </w:pPr>
      <w:r w:rsidRPr="00D108FD">
        <w:rPr>
          <w:b/>
        </w:rPr>
        <w:lastRenderedPageBreak/>
        <w:t xml:space="preserve">Ejecución Presupuestaria por </w:t>
      </w:r>
      <w:r>
        <w:rPr>
          <w:b/>
        </w:rPr>
        <w:t xml:space="preserve">Entidad y </w:t>
      </w:r>
      <w:r w:rsidRPr="00D108FD">
        <w:rPr>
          <w:b/>
        </w:rPr>
        <w:t>Programa</w:t>
      </w:r>
      <w:r>
        <w:rPr>
          <w:b/>
        </w:rPr>
        <w:t>s Institucionales</w:t>
      </w:r>
    </w:p>
    <w:p w:rsidR="00694E7F" w:rsidRDefault="00694E7F" w:rsidP="00694E7F">
      <w:pPr>
        <w:jc w:val="center"/>
        <w:rPr>
          <w:b/>
        </w:rPr>
      </w:pPr>
      <w:r w:rsidRPr="00D108FD">
        <w:rPr>
          <w:b/>
        </w:rPr>
        <w:t>Ejercicio Fiscal 20</w:t>
      </w:r>
      <w:r>
        <w:rPr>
          <w:b/>
        </w:rPr>
        <w:t>20</w:t>
      </w:r>
    </w:p>
    <w:p w:rsidR="00694E7F" w:rsidRDefault="00694E7F" w:rsidP="00694E7F">
      <w:pPr>
        <w:jc w:val="center"/>
        <w:rPr>
          <w:b/>
        </w:rPr>
      </w:pPr>
    </w:p>
    <w:p w:rsidR="00694E7F" w:rsidRDefault="00694E7F" w:rsidP="00694E7F">
      <w:pPr>
        <w:jc w:val="both"/>
        <w:rPr>
          <w:b/>
        </w:rPr>
      </w:pPr>
      <w:r w:rsidRPr="00D108FD">
        <w:rPr>
          <w:b/>
        </w:rPr>
        <w:t>Presidencia de la República</w:t>
      </w:r>
      <w:r>
        <w:rPr>
          <w:b/>
        </w:rPr>
        <w:t>:</w:t>
      </w:r>
    </w:p>
    <w:p w:rsidR="00694E7F" w:rsidRPr="00D108FD" w:rsidRDefault="00694E7F" w:rsidP="00694E7F">
      <w:pPr>
        <w:jc w:val="both"/>
        <w:rPr>
          <w:b/>
        </w:rPr>
      </w:pPr>
    </w:p>
    <w:p w:rsidR="00694E7F" w:rsidRDefault="00694E7F" w:rsidP="00694E7F">
      <w:pPr>
        <w:jc w:val="both"/>
      </w:pPr>
      <w:r>
        <w:t>Al cierre preliminar, e</w:t>
      </w:r>
      <w:r w:rsidRPr="00D108FD">
        <w:t xml:space="preserve">sta entidad tuvo un porcentaje de ejecución total del </w:t>
      </w:r>
      <w:r>
        <w:t>88.1</w:t>
      </w:r>
      <w:r w:rsidRPr="00D108FD">
        <w:t>%</w:t>
      </w:r>
      <w:r>
        <w:t xml:space="preserve"> del presupuesto aprobado al inicio de 2020.</w:t>
      </w:r>
    </w:p>
    <w:p w:rsidR="00694E7F" w:rsidRPr="00D108FD" w:rsidRDefault="00694E7F" w:rsidP="00694E7F">
      <w:pPr>
        <w:jc w:val="both"/>
      </w:pPr>
    </w:p>
    <w:p w:rsidR="00694E7F" w:rsidRDefault="00694E7F" w:rsidP="00694E7F">
      <w:pPr>
        <w:jc w:val="both"/>
      </w:pPr>
      <w:r w:rsidRPr="00D108FD">
        <w:t xml:space="preserve">El programa que </w:t>
      </w:r>
      <w:r>
        <w:t>mostró</w:t>
      </w:r>
      <w:r w:rsidRPr="00D108FD">
        <w:t xml:space="preserve"> </w:t>
      </w:r>
      <w:r>
        <w:t>el mayor gasto</w:t>
      </w:r>
      <w:r w:rsidRPr="00D108FD">
        <w:t xml:space="preserve"> fue el de “Seguridad Presidencial y Vicepresidencial” con </w:t>
      </w:r>
      <w:r>
        <w:t>Q</w:t>
      </w:r>
      <w:r w:rsidR="002221D0">
        <w:t>.</w:t>
      </w:r>
      <w:r>
        <w:t>161.8</w:t>
      </w:r>
      <w:r w:rsidRPr="00D108FD">
        <w:t xml:space="preserve"> millones</w:t>
      </w:r>
      <w:r>
        <w:t xml:space="preserve"> equivalentes al 92.1</w:t>
      </w:r>
      <w:r w:rsidRPr="00D108FD">
        <w:t>%</w:t>
      </w:r>
      <w:r>
        <w:t>, con relación al presupuesto aprobado</w:t>
      </w:r>
      <w:r w:rsidRPr="00D108FD">
        <w:t xml:space="preserve">. </w:t>
      </w:r>
      <w:r>
        <w:t xml:space="preserve">La mayor parte de los programas de esta entidad experimentaron una ejecución por debajo </w:t>
      </w:r>
      <w:r w:rsidR="002221D0">
        <w:t>de</w:t>
      </w:r>
      <w:r>
        <w:t xml:space="preserve"> lo plasmado en el presupuesto al inicio del año</w:t>
      </w:r>
      <w:r w:rsidRPr="00D108FD">
        <w:t>.</w:t>
      </w:r>
    </w:p>
    <w:p w:rsidR="00694E7F" w:rsidRPr="00D108FD" w:rsidRDefault="00694E7F" w:rsidP="00694E7F">
      <w:pPr>
        <w:jc w:val="both"/>
      </w:pPr>
    </w:p>
    <w:p w:rsidR="00694E7F" w:rsidRDefault="00694E7F" w:rsidP="00694E7F">
      <w:pPr>
        <w:jc w:val="both"/>
      </w:pPr>
      <w:r>
        <w:t>E</w:t>
      </w:r>
      <w:r w:rsidRPr="00D108FD">
        <w:t xml:space="preserve">l programa denominado “Partidas no asignables a Programas” tuvo una ejecución de </w:t>
      </w:r>
      <w:r>
        <w:t>Q</w:t>
      </w:r>
      <w:r w:rsidR="002221D0">
        <w:t>.</w:t>
      </w:r>
      <w:r w:rsidRPr="00D108FD">
        <w:t xml:space="preserve">2.4 millones, </w:t>
      </w:r>
      <w:r>
        <w:t>superior en Q</w:t>
      </w:r>
      <w:r w:rsidR="002221D0">
        <w:t>.</w:t>
      </w:r>
      <w:r>
        <w:t xml:space="preserve">1.1 millones a lo estipulado en el presupuesto aprobado </w:t>
      </w:r>
      <w:r w:rsidRPr="00D108FD">
        <w:t>con</w:t>
      </w:r>
      <w:r>
        <w:t xml:space="preserve"> un porcentaje de 187.5%.</w:t>
      </w:r>
    </w:p>
    <w:p w:rsidR="00694E7F" w:rsidRPr="00D108FD" w:rsidRDefault="00694E7F" w:rsidP="00694E7F">
      <w:pPr>
        <w:jc w:val="both"/>
      </w:pPr>
    </w:p>
    <w:tbl>
      <w:tblPr>
        <w:tblW w:w="9211" w:type="dxa"/>
        <w:jc w:val="center"/>
        <w:tblInd w:w="-882" w:type="dxa"/>
        <w:tblCellMar>
          <w:left w:w="70" w:type="dxa"/>
          <w:right w:w="70" w:type="dxa"/>
        </w:tblCellMar>
        <w:tblLook w:val="04A0" w:firstRow="1" w:lastRow="0" w:firstColumn="1" w:lastColumn="0" w:noHBand="0" w:noVBand="1"/>
      </w:tblPr>
      <w:tblGrid>
        <w:gridCol w:w="5534"/>
        <w:gridCol w:w="992"/>
        <w:gridCol w:w="889"/>
        <w:gridCol w:w="914"/>
        <w:gridCol w:w="882"/>
      </w:tblGrid>
      <w:tr w:rsidR="00694E7F" w:rsidRPr="00714472" w:rsidTr="00BC2EC7">
        <w:trPr>
          <w:trHeight w:val="301"/>
          <w:jc w:val="center"/>
        </w:trPr>
        <w:tc>
          <w:tcPr>
            <w:tcW w:w="5534"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714472" w:rsidRDefault="00694E7F" w:rsidP="00714472">
            <w:pPr>
              <w:jc w:val="center"/>
              <w:rPr>
                <w:b/>
                <w:bCs/>
                <w:color w:val="000000"/>
                <w:sz w:val="16"/>
                <w:szCs w:val="16"/>
                <w:lang w:val="es-GT" w:eastAsia="es-GT"/>
              </w:rPr>
            </w:pPr>
            <w:r w:rsidRPr="00714472">
              <w:rPr>
                <w:b/>
                <w:bCs/>
                <w:color w:val="000000"/>
                <w:sz w:val="16"/>
                <w:szCs w:val="16"/>
                <w:lang w:val="es-GT" w:eastAsia="es-GT"/>
              </w:rPr>
              <w:t>DESCRIPCION</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14472" w:rsidRDefault="00694E7F" w:rsidP="00714472">
            <w:pPr>
              <w:jc w:val="center"/>
              <w:rPr>
                <w:b/>
                <w:bCs/>
                <w:color w:val="000000"/>
                <w:sz w:val="16"/>
                <w:szCs w:val="16"/>
                <w:lang w:val="es-GT" w:eastAsia="es-GT"/>
              </w:rPr>
            </w:pPr>
            <w:r w:rsidRPr="00714472">
              <w:rPr>
                <w:b/>
                <w:bCs/>
                <w:color w:val="000000"/>
                <w:sz w:val="16"/>
                <w:szCs w:val="16"/>
                <w:lang w:val="es-GT" w:eastAsia="es-GT"/>
              </w:rPr>
              <w:t>Asignado</w:t>
            </w:r>
          </w:p>
        </w:tc>
        <w:tc>
          <w:tcPr>
            <w:tcW w:w="889"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14472" w:rsidRDefault="00694E7F" w:rsidP="00714472">
            <w:pPr>
              <w:jc w:val="center"/>
              <w:rPr>
                <w:b/>
                <w:bCs/>
                <w:color w:val="000000"/>
                <w:sz w:val="16"/>
                <w:szCs w:val="16"/>
                <w:lang w:val="es-GT" w:eastAsia="es-GT"/>
              </w:rPr>
            </w:pPr>
            <w:r w:rsidRPr="00714472">
              <w:rPr>
                <w:b/>
                <w:bCs/>
                <w:color w:val="000000"/>
                <w:sz w:val="16"/>
                <w:szCs w:val="16"/>
                <w:lang w:val="es-GT" w:eastAsia="es-GT"/>
              </w:rPr>
              <w:t>Ejecución</w:t>
            </w:r>
          </w:p>
        </w:tc>
        <w:tc>
          <w:tcPr>
            <w:tcW w:w="91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14472" w:rsidRDefault="00694E7F" w:rsidP="00714472">
            <w:pPr>
              <w:jc w:val="center"/>
              <w:rPr>
                <w:b/>
                <w:bCs/>
                <w:color w:val="000000"/>
                <w:sz w:val="16"/>
                <w:szCs w:val="16"/>
                <w:lang w:val="es-GT" w:eastAsia="es-GT"/>
              </w:rPr>
            </w:pPr>
            <w:r w:rsidRPr="00714472">
              <w:rPr>
                <w:b/>
                <w:bCs/>
                <w:color w:val="000000"/>
                <w:sz w:val="16"/>
                <w:szCs w:val="16"/>
                <w:lang w:val="es-GT" w:eastAsia="es-GT"/>
              </w:rPr>
              <w:t>Diferencias</w:t>
            </w:r>
          </w:p>
        </w:tc>
        <w:tc>
          <w:tcPr>
            <w:tcW w:w="882"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714472" w:rsidRDefault="00694E7F" w:rsidP="00714472">
            <w:pPr>
              <w:jc w:val="center"/>
              <w:rPr>
                <w:b/>
                <w:bCs/>
                <w:color w:val="000000"/>
                <w:sz w:val="16"/>
                <w:szCs w:val="16"/>
                <w:lang w:val="es-GT" w:eastAsia="es-GT"/>
              </w:rPr>
            </w:pPr>
            <w:r w:rsidRPr="00714472">
              <w:rPr>
                <w:b/>
                <w:bCs/>
                <w:color w:val="000000"/>
                <w:sz w:val="16"/>
                <w:szCs w:val="16"/>
                <w:lang w:val="es-GT" w:eastAsia="es-GT"/>
              </w:rPr>
              <w:t>% Ejec</w:t>
            </w:r>
          </w:p>
        </w:tc>
      </w:tr>
      <w:tr w:rsidR="00694E7F" w:rsidRPr="00714472" w:rsidTr="00BC2EC7">
        <w:trPr>
          <w:trHeight w:val="301"/>
          <w:jc w:val="center"/>
        </w:trPr>
        <w:tc>
          <w:tcPr>
            <w:tcW w:w="5534" w:type="dxa"/>
            <w:tcBorders>
              <w:top w:val="nil"/>
              <w:left w:val="single" w:sz="8" w:space="0" w:color="auto"/>
              <w:bottom w:val="nil"/>
              <w:right w:val="single" w:sz="4" w:space="0" w:color="auto"/>
            </w:tcBorders>
            <w:shd w:val="clear" w:color="FFFFFF" w:fill="FFFFFF"/>
            <w:noWrap/>
            <w:vAlign w:val="bottom"/>
            <w:hideMark/>
          </w:tcPr>
          <w:p w:rsidR="00694E7F" w:rsidRPr="00714472" w:rsidRDefault="00694E7F" w:rsidP="00694E7F">
            <w:pPr>
              <w:rPr>
                <w:b/>
                <w:bCs/>
                <w:color w:val="333333"/>
                <w:sz w:val="14"/>
                <w:szCs w:val="14"/>
                <w:lang w:val="es-GT" w:eastAsia="es-GT"/>
              </w:rPr>
            </w:pPr>
            <w:r w:rsidRPr="00714472">
              <w:rPr>
                <w:b/>
                <w:bCs/>
                <w:color w:val="333333"/>
                <w:sz w:val="14"/>
                <w:szCs w:val="14"/>
                <w:lang w:val="es-GT" w:eastAsia="es-GT"/>
              </w:rPr>
              <w:t>PRESIDENCIA DE LA REPÚBLICA</w:t>
            </w:r>
          </w:p>
        </w:tc>
        <w:tc>
          <w:tcPr>
            <w:tcW w:w="992"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b/>
                <w:bCs/>
                <w:color w:val="333333"/>
                <w:sz w:val="14"/>
                <w:szCs w:val="14"/>
                <w:lang w:val="es-GT" w:eastAsia="es-GT"/>
              </w:rPr>
            </w:pPr>
            <w:r w:rsidRPr="00714472">
              <w:rPr>
                <w:b/>
                <w:bCs/>
                <w:color w:val="333333"/>
                <w:sz w:val="14"/>
                <w:szCs w:val="14"/>
                <w:lang w:val="es-GT" w:eastAsia="es-GT"/>
              </w:rPr>
              <w:t>231.0</w:t>
            </w:r>
          </w:p>
        </w:tc>
        <w:tc>
          <w:tcPr>
            <w:tcW w:w="889"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b/>
                <w:bCs/>
                <w:color w:val="333333"/>
                <w:sz w:val="14"/>
                <w:szCs w:val="14"/>
                <w:lang w:val="es-GT" w:eastAsia="es-GT"/>
              </w:rPr>
            </w:pPr>
            <w:r w:rsidRPr="00714472">
              <w:rPr>
                <w:b/>
                <w:bCs/>
                <w:color w:val="333333"/>
                <w:sz w:val="14"/>
                <w:szCs w:val="14"/>
                <w:lang w:val="es-GT" w:eastAsia="es-GT"/>
              </w:rPr>
              <w:t>203.4</w:t>
            </w:r>
          </w:p>
        </w:tc>
        <w:tc>
          <w:tcPr>
            <w:tcW w:w="914"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b/>
                <w:bCs/>
                <w:color w:val="333333"/>
                <w:sz w:val="14"/>
                <w:szCs w:val="14"/>
                <w:lang w:val="es-GT" w:eastAsia="es-GT"/>
              </w:rPr>
            </w:pPr>
            <w:r w:rsidRPr="00714472">
              <w:rPr>
                <w:b/>
                <w:bCs/>
                <w:color w:val="333333"/>
                <w:sz w:val="14"/>
                <w:szCs w:val="14"/>
                <w:lang w:val="es-GT" w:eastAsia="es-GT"/>
              </w:rPr>
              <w:t>27.6</w:t>
            </w:r>
          </w:p>
        </w:tc>
        <w:tc>
          <w:tcPr>
            <w:tcW w:w="882" w:type="dxa"/>
            <w:tcBorders>
              <w:top w:val="nil"/>
              <w:left w:val="nil"/>
              <w:bottom w:val="nil"/>
              <w:right w:val="single" w:sz="8" w:space="0" w:color="auto"/>
            </w:tcBorders>
            <w:shd w:val="clear" w:color="FFFFFF" w:fill="FFFFFF"/>
            <w:noWrap/>
            <w:vAlign w:val="bottom"/>
            <w:hideMark/>
          </w:tcPr>
          <w:p w:rsidR="00694E7F" w:rsidRPr="00714472" w:rsidRDefault="00694E7F" w:rsidP="00694E7F">
            <w:pPr>
              <w:jc w:val="right"/>
              <w:rPr>
                <w:b/>
                <w:bCs/>
                <w:color w:val="333333"/>
                <w:sz w:val="14"/>
                <w:szCs w:val="14"/>
                <w:lang w:val="es-GT" w:eastAsia="es-GT"/>
              </w:rPr>
            </w:pPr>
            <w:r w:rsidRPr="00714472">
              <w:rPr>
                <w:b/>
                <w:bCs/>
                <w:color w:val="333333"/>
                <w:sz w:val="14"/>
                <w:szCs w:val="14"/>
                <w:lang w:val="es-GT" w:eastAsia="es-GT"/>
              </w:rPr>
              <w:t>88.1%</w:t>
            </w:r>
          </w:p>
        </w:tc>
      </w:tr>
      <w:tr w:rsidR="00694E7F" w:rsidRPr="00714472" w:rsidTr="00BC2EC7">
        <w:trPr>
          <w:trHeight w:val="301"/>
          <w:jc w:val="center"/>
        </w:trPr>
        <w:tc>
          <w:tcPr>
            <w:tcW w:w="5534" w:type="dxa"/>
            <w:tcBorders>
              <w:top w:val="nil"/>
              <w:left w:val="single" w:sz="8" w:space="0" w:color="auto"/>
              <w:bottom w:val="nil"/>
              <w:right w:val="single" w:sz="4" w:space="0" w:color="auto"/>
            </w:tcBorders>
            <w:shd w:val="clear" w:color="FFFFFF" w:fill="FFFFFF"/>
            <w:noWrap/>
            <w:vAlign w:val="bottom"/>
            <w:hideMark/>
          </w:tcPr>
          <w:p w:rsidR="00694E7F" w:rsidRPr="00714472" w:rsidRDefault="00694E7F" w:rsidP="00714472">
            <w:pPr>
              <w:ind w:firstLineChars="200" w:firstLine="280"/>
              <w:rPr>
                <w:color w:val="333333"/>
                <w:sz w:val="14"/>
                <w:szCs w:val="14"/>
                <w:lang w:val="es-GT" w:eastAsia="es-GT"/>
              </w:rPr>
            </w:pPr>
            <w:r w:rsidRPr="00714472">
              <w:rPr>
                <w:color w:val="333333"/>
                <w:sz w:val="14"/>
                <w:szCs w:val="14"/>
                <w:lang w:val="es-GT" w:eastAsia="es-GT"/>
              </w:rPr>
              <w:t>SEGURIDAD PRESIDENCIAL Y VICEPRESIDENCIAL</w:t>
            </w:r>
          </w:p>
        </w:tc>
        <w:tc>
          <w:tcPr>
            <w:tcW w:w="992"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175.6</w:t>
            </w:r>
          </w:p>
        </w:tc>
        <w:tc>
          <w:tcPr>
            <w:tcW w:w="889"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161.8</w:t>
            </w:r>
          </w:p>
        </w:tc>
        <w:tc>
          <w:tcPr>
            <w:tcW w:w="914"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13.9</w:t>
            </w:r>
          </w:p>
        </w:tc>
        <w:tc>
          <w:tcPr>
            <w:tcW w:w="882" w:type="dxa"/>
            <w:tcBorders>
              <w:top w:val="nil"/>
              <w:left w:val="nil"/>
              <w:bottom w:val="nil"/>
              <w:right w:val="single" w:sz="8"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92.1%</w:t>
            </w:r>
          </w:p>
        </w:tc>
      </w:tr>
      <w:tr w:rsidR="00694E7F" w:rsidRPr="00714472" w:rsidTr="00BC2EC7">
        <w:trPr>
          <w:trHeight w:val="301"/>
          <w:jc w:val="center"/>
        </w:trPr>
        <w:tc>
          <w:tcPr>
            <w:tcW w:w="5534" w:type="dxa"/>
            <w:tcBorders>
              <w:top w:val="nil"/>
              <w:left w:val="single" w:sz="8" w:space="0" w:color="auto"/>
              <w:bottom w:val="nil"/>
              <w:right w:val="single" w:sz="4" w:space="0" w:color="auto"/>
            </w:tcBorders>
            <w:shd w:val="clear" w:color="FFFFFF" w:fill="FFFFFF"/>
            <w:noWrap/>
            <w:vAlign w:val="bottom"/>
            <w:hideMark/>
          </w:tcPr>
          <w:p w:rsidR="00694E7F" w:rsidRPr="00714472" w:rsidRDefault="00694E7F" w:rsidP="00714472">
            <w:pPr>
              <w:ind w:firstLineChars="200" w:firstLine="280"/>
              <w:rPr>
                <w:color w:val="333333"/>
                <w:sz w:val="14"/>
                <w:szCs w:val="14"/>
                <w:lang w:val="es-GT" w:eastAsia="es-GT"/>
              </w:rPr>
            </w:pPr>
            <w:r w:rsidRPr="00714472">
              <w:rPr>
                <w:color w:val="333333"/>
                <w:sz w:val="14"/>
                <w:szCs w:val="14"/>
                <w:lang w:val="es-GT" w:eastAsia="es-GT"/>
              </w:rPr>
              <w:t>DIRECCIÓN Y COORDINACIÓN EJECUTIVA</w:t>
            </w:r>
          </w:p>
        </w:tc>
        <w:tc>
          <w:tcPr>
            <w:tcW w:w="992"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33.1</w:t>
            </w:r>
          </w:p>
        </w:tc>
        <w:tc>
          <w:tcPr>
            <w:tcW w:w="889"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21.8</w:t>
            </w:r>
          </w:p>
        </w:tc>
        <w:tc>
          <w:tcPr>
            <w:tcW w:w="914"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11.3</w:t>
            </w:r>
          </w:p>
        </w:tc>
        <w:tc>
          <w:tcPr>
            <w:tcW w:w="882" w:type="dxa"/>
            <w:tcBorders>
              <w:top w:val="nil"/>
              <w:left w:val="nil"/>
              <w:bottom w:val="nil"/>
              <w:right w:val="single" w:sz="8"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65.8%</w:t>
            </w:r>
          </w:p>
        </w:tc>
      </w:tr>
      <w:tr w:rsidR="00694E7F" w:rsidRPr="00714472" w:rsidTr="00BC2EC7">
        <w:trPr>
          <w:trHeight w:val="301"/>
          <w:jc w:val="center"/>
        </w:trPr>
        <w:tc>
          <w:tcPr>
            <w:tcW w:w="5534" w:type="dxa"/>
            <w:tcBorders>
              <w:top w:val="nil"/>
              <w:left w:val="single" w:sz="8" w:space="0" w:color="auto"/>
              <w:bottom w:val="nil"/>
              <w:right w:val="single" w:sz="4" w:space="0" w:color="auto"/>
            </w:tcBorders>
            <w:shd w:val="clear" w:color="FFFFFF" w:fill="FFFFFF"/>
            <w:noWrap/>
            <w:vAlign w:val="bottom"/>
            <w:hideMark/>
          </w:tcPr>
          <w:p w:rsidR="00694E7F" w:rsidRPr="00714472" w:rsidRDefault="00694E7F" w:rsidP="00714472">
            <w:pPr>
              <w:ind w:firstLineChars="200" w:firstLine="280"/>
              <w:rPr>
                <w:color w:val="333333"/>
                <w:sz w:val="14"/>
                <w:szCs w:val="14"/>
                <w:lang w:val="es-GT" w:eastAsia="es-GT"/>
              </w:rPr>
            </w:pPr>
            <w:r w:rsidRPr="00714472">
              <w:rPr>
                <w:color w:val="333333"/>
                <w:sz w:val="14"/>
                <w:szCs w:val="14"/>
                <w:lang w:val="es-GT" w:eastAsia="es-GT"/>
              </w:rPr>
              <w:t>SERVICIOS DE TRANSPARENCIA Y GOBIERNO ELECTRÓNICO</w:t>
            </w:r>
          </w:p>
        </w:tc>
        <w:tc>
          <w:tcPr>
            <w:tcW w:w="992"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10.5</w:t>
            </w:r>
          </w:p>
        </w:tc>
        <w:tc>
          <w:tcPr>
            <w:tcW w:w="889"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9.4</w:t>
            </w:r>
          </w:p>
        </w:tc>
        <w:tc>
          <w:tcPr>
            <w:tcW w:w="914"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1.1</w:t>
            </w:r>
          </w:p>
        </w:tc>
        <w:tc>
          <w:tcPr>
            <w:tcW w:w="882" w:type="dxa"/>
            <w:tcBorders>
              <w:top w:val="nil"/>
              <w:left w:val="nil"/>
              <w:bottom w:val="nil"/>
              <w:right w:val="single" w:sz="8"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89.4%</w:t>
            </w:r>
          </w:p>
        </w:tc>
      </w:tr>
      <w:tr w:rsidR="00694E7F" w:rsidRPr="00714472" w:rsidTr="00BC2EC7">
        <w:trPr>
          <w:trHeight w:val="301"/>
          <w:jc w:val="center"/>
        </w:trPr>
        <w:tc>
          <w:tcPr>
            <w:tcW w:w="5534" w:type="dxa"/>
            <w:tcBorders>
              <w:top w:val="nil"/>
              <w:left w:val="single" w:sz="8" w:space="0" w:color="auto"/>
              <w:bottom w:val="nil"/>
              <w:right w:val="single" w:sz="4" w:space="0" w:color="auto"/>
            </w:tcBorders>
            <w:shd w:val="clear" w:color="FFFFFF" w:fill="FFFFFF"/>
            <w:noWrap/>
            <w:vAlign w:val="bottom"/>
            <w:hideMark/>
          </w:tcPr>
          <w:p w:rsidR="00694E7F" w:rsidRPr="00714472" w:rsidRDefault="00694E7F" w:rsidP="00714472">
            <w:pPr>
              <w:ind w:firstLineChars="200" w:firstLine="280"/>
              <w:rPr>
                <w:color w:val="333333"/>
                <w:sz w:val="14"/>
                <w:szCs w:val="14"/>
                <w:lang w:val="es-GT" w:eastAsia="es-GT"/>
              </w:rPr>
            </w:pPr>
            <w:r w:rsidRPr="00714472">
              <w:rPr>
                <w:color w:val="333333"/>
                <w:sz w:val="14"/>
                <w:szCs w:val="14"/>
                <w:lang w:val="es-GT" w:eastAsia="es-GT"/>
              </w:rPr>
              <w:t>ATENCIÓN A LA CONFLICTIVIDAD SOCIAL</w:t>
            </w:r>
          </w:p>
        </w:tc>
        <w:tc>
          <w:tcPr>
            <w:tcW w:w="992"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10.5</w:t>
            </w:r>
          </w:p>
        </w:tc>
        <w:tc>
          <w:tcPr>
            <w:tcW w:w="889"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8.1</w:t>
            </w:r>
          </w:p>
        </w:tc>
        <w:tc>
          <w:tcPr>
            <w:tcW w:w="914" w:type="dxa"/>
            <w:tcBorders>
              <w:top w:val="nil"/>
              <w:left w:val="nil"/>
              <w:bottom w:val="nil"/>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2.4</w:t>
            </w:r>
          </w:p>
        </w:tc>
        <w:tc>
          <w:tcPr>
            <w:tcW w:w="882" w:type="dxa"/>
            <w:tcBorders>
              <w:top w:val="nil"/>
              <w:left w:val="nil"/>
              <w:bottom w:val="nil"/>
              <w:right w:val="single" w:sz="8"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77.3%</w:t>
            </w:r>
          </w:p>
        </w:tc>
      </w:tr>
      <w:tr w:rsidR="00694E7F" w:rsidRPr="00714472" w:rsidTr="00BC2EC7">
        <w:trPr>
          <w:trHeight w:val="316"/>
          <w:jc w:val="center"/>
        </w:trPr>
        <w:tc>
          <w:tcPr>
            <w:tcW w:w="5534"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714472" w:rsidRDefault="00694E7F" w:rsidP="00714472">
            <w:pPr>
              <w:ind w:firstLineChars="200" w:firstLine="280"/>
              <w:rPr>
                <w:color w:val="333333"/>
                <w:sz w:val="14"/>
                <w:szCs w:val="14"/>
                <w:lang w:val="es-GT" w:eastAsia="es-GT"/>
              </w:rPr>
            </w:pPr>
            <w:r w:rsidRPr="00714472">
              <w:rPr>
                <w:color w:val="333333"/>
                <w:sz w:val="14"/>
                <w:szCs w:val="14"/>
                <w:lang w:val="es-GT" w:eastAsia="es-GT"/>
              </w:rPr>
              <w:t>PARTIDAS NO ASIGNABLES A PROGRAMAS</w:t>
            </w:r>
          </w:p>
        </w:tc>
        <w:tc>
          <w:tcPr>
            <w:tcW w:w="992" w:type="dxa"/>
            <w:tcBorders>
              <w:top w:val="nil"/>
              <w:left w:val="single" w:sz="4" w:space="0" w:color="auto"/>
              <w:bottom w:val="single" w:sz="8" w:space="0" w:color="auto"/>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1.3</w:t>
            </w:r>
          </w:p>
        </w:tc>
        <w:tc>
          <w:tcPr>
            <w:tcW w:w="889" w:type="dxa"/>
            <w:tcBorders>
              <w:top w:val="nil"/>
              <w:left w:val="nil"/>
              <w:bottom w:val="single" w:sz="8" w:space="0" w:color="auto"/>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2.4</w:t>
            </w:r>
          </w:p>
        </w:tc>
        <w:tc>
          <w:tcPr>
            <w:tcW w:w="914" w:type="dxa"/>
            <w:tcBorders>
              <w:top w:val="nil"/>
              <w:left w:val="nil"/>
              <w:bottom w:val="single" w:sz="8" w:space="0" w:color="auto"/>
              <w:right w:val="single" w:sz="4"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-1.1</w:t>
            </w:r>
          </w:p>
        </w:tc>
        <w:tc>
          <w:tcPr>
            <w:tcW w:w="882" w:type="dxa"/>
            <w:tcBorders>
              <w:top w:val="nil"/>
              <w:left w:val="nil"/>
              <w:bottom w:val="single" w:sz="8" w:space="0" w:color="auto"/>
              <w:right w:val="single" w:sz="8" w:space="0" w:color="auto"/>
            </w:tcBorders>
            <w:shd w:val="clear" w:color="FFFFFF" w:fill="FFFFFF"/>
            <w:noWrap/>
            <w:vAlign w:val="bottom"/>
            <w:hideMark/>
          </w:tcPr>
          <w:p w:rsidR="00694E7F" w:rsidRPr="00714472" w:rsidRDefault="00694E7F" w:rsidP="00694E7F">
            <w:pPr>
              <w:jc w:val="right"/>
              <w:rPr>
                <w:color w:val="333333"/>
                <w:sz w:val="14"/>
                <w:szCs w:val="14"/>
                <w:lang w:val="es-GT" w:eastAsia="es-GT"/>
              </w:rPr>
            </w:pPr>
            <w:r w:rsidRPr="00714472">
              <w:rPr>
                <w:color w:val="333333"/>
                <w:sz w:val="14"/>
                <w:szCs w:val="14"/>
                <w:lang w:val="es-GT" w:eastAsia="es-GT"/>
              </w:rPr>
              <w:t>187.5%</w:t>
            </w:r>
          </w:p>
        </w:tc>
      </w:tr>
    </w:tbl>
    <w:p w:rsidR="00694E7F" w:rsidRPr="004E678D" w:rsidRDefault="00714472" w:rsidP="00714472">
      <w:pPr>
        <w:jc w:val="both"/>
        <w:rPr>
          <w:sz w:val="18"/>
        </w:rPr>
      </w:pPr>
      <w:r>
        <w:rPr>
          <w:sz w:val="18"/>
        </w:rPr>
        <w:t xml:space="preserve">         </w:t>
      </w:r>
      <w:r w:rsidR="00694E7F" w:rsidRPr="004E678D">
        <w:rPr>
          <w:sz w:val="18"/>
        </w:rPr>
        <w:t>Fuente: Ministerio de Finanzas Públicas</w:t>
      </w:r>
      <w:r w:rsidR="00694E7F">
        <w:rPr>
          <w:sz w:val="18"/>
        </w:rPr>
        <w:t>.</w:t>
      </w:r>
    </w:p>
    <w:p w:rsidR="00694E7F" w:rsidRPr="00D108FD" w:rsidRDefault="00694E7F" w:rsidP="00694E7F">
      <w:pPr>
        <w:jc w:val="both"/>
      </w:pPr>
    </w:p>
    <w:p w:rsidR="00694E7F" w:rsidRDefault="00694E7F" w:rsidP="00694E7F">
      <w:pPr>
        <w:jc w:val="both"/>
        <w:rPr>
          <w:b/>
        </w:rPr>
      </w:pPr>
    </w:p>
    <w:p w:rsidR="00694E7F" w:rsidRDefault="00694E7F" w:rsidP="00694E7F">
      <w:pPr>
        <w:jc w:val="both"/>
        <w:rPr>
          <w:b/>
        </w:rPr>
      </w:pPr>
      <w:r w:rsidRPr="00D108FD">
        <w:rPr>
          <w:b/>
        </w:rPr>
        <w:t>Ministerio de Relaciones Exteriores</w:t>
      </w:r>
      <w:r>
        <w:rPr>
          <w:b/>
        </w:rPr>
        <w:t>:</w:t>
      </w:r>
    </w:p>
    <w:p w:rsidR="00694E7F" w:rsidRPr="00D108FD" w:rsidRDefault="00694E7F" w:rsidP="00694E7F">
      <w:pPr>
        <w:jc w:val="both"/>
        <w:rPr>
          <w:b/>
        </w:rPr>
      </w:pPr>
    </w:p>
    <w:p w:rsidR="00694E7F" w:rsidRDefault="00694E7F" w:rsidP="00694E7F">
      <w:pPr>
        <w:jc w:val="both"/>
      </w:pPr>
      <w:r w:rsidRPr="00D108FD">
        <w:t>El Min</w:t>
      </w:r>
      <w:r>
        <w:t xml:space="preserve">isterio de Relaciones Exteriores </w:t>
      </w:r>
      <w:r w:rsidRPr="00D108FD">
        <w:t xml:space="preserve">tuvo un presupuesto </w:t>
      </w:r>
      <w:r>
        <w:t>aprobado de</w:t>
      </w:r>
      <w:r w:rsidRPr="00D108FD">
        <w:t xml:space="preserve"> </w:t>
      </w:r>
      <w:r>
        <w:t>Q</w:t>
      </w:r>
      <w:r w:rsidR="008C7047">
        <w:t>.</w:t>
      </w:r>
      <w:r>
        <w:t>577.7</w:t>
      </w:r>
      <w:r w:rsidRPr="00D108FD">
        <w:t xml:space="preserve"> millones y una ejecución al cierre </w:t>
      </w:r>
      <w:r>
        <w:t xml:space="preserve">preliminar </w:t>
      </w:r>
      <w:r w:rsidRPr="00D108FD">
        <w:t xml:space="preserve">de </w:t>
      </w:r>
      <w:r>
        <w:t>Q</w:t>
      </w:r>
      <w:r w:rsidR="008C7047">
        <w:t>.</w:t>
      </w:r>
      <w:r>
        <w:t>5</w:t>
      </w:r>
      <w:r w:rsidRPr="00D108FD">
        <w:t>4</w:t>
      </w:r>
      <w:r>
        <w:t>7.5 m</w:t>
      </w:r>
      <w:r w:rsidRPr="00D108FD">
        <w:t>illones equivalentes al 9</w:t>
      </w:r>
      <w:r>
        <w:t>4.8</w:t>
      </w:r>
      <w:r w:rsidRPr="00D108FD">
        <w:t>%</w:t>
      </w:r>
      <w:r>
        <w:t>, se ubicó por debajo en Q</w:t>
      </w:r>
      <w:r w:rsidR="008C7047">
        <w:t>.</w:t>
      </w:r>
      <w:r>
        <w:t>30.2 millones</w:t>
      </w:r>
      <w:r w:rsidRPr="00D108FD">
        <w:t>.</w:t>
      </w:r>
    </w:p>
    <w:p w:rsidR="00694E7F" w:rsidRPr="00D108FD" w:rsidRDefault="00694E7F" w:rsidP="00694E7F">
      <w:pPr>
        <w:jc w:val="both"/>
      </w:pPr>
    </w:p>
    <w:p w:rsidR="00694E7F" w:rsidRDefault="00694E7F" w:rsidP="00694E7F">
      <w:pPr>
        <w:jc w:val="both"/>
      </w:pPr>
      <w:r w:rsidRPr="00D108FD">
        <w:t xml:space="preserve">Los programas </w:t>
      </w:r>
      <w:r>
        <w:t>que tuvieron la mayor ejecución</w:t>
      </w:r>
      <w:r w:rsidRPr="00D108FD">
        <w:t xml:space="preserve"> fueron: “Servicios de Política Exterior”</w:t>
      </w:r>
      <w:r>
        <w:t xml:space="preserve"> con un presupuesto aprobado de Q</w:t>
      </w:r>
      <w:r w:rsidR="008C7047">
        <w:t>.</w:t>
      </w:r>
      <w:r>
        <w:t>210.9 millones, ejecución de Q</w:t>
      </w:r>
      <w:r w:rsidR="008C7047">
        <w:t>.</w:t>
      </w:r>
      <w:r>
        <w:t xml:space="preserve">240.9 millones, equivalentes al 114.3%; </w:t>
      </w:r>
      <w:r w:rsidRPr="00D108FD">
        <w:t>y el de “Servicios Consulares y de Atención al Migrante” con presupuesto</w:t>
      </w:r>
      <w:r>
        <w:t xml:space="preserve"> aprobado de Q</w:t>
      </w:r>
      <w:r w:rsidR="008C7047">
        <w:t>.</w:t>
      </w:r>
      <w:r>
        <w:t>225.9 millones y ejecución de Q</w:t>
      </w:r>
      <w:r w:rsidR="008C7047">
        <w:t>.</w:t>
      </w:r>
      <w:r>
        <w:t>184.2 millones, equivalentes al 81.5</w:t>
      </w:r>
      <w:r w:rsidRPr="00D108FD">
        <w:t xml:space="preserve">%. </w:t>
      </w:r>
      <w:r w:rsidR="008C7047">
        <w:t>El</w:t>
      </w:r>
      <w:r w:rsidRPr="00D108FD">
        <w:t xml:space="preserve"> programa de “</w:t>
      </w:r>
      <w:r>
        <w:t>Actividades Centrales</w:t>
      </w:r>
      <w:r w:rsidRPr="00D108FD">
        <w:t xml:space="preserve">” </w:t>
      </w:r>
      <w:r>
        <w:t>tuvo una ejecución de Q</w:t>
      </w:r>
      <w:r w:rsidR="008C7047">
        <w:t>.</w:t>
      </w:r>
      <w:r>
        <w:t>64.5 millones, equivalentes al 91.0% del presupuesto aprobado</w:t>
      </w:r>
      <w:r w:rsidRPr="00D108FD">
        <w:t>.</w:t>
      </w:r>
    </w:p>
    <w:p w:rsidR="00694E7F" w:rsidRPr="00D108FD" w:rsidRDefault="00694E7F" w:rsidP="00694E7F">
      <w:pPr>
        <w:jc w:val="both"/>
      </w:pPr>
    </w:p>
    <w:p w:rsidR="00694E7F" w:rsidRDefault="00694E7F" w:rsidP="00694E7F">
      <w:pPr>
        <w:jc w:val="both"/>
      </w:pPr>
      <w:r w:rsidRPr="00D108FD">
        <w:t xml:space="preserve">El </w:t>
      </w:r>
      <w:r>
        <w:t>resto de los programas estuvieron con ejecución por debajo de los Q</w:t>
      </w:r>
      <w:r w:rsidR="008C7047">
        <w:t>.</w:t>
      </w:r>
      <w:r>
        <w:t>41.5 millones</w:t>
      </w:r>
      <w:r w:rsidR="008C7047">
        <w:t>,</w:t>
      </w:r>
      <w:r>
        <w:t xml:space="preserve"> ejecutados por </w:t>
      </w:r>
      <w:r w:rsidRPr="00D108FD">
        <w:t xml:space="preserve">el programa de “Partidas no Asignables a Programas” </w:t>
      </w:r>
      <w:r w:rsidR="008C7047">
        <w:t xml:space="preserve">que </w:t>
      </w:r>
      <w:r w:rsidRPr="00D108FD">
        <w:t>tuvo un presupuesto</w:t>
      </w:r>
      <w:r>
        <w:t xml:space="preserve"> aprobado</w:t>
      </w:r>
      <w:r w:rsidRPr="00D108FD">
        <w:t xml:space="preserve"> de </w:t>
      </w:r>
      <w:r>
        <w:t>Q</w:t>
      </w:r>
      <w:r w:rsidR="008C7047">
        <w:t>.</w:t>
      </w:r>
      <w:r w:rsidRPr="00D108FD">
        <w:t>4</w:t>
      </w:r>
      <w:r>
        <w:t>9</w:t>
      </w:r>
      <w:r w:rsidRPr="00D108FD">
        <w:t>.2 millones</w:t>
      </w:r>
      <w:r w:rsidR="008C7047">
        <w:t xml:space="preserve"> en el cual se programan los aportes a organismos internacionales.</w:t>
      </w:r>
    </w:p>
    <w:p w:rsidR="00006FBB" w:rsidRDefault="00006FBB" w:rsidP="00694E7F">
      <w:pPr>
        <w:jc w:val="both"/>
      </w:pPr>
    </w:p>
    <w:p w:rsidR="00694E7F" w:rsidRDefault="00694E7F" w:rsidP="00694E7F">
      <w:pPr>
        <w:jc w:val="both"/>
        <w:rPr>
          <w:rFonts w:ascii="Calibri" w:eastAsia="Calibri" w:hAnsi="Calibri"/>
          <w:sz w:val="20"/>
          <w:szCs w:val="20"/>
          <w:lang w:val="es-GT" w:eastAsia="es-GT"/>
        </w:rPr>
      </w:pPr>
      <w:r>
        <w:lastRenderedPageBreak/>
        <w:fldChar w:fldCharType="begin"/>
      </w:r>
      <w:r>
        <w:instrText xml:space="preserve"> LINK Excel.Sheet.12 "C:\\Users\\deefoper12\\Documents\\Mis Documentos\\2020\\DTF\\memoria de labores 2019\\Cuadros para cierre 2019.xlsx" "Entidad Programa!F15C2:F21C6" \a \f 4 \h  \* MERGEFORMAT </w:instrText>
      </w:r>
      <w:r>
        <w:fldChar w:fldCharType="separate"/>
      </w:r>
    </w:p>
    <w:p w:rsidR="00694E7F" w:rsidRPr="004E678D" w:rsidRDefault="00694E7F" w:rsidP="00694E7F">
      <w:pPr>
        <w:jc w:val="both"/>
        <w:rPr>
          <w:sz w:val="18"/>
        </w:rPr>
      </w:pPr>
      <w:r>
        <w:rPr>
          <w:sz w:val="18"/>
        </w:rPr>
        <w:fldChar w:fldCharType="end"/>
      </w:r>
    </w:p>
    <w:tbl>
      <w:tblPr>
        <w:tblW w:w="9193" w:type="dxa"/>
        <w:jc w:val="center"/>
        <w:tblInd w:w="-503" w:type="dxa"/>
        <w:tblCellMar>
          <w:left w:w="70" w:type="dxa"/>
          <w:right w:w="70" w:type="dxa"/>
        </w:tblCellMar>
        <w:tblLook w:val="04A0" w:firstRow="1" w:lastRow="0" w:firstColumn="1" w:lastColumn="0" w:noHBand="0" w:noVBand="1"/>
      </w:tblPr>
      <w:tblGrid>
        <w:gridCol w:w="5164"/>
        <w:gridCol w:w="992"/>
        <w:gridCol w:w="1134"/>
        <w:gridCol w:w="993"/>
        <w:gridCol w:w="910"/>
      </w:tblGrid>
      <w:tr w:rsidR="00694E7F" w:rsidRPr="005E29C0" w:rsidTr="00BC2EC7">
        <w:trPr>
          <w:trHeight w:val="261"/>
          <w:jc w:val="center"/>
        </w:trPr>
        <w:tc>
          <w:tcPr>
            <w:tcW w:w="5164" w:type="dxa"/>
            <w:tcBorders>
              <w:top w:val="single" w:sz="8" w:space="0" w:color="auto"/>
              <w:left w:val="single" w:sz="8" w:space="0" w:color="auto"/>
              <w:bottom w:val="single" w:sz="4" w:space="0" w:color="auto"/>
              <w:right w:val="single" w:sz="4" w:space="0" w:color="auto"/>
            </w:tcBorders>
            <w:shd w:val="clear" w:color="000000" w:fill="8DB4E2"/>
            <w:noWrap/>
            <w:hideMark/>
          </w:tcPr>
          <w:p w:rsidR="00694E7F" w:rsidRPr="00714472" w:rsidRDefault="00694E7F" w:rsidP="00694E7F">
            <w:pPr>
              <w:jc w:val="center"/>
              <w:rPr>
                <w:b/>
                <w:bCs/>
                <w:color w:val="000000"/>
                <w:sz w:val="16"/>
                <w:szCs w:val="16"/>
                <w:lang w:val="es-GT" w:eastAsia="es-GT"/>
              </w:rPr>
            </w:pPr>
            <w:r w:rsidRPr="00714472">
              <w:rPr>
                <w:b/>
                <w:bCs/>
                <w:color w:val="000000"/>
                <w:sz w:val="16"/>
                <w:szCs w:val="16"/>
                <w:lang w:val="es-GT" w:eastAsia="es-GT"/>
              </w:rPr>
              <w:t>DESCRIPCION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694E7F" w:rsidRPr="00714472" w:rsidRDefault="00694E7F" w:rsidP="00694E7F">
            <w:pPr>
              <w:jc w:val="center"/>
              <w:rPr>
                <w:b/>
                <w:bCs/>
                <w:color w:val="000000"/>
                <w:sz w:val="16"/>
                <w:szCs w:val="16"/>
                <w:lang w:val="es-GT" w:eastAsia="es-GT"/>
              </w:rPr>
            </w:pPr>
            <w:r w:rsidRPr="00714472">
              <w:rPr>
                <w:b/>
                <w:bCs/>
                <w:color w:val="000000"/>
                <w:sz w:val="16"/>
                <w:szCs w:val="16"/>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94E7F" w:rsidRPr="00714472" w:rsidRDefault="00694E7F" w:rsidP="00694E7F">
            <w:pPr>
              <w:jc w:val="center"/>
              <w:rPr>
                <w:b/>
                <w:bCs/>
                <w:color w:val="000000"/>
                <w:sz w:val="16"/>
                <w:szCs w:val="16"/>
                <w:lang w:val="es-GT" w:eastAsia="es-GT"/>
              </w:rPr>
            </w:pPr>
            <w:r w:rsidRPr="00714472">
              <w:rPr>
                <w:b/>
                <w:bCs/>
                <w:color w:val="000000"/>
                <w:sz w:val="16"/>
                <w:szCs w:val="16"/>
                <w:lang w:val="es-GT" w:eastAsia="es-GT"/>
              </w:rPr>
              <w:t>Ejecución</w:t>
            </w:r>
          </w:p>
        </w:tc>
        <w:tc>
          <w:tcPr>
            <w:tcW w:w="993" w:type="dxa"/>
            <w:tcBorders>
              <w:top w:val="single" w:sz="8" w:space="0" w:color="auto"/>
              <w:left w:val="nil"/>
              <w:bottom w:val="single" w:sz="4" w:space="0" w:color="auto"/>
              <w:right w:val="single" w:sz="4" w:space="0" w:color="auto"/>
            </w:tcBorders>
            <w:shd w:val="clear" w:color="000000" w:fill="8DB4E2"/>
            <w:noWrap/>
            <w:hideMark/>
          </w:tcPr>
          <w:p w:rsidR="00694E7F" w:rsidRPr="00714472" w:rsidRDefault="00694E7F" w:rsidP="00694E7F">
            <w:pPr>
              <w:jc w:val="center"/>
              <w:rPr>
                <w:b/>
                <w:bCs/>
                <w:color w:val="000000"/>
                <w:sz w:val="16"/>
                <w:szCs w:val="16"/>
                <w:lang w:val="es-GT" w:eastAsia="es-GT"/>
              </w:rPr>
            </w:pPr>
            <w:r w:rsidRPr="00714472">
              <w:rPr>
                <w:b/>
                <w:bCs/>
                <w:color w:val="000000"/>
                <w:sz w:val="16"/>
                <w:szCs w:val="16"/>
                <w:lang w:val="es-GT" w:eastAsia="es-GT"/>
              </w:rPr>
              <w:t>Diferencias</w:t>
            </w:r>
          </w:p>
        </w:tc>
        <w:tc>
          <w:tcPr>
            <w:tcW w:w="910" w:type="dxa"/>
            <w:tcBorders>
              <w:top w:val="single" w:sz="8" w:space="0" w:color="auto"/>
              <w:left w:val="nil"/>
              <w:bottom w:val="single" w:sz="4" w:space="0" w:color="auto"/>
              <w:right w:val="single" w:sz="8" w:space="0" w:color="auto"/>
            </w:tcBorders>
            <w:shd w:val="clear" w:color="000000" w:fill="8DB4E2"/>
            <w:noWrap/>
            <w:hideMark/>
          </w:tcPr>
          <w:p w:rsidR="00694E7F" w:rsidRPr="00714472" w:rsidRDefault="00694E7F" w:rsidP="00694E7F">
            <w:pPr>
              <w:jc w:val="center"/>
              <w:rPr>
                <w:b/>
                <w:bCs/>
                <w:color w:val="000000"/>
                <w:sz w:val="16"/>
                <w:szCs w:val="16"/>
                <w:lang w:val="es-GT" w:eastAsia="es-GT"/>
              </w:rPr>
            </w:pPr>
            <w:r w:rsidRPr="00714472">
              <w:rPr>
                <w:b/>
                <w:bCs/>
                <w:color w:val="000000"/>
                <w:sz w:val="16"/>
                <w:szCs w:val="16"/>
                <w:lang w:val="es-GT" w:eastAsia="es-GT"/>
              </w:rPr>
              <w:t>% Ejec</w:t>
            </w:r>
          </w:p>
        </w:tc>
      </w:tr>
      <w:tr w:rsidR="00694E7F" w:rsidRPr="005E29C0" w:rsidTr="00BC2EC7">
        <w:trPr>
          <w:trHeight w:val="261"/>
          <w:jc w:val="center"/>
        </w:trPr>
        <w:tc>
          <w:tcPr>
            <w:tcW w:w="5164" w:type="dxa"/>
            <w:tcBorders>
              <w:top w:val="nil"/>
              <w:left w:val="single" w:sz="8" w:space="0" w:color="auto"/>
              <w:bottom w:val="nil"/>
              <w:right w:val="single" w:sz="4" w:space="0" w:color="auto"/>
            </w:tcBorders>
            <w:shd w:val="clear" w:color="FFFFFF" w:fill="FFFFFF"/>
            <w:noWrap/>
            <w:vAlign w:val="bottom"/>
            <w:hideMark/>
          </w:tcPr>
          <w:p w:rsidR="00694E7F" w:rsidRPr="005E29C0" w:rsidRDefault="00694E7F" w:rsidP="00694E7F">
            <w:pPr>
              <w:rPr>
                <w:b/>
                <w:bCs/>
                <w:color w:val="333333"/>
                <w:sz w:val="14"/>
                <w:szCs w:val="16"/>
                <w:lang w:val="es-GT" w:eastAsia="es-GT"/>
              </w:rPr>
            </w:pPr>
            <w:r w:rsidRPr="005E29C0">
              <w:rPr>
                <w:b/>
                <w:bCs/>
                <w:color w:val="333333"/>
                <w:sz w:val="14"/>
                <w:szCs w:val="16"/>
                <w:lang w:val="es-GT" w:eastAsia="es-GT"/>
              </w:rPr>
              <w:t>MINISTERIO DE RELACIONES EXTERIORES</w:t>
            </w:r>
          </w:p>
        </w:tc>
        <w:tc>
          <w:tcPr>
            <w:tcW w:w="992"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b/>
                <w:bCs/>
                <w:color w:val="333333"/>
                <w:sz w:val="14"/>
                <w:szCs w:val="16"/>
                <w:lang w:val="es-GT" w:eastAsia="es-GT"/>
              </w:rPr>
            </w:pPr>
            <w:r w:rsidRPr="005E29C0">
              <w:rPr>
                <w:b/>
                <w:bCs/>
                <w:color w:val="333333"/>
                <w:sz w:val="14"/>
                <w:szCs w:val="16"/>
                <w:lang w:val="es-GT" w:eastAsia="es-GT"/>
              </w:rPr>
              <w:t>577.7</w:t>
            </w:r>
          </w:p>
        </w:tc>
        <w:tc>
          <w:tcPr>
            <w:tcW w:w="1134"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b/>
                <w:bCs/>
                <w:color w:val="333333"/>
                <w:sz w:val="14"/>
                <w:szCs w:val="16"/>
                <w:lang w:val="es-GT" w:eastAsia="es-GT"/>
              </w:rPr>
            </w:pPr>
            <w:r w:rsidRPr="005E29C0">
              <w:rPr>
                <w:b/>
                <w:bCs/>
                <w:color w:val="333333"/>
                <w:sz w:val="14"/>
                <w:szCs w:val="16"/>
                <w:lang w:val="es-GT" w:eastAsia="es-GT"/>
              </w:rPr>
              <w:t>547.5</w:t>
            </w:r>
          </w:p>
        </w:tc>
        <w:tc>
          <w:tcPr>
            <w:tcW w:w="993"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b/>
                <w:bCs/>
                <w:color w:val="333333"/>
                <w:sz w:val="14"/>
                <w:szCs w:val="16"/>
                <w:lang w:val="es-GT" w:eastAsia="es-GT"/>
              </w:rPr>
            </w:pPr>
            <w:r w:rsidRPr="005E29C0">
              <w:rPr>
                <w:b/>
                <w:bCs/>
                <w:color w:val="333333"/>
                <w:sz w:val="14"/>
                <w:szCs w:val="16"/>
                <w:lang w:val="es-GT" w:eastAsia="es-GT"/>
              </w:rPr>
              <w:t>30.2</w:t>
            </w:r>
          </w:p>
        </w:tc>
        <w:tc>
          <w:tcPr>
            <w:tcW w:w="910" w:type="dxa"/>
            <w:tcBorders>
              <w:top w:val="nil"/>
              <w:left w:val="nil"/>
              <w:bottom w:val="nil"/>
              <w:right w:val="single" w:sz="8" w:space="0" w:color="auto"/>
            </w:tcBorders>
            <w:shd w:val="clear" w:color="FFFFFF" w:fill="FFFFFF"/>
            <w:noWrap/>
            <w:vAlign w:val="bottom"/>
            <w:hideMark/>
          </w:tcPr>
          <w:p w:rsidR="00694E7F" w:rsidRPr="005E29C0" w:rsidRDefault="00694E7F" w:rsidP="00694E7F">
            <w:pPr>
              <w:jc w:val="right"/>
              <w:rPr>
                <w:b/>
                <w:bCs/>
                <w:color w:val="333333"/>
                <w:sz w:val="14"/>
                <w:szCs w:val="16"/>
                <w:lang w:val="es-GT" w:eastAsia="es-GT"/>
              </w:rPr>
            </w:pPr>
            <w:r w:rsidRPr="005E29C0">
              <w:rPr>
                <w:b/>
                <w:bCs/>
                <w:color w:val="333333"/>
                <w:sz w:val="14"/>
                <w:szCs w:val="16"/>
                <w:lang w:val="es-GT" w:eastAsia="es-GT"/>
              </w:rPr>
              <w:t>94.8%</w:t>
            </w:r>
          </w:p>
        </w:tc>
      </w:tr>
      <w:tr w:rsidR="00694E7F" w:rsidRPr="005E29C0" w:rsidTr="00BC2EC7">
        <w:trPr>
          <w:trHeight w:val="261"/>
          <w:jc w:val="center"/>
        </w:trPr>
        <w:tc>
          <w:tcPr>
            <w:tcW w:w="5164" w:type="dxa"/>
            <w:tcBorders>
              <w:top w:val="nil"/>
              <w:left w:val="single" w:sz="8" w:space="0" w:color="auto"/>
              <w:bottom w:val="nil"/>
              <w:right w:val="single" w:sz="4" w:space="0" w:color="auto"/>
            </w:tcBorders>
            <w:shd w:val="clear" w:color="FFFFFF" w:fill="FFFFFF"/>
            <w:noWrap/>
            <w:vAlign w:val="bottom"/>
            <w:hideMark/>
          </w:tcPr>
          <w:p w:rsidR="00694E7F" w:rsidRPr="005E29C0" w:rsidRDefault="00694E7F" w:rsidP="00694E7F">
            <w:pPr>
              <w:ind w:firstLineChars="200" w:firstLine="280"/>
              <w:rPr>
                <w:color w:val="333333"/>
                <w:sz w:val="14"/>
                <w:szCs w:val="16"/>
                <w:lang w:val="es-GT" w:eastAsia="es-GT"/>
              </w:rPr>
            </w:pPr>
            <w:r w:rsidRPr="005E29C0">
              <w:rPr>
                <w:color w:val="333333"/>
                <w:sz w:val="14"/>
                <w:szCs w:val="16"/>
                <w:lang w:val="es-GT" w:eastAsia="es-GT"/>
              </w:rPr>
              <w:t>SERVICIOS CONSULARES Y DE ATENCIÓN AL MIGRANTE</w:t>
            </w:r>
          </w:p>
        </w:tc>
        <w:tc>
          <w:tcPr>
            <w:tcW w:w="992"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225.9</w:t>
            </w:r>
          </w:p>
        </w:tc>
        <w:tc>
          <w:tcPr>
            <w:tcW w:w="1134"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184.2</w:t>
            </w:r>
          </w:p>
        </w:tc>
        <w:tc>
          <w:tcPr>
            <w:tcW w:w="993"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41.7</w:t>
            </w:r>
          </w:p>
        </w:tc>
        <w:tc>
          <w:tcPr>
            <w:tcW w:w="910" w:type="dxa"/>
            <w:tcBorders>
              <w:top w:val="nil"/>
              <w:left w:val="nil"/>
              <w:bottom w:val="nil"/>
              <w:right w:val="single" w:sz="8"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81.5%</w:t>
            </w:r>
          </w:p>
        </w:tc>
      </w:tr>
      <w:tr w:rsidR="00694E7F" w:rsidRPr="005E29C0" w:rsidTr="00BC2EC7">
        <w:trPr>
          <w:trHeight w:val="261"/>
          <w:jc w:val="center"/>
        </w:trPr>
        <w:tc>
          <w:tcPr>
            <w:tcW w:w="5164" w:type="dxa"/>
            <w:tcBorders>
              <w:top w:val="nil"/>
              <w:left w:val="single" w:sz="8" w:space="0" w:color="auto"/>
              <w:bottom w:val="nil"/>
              <w:right w:val="single" w:sz="4" w:space="0" w:color="auto"/>
            </w:tcBorders>
            <w:shd w:val="clear" w:color="FFFFFF" w:fill="FFFFFF"/>
            <w:noWrap/>
            <w:vAlign w:val="bottom"/>
            <w:hideMark/>
          </w:tcPr>
          <w:p w:rsidR="00694E7F" w:rsidRPr="005E29C0" w:rsidRDefault="00694E7F" w:rsidP="00694E7F">
            <w:pPr>
              <w:ind w:firstLineChars="200" w:firstLine="280"/>
              <w:rPr>
                <w:color w:val="333333"/>
                <w:sz w:val="14"/>
                <w:szCs w:val="16"/>
                <w:lang w:val="es-GT" w:eastAsia="es-GT"/>
              </w:rPr>
            </w:pPr>
            <w:r w:rsidRPr="005E29C0">
              <w:rPr>
                <w:color w:val="333333"/>
                <w:sz w:val="14"/>
                <w:szCs w:val="16"/>
                <w:lang w:val="es-GT" w:eastAsia="es-GT"/>
              </w:rPr>
              <w:t>SERVICIOS DE POLÍTICA EXTERIOR</w:t>
            </w:r>
          </w:p>
        </w:tc>
        <w:tc>
          <w:tcPr>
            <w:tcW w:w="992"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210.9</w:t>
            </w:r>
          </w:p>
        </w:tc>
        <w:tc>
          <w:tcPr>
            <w:tcW w:w="1134"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240.9</w:t>
            </w:r>
          </w:p>
        </w:tc>
        <w:tc>
          <w:tcPr>
            <w:tcW w:w="993"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-30.1</w:t>
            </w:r>
          </w:p>
        </w:tc>
        <w:tc>
          <w:tcPr>
            <w:tcW w:w="910" w:type="dxa"/>
            <w:tcBorders>
              <w:top w:val="nil"/>
              <w:left w:val="nil"/>
              <w:bottom w:val="nil"/>
              <w:right w:val="single" w:sz="8"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114.3%</w:t>
            </w:r>
          </w:p>
        </w:tc>
      </w:tr>
      <w:tr w:rsidR="00694E7F" w:rsidRPr="005E29C0" w:rsidTr="00BC2EC7">
        <w:trPr>
          <w:trHeight w:val="261"/>
          <w:jc w:val="center"/>
        </w:trPr>
        <w:tc>
          <w:tcPr>
            <w:tcW w:w="5164" w:type="dxa"/>
            <w:tcBorders>
              <w:top w:val="nil"/>
              <w:left w:val="single" w:sz="8" w:space="0" w:color="auto"/>
              <w:bottom w:val="nil"/>
              <w:right w:val="single" w:sz="4" w:space="0" w:color="auto"/>
            </w:tcBorders>
            <w:shd w:val="clear" w:color="FFFFFF" w:fill="FFFFFF"/>
            <w:noWrap/>
            <w:vAlign w:val="bottom"/>
            <w:hideMark/>
          </w:tcPr>
          <w:p w:rsidR="00694E7F" w:rsidRPr="005E29C0" w:rsidRDefault="00694E7F" w:rsidP="00694E7F">
            <w:pPr>
              <w:ind w:firstLineChars="200" w:firstLine="280"/>
              <w:rPr>
                <w:color w:val="333333"/>
                <w:sz w:val="14"/>
                <w:szCs w:val="16"/>
                <w:lang w:val="es-GT" w:eastAsia="es-GT"/>
              </w:rPr>
            </w:pPr>
            <w:r w:rsidRPr="005E29C0">
              <w:rPr>
                <w:color w:val="333333"/>
                <w:sz w:val="14"/>
                <w:szCs w:val="16"/>
                <w:lang w:val="es-GT" w:eastAsia="es-GT"/>
              </w:rPr>
              <w:t>ACTIVIDADES CENTRALES</w:t>
            </w:r>
          </w:p>
        </w:tc>
        <w:tc>
          <w:tcPr>
            <w:tcW w:w="992"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70.9</w:t>
            </w:r>
          </w:p>
        </w:tc>
        <w:tc>
          <w:tcPr>
            <w:tcW w:w="1134"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64.5</w:t>
            </w:r>
          </w:p>
        </w:tc>
        <w:tc>
          <w:tcPr>
            <w:tcW w:w="993"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6.4</w:t>
            </w:r>
          </w:p>
        </w:tc>
        <w:tc>
          <w:tcPr>
            <w:tcW w:w="910" w:type="dxa"/>
            <w:tcBorders>
              <w:top w:val="nil"/>
              <w:left w:val="nil"/>
              <w:bottom w:val="nil"/>
              <w:right w:val="single" w:sz="8"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91.0%</w:t>
            </w:r>
          </w:p>
        </w:tc>
      </w:tr>
      <w:tr w:rsidR="00694E7F" w:rsidRPr="005E29C0" w:rsidTr="00BC2EC7">
        <w:trPr>
          <w:trHeight w:val="261"/>
          <w:jc w:val="center"/>
        </w:trPr>
        <w:tc>
          <w:tcPr>
            <w:tcW w:w="5164" w:type="dxa"/>
            <w:tcBorders>
              <w:top w:val="nil"/>
              <w:left w:val="single" w:sz="8" w:space="0" w:color="auto"/>
              <w:bottom w:val="nil"/>
              <w:right w:val="single" w:sz="4" w:space="0" w:color="auto"/>
            </w:tcBorders>
            <w:shd w:val="clear" w:color="FFFFFF" w:fill="FFFFFF"/>
            <w:noWrap/>
            <w:vAlign w:val="bottom"/>
            <w:hideMark/>
          </w:tcPr>
          <w:p w:rsidR="00694E7F" w:rsidRPr="005E29C0" w:rsidRDefault="00694E7F" w:rsidP="00694E7F">
            <w:pPr>
              <w:ind w:firstLineChars="200" w:firstLine="280"/>
              <w:rPr>
                <w:color w:val="333333"/>
                <w:sz w:val="14"/>
                <w:szCs w:val="16"/>
                <w:lang w:val="es-GT" w:eastAsia="es-GT"/>
              </w:rPr>
            </w:pPr>
            <w:r w:rsidRPr="005E29C0">
              <w:rPr>
                <w:color w:val="333333"/>
                <w:sz w:val="14"/>
                <w:szCs w:val="16"/>
                <w:lang w:val="es-GT" w:eastAsia="es-GT"/>
              </w:rPr>
              <w:t>PARTIDAS NO ASIGNABLES A PROGRAMAS</w:t>
            </w:r>
          </w:p>
        </w:tc>
        <w:tc>
          <w:tcPr>
            <w:tcW w:w="992"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49.2</w:t>
            </w:r>
          </w:p>
        </w:tc>
        <w:tc>
          <w:tcPr>
            <w:tcW w:w="1134"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41.5</w:t>
            </w:r>
          </w:p>
        </w:tc>
        <w:tc>
          <w:tcPr>
            <w:tcW w:w="993" w:type="dxa"/>
            <w:tcBorders>
              <w:top w:val="nil"/>
              <w:left w:val="nil"/>
              <w:bottom w:val="nil"/>
              <w:right w:val="single" w:sz="4"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7.7</w:t>
            </w:r>
          </w:p>
        </w:tc>
        <w:tc>
          <w:tcPr>
            <w:tcW w:w="910" w:type="dxa"/>
            <w:tcBorders>
              <w:top w:val="nil"/>
              <w:left w:val="nil"/>
              <w:bottom w:val="nil"/>
              <w:right w:val="single" w:sz="8" w:space="0" w:color="auto"/>
            </w:tcBorders>
            <w:shd w:val="clear" w:color="FFFFFF" w:fill="FFFFFF"/>
            <w:noWrap/>
            <w:vAlign w:val="bottom"/>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84.4%</w:t>
            </w:r>
          </w:p>
        </w:tc>
      </w:tr>
      <w:tr w:rsidR="00694E7F" w:rsidRPr="005E29C0" w:rsidTr="00BC2EC7">
        <w:trPr>
          <w:trHeight w:val="342"/>
          <w:jc w:val="center"/>
        </w:trPr>
        <w:tc>
          <w:tcPr>
            <w:tcW w:w="5164" w:type="dxa"/>
            <w:tcBorders>
              <w:top w:val="nil"/>
              <w:left w:val="single" w:sz="8" w:space="0" w:color="auto"/>
              <w:bottom w:val="nil"/>
              <w:right w:val="single" w:sz="4" w:space="0" w:color="auto"/>
            </w:tcBorders>
            <w:shd w:val="clear" w:color="FFFFFF" w:fill="FFFFFF"/>
            <w:vAlign w:val="center"/>
            <w:hideMark/>
          </w:tcPr>
          <w:p w:rsidR="00694E7F" w:rsidRPr="005E29C0" w:rsidRDefault="00694E7F" w:rsidP="00714472">
            <w:pPr>
              <w:ind w:firstLineChars="200" w:firstLine="280"/>
              <w:rPr>
                <w:color w:val="333333"/>
                <w:sz w:val="14"/>
                <w:szCs w:val="16"/>
                <w:lang w:val="es-GT" w:eastAsia="es-GT"/>
              </w:rPr>
            </w:pPr>
            <w:r w:rsidRPr="005E29C0">
              <w:rPr>
                <w:color w:val="333333"/>
                <w:sz w:val="14"/>
                <w:szCs w:val="16"/>
                <w:lang w:val="es-GT" w:eastAsia="es-GT"/>
              </w:rPr>
              <w:t>DEMARCACIÓN DE LÍMITES INTERNAC</w:t>
            </w:r>
            <w:r>
              <w:rPr>
                <w:color w:val="333333"/>
                <w:sz w:val="14"/>
                <w:szCs w:val="16"/>
                <w:lang w:val="es-GT" w:eastAsia="es-GT"/>
              </w:rPr>
              <w:t>S</w:t>
            </w:r>
            <w:r w:rsidRPr="005E29C0">
              <w:rPr>
                <w:color w:val="333333"/>
                <w:sz w:val="14"/>
                <w:szCs w:val="16"/>
                <w:lang w:val="es-GT" w:eastAsia="es-GT"/>
              </w:rPr>
              <w:t xml:space="preserve"> DEL TERRITORIO NACIONAL</w:t>
            </w:r>
          </w:p>
        </w:tc>
        <w:tc>
          <w:tcPr>
            <w:tcW w:w="992" w:type="dxa"/>
            <w:tcBorders>
              <w:top w:val="nil"/>
              <w:left w:val="nil"/>
              <w:bottom w:val="nil"/>
              <w:right w:val="single" w:sz="4" w:space="0" w:color="auto"/>
            </w:tcBorders>
            <w:shd w:val="clear" w:color="FFFFFF" w:fill="FFFFFF"/>
            <w:noWrap/>
            <w:vAlign w:val="center"/>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20.9</w:t>
            </w:r>
          </w:p>
        </w:tc>
        <w:tc>
          <w:tcPr>
            <w:tcW w:w="1134" w:type="dxa"/>
            <w:tcBorders>
              <w:top w:val="nil"/>
              <w:left w:val="nil"/>
              <w:bottom w:val="nil"/>
              <w:right w:val="single" w:sz="4" w:space="0" w:color="auto"/>
            </w:tcBorders>
            <w:shd w:val="clear" w:color="FFFFFF" w:fill="FFFFFF"/>
            <w:noWrap/>
            <w:vAlign w:val="center"/>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13.6</w:t>
            </w:r>
          </w:p>
        </w:tc>
        <w:tc>
          <w:tcPr>
            <w:tcW w:w="993" w:type="dxa"/>
            <w:tcBorders>
              <w:top w:val="nil"/>
              <w:left w:val="nil"/>
              <w:bottom w:val="nil"/>
              <w:right w:val="single" w:sz="4" w:space="0" w:color="auto"/>
            </w:tcBorders>
            <w:shd w:val="clear" w:color="FFFFFF" w:fill="FFFFFF"/>
            <w:noWrap/>
            <w:vAlign w:val="center"/>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7.3</w:t>
            </w:r>
          </w:p>
        </w:tc>
        <w:tc>
          <w:tcPr>
            <w:tcW w:w="910" w:type="dxa"/>
            <w:tcBorders>
              <w:top w:val="nil"/>
              <w:left w:val="nil"/>
              <w:bottom w:val="nil"/>
              <w:right w:val="single" w:sz="8" w:space="0" w:color="auto"/>
            </w:tcBorders>
            <w:shd w:val="clear" w:color="FFFFFF" w:fill="FFFFFF"/>
            <w:noWrap/>
            <w:vAlign w:val="center"/>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64.9%</w:t>
            </w:r>
          </w:p>
        </w:tc>
      </w:tr>
      <w:tr w:rsidR="00694E7F" w:rsidRPr="005E29C0" w:rsidTr="00BC2EC7">
        <w:trPr>
          <w:trHeight w:val="276"/>
          <w:jc w:val="center"/>
        </w:trPr>
        <w:tc>
          <w:tcPr>
            <w:tcW w:w="5164" w:type="dxa"/>
            <w:tcBorders>
              <w:top w:val="nil"/>
              <w:left w:val="single" w:sz="8" w:space="0" w:color="auto"/>
              <w:bottom w:val="single" w:sz="8" w:space="0" w:color="auto"/>
              <w:right w:val="single" w:sz="4" w:space="0" w:color="auto"/>
            </w:tcBorders>
            <w:shd w:val="clear" w:color="FFFFFF" w:fill="FFFFFF"/>
            <w:vAlign w:val="center"/>
            <w:hideMark/>
          </w:tcPr>
          <w:p w:rsidR="00694E7F" w:rsidRPr="005E29C0" w:rsidRDefault="00694E7F" w:rsidP="00714472">
            <w:pPr>
              <w:ind w:firstLineChars="200" w:firstLine="280"/>
              <w:rPr>
                <w:color w:val="333333"/>
                <w:sz w:val="14"/>
                <w:szCs w:val="16"/>
                <w:lang w:val="es-GT" w:eastAsia="es-GT"/>
              </w:rPr>
            </w:pPr>
            <w:r w:rsidRPr="005E29C0">
              <w:rPr>
                <w:color w:val="333333"/>
                <w:sz w:val="14"/>
                <w:szCs w:val="16"/>
                <w:lang w:val="es-GT" w:eastAsia="es-GT"/>
              </w:rPr>
              <w:t>ATENCIÓN POR DESASTRES NATURALES Y CALAMIDADES PÚBLICAS</w:t>
            </w:r>
          </w:p>
        </w:tc>
        <w:tc>
          <w:tcPr>
            <w:tcW w:w="992" w:type="dxa"/>
            <w:tcBorders>
              <w:top w:val="nil"/>
              <w:left w:val="nil"/>
              <w:bottom w:val="single" w:sz="8" w:space="0" w:color="auto"/>
              <w:right w:val="single" w:sz="4" w:space="0" w:color="auto"/>
            </w:tcBorders>
            <w:shd w:val="clear" w:color="FFFFFF" w:fill="FFFFFF"/>
            <w:noWrap/>
            <w:vAlign w:val="center"/>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0.0</w:t>
            </w:r>
          </w:p>
        </w:tc>
        <w:tc>
          <w:tcPr>
            <w:tcW w:w="1134" w:type="dxa"/>
            <w:tcBorders>
              <w:top w:val="nil"/>
              <w:left w:val="nil"/>
              <w:bottom w:val="single" w:sz="8" w:space="0" w:color="auto"/>
              <w:right w:val="single" w:sz="4" w:space="0" w:color="auto"/>
            </w:tcBorders>
            <w:shd w:val="clear" w:color="FFFFFF" w:fill="FFFFFF"/>
            <w:noWrap/>
            <w:vAlign w:val="center"/>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2.9</w:t>
            </w:r>
          </w:p>
        </w:tc>
        <w:tc>
          <w:tcPr>
            <w:tcW w:w="993" w:type="dxa"/>
            <w:tcBorders>
              <w:top w:val="nil"/>
              <w:left w:val="nil"/>
              <w:bottom w:val="single" w:sz="8" w:space="0" w:color="auto"/>
              <w:right w:val="single" w:sz="4" w:space="0" w:color="auto"/>
            </w:tcBorders>
            <w:shd w:val="clear" w:color="FFFFFF" w:fill="FFFFFF"/>
            <w:noWrap/>
            <w:vAlign w:val="center"/>
            <w:hideMark/>
          </w:tcPr>
          <w:p w:rsidR="00694E7F" w:rsidRPr="005E29C0" w:rsidRDefault="00694E7F" w:rsidP="00694E7F">
            <w:pPr>
              <w:jc w:val="right"/>
              <w:rPr>
                <w:color w:val="333333"/>
                <w:sz w:val="14"/>
                <w:szCs w:val="16"/>
                <w:lang w:val="es-GT" w:eastAsia="es-GT"/>
              </w:rPr>
            </w:pPr>
            <w:r w:rsidRPr="005E29C0">
              <w:rPr>
                <w:color w:val="333333"/>
                <w:sz w:val="14"/>
                <w:szCs w:val="16"/>
                <w:lang w:val="es-GT" w:eastAsia="es-GT"/>
              </w:rPr>
              <w:t>-2.9</w:t>
            </w:r>
          </w:p>
        </w:tc>
        <w:tc>
          <w:tcPr>
            <w:tcW w:w="910" w:type="dxa"/>
            <w:tcBorders>
              <w:top w:val="nil"/>
              <w:left w:val="single" w:sz="4" w:space="0" w:color="auto"/>
              <w:bottom w:val="single" w:sz="8" w:space="0" w:color="auto"/>
              <w:right w:val="single" w:sz="8" w:space="0" w:color="auto"/>
            </w:tcBorders>
            <w:shd w:val="clear" w:color="FFFFFF" w:fill="FFFFFF"/>
            <w:noWrap/>
            <w:vAlign w:val="center"/>
            <w:hideMark/>
          </w:tcPr>
          <w:p w:rsidR="00694E7F" w:rsidRPr="005E29C0" w:rsidRDefault="00694E7F" w:rsidP="00694E7F">
            <w:pPr>
              <w:jc w:val="right"/>
              <w:rPr>
                <w:color w:val="FFFFFF"/>
                <w:sz w:val="14"/>
                <w:szCs w:val="16"/>
                <w:lang w:val="es-GT" w:eastAsia="es-GT"/>
              </w:rPr>
            </w:pPr>
            <w:r w:rsidRPr="005E29C0">
              <w:rPr>
                <w:color w:val="FFFFFF"/>
                <w:sz w:val="14"/>
                <w:szCs w:val="16"/>
                <w:lang w:val="es-GT" w:eastAsia="es-GT"/>
              </w:rPr>
              <w:t>#¡DIV/0!</w:t>
            </w:r>
          </w:p>
        </w:tc>
      </w:tr>
    </w:tbl>
    <w:p w:rsidR="00694E7F" w:rsidRPr="004E678D" w:rsidRDefault="00714472" w:rsidP="00714472">
      <w:pPr>
        <w:jc w:val="both"/>
        <w:rPr>
          <w:sz w:val="18"/>
        </w:rPr>
      </w:pPr>
      <w:r>
        <w:rPr>
          <w:sz w:val="18"/>
        </w:rPr>
        <w:t xml:space="preserve">        </w:t>
      </w:r>
      <w:r w:rsidR="00694E7F" w:rsidRPr="004E678D">
        <w:rPr>
          <w:sz w:val="18"/>
        </w:rPr>
        <w:t>Fuente: Ministerio de Finanzas Públicas</w:t>
      </w:r>
      <w:r w:rsidR="00694E7F">
        <w:rPr>
          <w:sz w:val="18"/>
        </w:rPr>
        <w:t>.</w:t>
      </w:r>
    </w:p>
    <w:p w:rsidR="00694E7F" w:rsidRPr="00D108FD" w:rsidRDefault="00694E7F" w:rsidP="00694E7F">
      <w:pPr>
        <w:jc w:val="both"/>
      </w:pPr>
    </w:p>
    <w:p w:rsidR="00694E7F" w:rsidRDefault="00694E7F" w:rsidP="00694E7F">
      <w:pPr>
        <w:jc w:val="both"/>
        <w:rPr>
          <w:b/>
        </w:rPr>
      </w:pPr>
    </w:p>
    <w:p w:rsidR="00694E7F" w:rsidRDefault="00694E7F" w:rsidP="00694E7F">
      <w:pPr>
        <w:jc w:val="both"/>
        <w:rPr>
          <w:b/>
        </w:rPr>
      </w:pPr>
      <w:r>
        <w:rPr>
          <w:b/>
        </w:rPr>
        <w:t>Ministerio de Gobernación:</w:t>
      </w:r>
    </w:p>
    <w:p w:rsidR="00694E7F" w:rsidRPr="00006FBB" w:rsidRDefault="00694E7F" w:rsidP="00694E7F">
      <w:pPr>
        <w:jc w:val="both"/>
        <w:rPr>
          <w:b/>
          <w:sz w:val="28"/>
        </w:rPr>
      </w:pPr>
    </w:p>
    <w:p w:rsidR="00694E7F" w:rsidRDefault="00694E7F" w:rsidP="00694E7F">
      <w:pPr>
        <w:jc w:val="both"/>
      </w:pPr>
      <w:r w:rsidRPr="00D108FD">
        <w:t>El Min</w:t>
      </w:r>
      <w:r>
        <w:t>isterio de Gobernación</w:t>
      </w:r>
      <w:r w:rsidRPr="00D108FD">
        <w:t xml:space="preserve"> tuvo un presupuesto </w:t>
      </w:r>
      <w:r>
        <w:t>aprobado</w:t>
      </w:r>
      <w:r w:rsidRPr="00D108FD">
        <w:t xml:space="preserve"> de </w:t>
      </w:r>
      <w:r>
        <w:t>Q</w:t>
      </w:r>
      <w:r w:rsidR="00B9173F">
        <w:t>.</w:t>
      </w:r>
      <w:r w:rsidRPr="00D108FD">
        <w:t>5,</w:t>
      </w:r>
      <w:r>
        <w:t>344.8</w:t>
      </w:r>
      <w:r w:rsidRPr="00D108FD">
        <w:t xml:space="preserve"> millones, con una ejecución de </w:t>
      </w:r>
      <w:r>
        <w:t>Q</w:t>
      </w:r>
      <w:r w:rsidR="00B9173F">
        <w:t>.</w:t>
      </w:r>
      <w:r>
        <w:t>5</w:t>
      </w:r>
      <w:r w:rsidRPr="00D108FD">
        <w:t>,</w:t>
      </w:r>
      <w:r>
        <w:t>100.3</w:t>
      </w:r>
      <w:r w:rsidRPr="00D108FD">
        <w:t xml:space="preserve"> millones equivalente</w:t>
      </w:r>
      <w:r w:rsidR="00B9173F">
        <w:t>s</w:t>
      </w:r>
      <w:r>
        <w:t xml:space="preserve"> </w:t>
      </w:r>
      <w:r w:rsidRPr="00D108FD">
        <w:t xml:space="preserve">al </w:t>
      </w:r>
      <w:r>
        <w:t>95.4</w:t>
      </w:r>
      <w:r w:rsidRPr="00D108FD">
        <w:t>%.</w:t>
      </w:r>
    </w:p>
    <w:p w:rsidR="00694E7F" w:rsidRPr="00006FBB" w:rsidRDefault="00694E7F" w:rsidP="00694E7F">
      <w:pPr>
        <w:jc w:val="both"/>
        <w:rPr>
          <w:sz w:val="28"/>
        </w:rPr>
      </w:pPr>
    </w:p>
    <w:p w:rsidR="00694E7F" w:rsidRDefault="00694E7F" w:rsidP="00694E7F">
      <w:pPr>
        <w:jc w:val="both"/>
      </w:pPr>
      <w:r w:rsidRPr="00D108FD">
        <w:t xml:space="preserve">El principal programa dentro de su ejecución fue “Servicios de Seguridad a las Personas y su Patrimonio” con </w:t>
      </w:r>
      <w:r>
        <w:t xml:space="preserve">un </w:t>
      </w:r>
      <w:r w:rsidRPr="00D108FD">
        <w:t xml:space="preserve">presupuesto </w:t>
      </w:r>
      <w:r>
        <w:t>aprobado</w:t>
      </w:r>
      <w:r w:rsidRPr="00D108FD">
        <w:t xml:space="preserve"> de </w:t>
      </w:r>
      <w:r>
        <w:t>Q</w:t>
      </w:r>
      <w:r w:rsidR="00B9173F">
        <w:t>.</w:t>
      </w:r>
      <w:r>
        <w:t>4</w:t>
      </w:r>
      <w:r w:rsidRPr="00D108FD">
        <w:t>,</w:t>
      </w:r>
      <w:r>
        <w:t>22</w:t>
      </w:r>
      <w:r w:rsidRPr="00D108FD">
        <w:t>9</w:t>
      </w:r>
      <w:r>
        <w:t>.1</w:t>
      </w:r>
      <w:r w:rsidRPr="00D108FD">
        <w:t xml:space="preserve"> millones y una ejecución de </w:t>
      </w:r>
      <w:r>
        <w:t>Q</w:t>
      </w:r>
      <w:r w:rsidR="00B9173F">
        <w:t>.</w:t>
      </w:r>
      <w:r>
        <w:t>4</w:t>
      </w:r>
      <w:r w:rsidRPr="00D108FD">
        <w:t>,</w:t>
      </w:r>
      <w:r>
        <w:t xml:space="preserve">194.9 millones, </w:t>
      </w:r>
      <w:r w:rsidRPr="00D108FD">
        <w:t>equivalentes a 9</w:t>
      </w:r>
      <w:r>
        <w:t>9.2</w:t>
      </w:r>
      <w:r w:rsidRPr="00D108FD">
        <w:t xml:space="preserve">% respecto </w:t>
      </w:r>
      <w:r>
        <w:t>del</w:t>
      </w:r>
      <w:r w:rsidRPr="00D108FD">
        <w:t xml:space="preserve"> presupuesto </w:t>
      </w:r>
      <w:r>
        <w:t>aprobado</w:t>
      </w:r>
      <w:r w:rsidRPr="00D108FD">
        <w:t>.</w:t>
      </w:r>
    </w:p>
    <w:p w:rsidR="00694E7F" w:rsidRPr="00006FBB" w:rsidRDefault="00694E7F" w:rsidP="00694E7F">
      <w:pPr>
        <w:jc w:val="both"/>
        <w:rPr>
          <w:sz w:val="28"/>
        </w:rPr>
      </w:pPr>
    </w:p>
    <w:p w:rsidR="00694E7F" w:rsidRDefault="00694E7F" w:rsidP="00694E7F">
      <w:pPr>
        <w:jc w:val="both"/>
      </w:pPr>
      <w:r w:rsidRPr="00D108FD">
        <w:t xml:space="preserve">Seguidamente en importancia se ubica el programa “Servicios de Custodia y Rehabilitación de Privados de Libertad”, </w:t>
      </w:r>
      <w:r>
        <w:t>con un presupuesto de</w:t>
      </w:r>
      <w:r w:rsidRPr="00D108FD">
        <w:t xml:space="preserve"> </w:t>
      </w:r>
      <w:r>
        <w:t>Q</w:t>
      </w:r>
      <w:r w:rsidR="00B9173F">
        <w:t>.</w:t>
      </w:r>
      <w:r w:rsidRPr="00D108FD">
        <w:t>5</w:t>
      </w:r>
      <w:r>
        <w:t>29</w:t>
      </w:r>
      <w:r w:rsidRPr="00D108FD">
        <w:t xml:space="preserve">.6 millones y </w:t>
      </w:r>
      <w:r>
        <w:t>una</w:t>
      </w:r>
      <w:r w:rsidRPr="00D108FD">
        <w:t xml:space="preserve"> ejecución de </w:t>
      </w:r>
      <w:r>
        <w:t>Q</w:t>
      </w:r>
      <w:r w:rsidR="00B9173F">
        <w:t>.</w:t>
      </w:r>
      <w:r>
        <w:t>514.7</w:t>
      </w:r>
      <w:r w:rsidRPr="00D108FD">
        <w:t xml:space="preserve"> millones equivalente</w:t>
      </w:r>
      <w:r>
        <w:t>s</w:t>
      </w:r>
      <w:r w:rsidRPr="00D108FD">
        <w:t xml:space="preserve"> al 9</w:t>
      </w:r>
      <w:r>
        <w:t>7.2</w:t>
      </w:r>
      <w:r w:rsidRPr="00D108FD">
        <w:t>%</w:t>
      </w:r>
      <w:r>
        <w:t xml:space="preserve">. </w:t>
      </w:r>
      <w:r w:rsidRPr="00D108FD">
        <w:t xml:space="preserve">El siguiente programa es “Servicios Migratorios y de Extranjería” con </w:t>
      </w:r>
      <w:r>
        <w:t>Q</w:t>
      </w:r>
      <w:r w:rsidR="00B9173F">
        <w:t>.</w:t>
      </w:r>
      <w:r>
        <w:t>205</w:t>
      </w:r>
      <w:r w:rsidRPr="00D108FD">
        <w:t xml:space="preserve">.0 millones, y una ejecución presupuestaria de </w:t>
      </w:r>
      <w:r>
        <w:t>Q</w:t>
      </w:r>
      <w:r w:rsidR="00B9173F">
        <w:t>.</w:t>
      </w:r>
      <w:r>
        <w:t>55.0</w:t>
      </w:r>
      <w:r w:rsidRPr="00D108FD">
        <w:t xml:space="preserve"> millones equivalentes al </w:t>
      </w:r>
      <w:r>
        <w:t>26.8</w:t>
      </w:r>
      <w:r w:rsidRPr="00D108FD">
        <w:t>%</w:t>
      </w:r>
      <w:r>
        <w:t>.</w:t>
      </w:r>
    </w:p>
    <w:p w:rsidR="00694E7F" w:rsidRPr="00006FBB" w:rsidRDefault="00694E7F" w:rsidP="00694E7F">
      <w:pPr>
        <w:jc w:val="both"/>
        <w:rPr>
          <w:sz w:val="28"/>
        </w:rPr>
      </w:pPr>
    </w:p>
    <w:p w:rsidR="00694E7F" w:rsidRDefault="00694E7F" w:rsidP="00694E7F">
      <w:pPr>
        <w:jc w:val="both"/>
      </w:pPr>
      <w:r w:rsidRPr="00D108FD">
        <w:t xml:space="preserve">Las “Actividades Centrales” tuvieron un presupuesto de </w:t>
      </w:r>
      <w:r>
        <w:t>Q</w:t>
      </w:r>
      <w:r w:rsidR="00B9173F">
        <w:t>.</w:t>
      </w:r>
      <w:r w:rsidRPr="00D108FD">
        <w:t>1</w:t>
      </w:r>
      <w:r>
        <w:t>25.7</w:t>
      </w:r>
      <w:r w:rsidRPr="00D108FD">
        <w:t xml:space="preserve"> millones, la ejecución presupuestaria se ubicó en </w:t>
      </w:r>
      <w:r>
        <w:t>Q</w:t>
      </w:r>
      <w:r w:rsidR="00B9173F">
        <w:t>.</w:t>
      </w:r>
      <w:r>
        <w:t>102.0</w:t>
      </w:r>
      <w:r w:rsidRPr="00D108FD">
        <w:t xml:space="preserve"> millones equivalentes al </w:t>
      </w:r>
      <w:r>
        <w:t>81.1</w:t>
      </w:r>
      <w:r w:rsidRPr="00D108FD">
        <w:t>%</w:t>
      </w:r>
      <w:r>
        <w:t>.</w:t>
      </w:r>
    </w:p>
    <w:p w:rsidR="00694E7F" w:rsidRPr="00006FBB" w:rsidRDefault="00694E7F" w:rsidP="00694E7F">
      <w:pPr>
        <w:jc w:val="both"/>
        <w:rPr>
          <w:sz w:val="28"/>
        </w:rPr>
      </w:pPr>
    </w:p>
    <w:p w:rsidR="00694E7F" w:rsidRDefault="00694E7F" w:rsidP="00694E7F">
      <w:pPr>
        <w:jc w:val="both"/>
      </w:pPr>
      <w:r w:rsidRPr="00D108FD">
        <w:t xml:space="preserve">El programa de “Servicios de Inteligencia Civil” tuvo un presupuesto de </w:t>
      </w:r>
      <w:r>
        <w:t>Q</w:t>
      </w:r>
      <w:r w:rsidR="00B9173F">
        <w:t>.</w:t>
      </w:r>
      <w:r w:rsidRPr="00D108FD">
        <w:t>87.</w:t>
      </w:r>
      <w:r>
        <w:t>1</w:t>
      </w:r>
      <w:r w:rsidRPr="00D108FD">
        <w:t xml:space="preserve"> millones</w:t>
      </w:r>
      <w:r>
        <w:t xml:space="preserve"> </w:t>
      </w:r>
      <w:r w:rsidRPr="00D108FD">
        <w:t xml:space="preserve">y una ejecución de </w:t>
      </w:r>
      <w:r>
        <w:t>Q</w:t>
      </w:r>
      <w:r w:rsidR="00B9173F">
        <w:t>.</w:t>
      </w:r>
      <w:r>
        <w:t>64.9</w:t>
      </w:r>
      <w:r w:rsidRPr="00D108FD">
        <w:t xml:space="preserve"> millones equivalentes al </w:t>
      </w:r>
      <w:r>
        <w:t>74.6</w:t>
      </w:r>
      <w:r w:rsidRPr="00D108FD">
        <w:t>%</w:t>
      </w:r>
      <w:r>
        <w:t>.</w:t>
      </w:r>
    </w:p>
    <w:p w:rsidR="00694E7F" w:rsidRPr="00006FBB" w:rsidRDefault="00694E7F" w:rsidP="00694E7F">
      <w:pPr>
        <w:jc w:val="both"/>
        <w:rPr>
          <w:sz w:val="28"/>
        </w:rPr>
      </w:pPr>
    </w:p>
    <w:p w:rsidR="00694E7F" w:rsidRDefault="00694E7F" w:rsidP="00694E7F">
      <w:pPr>
        <w:jc w:val="both"/>
      </w:pPr>
      <w:r>
        <w:t>Seguidamente</w:t>
      </w:r>
      <w:r w:rsidRPr="00D108FD">
        <w:t xml:space="preserve"> se ubica el programa “Servicios de Gobierno Departamental y Registro de Personas Jurídicas”, </w:t>
      </w:r>
      <w:r>
        <w:t>con un presupuesto</w:t>
      </w:r>
      <w:r w:rsidRPr="00D108FD">
        <w:t xml:space="preserve"> de </w:t>
      </w:r>
      <w:r>
        <w:t>Q</w:t>
      </w:r>
      <w:r w:rsidR="00B9173F">
        <w:t>.</w:t>
      </w:r>
      <w:r w:rsidRPr="00D108FD">
        <w:t>8</w:t>
      </w:r>
      <w:r>
        <w:t>2.0</w:t>
      </w:r>
      <w:r w:rsidRPr="00D108FD">
        <w:t xml:space="preserve"> millones, </w:t>
      </w:r>
      <w:r>
        <w:t>una</w:t>
      </w:r>
      <w:r w:rsidRPr="00D108FD">
        <w:t xml:space="preserve"> ejecución presupuestaria de </w:t>
      </w:r>
      <w:r>
        <w:t>Q</w:t>
      </w:r>
      <w:r w:rsidR="00B9173F">
        <w:t>.</w:t>
      </w:r>
      <w:r>
        <w:t>61.6</w:t>
      </w:r>
      <w:r w:rsidRPr="00D108FD">
        <w:t xml:space="preserve"> millones equivalente al </w:t>
      </w:r>
      <w:r>
        <w:t>75.1</w:t>
      </w:r>
      <w:r w:rsidRPr="00D108FD">
        <w:t>%.</w:t>
      </w:r>
    </w:p>
    <w:p w:rsidR="00694E7F" w:rsidRPr="00006FBB" w:rsidRDefault="00694E7F" w:rsidP="00694E7F">
      <w:pPr>
        <w:jc w:val="both"/>
        <w:rPr>
          <w:sz w:val="28"/>
        </w:rPr>
      </w:pPr>
    </w:p>
    <w:p w:rsidR="00694E7F" w:rsidRDefault="00694E7F" w:rsidP="00694E7F">
      <w:pPr>
        <w:jc w:val="both"/>
      </w:pPr>
      <w:r>
        <w:t>Dentro de l</w:t>
      </w:r>
      <w:r w:rsidRPr="00D108FD">
        <w:t xml:space="preserve">os </w:t>
      </w:r>
      <w:r>
        <w:t>3</w:t>
      </w:r>
      <w:r w:rsidRPr="00D108FD">
        <w:t xml:space="preserve"> programas restantes</w:t>
      </w:r>
      <w:r>
        <w:t xml:space="preserve"> sobre sale el de Partidas no Asignables a Programas, el cual estuvo afectado por la necesidad de atender los efectos de la pandemia al mostrar una ejecución del 328.4% equivalente a Q</w:t>
      </w:r>
      <w:r w:rsidR="00B9173F">
        <w:t>.</w:t>
      </w:r>
      <w:r>
        <w:t>54.7 millones de ejecución y un presupuesto asignado de Q</w:t>
      </w:r>
      <w:r w:rsidR="00B9173F">
        <w:t>.</w:t>
      </w:r>
      <w:r>
        <w:t>16.7 millones, los dos restantes se ubicaron por debajo de estos montos</w:t>
      </w:r>
      <w:r w:rsidRPr="00D108FD">
        <w:t>.</w:t>
      </w:r>
    </w:p>
    <w:p w:rsidR="00006FBB" w:rsidRDefault="00006FBB" w:rsidP="00694E7F">
      <w:pPr>
        <w:jc w:val="both"/>
        <w:rPr>
          <w:noProof/>
          <w:lang w:val="es-GT" w:eastAsia="es-GT"/>
        </w:rPr>
      </w:pPr>
    </w:p>
    <w:p w:rsidR="00006FBB" w:rsidRDefault="00006FBB" w:rsidP="00694E7F">
      <w:pPr>
        <w:jc w:val="both"/>
        <w:rPr>
          <w:noProof/>
          <w:lang w:val="es-GT" w:eastAsia="es-GT"/>
        </w:rPr>
      </w:pPr>
    </w:p>
    <w:p w:rsidR="00694E7F" w:rsidRDefault="00694E7F" w:rsidP="00694E7F">
      <w:pPr>
        <w:jc w:val="both"/>
        <w:rPr>
          <w:rFonts w:ascii="Calibri" w:eastAsia="Calibri" w:hAnsi="Calibri"/>
          <w:sz w:val="20"/>
          <w:szCs w:val="20"/>
          <w:lang w:val="es-GT" w:eastAsia="es-GT"/>
        </w:rPr>
      </w:pPr>
      <w:r>
        <w:rPr>
          <w:noProof/>
          <w:lang w:val="es-GT" w:eastAsia="es-GT"/>
        </w:rPr>
        <w:lastRenderedPageBreak/>
        <w:fldChar w:fldCharType="begin"/>
      </w:r>
      <w:r>
        <w:rPr>
          <w:noProof/>
          <w:lang w:val="es-GT" w:eastAsia="es-GT"/>
        </w:rPr>
        <w:instrText xml:space="preserve"> LINK Excel.Sheet.12 "C:\\Users\\deefoper12\\Documents\\Mis Documentos\\2020\\DTF\\memoria de labores 2019\\Cuadros para cierre 2019.xlsx" "Entidad Programa!F23C2:F34C6"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fldChar w:fldCharType="end"/>
      </w:r>
    </w:p>
    <w:tbl>
      <w:tblPr>
        <w:tblW w:w="9325" w:type="dxa"/>
        <w:jc w:val="center"/>
        <w:tblInd w:w="-190" w:type="dxa"/>
        <w:tblCellMar>
          <w:left w:w="70" w:type="dxa"/>
          <w:right w:w="70" w:type="dxa"/>
        </w:tblCellMar>
        <w:tblLook w:val="04A0" w:firstRow="1" w:lastRow="0" w:firstColumn="1" w:lastColumn="0" w:noHBand="0" w:noVBand="1"/>
      </w:tblPr>
      <w:tblGrid>
        <w:gridCol w:w="5576"/>
        <w:gridCol w:w="930"/>
        <w:gridCol w:w="960"/>
        <w:gridCol w:w="914"/>
        <w:gridCol w:w="945"/>
      </w:tblGrid>
      <w:tr w:rsidR="00694E7F" w:rsidRPr="00E27C61" w:rsidTr="00BC2EC7">
        <w:trPr>
          <w:trHeight w:val="172"/>
          <w:jc w:val="center"/>
        </w:trPr>
        <w:tc>
          <w:tcPr>
            <w:tcW w:w="5576" w:type="dxa"/>
            <w:tcBorders>
              <w:top w:val="single" w:sz="8" w:space="0" w:color="auto"/>
              <w:left w:val="single" w:sz="8" w:space="0" w:color="auto"/>
              <w:bottom w:val="single" w:sz="4" w:space="0" w:color="auto"/>
              <w:right w:val="single" w:sz="4" w:space="0" w:color="auto"/>
            </w:tcBorders>
            <w:shd w:val="clear" w:color="000000" w:fill="8DB4E2"/>
            <w:noWrap/>
            <w:hideMark/>
          </w:tcPr>
          <w:p w:rsidR="00694E7F" w:rsidRPr="00714472" w:rsidRDefault="00694E7F" w:rsidP="00694E7F">
            <w:pPr>
              <w:jc w:val="center"/>
              <w:rPr>
                <w:b/>
                <w:bCs/>
                <w:color w:val="000000"/>
                <w:sz w:val="16"/>
                <w:szCs w:val="16"/>
                <w:lang w:val="es-GT" w:eastAsia="es-GT"/>
              </w:rPr>
            </w:pPr>
            <w:r w:rsidRPr="00714472">
              <w:rPr>
                <w:b/>
                <w:bCs/>
                <w:color w:val="000000"/>
                <w:sz w:val="16"/>
                <w:szCs w:val="16"/>
                <w:lang w:val="es-GT" w:eastAsia="es-GT"/>
              </w:rPr>
              <w:t>DESCRIPCION</w:t>
            </w:r>
          </w:p>
        </w:tc>
        <w:tc>
          <w:tcPr>
            <w:tcW w:w="930" w:type="dxa"/>
            <w:tcBorders>
              <w:top w:val="single" w:sz="8" w:space="0" w:color="auto"/>
              <w:left w:val="nil"/>
              <w:bottom w:val="single" w:sz="4" w:space="0" w:color="auto"/>
              <w:right w:val="single" w:sz="4" w:space="0" w:color="auto"/>
            </w:tcBorders>
            <w:shd w:val="clear" w:color="000000" w:fill="8DB4E2"/>
            <w:noWrap/>
            <w:hideMark/>
          </w:tcPr>
          <w:p w:rsidR="00694E7F" w:rsidRPr="00714472" w:rsidRDefault="00694E7F" w:rsidP="00694E7F">
            <w:pPr>
              <w:jc w:val="center"/>
              <w:rPr>
                <w:b/>
                <w:bCs/>
                <w:color w:val="000000"/>
                <w:sz w:val="16"/>
                <w:szCs w:val="16"/>
                <w:lang w:val="es-GT" w:eastAsia="es-GT"/>
              </w:rPr>
            </w:pPr>
            <w:r w:rsidRPr="00714472">
              <w:rPr>
                <w:b/>
                <w:bCs/>
                <w:color w:val="000000"/>
                <w:sz w:val="16"/>
                <w:szCs w:val="16"/>
                <w:lang w:val="es-GT" w:eastAsia="es-GT"/>
              </w:rPr>
              <w:t>Asignado</w:t>
            </w:r>
          </w:p>
        </w:tc>
        <w:tc>
          <w:tcPr>
            <w:tcW w:w="960" w:type="dxa"/>
            <w:tcBorders>
              <w:top w:val="single" w:sz="8" w:space="0" w:color="auto"/>
              <w:left w:val="nil"/>
              <w:bottom w:val="single" w:sz="4" w:space="0" w:color="auto"/>
              <w:right w:val="single" w:sz="4" w:space="0" w:color="auto"/>
            </w:tcBorders>
            <w:shd w:val="clear" w:color="000000" w:fill="8DB4E2"/>
            <w:noWrap/>
            <w:hideMark/>
          </w:tcPr>
          <w:p w:rsidR="00694E7F" w:rsidRPr="00714472" w:rsidRDefault="00694E7F" w:rsidP="00694E7F">
            <w:pPr>
              <w:jc w:val="center"/>
              <w:rPr>
                <w:b/>
                <w:bCs/>
                <w:color w:val="000000"/>
                <w:sz w:val="16"/>
                <w:szCs w:val="16"/>
                <w:lang w:val="es-GT" w:eastAsia="es-GT"/>
              </w:rPr>
            </w:pPr>
            <w:r w:rsidRPr="00714472">
              <w:rPr>
                <w:b/>
                <w:bCs/>
                <w:color w:val="000000"/>
                <w:sz w:val="16"/>
                <w:szCs w:val="16"/>
                <w:lang w:val="es-GT" w:eastAsia="es-GT"/>
              </w:rPr>
              <w:t>Ejecución</w:t>
            </w:r>
          </w:p>
        </w:tc>
        <w:tc>
          <w:tcPr>
            <w:tcW w:w="914" w:type="dxa"/>
            <w:tcBorders>
              <w:top w:val="single" w:sz="8" w:space="0" w:color="auto"/>
              <w:left w:val="nil"/>
              <w:bottom w:val="single" w:sz="4" w:space="0" w:color="auto"/>
              <w:right w:val="single" w:sz="4" w:space="0" w:color="auto"/>
            </w:tcBorders>
            <w:shd w:val="clear" w:color="000000" w:fill="8DB4E2"/>
            <w:noWrap/>
            <w:hideMark/>
          </w:tcPr>
          <w:p w:rsidR="00694E7F" w:rsidRPr="00714472" w:rsidRDefault="00694E7F" w:rsidP="00694E7F">
            <w:pPr>
              <w:jc w:val="center"/>
              <w:rPr>
                <w:b/>
                <w:bCs/>
                <w:color w:val="000000"/>
                <w:sz w:val="16"/>
                <w:szCs w:val="16"/>
                <w:lang w:val="es-GT" w:eastAsia="es-GT"/>
              </w:rPr>
            </w:pPr>
            <w:r w:rsidRPr="00714472">
              <w:rPr>
                <w:b/>
                <w:bCs/>
                <w:color w:val="000000"/>
                <w:sz w:val="16"/>
                <w:szCs w:val="16"/>
                <w:lang w:val="es-GT" w:eastAsia="es-GT"/>
              </w:rPr>
              <w:t>Diferencias</w:t>
            </w:r>
          </w:p>
        </w:tc>
        <w:tc>
          <w:tcPr>
            <w:tcW w:w="945" w:type="dxa"/>
            <w:tcBorders>
              <w:top w:val="single" w:sz="8" w:space="0" w:color="auto"/>
              <w:left w:val="nil"/>
              <w:bottom w:val="single" w:sz="4" w:space="0" w:color="auto"/>
              <w:right w:val="single" w:sz="8" w:space="0" w:color="auto"/>
            </w:tcBorders>
            <w:shd w:val="clear" w:color="000000" w:fill="8DB4E2"/>
            <w:noWrap/>
            <w:hideMark/>
          </w:tcPr>
          <w:p w:rsidR="00694E7F" w:rsidRPr="00714472" w:rsidRDefault="00694E7F" w:rsidP="00694E7F">
            <w:pPr>
              <w:jc w:val="center"/>
              <w:rPr>
                <w:b/>
                <w:bCs/>
                <w:color w:val="000000"/>
                <w:sz w:val="16"/>
                <w:szCs w:val="16"/>
                <w:lang w:val="es-GT" w:eastAsia="es-GT"/>
              </w:rPr>
            </w:pPr>
            <w:r w:rsidRPr="00714472">
              <w:rPr>
                <w:b/>
                <w:bCs/>
                <w:color w:val="000000"/>
                <w:sz w:val="16"/>
                <w:szCs w:val="16"/>
                <w:lang w:val="es-GT" w:eastAsia="es-GT"/>
              </w:rPr>
              <w:t>% Ejec</w:t>
            </w:r>
          </w:p>
        </w:tc>
      </w:tr>
      <w:tr w:rsidR="00694E7F" w:rsidRPr="00E27C61" w:rsidTr="00BC2EC7">
        <w:trPr>
          <w:trHeight w:val="172"/>
          <w:jc w:val="center"/>
        </w:trPr>
        <w:tc>
          <w:tcPr>
            <w:tcW w:w="5576" w:type="dxa"/>
            <w:tcBorders>
              <w:top w:val="nil"/>
              <w:left w:val="single" w:sz="8" w:space="0" w:color="auto"/>
              <w:bottom w:val="nil"/>
              <w:right w:val="single" w:sz="4" w:space="0" w:color="auto"/>
            </w:tcBorders>
            <w:shd w:val="clear" w:color="FFFFFF" w:fill="FFFFFF"/>
            <w:noWrap/>
            <w:vAlign w:val="bottom"/>
            <w:hideMark/>
          </w:tcPr>
          <w:p w:rsidR="00694E7F" w:rsidRPr="00E27C61" w:rsidRDefault="00694E7F" w:rsidP="00694E7F">
            <w:pPr>
              <w:rPr>
                <w:b/>
                <w:bCs/>
                <w:color w:val="333333"/>
                <w:sz w:val="14"/>
                <w:szCs w:val="16"/>
                <w:lang w:val="es-GT" w:eastAsia="es-GT"/>
              </w:rPr>
            </w:pPr>
            <w:r w:rsidRPr="00E27C61">
              <w:rPr>
                <w:b/>
                <w:bCs/>
                <w:color w:val="333333"/>
                <w:sz w:val="14"/>
                <w:szCs w:val="16"/>
                <w:lang w:val="es-GT" w:eastAsia="es-GT"/>
              </w:rPr>
              <w:t>MINISTERIO DE GOBERNACIÓN</w:t>
            </w:r>
          </w:p>
        </w:tc>
        <w:tc>
          <w:tcPr>
            <w:tcW w:w="93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b/>
                <w:bCs/>
                <w:color w:val="333333"/>
                <w:sz w:val="14"/>
                <w:szCs w:val="16"/>
                <w:lang w:val="es-GT" w:eastAsia="es-GT"/>
              </w:rPr>
            </w:pPr>
            <w:r w:rsidRPr="00E27C61">
              <w:rPr>
                <w:b/>
                <w:bCs/>
                <w:color w:val="333333"/>
                <w:sz w:val="14"/>
                <w:szCs w:val="16"/>
                <w:lang w:val="es-GT" w:eastAsia="es-GT"/>
              </w:rPr>
              <w:t>5,344.8</w:t>
            </w:r>
          </w:p>
        </w:tc>
        <w:tc>
          <w:tcPr>
            <w:tcW w:w="96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b/>
                <w:bCs/>
                <w:color w:val="333333"/>
                <w:sz w:val="14"/>
                <w:szCs w:val="16"/>
                <w:lang w:val="es-GT" w:eastAsia="es-GT"/>
              </w:rPr>
            </w:pPr>
            <w:r w:rsidRPr="00E27C61">
              <w:rPr>
                <w:b/>
                <w:bCs/>
                <w:color w:val="333333"/>
                <w:sz w:val="14"/>
                <w:szCs w:val="16"/>
                <w:lang w:val="es-GT" w:eastAsia="es-GT"/>
              </w:rPr>
              <w:t>5,100.3</w:t>
            </w:r>
          </w:p>
        </w:tc>
        <w:tc>
          <w:tcPr>
            <w:tcW w:w="914"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b/>
                <w:bCs/>
                <w:color w:val="333333"/>
                <w:sz w:val="14"/>
                <w:szCs w:val="16"/>
                <w:lang w:val="es-GT" w:eastAsia="es-GT"/>
              </w:rPr>
            </w:pPr>
            <w:r w:rsidRPr="00E27C61">
              <w:rPr>
                <w:b/>
                <w:bCs/>
                <w:color w:val="333333"/>
                <w:sz w:val="14"/>
                <w:szCs w:val="16"/>
                <w:lang w:val="es-GT" w:eastAsia="es-GT"/>
              </w:rPr>
              <w:t>244.5</w:t>
            </w:r>
          </w:p>
        </w:tc>
        <w:tc>
          <w:tcPr>
            <w:tcW w:w="945" w:type="dxa"/>
            <w:tcBorders>
              <w:top w:val="nil"/>
              <w:left w:val="nil"/>
              <w:bottom w:val="nil"/>
              <w:right w:val="single" w:sz="8" w:space="0" w:color="auto"/>
            </w:tcBorders>
            <w:shd w:val="clear" w:color="FFFFFF" w:fill="FFFFFF"/>
            <w:noWrap/>
            <w:vAlign w:val="center"/>
            <w:hideMark/>
          </w:tcPr>
          <w:p w:rsidR="00694E7F" w:rsidRPr="00E27C61" w:rsidRDefault="00694E7F" w:rsidP="00694E7F">
            <w:pPr>
              <w:jc w:val="right"/>
              <w:rPr>
                <w:b/>
                <w:bCs/>
                <w:color w:val="333333"/>
                <w:sz w:val="14"/>
                <w:szCs w:val="16"/>
                <w:lang w:val="es-GT" w:eastAsia="es-GT"/>
              </w:rPr>
            </w:pPr>
            <w:r w:rsidRPr="00E27C61">
              <w:rPr>
                <w:b/>
                <w:bCs/>
                <w:color w:val="333333"/>
                <w:sz w:val="14"/>
                <w:szCs w:val="16"/>
                <w:lang w:val="es-GT" w:eastAsia="es-GT"/>
              </w:rPr>
              <w:t>95.4%</w:t>
            </w:r>
          </w:p>
        </w:tc>
      </w:tr>
      <w:tr w:rsidR="00694E7F" w:rsidRPr="00E27C61" w:rsidTr="00BC2EC7">
        <w:trPr>
          <w:trHeight w:val="172"/>
          <w:jc w:val="center"/>
        </w:trPr>
        <w:tc>
          <w:tcPr>
            <w:tcW w:w="5576" w:type="dxa"/>
            <w:tcBorders>
              <w:top w:val="nil"/>
              <w:left w:val="single" w:sz="8" w:space="0" w:color="auto"/>
              <w:bottom w:val="nil"/>
              <w:right w:val="single" w:sz="4" w:space="0" w:color="auto"/>
            </w:tcBorders>
            <w:shd w:val="clear" w:color="FFFFFF" w:fill="FFFFFF"/>
            <w:noWrap/>
            <w:vAlign w:val="bottom"/>
            <w:hideMark/>
          </w:tcPr>
          <w:p w:rsidR="00694E7F" w:rsidRPr="00E27C61" w:rsidRDefault="00694E7F" w:rsidP="00694E7F">
            <w:pPr>
              <w:ind w:firstLineChars="200" w:firstLine="280"/>
              <w:rPr>
                <w:color w:val="333333"/>
                <w:sz w:val="14"/>
                <w:szCs w:val="16"/>
                <w:lang w:val="es-GT" w:eastAsia="es-GT"/>
              </w:rPr>
            </w:pPr>
            <w:r w:rsidRPr="00E27C61">
              <w:rPr>
                <w:color w:val="333333"/>
                <w:sz w:val="14"/>
                <w:szCs w:val="16"/>
                <w:lang w:val="es-GT" w:eastAsia="es-GT"/>
              </w:rPr>
              <w:t>SERVICIOS DE SEGURIDAD A LAS PERSONAS Y SU PATRIMONIO</w:t>
            </w:r>
          </w:p>
        </w:tc>
        <w:tc>
          <w:tcPr>
            <w:tcW w:w="93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4,229.1</w:t>
            </w:r>
          </w:p>
        </w:tc>
        <w:tc>
          <w:tcPr>
            <w:tcW w:w="96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4,194.9</w:t>
            </w:r>
          </w:p>
        </w:tc>
        <w:tc>
          <w:tcPr>
            <w:tcW w:w="914"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34.2</w:t>
            </w:r>
          </w:p>
        </w:tc>
        <w:tc>
          <w:tcPr>
            <w:tcW w:w="945" w:type="dxa"/>
            <w:tcBorders>
              <w:top w:val="nil"/>
              <w:left w:val="nil"/>
              <w:bottom w:val="nil"/>
              <w:right w:val="single" w:sz="8"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99.2%</w:t>
            </w:r>
          </w:p>
        </w:tc>
      </w:tr>
      <w:tr w:rsidR="00694E7F" w:rsidRPr="00E27C61" w:rsidTr="00BC2EC7">
        <w:trPr>
          <w:trHeight w:val="172"/>
          <w:jc w:val="center"/>
        </w:trPr>
        <w:tc>
          <w:tcPr>
            <w:tcW w:w="5576" w:type="dxa"/>
            <w:tcBorders>
              <w:top w:val="nil"/>
              <w:left w:val="single" w:sz="8" w:space="0" w:color="auto"/>
              <w:bottom w:val="nil"/>
              <w:right w:val="single" w:sz="4" w:space="0" w:color="auto"/>
            </w:tcBorders>
            <w:shd w:val="clear" w:color="FFFFFF" w:fill="FFFFFF"/>
            <w:noWrap/>
            <w:vAlign w:val="bottom"/>
            <w:hideMark/>
          </w:tcPr>
          <w:p w:rsidR="00694E7F" w:rsidRPr="00E27C61" w:rsidRDefault="00694E7F" w:rsidP="00694E7F">
            <w:pPr>
              <w:ind w:firstLineChars="200" w:firstLine="280"/>
              <w:rPr>
                <w:color w:val="333333"/>
                <w:sz w:val="14"/>
                <w:szCs w:val="16"/>
                <w:lang w:val="es-GT" w:eastAsia="es-GT"/>
              </w:rPr>
            </w:pPr>
            <w:r w:rsidRPr="00E27C61">
              <w:rPr>
                <w:color w:val="333333"/>
                <w:sz w:val="14"/>
                <w:szCs w:val="16"/>
                <w:lang w:val="es-GT" w:eastAsia="es-GT"/>
              </w:rPr>
              <w:t>SERVS CUSTODIA Y REHABILITACIÓN DE PRIVADOS DE LIBERTAD</w:t>
            </w:r>
          </w:p>
        </w:tc>
        <w:tc>
          <w:tcPr>
            <w:tcW w:w="93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529.6</w:t>
            </w:r>
          </w:p>
        </w:tc>
        <w:tc>
          <w:tcPr>
            <w:tcW w:w="96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514.7</w:t>
            </w:r>
          </w:p>
        </w:tc>
        <w:tc>
          <w:tcPr>
            <w:tcW w:w="914"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14.9</w:t>
            </w:r>
          </w:p>
        </w:tc>
        <w:tc>
          <w:tcPr>
            <w:tcW w:w="945" w:type="dxa"/>
            <w:tcBorders>
              <w:top w:val="nil"/>
              <w:left w:val="nil"/>
              <w:bottom w:val="nil"/>
              <w:right w:val="single" w:sz="8"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97.2%</w:t>
            </w:r>
          </w:p>
        </w:tc>
      </w:tr>
      <w:tr w:rsidR="00694E7F" w:rsidRPr="00E27C61" w:rsidTr="00BC2EC7">
        <w:trPr>
          <w:trHeight w:val="172"/>
          <w:jc w:val="center"/>
        </w:trPr>
        <w:tc>
          <w:tcPr>
            <w:tcW w:w="5576" w:type="dxa"/>
            <w:tcBorders>
              <w:top w:val="nil"/>
              <w:left w:val="single" w:sz="8" w:space="0" w:color="auto"/>
              <w:bottom w:val="nil"/>
              <w:right w:val="single" w:sz="4" w:space="0" w:color="auto"/>
            </w:tcBorders>
            <w:shd w:val="clear" w:color="FFFFFF" w:fill="FFFFFF"/>
            <w:noWrap/>
            <w:vAlign w:val="bottom"/>
            <w:hideMark/>
          </w:tcPr>
          <w:p w:rsidR="00694E7F" w:rsidRPr="00E27C61" w:rsidRDefault="00694E7F" w:rsidP="00694E7F">
            <w:pPr>
              <w:ind w:firstLineChars="200" w:firstLine="280"/>
              <w:rPr>
                <w:color w:val="333333"/>
                <w:sz w:val="14"/>
                <w:szCs w:val="16"/>
                <w:lang w:val="es-GT" w:eastAsia="es-GT"/>
              </w:rPr>
            </w:pPr>
            <w:r w:rsidRPr="00E27C61">
              <w:rPr>
                <w:color w:val="333333"/>
                <w:sz w:val="14"/>
                <w:szCs w:val="16"/>
                <w:lang w:val="es-GT" w:eastAsia="es-GT"/>
              </w:rPr>
              <w:t>SERVICIOS MIGRATORIOS Y EXTRANJERÍA</w:t>
            </w:r>
          </w:p>
        </w:tc>
        <w:tc>
          <w:tcPr>
            <w:tcW w:w="93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205.0</w:t>
            </w:r>
          </w:p>
        </w:tc>
        <w:tc>
          <w:tcPr>
            <w:tcW w:w="96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55.0</w:t>
            </w:r>
          </w:p>
        </w:tc>
        <w:tc>
          <w:tcPr>
            <w:tcW w:w="914"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150.0</w:t>
            </w:r>
          </w:p>
        </w:tc>
        <w:tc>
          <w:tcPr>
            <w:tcW w:w="945" w:type="dxa"/>
            <w:tcBorders>
              <w:top w:val="nil"/>
              <w:left w:val="nil"/>
              <w:bottom w:val="nil"/>
              <w:right w:val="single" w:sz="8"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26.8%</w:t>
            </w:r>
          </w:p>
        </w:tc>
      </w:tr>
      <w:tr w:rsidR="00694E7F" w:rsidRPr="00E27C61" w:rsidTr="00BC2EC7">
        <w:trPr>
          <w:trHeight w:val="172"/>
          <w:jc w:val="center"/>
        </w:trPr>
        <w:tc>
          <w:tcPr>
            <w:tcW w:w="5576" w:type="dxa"/>
            <w:tcBorders>
              <w:top w:val="nil"/>
              <w:left w:val="single" w:sz="8" w:space="0" w:color="auto"/>
              <w:bottom w:val="nil"/>
              <w:right w:val="single" w:sz="4" w:space="0" w:color="auto"/>
            </w:tcBorders>
            <w:shd w:val="clear" w:color="FFFFFF" w:fill="FFFFFF"/>
            <w:noWrap/>
            <w:vAlign w:val="bottom"/>
            <w:hideMark/>
          </w:tcPr>
          <w:p w:rsidR="00694E7F" w:rsidRPr="00E27C61" w:rsidRDefault="00694E7F" w:rsidP="00694E7F">
            <w:pPr>
              <w:ind w:firstLineChars="200" w:firstLine="280"/>
              <w:rPr>
                <w:color w:val="333333"/>
                <w:sz w:val="14"/>
                <w:szCs w:val="16"/>
                <w:lang w:val="es-GT" w:eastAsia="es-GT"/>
              </w:rPr>
            </w:pPr>
            <w:r w:rsidRPr="00E27C61">
              <w:rPr>
                <w:color w:val="333333"/>
                <w:sz w:val="14"/>
                <w:szCs w:val="16"/>
                <w:lang w:val="es-GT" w:eastAsia="es-GT"/>
              </w:rPr>
              <w:t>ACTIVIDADES CENTRALES</w:t>
            </w:r>
          </w:p>
        </w:tc>
        <w:tc>
          <w:tcPr>
            <w:tcW w:w="93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125.7</w:t>
            </w:r>
          </w:p>
        </w:tc>
        <w:tc>
          <w:tcPr>
            <w:tcW w:w="96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102.0</w:t>
            </w:r>
          </w:p>
        </w:tc>
        <w:tc>
          <w:tcPr>
            <w:tcW w:w="914"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23.8</w:t>
            </w:r>
          </w:p>
        </w:tc>
        <w:tc>
          <w:tcPr>
            <w:tcW w:w="945" w:type="dxa"/>
            <w:tcBorders>
              <w:top w:val="nil"/>
              <w:left w:val="nil"/>
              <w:bottom w:val="nil"/>
              <w:right w:val="single" w:sz="8"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81.1%</w:t>
            </w:r>
          </w:p>
        </w:tc>
      </w:tr>
      <w:tr w:rsidR="00694E7F" w:rsidRPr="00E27C61" w:rsidTr="00BC2EC7">
        <w:trPr>
          <w:trHeight w:val="172"/>
          <w:jc w:val="center"/>
        </w:trPr>
        <w:tc>
          <w:tcPr>
            <w:tcW w:w="5576" w:type="dxa"/>
            <w:tcBorders>
              <w:top w:val="nil"/>
              <w:left w:val="single" w:sz="8" w:space="0" w:color="auto"/>
              <w:bottom w:val="nil"/>
              <w:right w:val="single" w:sz="4" w:space="0" w:color="auto"/>
            </w:tcBorders>
            <w:shd w:val="clear" w:color="FFFFFF" w:fill="FFFFFF"/>
            <w:noWrap/>
            <w:vAlign w:val="bottom"/>
            <w:hideMark/>
          </w:tcPr>
          <w:p w:rsidR="00694E7F" w:rsidRPr="00E27C61" w:rsidRDefault="00694E7F" w:rsidP="00694E7F">
            <w:pPr>
              <w:ind w:firstLineChars="200" w:firstLine="280"/>
              <w:rPr>
                <w:color w:val="333333"/>
                <w:sz w:val="14"/>
                <w:szCs w:val="16"/>
                <w:lang w:val="es-GT" w:eastAsia="es-GT"/>
              </w:rPr>
            </w:pPr>
            <w:r w:rsidRPr="00E27C61">
              <w:rPr>
                <w:color w:val="333333"/>
                <w:sz w:val="14"/>
                <w:szCs w:val="16"/>
                <w:lang w:val="es-GT" w:eastAsia="es-GT"/>
              </w:rPr>
              <w:t>SERVICIOS DE INTELIGENCIA CIVIL (COMÚN PROGRAMAS 11, 12 Y 13)</w:t>
            </w:r>
          </w:p>
        </w:tc>
        <w:tc>
          <w:tcPr>
            <w:tcW w:w="93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87.1</w:t>
            </w:r>
          </w:p>
        </w:tc>
        <w:tc>
          <w:tcPr>
            <w:tcW w:w="96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64.9</w:t>
            </w:r>
          </w:p>
        </w:tc>
        <w:tc>
          <w:tcPr>
            <w:tcW w:w="914"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22.1</w:t>
            </w:r>
          </w:p>
        </w:tc>
        <w:tc>
          <w:tcPr>
            <w:tcW w:w="945" w:type="dxa"/>
            <w:tcBorders>
              <w:top w:val="nil"/>
              <w:left w:val="nil"/>
              <w:bottom w:val="nil"/>
              <w:right w:val="single" w:sz="8"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74.6%</w:t>
            </w:r>
          </w:p>
        </w:tc>
      </w:tr>
      <w:tr w:rsidR="00694E7F" w:rsidRPr="00E27C61" w:rsidTr="00BC2EC7">
        <w:trPr>
          <w:trHeight w:val="172"/>
          <w:jc w:val="center"/>
        </w:trPr>
        <w:tc>
          <w:tcPr>
            <w:tcW w:w="5576" w:type="dxa"/>
            <w:tcBorders>
              <w:top w:val="nil"/>
              <w:left w:val="single" w:sz="8" w:space="0" w:color="auto"/>
              <w:bottom w:val="nil"/>
              <w:right w:val="single" w:sz="4" w:space="0" w:color="auto"/>
            </w:tcBorders>
            <w:shd w:val="clear" w:color="FFFFFF" w:fill="FFFFFF"/>
            <w:noWrap/>
            <w:vAlign w:val="bottom"/>
            <w:hideMark/>
          </w:tcPr>
          <w:p w:rsidR="00694E7F" w:rsidRPr="00E27C61" w:rsidRDefault="00694E7F" w:rsidP="00694E7F">
            <w:pPr>
              <w:ind w:firstLineChars="200" w:firstLine="280"/>
              <w:rPr>
                <w:color w:val="333333"/>
                <w:sz w:val="14"/>
                <w:szCs w:val="16"/>
                <w:lang w:val="es-GT" w:eastAsia="es-GT"/>
              </w:rPr>
            </w:pPr>
            <w:r w:rsidRPr="00E27C61">
              <w:rPr>
                <w:color w:val="333333"/>
                <w:sz w:val="14"/>
                <w:szCs w:val="16"/>
                <w:lang w:val="es-GT" w:eastAsia="es-GT"/>
              </w:rPr>
              <w:t>SERVS GOBIERNO DEPARTAMENTAL Y REGISTRO DE PERSONAS JURÍDICAS</w:t>
            </w:r>
          </w:p>
        </w:tc>
        <w:tc>
          <w:tcPr>
            <w:tcW w:w="93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82.0</w:t>
            </w:r>
          </w:p>
        </w:tc>
        <w:tc>
          <w:tcPr>
            <w:tcW w:w="96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61.6</w:t>
            </w:r>
          </w:p>
        </w:tc>
        <w:tc>
          <w:tcPr>
            <w:tcW w:w="914"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20.4</w:t>
            </w:r>
          </w:p>
        </w:tc>
        <w:tc>
          <w:tcPr>
            <w:tcW w:w="945" w:type="dxa"/>
            <w:tcBorders>
              <w:top w:val="nil"/>
              <w:left w:val="nil"/>
              <w:bottom w:val="nil"/>
              <w:right w:val="single" w:sz="8"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75.1%</w:t>
            </w:r>
          </w:p>
        </w:tc>
      </w:tr>
      <w:tr w:rsidR="00694E7F" w:rsidRPr="00E27C61" w:rsidTr="00BC2EC7">
        <w:trPr>
          <w:trHeight w:val="172"/>
          <w:jc w:val="center"/>
        </w:trPr>
        <w:tc>
          <w:tcPr>
            <w:tcW w:w="5576" w:type="dxa"/>
            <w:tcBorders>
              <w:top w:val="nil"/>
              <w:left w:val="single" w:sz="8" w:space="0" w:color="auto"/>
              <w:bottom w:val="nil"/>
              <w:right w:val="single" w:sz="4" w:space="0" w:color="auto"/>
            </w:tcBorders>
            <w:shd w:val="clear" w:color="FFFFFF" w:fill="FFFFFF"/>
            <w:noWrap/>
            <w:vAlign w:val="bottom"/>
            <w:hideMark/>
          </w:tcPr>
          <w:p w:rsidR="00694E7F" w:rsidRPr="00E27C61" w:rsidRDefault="00694E7F" w:rsidP="00694E7F">
            <w:pPr>
              <w:ind w:firstLineChars="200" w:firstLine="280"/>
              <w:rPr>
                <w:color w:val="333333"/>
                <w:sz w:val="14"/>
                <w:szCs w:val="16"/>
                <w:lang w:val="es-GT" w:eastAsia="es-GT"/>
              </w:rPr>
            </w:pPr>
            <w:r w:rsidRPr="00E27C61">
              <w:rPr>
                <w:color w:val="333333"/>
                <w:sz w:val="14"/>
                <w:szCs w:val="16"/>
                <w:lang w:val="es-GT" w:eastAsia="es-GT"/>
              </w:rPr>
              <w:t>SERVICIOS DE DIVULGACIÓN OFICIAL</w:t>
            </w:r>
          </w:p>
        </w:tc>
        <w:tc>
          <w:tcPr>
            <w:tcW w:w="93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69.8</w:t>
            </w:r>
          </w:p>
        </w:tc>
        <w:tc>
          <w:tcPr>
            <w:tcW w:w="96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43.2</w:t>
            </w:r>
          </w:p>
        </w:tc>
        <w:tc>
          <w:tcPr>
            <w:tcW w:w="914"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26.7</w:t>
            </w:r>
          </w:p>
        </w:tc>
        <w:tc>
          <w:tcPr>
            <w:tcW w:w="945" w:type="dxa"/>
            <w:tcBorders>
              <w:top w:val="nil"/>
              <w:left w:val="nil"/>
              <w:bottom w:val="nil"/>
              <w:right w:val="single" w:sz="8"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61.8%</w:t>
            </w:r>
          </w:p>
        </w:tc>
      </w:tr>
      <w:tr w:rsidR="00694E7F" w:rsidRPr="00E27C61" w:rsidTr="00BC2EC7">
        <w:trPr>
          <w:trHeight w:val="172"/>
          <w:jc w:val="center"/>
        </w:trPr>
        <w:tc>
          <w:tcPr>
            <w:tcW w:w="5576" w:type="dxa"/>
            <w:tcBorders>
              <w:top w:val="nil"/>
              <w:left w:val="single" w:sz="8" w:space="0" w:color="auto"/>
              <w:bottom w:val="nil"/>
              <w:right w:val="single" w:sz="4" w:space="0" w:color="auto"/>
            </w:tcBorders>
            <w:shd w:val="clear" w:color="FFFFFF" w:fill="FFFFFF"/>
            <w:noWrap/>
            <w:vAlign w:val="bottom"/>
            <w:hideMark/>
          </w:tcPr>
          <w:p w:rsidR="00694E7F" w:rsidRPr="00E27C61" w:rsidRDefault="00694E7F" w:rsidP="00694E7F">
            <w:pPr>
              <w:ind w:firstLineChars="200" w:firstLine="280"/>
              <w:rPr>
                <w:color w:val="333333"/>
                <w:sz w:val="14"/>
                <w:szCs w:val="16"/>
                <w:lang w:val="es-GT" w:eastAsia="es-GT"/>
              </w:rPr>
            </w:pPr>
            <w:r w:rsidRPr="00E27C61">
              <w:rPr>
                <w:color w:val="333333"/>
                <w:sz w:val="14"/>
                <w:szCs w:val="16"/>
                <w:lang w:val="es-GT" w:eastAsia="es-GT"/>
              </w:rPr>
              <w:t>PARTIDAS NO ASIGNABLES A PROGRAMAS</w:t>
            </w:r>
          </w:p>
        </w:tc>
        <w:tc>
          <w:tcPr>
            <w:tcW w:w="93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16.7</w:t>
            </w:r>
          </w:p>
        </w:tc>
        <w:tc>
          <w:tcPr>
            <w:tcW w:w="960"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54.7</w:t>
            </w:r>
          </w:p>
        </w:tc>
        <w:tc>
          <w:tcPr>
            <w:tcW w:w="914" w:type="dxa"/>
            <w:tcBorders>
              <w:top w:val="nil"/>
              <w:left w:val="nil"/>
              <w:bottom w:val="nil"/>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-38.0</w:t>
            </w:r>
          </w:p>
        </w:tc>
        <w:tc>
          <w:tcPr>
            <w:tcW w:w="945" w:type="dxa"/>
            <w:tcBorders>
              <w:top w:val="nil"/>
              <w:left w:val="nil"/>
              <w:bottom w:val="nil"/>
              <w:right w:val="single" w:sz="8"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328.4%</w:t>
            </w:r>
          </w:p>
        </w:tc>
      </w:tr>
      <w:tr w:rsidR="00694E7F" w:rsidRPr="00E27C61" w:rsidTr="00BC2EC7">
        <w:trPr>
          <w:trHeight w:val="172"/>
          <w:jc w:val="center"/>
        </w:trPr>
        <w:tc>
          <w:tcPr>
            <w:tcW w:w="5576"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E27C61" w:rsidRDefault="00694E7F" w:rsidP="00694E7F">
            <w:pPr>
              <w:ind w:firstLineChars="200" w:firstLine="280"/>
              <w:rPr>
                <w:color w:val="333333"/>
                <w:sz w:val="14"/>
                <w:szCs w:val="16"/>
                <w:lang w:val="es-GT" w:eastAsia="es-GT"/>
              </w:rPr>
            </w:pPr>
            <w:r w:rsidRPr="00E27C61">
              <w:rPr>
                <w:color w:val="333333"/>
                <w:sz w:val="14"/>
                <w:szCs w:val="16"/>
                <w:lang w:val="es-GT" w:eastAsia="es-GT"/>
              </w:rPr>
              <w:t>ATENCIÓN POR DESASTRES NATURALES Y CALAMIDADES PÚBLICAS</w:t>
            </w:r>
          </w:p>
        </w:tc>
        <w:tc>
          <w:tcPr>
            <w:tcW w:w="930" w:type="dxa"/>
            <w:tcBorders>
              <w:top w:val="nil"/>
              <w:left w:val="nil"/>
              <w:bottom w:val="single" w:sz="8" w:space="0" w:color="auto"/>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0.0</w:t>
            </w:r>
          </w:p>
        </w:tc>
        <w:tc>
          <w:tcPr>
            <w:tcW w:w="960" w:type="dxa"/>
            <w:tcBorders>
              <w:top w:val="nil"/>
              <w:left w:val="nil"/>
              <w:bottom w:val="single" w:sz="8" w:space="0" w:color="auto"/>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9.4</w:t>
            </w:r>
          </w:p>
        </w:tc>
        <w:tc>
          <w:tcPr>
            <w:tcW w:w="914" w:type="dxa"/>
            <w:tcBorders>
              <w:top w:val="nil"/>
              <w:left w:val="nil"/>
              <w:bottom w:val="single" w:sz="8" w:space="0" w:color="auto"/>
              <w:right w:val="single" w:sz="4" w:space="0" w:color="auto"/>
            </w:tcBorders>
            <w:shd w:val="clear" w:color="FFFFFF" w:fill="FFFFFF"/>
            <w:noWrap/>
            <w:vAlign w:val="center"/>
            <w:hideMark/>
          </w:tcPr>
          <w:p w:rsidR="00694E7F" w:rsidRPr="00E27C61" w:rsidRDefault="00694E7F" w:rsidP="00694E7F">
            <w:pPr>
              <w:jc w:val="right"/>
              <w:rPr>
                <w:color w:val="333333"/>
                <w:sz w:val="14"/>
                <w:szCs w:val="16"/>
                <w:lang w:val="es-GT" w:eastAsia="es-GT"/>
              </w:rPr>
            </w:pPr>
            <w:r w:rsidRPr="00E27C61">
              <w:rPr>
                <w:color w:val="333333"/>
                <w:sz w:val="14"/>
                <w:szCs w:val="16"/>
                <w:lang w:val="es-GT" w:eastAsia="es-GT"/>
              </w:rPr>
              <w:t>-9.4</w:t>
            </w:r>
          </w:p>
        </w:tc>
        <w:tc>
          <w:tcPr>
            <w:tcW w:w="945" w:type="dxa"/>
            <w:tcBorders>
              <w:top w:val="nil"/>
              <w:left w:val="single" w:sz="4" w:space="0" w:color="auto"/>
              <w:bottom w:val="single" w:sz="8" w:space="0" w:color="auto"/>
              <w:right w:val="single" w:sz="8" w:space="0" w:color="auto"/>
            </w:tcBorders>
            <w:shd w:val="clear" w:color="FFFFFF" w:fill="FFFFFF"/>
            <w:noWrap/>
            <w:vAlign w:val="center"/>
            <w:hideMark/>
          </w:tcPr>
          <w:p w:rsidR="00694E7F" w:rsidRPr="00E27C61" w:rsidRDefault="00694E7F" w:rsidP="00694E7F">
            <w:pPr>
              <w:jc w:val="right"/>
              <w:rPr>
                <w:color w:val="FFFFFF"/>
                <w:sz w:val="14"/>
                <w:szCs w:val="16"/>
                <w:lang w:val="es-GT" w:eastAsia="es-GT"/>
              </w:rPr>
            </w:pPr>
            <w:r w:rsidRPr="00E27C61">
              <w:rPr>
                <w:color w:val="FFFFFF"/>
                <w:sz w:val="14"/>
                <w:szCs w:val="16"/>
                <w:lang w:val="es-GT" w:eastAsia="es-GT"/>
              </w:rPr>
              <w:t>#¡DIV/0!</w:t>
            </w:r>
          </w:p>
        </w:tc>
      </w:tr>
    </w:tbl>
    <w:p w:rsidR="00694E7F" w:rsidRPr="004E678D" w:rsidRDefault="00714472" w:rsidP="00714472">
      <w:pPr>
        <w:jc w:val="both"/>
        <w:rPr>
          <w:sz w:val="18"/>
        </w:rPr>
      </w:pPr>
      <w:r>
        <w:rPr>
          <w:sz w:val="18"/>
        </w:rPr>
        <w:t xml:space="preserve"> </w:t>
      </w:r>
      <w:r w:rsidR="00694E7F" w:rsidRPr="004E678D">
        <w:rPr>
          <w:sz w:val="18"/>
        </w:rPr>
        <w:t>Fuente: Ministerio de Finanzas Públicas</w:t>
      </w:r>
      <w:r w:rsidR="00694E7F">
        <w:rPr>
          <w:sz w:val="18"/>
        </w:rPr>
        <w:t>.</w:t>
      </w:r>
    </w:p>
    <w:p w:rsidR="00694E7F" w:rsidRPr="00D108FD" w:rsidRDefault="00694E7F" w:rsidP="00694E7F">
      <w:pPr>
        <w:jc w:val="both"/>
      </w:pPr>
    </w:p>
    <w:p w:rsidR="00694E7F" w:rsidRPr="00D108FD" w:rsidRDefault="00694E7F" w:rsidP="00694E7F">
      <w:pPr>
        <w:jc w:val="both"/>
      </w:pPr>
    </w:p>
    <w:p w:rsidR="00694E7F" w:rsidRDefault="00694E7F" w:rsidP="00694E7F">
      <w:pPr>
        <w:jc w:val="both"/>
        <w:rPr>
          <w:b/>
        </w:rPr>
      </w:pPr>
    </w:p>
    <w:p w:rsidR="00694E7F" w:rsidRDefault="00694E7F" w:rsidP="00694E7F">
      <w:pPr>
        <w:jc w:val="both"/>
        <w:rPr>
          <w:b/>
        </w:rPr>
      </w:pPr>
      <w:r w:rsidRPr="00D108FD">
        <w:rPr>
          <w:b/>
        </w:rPr>
        <w:t>Ministerio de la Defensa Nacional</w:t>
      </w:r>
      <w:r>
        <w:rPr>
          <w:b/>
        </w:rPr>
        <w:t>:</w:t>
      </w:r>
    </w:p>
    <w:p w:rsidR="00694E7F" w:rsidRPr="00006FBB" w:rsidRDefault="00694E7F" w:rsidP="00694E7F">
      <w:pPr>
        <w:jc w:val="both"/>
        <w:rPr>
          <w:b/>
          <w:sz w:val="28"/>
        </w:rPr>
      </w:pPr>
    </w:p>
    <w:p w:rsidR="00694E7F" w:rsidRDefault="00694E7F" w:rsidP="00694E7F">
      <w:pPr>
        <w:jc w:val="both"/>
      </w:pPr>
      <w:r>
        <w:t xml:space="preserve">Inició </w:t>
      </w:r>
      <w:r w:rsidR="00B9173F">
        <w:t xml:space="preserve">el </w:t>
      </w:r>
      <w:r>
        <w:t xml:space="preserve">2020 con </w:t>
      </w:r>
      <w:r w:rsidRPr="00D108FD">
        <w:t>un presupuesto</w:t>
      </w:r>
      <w:r>
        <w:t xml:space="preserve"> aprobado</w:t>
      </w:r>
      <w:r w:rsidRPr="00D108FD">
        <w:t xml:space="preserve"> de </w:t>
      </w:r>
      <w:r>
        <w:t>Q</w:t>
      </w:r>
      <w:r w:rsidR="00B9173F">
        <w:t>.</w:t>
      </w:r>
      <w:r w:rsidRPr="00D108FD">
        <w:t>2,</w:t>
      </w:r>
      <w:r>
        <w:t>627.7</w:t>
      </w:r>
      <w:r w:rsidRPr="00D108FD">
        <w:t xml:space="preserve"> millones y </w:t>
      </w:r>
      <w:r>
        <w:t>su</w:t>
      </w:r>
      <w:r w:rsidRPr="00D108FD">
        <w:t xml:space="preserve"> ejecución presupuestaria fue de </w:t>
      </w:r>
      <w:r>
        <w:t>Q</w:t>
      </w:r>
      <w:r w:rsidR="00B9173F">
        <w:t>.</w:t>
      </w:r>
      <w:r w:rsidRPr="00D108FD">
        <w:t>2,</w:t>
      </w:r>
      <w:r>
        <w:t>509.9</w:t>
      </w:r>
      <w:r w:rsidRPr="00D108FD">
        <w:t xml:space="preserve"> millones equivalente al 9</w:t>
      </w:r>
      <w:r>
        <w:t>5.5</w:t>
      </w:r>
      <w:r w:rsidRPr="00D108FD">
        <w:t>%.</w:t>
      </w:r>
    </w:p>
    <w:p w:rsidR="00694E7F" w:rsidRPr="00006FBB" w:rsidRDefault="00694E7F" w:rsidP="00694E7F">
      <w:pPr>
        <w:jc w:val="both"/>
        <w:rPr>
          <w:sz w:val="28"/>
        </w:rPr>
      </w:pPr>
    </w:p>
    <w:p w:rsidR="00694E7F" w:rsidRPr="00E56A52" w:rsidRDefault="00694E7F" w:rsidP="00694E7F">
      <w:pPr>
        <w:jc w:val="both"/>
        <w:rPr>
          <w:lang w:val="es-GT"/>
        </w:rPr>
      </w:pPr>
      <w:r w:rsidRPr="00D108FD">
        <w:t xml:space="preserve">Hubo </w:t>
      </w:r>
      <w:r>
        <w:t>4</w:t>
      </w:r>
      <w:r w:rsidRPr="00D108FD">
        <w:t xml:space="preserve"> programas dentro de las prioridades de </w:t>
      </w:r>
      <w:r>
        <w:t xml:space="preserve">su </w:t>
      </w:r>
      <w:r w:rsidRPr="00D108FD">
        <w:t xml:space="preserve">ejecución presupuestaria, el primero se refiere a “Defensa de la Soberanía e Integridad Territorial”, </w:t>
      </w:r>
      <w:r>
        <w:t>con</w:t>
      </w:r>
      <w:r w:rsidRPr="00D108FD">
        <w:t xml:space="preserve"> un presupuesto de </w:t>
      </w:r>
      <w:r>
        <w:t>Q</w:t>
      </w:r>
      <w:r w:rsidR="00B9173F">
        <w:t>.</w:t>
      </w:r>
      <w:r>
        <w:t>997.8</w:t>
      </w:r>
      <w:r w:rsidRPr="00D108FD">
        <w:t xml:space="preserve"> millones</w:t>
      </w:r>
      <w:r>
        <w:t xml:space="preserve"> con</w:t>
      </w:r>
      <w:r w:rsidRPr="00D108FD">
        <w:t xml:space="preserve"> </w:t>
      </w:r>
      <w:r>
        <w:t>una</w:t>
      </w:r>
      <w:r w:rsidRPr="00D108FD">
        <w:t xml:space="preserve"> ejecución presupuestaria </w:t>
      </w:r>
      <w:r>
        <w:t>d</w:t>
      </w:r>
      <w:r w:rsidRPr="00D108FD">
        <w:t xml:space="preserve">el </w:t>
      </w:r>
      <w:r>
        <w:t>103.6</w:t>
      </w:r>
      <w:r w:rsidRPr="00D108FD">
        <w:t>%</w:t>
      </w:r>
      <w:r>
        <w:t xml:space="preserve"> equivalente a Q</w:t>
      </w:r>
      <w:r w:rsidR="00B9173F">
        <w:t>.</w:t>
      </w:r>
      <w:r>
        <w:t>1,033.9 millones</w:t>
      </w:r>
      <w:r w:rsidRPr="00D108FD">
        <w:t>.</w:t>
      </w:r>
    </w:p>
    <w:p w:rsidR="00694E7F" w:rsidRPr="00006FBB" w:rsidRDefault="00694E7F" w:rsidP="00694E7F">
      <w:pPr>
        <w:jc w:val="both"/>
        <w:rPr>
          <w:sz w:val="28"/>
          <w:lang w:val="es-GT"/>
        </w:rPr>
      </w:pPr>
    </w:p>
    <w:p w:rsidR="00694E7F" w:rsidRDefault="00694E7F" w:rsidP="00694E7F">
      <w:pPr>
        <w:jc w:val="both"/>
      </w:pPr>
      <w:r w:rsidRPr="00D108FD">
        <w:t xml:space="preserve">El segundo programa se refiere a las Actividades Centrales, </w:t>
      </w:r>
      <w:r>
        <w:t>con</w:t>
      </w:r>
      <w:r w:rsidRPr="00D108FD">
        <w:t xml:space="preserve"> un presupuesto</w:t>
      </w:r>
      <w:r>
        <w:t xml:space="preserve"> aprobado</w:t>
      </w:r>
      <w:r w:rsidRPr="00D108FD">
        <w:t xml:space="preserve"> de </w:t>
      </w:r>
      <w:r>
        <w:t>Q</w:t>
      </w:r>
      <w:r w:rsidR="00B9173F">
        <w:t>.</w:t>
      </w:r>
      <w:r>
        <w:t>926.5</w:t>
      </w:r>
      <w:r w:rsidRPr="00D108FD">
        <w:t xml:space="preserve"> millones, </w:t>
      </w:r>
      <w:r>
        <w:t>una</w:t>
      </w:r>
      <w:r w:rsidRPr="00D108FD">
        <w:t xml:space="preserve"> ejecución </w:t>
      </w:r>
      <w:r>
        <w:t>de</w:t>
      </w:r>
      <w:r w:rsidRPr="00D108FD">
        <w:t xml:space="preserve"> </w:t>
      </w:r>
      <w:r>
        <w:t>Q</w:t>
      </w:r>
      <w:r w:rsidR="00B9173F">
        <w:t>.</w:t>
      </w:r>
      <w:r>
        <w:t>742.7</w:t>
      </w:r>
      <w:r w:rsidRPr="00D108FD">
        <w:t xml:space="preserve"> millones equivalente</w:t>
      </w:r>
      <w:r>
        <w:t>s</w:t>
      </w:r>
      <w:r w:rsidRPr="00D108FD">
        <w:t xml:space="preserve"> al </w:t>
      </w:r>
      <w:r>
        <w:t>80.2</w:t>
      </w:r>
      <w:r w:rsidRPr="00D108FD">
        <w:t>%</w:t>
      </w:r>
      <w:r>
        <w:t xml:space="preserve">. </w:t>
      </w:r>
      <w:r w:rsidRPr="00D108FD">
        <w:t xml:space="preserve">El tercer programa Actividades Comunes con </w:t>
      </w:r>
      <w:r>
        <w:t xml:space="preserve">un </w:t>
      </w:r>
      <w:r w:rsidRPr="00D108FD">
        <w:t xml:space="preserve">presupuesto </w:t>
      </w:r>
      <w:r>
        <w:t>de</w:t>
      </w:r>
      <w:r w:rsidRPr="00D108FD">
        <w:t xml:space="preserve"> </w:t>
      </w:r>
      <w:r>
        <w:t>Q</w:t>
      </w:r>
      <w:r w:rsidR="00B9173F">
        <w:t>.</w:t>
      </w:r>
      <w:r>
        <w:t>306.2</w:t>
      </w:r>
      <w:r w:rsidRPr="00D108FD">
        <w:t xml:space="preserve"> millones, </w:t>
      </w:r>
      <w:r>
        <w:t>registró</w:t>
      </w:r>
      <w:r w:rsidRPr="00D108FD">
        <w:t xml:space="preserve"> una ejecución presupuestaria de </w:t>
      </w:r>
      <w:r>
        <w:t>Q</w:t>
      </w:r>
      <w:r w:rsidR="00B9173F">
        <w:t>.</w:t>
      </w:r>
      <w:r>
        <w:t>340.4</w:t>
      </w:r>
      <w:r w:rsidRPr="00D108FD">
        <w:t xml:space="preserve"> millones equivalente a</w:t>
      </w:r>
      <w:r>
        <w:t>l</w:t>
      </w:r>
      <w:r w:rsidRPr="00D108FD">
        <w:t xml:space="preserve"> </w:t>
      </w:r>
      <w:r>
        <w:t>111.2%.</w:t>
      </w:r>
    </w:p>
    <w:p w:rsidR="00694E7F" w:rsidRPr="00006FBB" w:rsidRDefault="00694E7F" w:rsidP="00694E7F">
      <w:pPr>
        <w:jc w:val="both"/>
        <w:rPr>
          <w:sz w:val="28"/>
        </w:rPr>
      </w:pPr>
    </w:p>
    <w:p w:rsidR="00694E7F" w:rsidRDefault="00694E7F" w:rsidP="00694E7F">
      <w:pPr>
        <w:jc w:val="both"/>
      </w:pPr>
      <w:r w:rsidRPr="00D108FD">
        <w:t xml:space="preserve">El cuarto programa relevante, según las cifras de ejecución presupuestaria es </w:t>
      </w:r>
      <w:r>
        <w:t>el de Partidas No Asignables a Programas</w:t>
      </w:r>
      <w:r w:rsidRPr="00D108FD">
        <w:t xml:space="preserve">, </w:t>
      </w:r>
      <w:r>
        <w:t>con un presupuesto de</w:t>
      </w:r>
      <w:r w:rsidRPr="00D108FD">
        <w:t xml:space="preserve"> </w:t>
      </w:r>
      <w:r>
        <w:t>Q</w:t>
      </w:r>
      <w:r w:rsidR="00B9173F">
        <w:t>.</w:t>
      </w:r>
      <w:r>
        <w:t>161.</w:t>
      </w:r>
      <w:r w:rsidRPr="00D108FD">
        <w:t xml:space="preserve">2 millones, y una ejecución presupuestaria de </w:t>
      </w:r>
      <w:r>
        <w:t>Q</w:t>
      </w:r>
      <w:r w:rsidR="00B9173F">
        <w:t>.</w:t>
      </w:r>
      <w:r>
        <w:t>165.0</w:t>
      </w:r>
      <w:r w:rsidRPr="00D108FD">
        <w:t xml:space="preserve"> millones equivalentes al </w:t>
      </w:r>
      <w:r>
        <w:t>102.4</w:t>
      </w:r>
      <w:r w:rsidRPr="00D108FD">
        <w:t>%.</w:t>
      </w:r>
    </w:p>
    <w:p w:rsidR="00694E7F" w:rsidRPr="00006FBB" w:rsidRDefault="00694E7F" w:rsidP="00694E7F">
      <w:pPr>
        <w:jc w:val="both"/>
        <w:rPr>
          <w:sz w:val="28"/>
        </w:rPr>
      </w:pPr>
    </w:p>
    <w:p w:rsidR="00694E7F" w:rsidRDefault="00694E7F" w:rsidP="00694E7F">
      <w:pPr>
        <w:jc w:val="both"/>
      </w:pPr>
      <w:r>
        <w:t>Seguidamente se observa una ejecución por debajo de los Q</w:t>
      </w:r>
      <w:r w:rsidR="00B9173F">
        <w:t>.</w:t>
      </w:r>
      <w:r>
        <w:t>78.8 millones, ejecutado por el programa Proyección Diplomática y Apoyo en Misiones de Paz, equivalentes al 95.2% del presupuesto aprobado que fue de Q</w:t>
      </w:r>
      <w:r w:rsidR="00B9173F">
        <w:t>.</w:t>
      </w:r>
      <w:r>
        <w:t>82.8 millones</w:t>
      </w:r>
      <w:r w:rsidRPr="00D108FD">
        <w:t>.</w:t>
      </w:r>
    </w:p>
    <w:p w:rsidR="00694E7F" w:rsidRPr="00006FBB" w:rsidRDefault="00694E7F" w:rsidP="00694E7F">
      <w:pPr>
        <w:jc w:val="both"/>
        <w:rPr>
          <w:sz w:val="28"/>
        </w:rPr>
      </w:pPr>
    </w:p>
    <w:p w:rsidR="00694E7F" w:rsidRDefault="00694E7F" w:rsidP="00694E7F">
      <w:pPr>
        <w:jc w:val="both"/>
      </w:pPr>
      <w:r>
        <w:t xml:space="preserve">En su ejecución destaca </w:t>
      </w:r>
      <w:r w:rsidRPr="00D108FD">
        <w:t>el renglón 453</w:t>
      </w:r>
      <w:r>
        <w:t xml:space="preserve"> “</w:t>
      </w:r>
      <w:r w:rsidRPr="00D108FD">
        <w:t xml:space="preserve">Transferencias a </w:t>
      </w:r>
      <w:r>
        <w:t>e</w:t>
      </w:r>
      <w:r w:rsidRPr="00D108FD">
        <w:t xml:space="preserve">ntidades </w:t>
      </w:r>
      <w:r>
        <w:t>d</w:t>
      </w:r>
      <w:r w:rsidRPr="00D108FD">
        <w:t xml:space="preserve">escentralizadas y </w:t>
      </w:r>
      <w:r>
        <w:t>a</w:t>
      </w:r>
      <w:r w:rsidRPr="00D108FD">
        <w:t xml:space="preserve">utónomas no </w:t>
      </w:r>
      <w:r>
        <w:t>f</w:t>
      </w:r>
      <w:r w:rsidRPr="00D108FD">
        <w:t>inancieras</w:t>
      </w:r>
      <w:r>
        <w:t>” (para funcionamiento)</w:t>
      </w:r>
      <w:r w:rsidRPr="00D108FD">
        <w:t xml:space="preserve">, </w:t>
      </w:r>
      <w:r>
        <w:t xml:space="preserve">que se refiere </w:t>
      </w:r>
      <w:r w:rsidRPr="00D108FD">
        <w:t>específicamente al Instituto de Previsión Militar</w:t>
      </w:r>
      <w:r>
        <w:t xml:space="preserve"> que en el 2018 ejecutaron</w:t>
      </w:r>
      <w:r w:rsidRPr="00D108FD">
        <w:t xml:space="preserve"> </w:t>
      </w:r>
      <w:r>
        <w:t>Q</w:t>
      </w:r>
      <w:r w:rsidR="00B9173F">
        <w:t>.</w:t>
      </w:r>
      <w:r w:rsidRPr="00D108FD">
        <w:t>84.8 millones</w:t>
      </w:r>
      <w:r>
        <w:t xml:space="preserve"> y para 2019 tuvo un aumento del 60.2% equivalente a Q</w:t>
      </w:r>
      <w:r w:rsidR="00B9173F">
        <w:t>.</w:t>
      </w:r>
      <w:r>
        <w:t>135.9 millones, mientras que para 2020 tuvo un presupuesto asignado de Q</w:t>
      </w:r>
      <w:r w:rsidR="00B9173F">
        <w:t>.</w:t>
      </w:r>
      <w:r>
        <w:t>135.9 millones y el aumento en la ejecución contin</w:t>
      </w:r>
      <w:r w:rsidR="00B9173F">
        <w:t>ú</w:t>
      </w:r>
      <w:r>
        <w:t xml:space="preserve">a ya que preliminarmente al 31 de diciembre </w:t>
      </w:r>
      <w:r w:rsidR="00B9173F">
        <w:t xml:space="preserve">de 2020 </w:t>
      </w:r>
      <w:r>
        <w:t>es de Q</w:t>
      </w:r>
      <w:r w:rsidR="00B9173F">
        <w:t>.</w:t>
      </w:r>
      <w:r>
        <w:t>142.3 millones. A</w:t>
      </w:r>
      <w:r w:rsidRPr="00D108FD">
        <w:t>simismo, a través del renglón 533</w:t>
      </w:r>
      <w:r>
        <w:t xml:space="preserve"> “</w:t>
      </w:r>
      <w:r w:rsidRPr="00D108FD">
        <w:t xml:space="preserve">Transferencias a </w:t>
      </w:r>
      <w:r>
        <w:t>e</w:t>
      </w:r>
      <w:r w:rsidRPr="00D108FD">
        <w:t xml:space="preserve">ntidades </w:t>
      </w:r>
      <w:r>
        <w:t>d</w:t>
      </w:r>
      <w:r w:rsidRPr="00D108FD">
        <w:t xml:space="preserve">escentralizadas y </w:t>
      </w:r>
      <w:r>
        <w:t>a</w:t>
      </w:r>
      <w:r w:rsidRPr="00D108FD">
        <w:t xml:space="preserve">utónomas no </w:t>
      </w:r>
      <w:r>
        <w:t>f</w:t>
      </w:r>
      <w:r w:rsidRPr="00D108FD">
        <w:t>inancieras</w:t>
      </w:r>
      <w:r>
        <w:t>” (por el lado de inversión) para 2020</w:t>
      </w:r>
      <w:r w:rsidRPr="00D108FD">
        <w:t>, también al Instituto de Previsión Militar</w:t>
      </w:r>
      <w:r>
        <w:t xml:space="preserve"> se le transfirieron Q</w:t>
      </w:r>
      <w:r w:rsidR="00F0222C">
        <w:t>.</w:t>
      </w:r>
      <w:r>
        <w:t>22.</w:t>
      </w:r>
      <w:r w:rsidRPr="00D108FD">
        <w:t>5 millones.</w:t>
      </w:r>
    </w:p>
    <w:p w:rsidR="00694E7F" w:rsidRDefault="00694E7F" w:rsidP="00694E7F">
      <w:pPr>
        <w:jc w:val="both"/>
      </w:pPr>
    </w:p>
    <w:p w:rsidR="00694E7F" w:rsidRDefault="00694E7F" w:rsidP="00694E7F">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Programa!F36C2:F46C6"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lastRenderedPageBreak/>
        <w:fldChar w:fldCharType="end"/>
      </w:r>
    </w:p>
    <w:tbl>
      <w:tblPr>
        <w:tblW w:w="9273" w:type="dxa"/>
        <w:jc w:val="center"/>
        <w:tblInd w:w="-315" w:type="dxa"/>
        <w:tblCellMar>
          <w:left w:w="70" w:type="dxa"/>
          <w:right w:w="70" w:type="dxa"/>
        </w:tblCellMar>
        <w:tblLook w:val="04A0" w:firstRow="1" w:lastRow="0" w:firstColumn="1" w:lastColumn="0" w:noHBand="0" w:noVBand="1"/>
      </w:tblPr>
      <w:tblGrid>
        <w:gridCol w:w="5913"/>
        <w:gridCol w:w="850"/>
        <w:gridCol w:w="851"/>
        <w:gridCol w:w="914"/>
        <w:gridCol w:w="842"/>
      </w:tblGrid>
      <w:tr w:rsidR="00694E7F" w:rsidRPr="00A47B4F" w:rsidTr="00A47B4F">
        <w:trPr>
          <w:trHeight w:val="164"/>
          <w:jc w:val="center"/>
        </w:trPr>
        <w:tc>
          <w:tcPr>
            <w:tcW w:w="5913" w:type="dxa"/>
            <w:tcBorders>
              <w:top w:val="single" w:sz="8" w:space="0" w:color="auto"/>
              <w:left w:val="single" w:sz="8" w:space="0" w:color="auto"/>
              <w:bottom w:val="single" w:sz="4" w:space="0" w:color="auto"/>
              <w:right w:val="single" w:sz="4" w:space="0" w:color="auto"/>
            </w:tcBorders>
            <w:shd w:val="clear" w:color="000000" w:fill="8DB4E2"/>
            <w:noWrap/>
            <w:hideMark/>
          </w:tcPr>
          <w:p w:rsidR="00694E7F" w:rsidRPr="00A47B4F" w:rsidRDefault="00694E7F" w:rsidP="00694E7F">
            <w:pPr>
              <w:jc w:val="center"/>
              <w:rPr>
                <w:b/>
                <w:bCs/>
                <w:color w:val="000000"/>
                <w:sz w:val="16"/>
                <w:szCs w:val="14"/>
                <w:lang w:val="es-GT" w:eastAsia="es-GT"/>
              </w:rPr>
            </w:pPr>
            <w:r w:rsidRPr="00A47B4F">
              <w:rPr>
                <w:b/>
                <w:bCs/>
                <w:color w:val="000000"/>
                <w:sz w:val="16"/>
                <w:szCs w:val="14"/>
                <w:lang w:val="es-GT" w:eastAsia="es-GT"/>
              </w:rPr>
              <w:t>DESCRIPCION</w:t>
            </w:r>
          </w:p>
        </w:tc>
        <w:tc>
          <w:tcPr>
            <w:tcW w:w="850" w:type="dxa"/>
            <w:tcBorders>
              <w:top w:val="single" w:sz="8" w:space="0" w:color="auto"/>
              <w:left w:val="nil"/>
              <w:bottom w:val="single" w:sz="4" w:space="0" w:color="auto"/>
              <w:right w:val="single" w:sz="4" w:space="0" w:color="auto"/>
            </w:tcBorders>
            <w:shd w:val="clear" w:color="000000" w:fill="8DB4E2"/>
            <w:noWrap/>
            <w:hideMark/>
          </w:tcPr>
          <w:p w:rsidR="00694E7F" w:rsidRPr="00A47B4F" w:rsidRDefault="00694E7F" w:rsidP="00694E7F">
            <w:pPr>
              <w:jc w:val="center"/>
              <w:rPr>
                <w:b/>
                <w:bCs/>
                <w:color w:val="000000"/>
                <w:sz w:val="16"/>
                <w:szCs w:val="14"/>
                <w:lang w:val="es-GT" w:eastAsia="es-GT"/>
              </w:rPr>
            </w:pPr>
            <w:r w:rsidRPr="00A47B4F">
              <w:rPr>
                <w:b/>
                <w:bCs/>
                <w:color w:val="000000"/>
                <w:sz w:val="16"/>
                <w:szCs w:val="14"/>
                <w:lang w:val="es-GT" w:eastAsia="es-GT"/>
              </w:rPr>
              <w:t>Asignado</w:t>
            </w:r>
          </w:p>
        </w:tc>
        <w:tc>
          <w:tcPr>
            <w:tcW w:w="851" w:type="dxa"/>
            <w:tcBorders>
              <w:top w:val="single" w:sz="8" w:space="0" w:color="auto"/>
              <w:left w:val="nil"/>
              <w:bottom w:val="single" w:sz="4" w:space="0" w:color="auto"/>
              <w:right w:val="single" w:sz="4" w:space="0" w:color="auto"/>
            </w:tcBorders>
            <w:shd w:val="clear" w:color="000000" w:fill="8DB4E2"/>
            <w:noWrap/>
            <w:hideMark/>
          </w:tcPr>
          <w:p w:rsidR="00694E7F" w:rsidRPr="00A47B4F" w:rsidRDefault="00694E7F" w:rsidP="00694E7F">
            <w:pPr>
              <w:jc w:val="center"/>
              <w:rPr>
                <w:b/>
                <w:bCs/>
                <w:color w:val="000000"/>
                <w:sz w:val="16"/>
                <w:szCs w:val="14"/>
                <w:lang w:val="es-GT" w:eastAsia="es-GT"/>
              </w:rPr>
            </w:pPr>
            <w:r w:rsidRPr="00A47B4F">
              <w:rPr>
                <w:b/>
                <w:bCs/>
                <w:color w:val="000000"/>
                <w:sz w:val="16"/>
                <w:szCs w:val="14"/>
                <w:lang w:val="es-GT" w:eastAsia="es-GT"/>
              </w:rPr>
              <w:t>Ejecución</w:t>
            </w:r>
          </w:p>
        </w:tc>
        <w:tc>
          <w:tcPr>
            <w:tcW w:w="817" w:type="dxa"/>
            <w:tcBorders>
              <w:top w:val="single" w:sz="8" w:space="0" w:color="auto"/>
              <w:left w:val="nil"/>
              <w:bottom w:val="single" w:sz="4" w:space="0" w:color="auto"/>
              <w:right w:val="single" w:sz="4" w:space="0" w:color="auto"/>
            </w:tcBorders>
            <w:shd w:val="clear" w:color="000000" w:fill="8DB4E2"/>
            <w:noWrap/>
            <w:hideMark/>
          </w:tcPr>
          <w:p w:rsidR="00694E7F" w:rsidRPr="00A47B4F" w:rsidRDefault="00694E7F" w:rsidP="00694E7F">
            <w:pPr>
              <w:jc w:val="center"/>
              <w:rPr>
                <w:b/>
                <w:bCs/>
                <w:color w:val="000000"/>
                <w:sz w:val="16"/>
                <w:szCs w:val="14"/>
                <w:lang w:val="es-GT" w:eastAsia="es-GT"/>
              </w:rPr>
            </w:pPr>
            <w:r w:rsidRPr="00A47B4F">
              <w:rPr>
                <w:b/>
                <w:bCs/>
                <w:color w:val="000000"/>
                <w:sz w:val="16"/>
                <w:szCs w:val="14"/>
                <w:lang w:val="es-GT" w:eastAsia="es-GT"/>
              </w:rPr>
              <w:t>Diferencias</w:t>
            </w:r>
          </w:p>
        </w:tc>
        <w:tc>
          <w:tcPr>
            <w:tcW w:w="842" w:type="dxa"/>
            <w:tcBorders>
              <w:top w:val="single" w:sz="8" w:space="0" w:color="auto"/>
              <w:left w:val="nil"/>
              <w:bottom w:val="single" w:sz="4" w:space="0" w:color="auto"/>
              <w:right w:val="single" w:sz="8" w:space="0" w:color="auto"/>
            </w:tcBorders>
            <w:shd w:val="clear" w:color="000000" w:fill="8DB4E2"/>
            <w:noWrap/>
            <w:hideMark/>
          </w:tcPr>
          <w:p w:rsidR="00694E7F" w:rsidRPr="00A47B4F" w:rsidRDefault="00694E7F" w:rsidP="00694E7F">
            <w:pPr>
              <w:jc w:val="center"/>
              <w:rPr>
                <w:b/>
                <w:bCs/>
                <w:color w:val="000000"/>
                <w:sz w:val="16"/>
                <w:szCs w:val="14"/>
                <w:lang w:val="es-GT" w:eastAsia="es-GT"/>
              </w:rPr>
            </w:pPr>
            <w:r w:rsidRPr="00A47B4F">
              <w:rPr>
                <w:b/>
                <w:bCs/>
                <w:color w:val="000000"/>
                <w:sz w:val="16"/>
                <w:szCs w:val="14"/>
                <w:lang w:val="es-GT" w:eastAsia="es-GT"/>
              </w:rPr>
              <w:t>% Ejec</w:t>
            </w:r>
          </w:p>
        </w:tc>
      </w:tr>
      <w:tr w:rsidR="00694E7F" w:rsidRPr="00A47B4F" w:rsidTr="00A47B4F">
        <w:trPr>
          <w:trHeight w:val="164"/>
          <w:jc w:val="center"/>
        </w:trPr>
        <w:tc>
          <w:tcPr>
            <w:tcW w:w="5913" w:type="dxa"/>
            <w:tcBorders>
              <w:top w:val="nil"/>
              <w:left w:val="single" w:sz="8" w:space="0" w:color="auto"/>
              <w:bottom w:val="nil"/>
              <w:right w:val="single" w:sz="4" w:space="0" w:color="auto"/>
            </w:tcBorders>
            <w:shd w:val="clear" w:color="FFFFFF" w:fill="FFFFFF"/>
            <w:noWrap/>
            <w:vAlign w:val="bottom"/>
            <w:hideMark/>
          </w:tcPr>
          <w:p w:rsidR="00694E7F" w:rsidRPr="00A47B4F" w:rsidRDefault="00694E7F" w:rsidP="00694E7F">
            <w:pPr>
              <w:rPr>
                <w:b/>
                <w:bCs/>
                <w:color w:val="333333"/>
                <w:sz w:val="14"/>
                <w:szCs w:val="14"/>
                <w:lang w:val="es-GT" w:eastAsia="es-GT"/>
              </w:rPr>
            </w:pPr>
            <w:r w:rsidRPr="00A47B4F">
              <w:rPr>
                <w:b/>
                <w:bCs/>
                <w:color w:val="333333"/>
                <w:sz w:val="14"/>
                <w:szCs w:val="14"/>
                <w:lang w:val="es-GT" w:eastAsia="es-GT"/>
              </w:rPr>
              <w:t>MINISTERIO DE LA DEFENSA NACIONAL</w:t>
            </w:r>
          </w:p>
        </w:tc>
        <w:tc>
          <w:tcPr>
            <w:tcW w:w="850"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b/>
                <w:bCs/>
                <w:color w:val="333333"/>
                <w:sz w:val="14"/>
                <w:szCs w:val="14"/>
                <w:lang w:val="es-GT" w:eastAsia="es-GT"/>
              </w:rPr>
            </w:pPr>
            <w:r w:rsidRPr="00A47B4F">
              <w:rPr>
                <w:b/>
                <w:bCs/>
                <w:color w:val="333333"/>
                <w:sz w:val="14"/>
                <w:szCs w:val="14"/>
                <w:lang w:val="es-GT" w:eastAsia="es-GT"/>
              </w:rPr>
              <w:t>2,627.7</w:t>
            </w:r>
          </w:p>
        </w:tc>
        <w:tc>
          <w:tcPr>
            <w:tcW w:w="851"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b/>
                <w:bCs/>
                <w:color w:val="333333"/>
                <w:sz w:val="14"/>
                <w:szCs w:val="14"/>
                <w:lang w:val="es-GT" w:eastAsia="es-GT"/>
              </w:rPr>
            </w:pPr>
            <w:r w:rsidRPr="00A47B4F">
              <w:rPr>
                <w:b/>
                <w:bCs/>
                <w:color w:val="333333"/>
                <w:sz w:val="14"/>
                <w:szCs w:val="14"/>
                <w:lang w:val="es-GT" w:eastAsia="es-GT"/>
              </w:rPr>
              <w:t>2,509.9</w:t>
            </w:r>
          </w:p>
        </w:tc>
        <w:tc>
          <w:tcPr>
            <w:tcW w:w="817"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b/>
                <w:bCs/>
                <w:color w:val="333333"/>
                <w:sz w:val="14"/>
                <w:szCs w:val="14"/>
                <w:lang w:val="es-GT" w:eastAsia="es-GT"/>
              </w:rPr>
            </w:pPr>
            <w:r w:rsidRPr="00A47B4F">
              <w:rPr>
                <w:b/>
                <w:bCs/>
                <w:color w:val="333333"/>
                <w:sz w:val="14"/>
                <w:szCs w:val="14"/>
                <w:lang w:val="es-GT" w:eastAsia="es-GT"/>
              </w:rPr>
              <w:t>117.8</w:t>
            </w:r>
          </w:p>
        </w:tc>
        <w:tc>
          <w:tcPr>
            <w:tcW w:w="842" w:type="dxa"/>
            <w:tcBorders>
              <w:top w:val="nil"/>
              <w:left w:val="nil"/>
              <w:bottom w:val="nil"/>
              <w:right w:val="single" w:sz="8" w:space="0" w:color="auto"/>
            </w:tcBorders>
            <w:shd w:val="clear" w:color="FFFFFF" w:fill="FFFFFF"/>
            <w:noWrap/>
            <w:vAlign w:val="bottom"/>
            <w:hideMark/>
          </w:tcPr>
          <w:p w:rsidR="00694E7F" w:rsidRPr="00A47B4F" w:rsidRDefault="00694E7F" w:rsidP="00694E7F">
            <w:pPr>
              <w:jc w:val="right"/>
              <w:rPr>
                <w:b/>
                <w:bCs/>
                <w:color w:val="333333"/>
                <w:sz w:val="14"/>
                <w:szCs w:val="14"/>
                <w:lang w:val="es-GT" w:eastAsia="es-GT"/>
              </w:rPr>
            </w:pPr>
            <w:r w:rsidRPr="00A47B4F">
              <w:rPr>
                <w:b/>
                <w:bCs/>
                <w:color w:val="333333"/>
                <w:sz w:val="14"/>
                <w:szCs w:val="14"/>
                <w:lang w:val="es-GT" w:eastAsia="es-GT"/>
              </w:rPr>
              <w:t>95.5%</w:t>
            </w:r>
          </w:p>
        </w:tc>
      </w:tr>
      <w:tr w:rsidR="00694E7F" w:rsidRPr="00A47B4F" w:rsidTr="00A47B4F">
        <w:trPr>
          <w:trHeight w:val="164"/>
          <w:jc w:val="center"/>
        </w:trPr>
        <w:tc>
          <w:tcPr>
            <w:tcW w:w="5913" w:type="dxa"/>
            <w:tcBorders>
              <w:top w:val="nil"/>
              <w:left w:val="single" w:sz="8" w:space="0" w:color="auto"/>
              <w:bottom w:val="nil"/>
              <w:right w:val="single" w:sz="4" w:space="0" w:color="auto"/>
            </w:tcBorders>
            <w:shd w:val="clear" w:color="FFFFFF" w:fill="FFFFFF"/>
            <w:noWrap/>
            <w:vAlign w:val="bottom"/>
            <w:hideMark/>
          </w:tcPr>
          <w:p w:rsidR="00694E7F" w:rsidRPr="00A47B4F" w:rsidRDefault="00694E7F" w:rsidP="00A47B4F">
            <w:pPr>
              <w:ind w:firstLineChars="200" w:firstLine="280"/>
              <w:rPr>
                <w:color w:val="333333"/>
                <w:sz w:val="14"/>
                <w:szCs w:val="14"/>
                <w:lang w:val="es-GT" w:eastAsia="es-GT"/>
              </w:rPr>
            </w:pPr>
            <w:r w:rsidRPr="00A47B4F">
              <w:rPr>
                <w:color w:val="333333"/>
                <w:sz w:val="14"/>
                <w:szCs w:val="14"/>
                <w:lang w:val="es-GT" w:eastAsia="es-GT"/>
              </w:rPr>
              <w:t>DEFENSA DE LA SOBERANÍA E INTEGRIDAD TERRITORIAL</w:t>
            </w:r>
          </w:p>
        </w:tc>
        <w:tc>
          <w:tcPr>
            <w:tcW w:w="850"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997.8</w:t>
            </w:r>
          </w:p>
        </w:tc>
        <w:tc>
          <w:tcPr>
            <w:tcW w:w="851"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1,033.9</w:t>
            </w:r>
          </w:p>
        </w:tc>
        <w:tc>
          <w:tcPr>
            <w:tcW w:w="817"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-36.1</w:t>
            </w:r>
          </w:p>
        </w:tc>
        <w:tc>
          <w:tcPr>
            <w:tcW w:w="842" w:type="dxa"/>
            <w:tcBorders>
              <w:top w:val="nil"/>
              <w:left w:val="nil"/>
              <w:bottom w:val="nil"/>
              <w:right w:val="single" w:sz="8"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103.6%</w:t>
            </w:r>
          </w:p>
        </w:tc>
      </w:tr>
      <w:tr w:rsidR="00694E7F" w:rsidRPr="00A47B4F" w:rsidTr="00A47B4F">
        <w:trPr>
          <w:trHeight w:val="164"/>
          <w:jc w:val="center"/>
        </w:trPr>
        <w:tc>
          <w:tcPr>
            <w:tcW w:w="5913" w:type="dxa"/>
            <w:tcBorders>
              <w:top w:val="nil"/>
              <w:left w:val="single" w:sz="8" w:space="0" w:color="auto"/>
              <w:bottom w:val="nil"/>
              <w:right w:val="single" w:sz="4" w:space="0" w:color="auto"/>
            </w:tcBorders>
            <w:shd w:val="clear" w:color="FFFFFF" w:fill="FFFFFF"/>
            <w:noWrap/>
            <w:vAlign w:val="bottom"/>
            <w:hideMark/>
          </w:tcPr>
          <w:p w:rsidR="00694E7F" w:rsidRPr="00A47B4F" w:rsidRDefault="00694E7F" w:rsidP="00A47B4F">
            <w:pPr>
              <w:ind w:firstLineChars="200" w:firstLine="280"/>
              <w:rPr>
                <w:color w:val="333333"/>
                <w:sz w:val="14"/>
                <w:szCs w:val="14"/>
                <w:lang w:val="es-GT" w:eastAsia="es-GT"/>
              </w:rPr>
            </w:pPr>
            <w:r w:rsidRPr="00A47B4F">
              <w:rPr>
                <w:color w:val="333333"/>
                <w:sz w:val="14"/>
                <w:szCs w:val="14"/>
                <w:lang w:val="es-GT" w:eastAsia="es-GT"/>
              </w:rPr>
              <w:t>ACTIVIDADES CENTRALES</w:t>
            </w:r>
          </w:p>
        </w:tc>
        <w:tc>
          <w:tcPr>
            <w:tcW w:w="850"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926.5</w:t>
            </w:r>
          </w:p>
        </w:tc>
        <w:tc>
          <w:tcPr>
            <w:tcW w:w="851"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742.7</w:t>
            </w:r>
          </w:p>
        </w:tc>
        <w:tc>
          <w:tcPr>
            <w:tcW w:w="817"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183.8</w:t>
            </w:r>
          </w:p>
        </w:tc>
        <w:tc>
          <w:tcPr>
            <w:tcW w:w="842" w:type="dxa"/>
            <w:tcBorders>
              <w:top w:val="nil"/>
              <w:left w:val="nil"/>
              <w:bottom w:val="nil"/>
              <w:right w:val="single" w:sz="8"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80.2%</w:t>
            </w:r>
          </w:p>
        </w:tc>
      </w:tr>
      <w:tr w:rsidR="00694E7F" w:rsidRPr="00A47B4F" w:rsidTr="00A47B4F">
        <w:trPr>
          <w:trHeight w:val="164"/>
          <w:jc w:val="center"/>
        </w:trPr>
        <w:tc>
          <w:tcPr>
            <w:tcW w:w="5913" w:type="dxa"/>
            <w:tcBorders>
              <w:top w:val="nil"/>
              <w:left w:val="single" w:sz="8" w:space="0" w:color="auto"/>
              <w:bottom w:val="nil"/>
              <w:right w:val="single" w:sz="4" w:space="0" w:color="auto"/>
            </w:tcBorders>
            <w:shd w:val="clear" w:color="FFFFFF" w:fill="FFFFFF"/>
            <w:noWrap/>
            <w:vAlign w:val="bottom"/>
            <w:hideMark/>
          </w:tcPr>
          <w:p w:rsidR="00694E7F" w:rsidRPr="00A47B4F" w:rsidRDefault="00694E7F" w:rsidP="00A47B4F">
            <w:pPr>
              <w:ind w:firstLineChars="200" w:firstLine="280"/>
              <w:rPr>
                <w:color w:val="333333"/>
                <w:sz w:val="14"/>
                <w:szCs w:val="14"/>
                <w:lang w:val="es-GT" w:eastAsia="es-GT"/>
              </w:rPr>
            </w:pPr>
            <w:r w:rsidRPr="00A47B4F">
              <w:rPr>
                <w:color w:val="333333"/>
                <w:sz w:val="14"/>
                <w:szCs w:val="14"/>
                <w:lang w:val="es-GT" w:eastAsia="es-GT"/>
              </w:rPr>
              <w:t>ACT</w:t>
            </w:r>
            <w:r w:rsidR="00A47B4F">
              <w:rPr>
                <w:color w:val="333333"/>
                <w:sz w:val="14"/>
                <w:szCs w:val="14"/>
                <w:lang w:val="es-GT" w:eastAsia="es-GT"/>
              </w:rPr>
              <w:t>S.</w:t>
            </w:r>
            <w:r w:rsidRPr="00A47B4F">
              <w:rPr>
                <w:color w:val="333333"/>
                <w:sz w:val="14"/>
                <w:szCs w:val="14"/>
                <w:lang w:val="es-GT" w:eastAsia="es-GT"/>
              </w:rPr>
              <w:t xml:space="preserve"> COMUNES  PROGRAMAS 11, 12, 13 Y 14, SERVICIOS DE EDUCACION Y SALUD</w:t>
            </w:r>
          </w:p>
        </w:tc>
        <w:tc>
          <w:tcPr>
            <w:tcW w:w="850"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306.2</w:t>
            </w:r>
          </w:p>
        </w:tc>
        <w:tc>
          <w:tcPr>
            <w:tcW w:w="851"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340.4</w:t>
            </w:r>
          </w:p>
        </w:tc>
        <w:tc>
          <w:tcPr>
            <w:tcW w:w="817"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-34.2</w:t>
            </w:r>
          </w:p>
        </w:tc>
        <w:tc>
          <w:tcPr>
            <w:tcW w:w="842" w:type="dxa"/>
            <w:tcBorders>
              <w:top w:val="nil"/>
              <w:left w:val="nil"/>
              <w:bottom w:val="nil"/>
              <w:right w:val="single" w:sz="8"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111.2%</w:t>
            </w:r>
          </w:p>
        </w:tc>
      </w:tr>
      <w:tr w:rsidR="00694E7F" w:rsidRPr="00A47B4F" w:rsidTr="00A47B4F">
        <w:trPr>
          <w:trHeight w:val="164"/>
          <w:jc w:val="center"/>
        </w:trPr>
        <w:tc>
          <w:tcPr>
            <w:tcW w:w="5913" w:type="dxa"/>
            <w:tcBorders>
              <w:top w:val="nil"/>
              <w:left w:val="single" w:sz="8" w:space="0" w:color="auto"/>
              <w:bottom w:val="nil"/>
              <w:right w:val="single" w:sz="4" w:space="0" w:color="auto"/>
            </w:tcBorders>
            <w:shd w:val="clear" w:color="FFFFFF" w:fill="FFFFFF"/>
            <w:noWrap/>
            <w:vAlign w:val="bottom"/>
            <w:hideMark/>
          </w:tcPr>
          <w:p w:rsidR="00694E7F" w:rsidRPr="00A47B4F" w:rsidRDefault="00694E7F" w:rsidP="00A47B4F">
            <w:pPr>
              <w:ind w:firstLineChars="200" w:firstLine="280"/>
              <w:rPr>
                <w:color w:val="333333"/>
                <w:sz w:val="14"/>
                <w:szCs w:val="14"/>
                <w:lang w:val="es-GT" w:eastAsia="es-GT"/>
              </w:rPr>
            </w:pPr>
            <w:r w:rsidRPr="00A47B4F">
              <w:rPr>
                <w:color w:val="333333"/>
                <w:sz w:val="14"/>
                <w:szCs w:val="14"/>
                <w:lang w:val="es-GT" w:eastAsia="es-GT"/>
              </w:rPr>
              <w:t>PARTIDAS NO ASIGNABLES A PROGRAMAS</w:t>
            </w:r>
          </w:p>
        </w:tc>
        <w:tc>
          <w:tcPr>
            <w:tcW w:w="850"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161.2</w:t>
            </w:r>
          </w:p>
        </w:tc>
        <w:tc>
          <w:tcPr>
            <w:tcW w:w="851"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165.0</w:t>
            </w:r>
          </w:p>
        </w:tc>
        <w:tc>
          <w:tcPr>
            <w:tcW w:w="817"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-3.8</w:t>
            </w:r>
          </w:p>
        </w:tc>
        <w:tc>
          <w:tcPr>
            <w:tcW w:w="842" w:type="dxa"/>
            <w:tcBorders>
              <w:top w:val="nil"/>
              <w:left w:val="nil"/>
              <w:bottom w:val="nil"/>
              <w:right w:val="single" w:sz="8"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102.4%</w:t>
            </w:r>
          </w:p>
        </w:tc>
      </w:tr>
      <w:tr w:rsidR="00694E7F" w:rsidRPr="00A47B4F" w:rsidTr="00A47B4F">
        <w:trPr>
          <w:trHeight w:val="164"/>
          <w:jc w:val="center"/>
        </w:trPr>
        <w:tc>
          <w:tcPr>
            <w:tcW w:w="5913" w:type="dxa"/>
            <w:tcBorders>
              <w:top w:val="nil"/>
              <w:left w:val="single" w:sz="8" w:space="0" w:color="auto"/>
              <w:bottom w:val="nil"/>
              <w:right w:val="single" w:sz="4" w:space="0" w:color="auto"/>
            </w:tcBorders>
            <w:shd w:val="clear" w:color="FFFFFF" w:fill="FFFFFF"/>
            <w:noWrap/>
            <w:vAlign w:val="bottom"/>
            <w:hideMark/>
          </w:tcPr>
          <w:p w:rsidR="00694E7F" w:rsidRPr="00A47B4F" w:rsidRDefault="00694E7F" w:rsidP="00A47B4F">
            <w:pPr>
              <w:ind w:firstLineChars="200" w:firstLine="280"/>
              <w:rPr>
                <w:color w:val="333333"/>
                <w:sz w:val="14"/>
                <w:szCs w:val="14"/>
                <w:lang w:val="es-GT" w:eastAsia="es-GT"/>
              </w:rPr>
            </w:pPr>
            <w:r w:rsidRPr="00A47B4F">
              <w:rPr>
                <w:color w:val="333333"/>
                <w:sz w:val="14"/>
                <w:szCs w:val="14"/>
                <w:lang w:val="es-GT" w:eastAsia="es-GT"/>
              </w:rPr>
              <w:t>PROYECCIÓN DIPLOMÁTICA Y APOYO EN MISIONES DE PAZ</w:t>
            </w:r>
          </w:p>
        </w:tc>
        <w:tc>
          <w:tcPr>
            <w:tcW w:w="850"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82.8</w:t>
            </w:r>
          </w:p>
        </w:tc>
        <w:tc>
          <w:tcPr>
            <w:tcW w:w="851"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78.8</w:t>
            </w:r>
          </w:p>
        </w:tc>
        <w:tc>
          <w:tcPr>
            <w:tcW w:w="817"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4.0</w:t>
            </w:r>
          </w:p>
        </w:tc>
        <w:tc>
          <w:tcPr>
            <w:tcW w:w="842" w:type="dxa"/>
            <w:tcBorders>
              <w:top w:val="nil"/>
              <w:left w:val="nil"/>
              <w:bottom w:val="nil"/>
              <w:right w:val="single" w:sz="8"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95.2%</w:t>
            </w:r>
          </w:p>
        </w:tc>
      </w:tr>
      <w:tr w:rsidR="00694E7F" w:rsidRPr="00A47B4F" w:rsidTr="00A47B4F">
        <w:trPr>
          <w:trHeight w:val="164"/>
          <w:jc w:val="center"/>
        </w:trPr>
        <w:tc>
          <w:tcPr>
            <w:tcW w:w="5913" w:type="dxa"/>
            <w:tcBorders>
              <w:top w:val="nil"/>
              <w:left w:val="single" w:sz="8" w:space="0" w:color="auto"/>
              <w:bottom w:val="nil"/>
              <w:right w:val="single" w:sz="4" w:space="0" w:color="auto"/>
            </w:tcBorders>
            <w:shd w:val="clear" w:color="FFFFFF" w:fill="FFFFFF"/>
            <w:noWrap/>
            <w:vAlign w:val="bottom"/>
            <w:hideMark/>
          </w:tcPr>
          <w:p w:rsidR="00694E7F" w:rsidRPr="00A47B4F" w:rsidRDefault="00694E7F" w:rsidP="00A47B4F">
            <w:pPr>
              <w:ind w:firstLineChars="200" w:firstLine="280"/>
              <w:rPr>
                <w:color w:val="333333"/>
                <w:sz w:val="14"/>
                <w:szCs w:val="14"/>
                <w:lang w:val="es-GT" w:eastAsia="es-GT"/>
              </w:rPr>
            </w:pPr>
            <w:r w:rsidRPr="00A47B4F">
              <w:rPr>
                <w:color w:val="333333"/>
                <w:sz w:val="14"/>
                <w:szCs w:val="14"/>
                <w:lang w:val="es-GT" w:eastAsia="es-GT"/>
              </w:rPr>
              <w:t>PREVENCIÓN DE HECHOS DELICTIVOS CONTRA EL PATRIMONIO</w:t>
            </w:r>
          </w:p>
        </w:tc>
        <w:tc>
          <w:tcPr>
            <w:tcW w:w="850"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78.1</w:t>
            </w:r>
          </w:p>
        </w:tc>
        <w:tc>
          <w:tcPr>
            <w:tcW w:w="851"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80.0</w:t>
            </w:r>
          </w:p>
        </w:tc>
        <w:tc>
          <w:tcPr>
            <w:tcW w:w="817"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-1.9</w:t>
            </w:r>
          </w:p>
        </w:tc>
        <w:tc>
          <w:tcPr>
            <w:tcW w:w="842" w:type="dxa"/>
            <w:tcBorders>
              <w:top w:val="nil"/>
              <w:left w:val="nil"/>
              <w:bottom w:val="nil"/>
              <w:right w:val="single" w:sz="8"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102.4%</w:t>
            </w:r>
          </w:p>
        </w:tc>
      </w:tr>
      <w:tr w:rsidR="00694E7F" w:rsidRPr="00A47B4F" w:rsidTr="00A47B4F">
        <w:trPr>
          <w:trHeight w:val="164"/>
          <w:jc w:val="center"/>
        </w:trPr>
        <w:tc>
          <w:tcPr>
            <w:tcW w:w="5913" w:type="dxa"/>
            <w:tcBorders>
              <w:top w:val="nil"/>
              <w:left w:val="single" w:sz="8" w:space="0" w:color="auto"/>
              <w:bottom w:val="nil"/>
              <w:right w:val="single" w:sz="4" w:space="0" w:color="auto"/>
            </w:tcBorders>
            <w:shd w:val="clear" w:color="FFFFFF" w:fill="FFFFFF"/>
            <w:noWrap/>
            <w:vAlign w:val="bottom"/>
            <w:hideMark/>
          </w:tcPr>
          <w:p w:rsidR="00694E7F" w:rsidRPr="00A47B4F" w:rsidRDefault="00694E7F" w:rsidP="00A47B4F">
            <w:pPr>
              <w:ind w:firstLineChars="200" w:firstLine="280"/>
              <w:rPr>
                <w:color w:val="333333"/>
                <w:sz w:val="14"/>
                <w:szCs w:val="14"/>
                <w:lang w:val="es-GT" w:eastAsia="es-GT"/>
              </w:rPr>
            </w:pPr>
            <w:r w:rsidRPr="00A47B4F">
              <w:rPr>
                <w:color w:val="333333"/>
                <w:sz w:val="14"/>
                <w:szCs w:val="14"/>
                <w:lang w:val="es-GT" w:eastAsia="es-GT"/>
              </w:rPr>
              <w:t>REGISTRO Y CONTROL DE ARMAS Y MUNICIONES</w:t>
            </w:r>
          </w:p>
        </w:tc>
        <w:tc>
          <w:tcPr>
            <w:tcW w:w="850"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33.7</w:t>
            </w:r>
          </w:p>
        </w:tc>
        <w:tc>
          <w:tcPr>
            <w:tcW w:w="851"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32.7</w:t>
            </w:r>
          </w:p>
        </w:tc>
        <w:tc>
          <w:tcPr>
            <w:tcW w:w="817"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1.0</w:t>
            </w:r>
          </w:p>
        </w:tc>
        <w:tc>
          <w:tcPr>
            <w:tcW w:w="842" w:type="dxa"/>
            <w:tcBorders>
              <w:top w:val="nil"/>
              <w:left w:val="nil"/>
              <w:bottom w:val="nil"/>
              <w:right w:val="single" w:sz="8"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96.9%</w:t>
            </w:r>
          </w:p>
        </w:tc>
      </w:tr>
      <w:tr w:rsidR="00694E7F" w:rsidRPr="00A47B4F" w:rsidTr="00A47B4F">
        <w:trPr>
          <w:trHeight w:val="164"/>
          <w:jc w:val="center"/>
        </w:trPr>
        <w:tc>
          <w:tcPr>
            <w:tcW w:w="5913" w:type="dxa"/>
            <w:tcBorders>
              <w:top w:val="nil"/>
              <w:left w:val="single" w:sz="8" w:space="0" w:color="auto"/>
              <w:bottom w:val="nil"/>
              <w:right w:val="single" w:sz="4" w:space="0" w:color="auto"/>
            </w:tcBorders>
            <w:shd w:val="clear" w:color="FFFFFF" w:fill="FFFFFF"/>
            <w:noWrap/>
            <w:vAlign w:val="bottom"/>
            <w:hideMark/>
          </w:tcPr>
          <w:p w:rsidR="00694E7F" w:rsidRPr="00A47B4F" w:rsidRDefault="00694E7F" w:rsidP="00A47B4F">
            <w:pPr>
              <w:ind w:firstLineChars="200" w:firstLine="280"/>
              <w:rPr>
                <w:color w:val="333333"/>
                <w:sz w:val="14"/>
                <w:szCs w:val="14"/>
                <w:lang w:val="es-GT" w:eastAsia="es-GT"/>
              </w:rPr>
            </w:pPr>
            <w:r w:rsidRPr="00A47B4F">
              <w:rPr>
                <w:color w:val="333333"/>
                <w:sz w:val="14"/>
                <w:szCs w:val="14"/>
                <w:lang w:val="es-GT" w:eastAsia="es-GT"/>
              </w:rPr>
              <w:t>APRESTO PARA LA MOVILIZACIÓN DE DEFENSA Y MITIGACIÓN DE DESASTRES</w:t>
            </w:r>
          </w:p>
        </w:tc>
        <w:tc>
          <w:tcPr>
            <w:tcW w:w="850"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30.2</w:t>
            </w:r>
          </w:p>
        </w:tc>
        <w:tc>
          <w:tcPr>
            <w:tcW w:w="851"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23.8</w:t>
            </w:r>
          </w:p>
        </w:tc>
        <w:tc>
          <w:tcPr>
            <w:tcW w:w="817"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6.4</w:t>
            </w:r>
          </w:p>
        </w:tc>
        <w:tc>
          <w:tcPr>
            <w:tcW w:w="842" w:type="dxa"/>
            <w:tcBorders>
              <w:top w:val="nil"/>
              <w:left w:val="nil"/>
              <w:bottom w:val="nil"/>
              <w:right w:val="single" w:sz="8"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78.8%</w:t>
            </w:r>
          </w:p>
        </w:tc>
      </w:tr>
      <w:tr w:rsidR="00694E7F" w:rsidRPr="00A47B4F" w:rsidTr="00A47B4F">
        <w:trPr>
          <w:trHeight w:val="164"/>
          <w:jc w:val="center"/>
        </w:trPr>
        <w:tc>
          <w:tcPr>
            <w:tcW w:w="5913" w:type="dxa"/>
            <w:tcBorders>
              <w:top w:val="nil"/>
              <w:left w:val="single" w:sz="8" w:space="0" w:color="auto"/>
              <w:bottom w:val="nil"/>
              <w:right w:val="single" w:sz="4" w:space="0" w:color="auto"/>
            </w:tcBorders>
            <w:shd w:val="clear" w:color="FFFFFF" w:fill="FFFFFF"/>
            <w:noWrap/>
            <w:vAlign w:val="bottom"/>
            <w:hideMark/>
          </w:tcPr>
          <w:p w:rsidR="00694E7F" w:rsidRPr="00A47B4F" w:rsidRDefault="00694E7F" w:rsidP="00A47B4F">
            <w:pPr>
              <w:ind w:firstLineChars="200" w:firstLine="280"/>
              <w:rPr>
                <w:color w:val="333333"/>
                <w:sz w:val="14"/>
                <w:szCs w:val="14"/>
                <w:lang w:val="es-GT" w:eastAsia="es-GT"/>
              </w:rPr>
            </w:pPr>
            <w:r w:rsidRPr="00A47B4F">
              <w:rPr>
                <w:color w:val="333333"/>
                <w:sz w:val="14"/>
                <w:szCs w:val="14"/>
                <w:lang w:val="es-GT" w:eastAsia="es-GT"/>
              </w:rPr>
              <w:t>REGULACIÓN DE ESPACIOS ACUÁTICOS</w:t>
            </w:r>
          </w:p>
        </w:tc>
        <w:tc>
          <w:tcPr>
            <w:tcW w:w="850"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11.2</w:t>
            </w:r>
          </w:p>
        </w:tc>
        <w:tc>
          <w:tcPr>
            <w:tcW w:w="851"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8.0</w:t>
            </w:r>
          </w:p>
        </w:tc>
        <w:tc>
          <w:tcPr>
            <w:tcW w:w="817" w:type="dxa"/>
            <w:tcBorders>
              <w:top w:val="nil"/>
              <w:left w:val="nil"/>
              <w:bottom w:val="nil"/>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3.3</w:t>
            </w:r>
          </w:p>
        </w:tc>
        <w:tc>
          <w:tcPr>
            <w:tcW w:w="842" w:type="dxa"/>
            <w:tcBorders>
              <w:top w:val="nil"/>
              <w:left w:val="nil"/>
              <w:bottom w:val="nil"/>
              <w:right w:val="single" w:sz="8"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70.9%</w:t>
            </w:r>
          </w:p>
        </w:tc>
      </w:tr>
      <w:tr w:rsidR="00694E7F" w:rsidRPr="00A47B4F" w:rsidTr="00A47B4F">
        <w:trPr>
          <w:trHeight w:val="164"/>
          <w:jc w:val="center"/>
        </w:trPr>
        <w:tc>
          <w:tcPr>
            <w:tcW w:w="5913"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A47B4F" w:rsidRDefault="00694E7F" w:rsidP="00A47B4F">
            <w:pPr>
              <w:ind w:firstLineChars="200" w:firstLine="280"/>
              <w:rPr>
                <w:color w:val="333333"/>
                <w:sz w:val="14"/>
                <w:szCs w:val="14"/>
                <w:lang w:val="es-GT" w:eastAsia="es-GT"/>
              </w:rPr>
            </w:pPr>
            <w:r w:rsidRPr="00A47B4F">
              <w:rPr>
                <w:color w:val="333333"/>
                <w:sz w:val="14"/>
                <w:szCs w:val="14"/>
                <w:lang w:val="es-GT" w:eastAsia="es-GT"/>
              </w:rPr>
              <w:t>ATENCIÓN POR DESASTRES NATURALES Y CALAMIDADES PÚBLICAS</w:t>
            </w:r>
          </w:p>
        </w:tc>
        <w:tc>
          <w:tcPr>
            <w:tcW w:w="850" w:type="dxa"/>
            <w:tcBorders>
              <w:top w:val="nil"/>
              <w:left w:val="nil"/>
              <w:bottom w:val="single" w:sz="8" w:space="0" w:color="auto"/>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0.0</w:t>
            </w:r>
          </w:p>
        </w:tc>
        <w:tc>
          <w:tcPr>
            <w:tcW w:w="851" w:type="dxa"/>
            <w:tcBorders>
              <w:top w:val="nil"/>
              <w:left w:val="nil"/>
              <w:bottom w:val="single" w:sz="8" w:space="0" w:color="auto"/>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4.7</w:t>
            </w:r>
          </w:p>
        </w:tc>
        <w:tc>
          <w:tcPr>
            <w:tcW w:w="817" w:type="dxa"/>
            <w:tcBorders>
              <w:top w:val="nil"/>
              <w:left w:val="nil"/>
              <w:bottom w:val="single" w:sz="8" w:space="0" w:color="auto"/>
              <w:right w:val="single" w:sz="4" w:space="0" w:color="auto"/>
            </w:tcBorders>
            <w:shd w:val="clear" w:color="FFFFFF" w:fill="FFFFFF"/>
            <w:noWrap/>
            <w:vAlign w:val="bottom"/>
            <w:hideMark/>
          </w:tcPr>
          <w:p w:rsidR="00694E7F" w:rsidRPr="00A47B4F" w:rsidRDefault="00694E7F" w:rsidP="00694E7F">
            <w:pPr>
              <w:jc w:val="right"/>
              <w:rPr>
                <w:color w:val="333333"/>
                <w:sz w:val="14"/>
                <w:szCs w:val="14"/>
                <w:lang w:val="es-GT" w:eastAsia="es-GT"/>
              </w:rPr>
            </w:pPr>
            <w:r w:rsidRPr="00A47B4F">
              <w:rPr>
                <w:color w:val="333333"/>
                <w:sz w:val="14"/>
                <w:szCs w:val="14"/>
                <w:lang w:val="es-GT" w:eastAsia="es-GT"/>
              </w:rPr>
              <w:t>-4.7</w:t>
            </w:r>
          </w:p>
        </w:tc>
        <w:tc>
          <w:tcPr>
            <w:tcW w:w="842" w:type="dxa"/>
            <w:tcBorders>
              <w:top w:val="nil"/>
              <w:left w:val="single" w:sz="4" w:space="0" w:color="auto"/>
              <w:bottom w:val="single" w:sz="8" w:space="0" w:color="auto"/>
              <w:right w:val="single" w:sz="8" w:space="0" w:color="auto"/>
            </w:tcBorders>
            <w:shd w:val="clear" w:color="FFFFFF" w:fill="FFFFFF"/>
            <w:noWrap/>
            <w:vAlign w:val="bottom"/>
            <w:hideMark/>
          </w:tcPr>
          <w:p w:rsidR="00694E7F" w:rsidRPr="00A47B4F" w:rsidRDefault="00694E7F" w:rsidP="00694E7F">
            <w:pPr>
              <w:jc w:val="right"/>
              <w:rPr>
                <w:color w:val="FFFFFF"/>
                <w:sz w:val="14"/>
                <w:szCs w:val="14"/>
                <w:lang w:val="es-GT" w:eastAsia="es-GT"/>
              </w:rPr>
            </w:pPr>
            <w:r w:rsidRPr="00A47B4F">
              <w:rPr>
                <w:color w:val="FFFFFF"/>
                <w:sz w:val="14"/>
                <w:szCs w:val="14"/>
                <w:lang w:val="es-GT" w:eastAsia="es-GT"/>
              </w:rPr>
              <w:t>#¡DIV/0!</w:t>
            </w:r>
          </w:p>
        </w:tc>
      </w:tr>
    </w:tbl>
    <w:p w:rsidR="00694E7F" w:rsidRDefault="00694E7F" w:rsidP="00A47B4F">
      <w:pPr>
        <w:jc w:val="both"/>
        <w:rPr>
          <w:sz w:val="18"/>
        </w:rPr>
      </w:pPr>
      <w:r w:rsidRPr="004E678D">
        <w:rPr>
          <w:sz w:val="18"/>
        </w:rPr>
        <w:t>Fuente: Ministerio de Finanzas Públicas</w:t>
      </w:r>
      <w:r>
        <w:rPr>
          <w:sz w:val="18"/>
        </w:rPr>
        <w:t>.</w:t>
      </w:r>
    </w:p>
    <w:p w:rsidR="00694E7F" w:rsidRDefault="00694E7F" w:rsidP="00694E7F">
      <w:pPr>
        <w:jc w:val="both"/>
      </w:pPr>
    </w:p>
    <w:p w:rsidR="00694E7F" w:rsidRPr="00D108FD" w:rsidRDefault="00694E7F" w:rsidP="00694E7F">
      <w:pPr>
        <w:jc w:val="both"/>
      </w:pPr>
    </w:p>
    <w:p w:rsidR="00694E7F" w:rsidRDefault="00694E7F" w:rsidP="00694E7F">
      <w:pPr>
        <w:jc w:val="both"/>
        <w:rPr>
          <w:b/>
        </w:rPr>
      </w:pPr>
      <w:r w:rsidRPr="00D108FD">
        <w:rPr>
          <w:b/>
        </w:rPr>
        <w:t>Ministerio de Finanzas Públicas</w:t>
      </w:r>
      <w:r>
        <w:rPr>
          <w:b/>
        </w:rPr>
        <w:t>:</w:t>
      </w:r>
    </w:p>
    <w:p w:rsidR="00694E7F" w:rsidRPr="00D108FD" w:rsidRDefault="00694E7F" w:rsidP="00694E7F">
      <w:pPr>
        <w:jc w:val="both"/>
        <w:rPr>
          <w:b/>
        </w:rPr>
      </w:pPr>
    </w:p>
    <w:p w:rsidR="00694E7F" w:rsidRDefault="00694E7F" w:rsidP="00694E7F">
      <w:pPr>
        <w:jc w:val="both"/>
      </w:pPr>
      <w:r w:rsidRPr="00D108FD">
        <w:t xml:space="preserve">Este </w:t>
      </w:r>
      <w:r>
        <w:t>M</w:t>
      </w:r>
      <w:r w:rsidRPr="00D108FD">
        <w:t>inisterio tuvo un presupuesto</w:t>
      </w:r>
      <w:r>
        <w:t xml:space="preserve"> aprobado</w:t>
      </w:r>
      <w:r w:rsidRPr="00D108FD">
        <w:t xml:space="preserve"> de </w:t>
      </w:r>
      <w:r>
        <w:t>Q</w:t>
      </w:r>
      <w:r w:rsidR="00F0222C">
        <w:t>.</w:t>
      </w:r>
      <w:r w:rsidRPr="00D108FD">
        <w:t>3</w:t>
      </w:r>
      <w:r>
        <w:t>81.2</w:t>
      </w:r>
      <w:r w:rsidRPr="00D108FD">
        <w:t xml:space="preserve"> millones</w:t>
      </w:r>
      <w:r>
        <w:t xml:space="preserve"> con una ejecución de Q</w:t>
      </w:r>
      <w:r w:rsidR="00F0222C">
        <w:t>.</w:t>
      </w:r>
      <w:r>
        <w:t>284.0 millones, equivalentes al 74.5%</w:t>
      </w:r>
      <w:r w:rsidRPr="00D108FD">
        <w:t>.</w:t>
      </w:r>
      <w:r>
        <w:t xml:space="preserve"> </w:t>
      </w:r>
      <w:r w:rsidRPr="00D108FD">
        <w:t xml:space="preserve">Su mayor ejecución presupuestaria </w:t>
      </w:r>
      <w:r>
        <w:t>fue a través del pro</w:t>
      </w:r>
      <w:r w:rsidRPr="00D108FD">
        <w:t>grama de las Actividades Centrales, el cual tuvo un presupuesto</w:t>
      </w:r>
      <w:r>
        <w:t xml:space="preserve"> aprobado </w:t>
      </w:r>
      <w:r w:rsidRPr="00D108FD">
        <w:t xml:space="preserve">de </w:t>
      </w:r>
      <w:r>
        <w:t>Q</w:t>
      </w:r>
      <w:r w:rsidR="00F0222C">
        <w:t>.</w:t>
      </w:r>
      <w:r w:rsidRPr="00D108FD">
        <w:t>1</w:t>
      </w:r>
      <w:r>
        <w:t>83.3</w:t>
      </w:r>
      <w:r w:rsidRPr="00D108FD">
        <w:t xml:space="preserve"> millones y una ejecución presupuestaria de </w:t>
      </w:r>
      <w:r>
        <w:t>Q</w:t>
      </w:r>
      <w:r w:rsidR="00F0222C">
        <w:t>.</w:t>
      </w:r>
      <w:r w:rsidRPr="00D108FD">
        <w:t>1</w:t>
      </w:r>
      <w:r>
        <w:t xml:space="preserve">53.2 </w:t>
      </w:r>
      <w:r w:rsidRPr="00D108FD">
        <w:t xml:space="preserve">millones equivalente al </w:t>
      </w:r>
      <w:r>
        <w:t>83.6</w:t>
      </w:r>
      <w:r w:rsidRPr="00D108FD">
        <w:t>%.</w:t>
      </w:r>
    </w:p>
    <w:p w:rsidR="00694E7F" w:rsidRPr="00D108FD" w:rsidRDefault="00694E7F" w:rsidP="00694E7F">
      <w:pPr>
        <w:jc w:val="both"/>
      </w:pPr>
    </w:p>
    <w:p w:rsidR="00694E7F" w:rsidRDefault="00694E7F" w:rsidP="00694E7F">
      <w:pPr>
        <w:jc w:val="both"/>
      </w:pPr>
      <w:r>
        <w:t>Otro</w:t>
      </w:r>
      <w:r w:rsidRPr="00D108FD">
        <w:t xml:space="preserve"> programa </w:t>
      </w:r>
      <w:r>
        <w:t>importante</w:t>
      </w:r>
      <w:r w:rsidRPr="00D108FD">
        <w:t xml:space="preserve"> es “Administración Financiera” </w:t>
      </w:r>
      <w:r>
        <w:t>con un presupuesto</w:t>
      </w:r>
      <w:r w:rsidRPr="00D108FD">
        <w:t xml:space="preserve"> de </w:t>
      </w:r>
      <w:r>
        <w:t>Q</w:t>
      </w:r>
      <w:r w:rsidR="00F0222C">
        <w:t>.</w:t>
      </w:r>
      <w:r w:rsidRPr="00D108FD">
        <w:t>1</w:t>
      </w:r>
      <w:r>
        <w:t>31.1</w:t>
      </w:r>
      <w:r w:rsidRPr="00D108FD">
        <w:t xml:space="preserve"> millones y una ejecución presupuestaria de </w:t>
      </w:r>
      <w:r>
        <w:t>Q</w:t>
      </w:r>
      <w:r w:rsidR="00F0222C">
        <w:t>.</w:t>
      </w:r>
      <w:r>
        <w:t>100.4</w:t>
      </w:r>
      <w:r w:rsidRPr="00D108FD">
        <w:t xml:space="preserve"> millones equivalente al </w:t>
      </w:r>
      <w:r>
        <w:t>76.6</w:t>
      </w:r>
      <w:r w:rsidRPr="00D108FD">
        <w:t>%.</w:t>
      </w:r>
    </w:p>
    <w:p w:rsidR="00694E7F" w:rsidRPr="00D108FD" w:rsidRDefault="00694E7F" w:rsidP="00694E7F">
      <w:pPr>
        <w:jc w:val="both"/>
      </w:pPr>
    </w:p>
    <w:p w:rsidR="00694E7F" w:rsidRDefault="00694E7F" w:rsidP="00694E7F">
      <w:pPr>
        <w:jc w:val="both"/>
      </w:pPr>
      <w:r w:rsidRPr="00D108FD">
        <w:t xml:space="preserve">Los dos programas restantes tuvieron una ejecución presupuestaria por debajo de los </w:t>
      </w:r>
      <w:r>
        <w:t>Q</w:t>
      </w:r>
      <w:r w:rsidR="00F0222C">
        <w:t>.</w:t>
      </w:r>
      <w:r>
        <w:t>22.1</w:t>
      </w:r>
      <w:r w:rsidRPr="00D108FD">
        <w:t xml:space="preserve"> millones, así como se detalla en el cuadro a continuación.</w:t>
      </w:r>
    </w:p>
    <w:p w:rsidR="00694E7F" w:rsidRPr="00D108FD" w:rsidRDefault="00694E7F" w:rsidP="00694E7F">
      <w:pPr>
        <w:jc w:val="both"/>
      </w:pPr>
    </w:p>
    <w:p w:rsidR="00694E7F" w:rsidRDefault="00694E7F" w:rsidP="00694E7F">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Programa!F48C2:F53C6"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fldChar w:fldCharType="end"/>
      </w:r>
    </w:p>
    <w:tbl>
      <w:tblPr>
        <w:tblW w:w="9196" w:type="dxa"/>
        <w:jc w:val="center"/>
        <w:tblInd w:w="-1185" w:type="dxa"/>
        <w:tblCellMar>
          <w:left w:w="70" w:type="dxa"/>
          <w:right w:w="70" w:type="dxa"/>
        </w:tblCellMar>
        <w:tblLook w:val="04A0" w:firstRow="1" w:lastRow="0" w:firstColumn="1" w:lastColumn="0" w:noHBand="0" w:noVBand="1"/>
      </w:tblPr>
      <w:tblGrid>
        <w:gridCol w:w="4855"/>
        <w:gridCol w:w="1161"/>
        <w:gridCol w:w="1134"/>
        <w:gridCol w:w="1089"/>
        <w:gridCol w:w="957"/>
      </w:tblGrid>
      <w:tr w:rsidR="00694E7F" w:rsidRPr="00651BA4" w:rsidTr="00BC2EC7">
        <w:trPr>
          <w:trHeight w:val="300"/>
          <w:jc w:val="center"/>
        </w:trPr>
        <w:tc>
          <w:tcPr>
            <w:tcW w:w="4855"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651BA4" w:rsidRDefault="00694E7F" w:rsidP="00244B7A">
            <w:pPr>
              <w:jc w:val="center"/>
              <w:rPr>
                <w:b/>
                <w:bCs/>
                <w:color w:val="000000"/>
                <w:sz w:val="16"/>
                <w:szCs w:val="20"/>
                <w:lang w:val="es-GT" w:eastAsia="es-GT"/>
              </w:rPr>
            </w:pPr>
            <w:r w:rsidRPr="00651BA4">
              <w:rPr>
                <w:b/>
                <w:bCs/>
                <w:color w:val="000000"/>
                <w:sz w:val="16"/>
                <w:szCs w:val="20"/>
                <w:lang w:val="es-GT" w:eastAsia="es-GT"/>
              </w:rPr>
              <w:t>DESCRIPCION</w:t>
            </w:r>
          </w:p>
        </w:tc>
        <w:tc>
          <w:tcPr>
            <w:tcW w:w="1161"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651BA4" w:rsidRDefault="00694E7F" w:rsidP="00244B7A">
            <w:pPr>
              <w:jc w:val="center"/>
              <w:rPr>
                <w:b/>
                <w:bCs/>
                <w:color w:val="000000"/>
                <w:sz w:val="16"/>
                <w:szCs w:val="20"/>
                <w:lang w:val="es-GT" w:eastAsia="es-GT"/>
              </w:rPr>
            </w:pPr>
            <w:r w:rsidRPr="00651BA4">
              <w:rPr>
                <w:b/>
                <w:bCs/>
                <w:color w:val="000000"/>
                <w:sz w:val="16"/>
                <w:szCs w:val="20"/>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651BA4" w:rsidRDefault="00694E7F" w:rsidP="00244B7A">
            <w:pPr>
              <w:jc w:val="center"/>
              <w:rPr>
                <w:b/>
                <w:bCs/>
                <w:color w:val="000000"/>
                <w:sz w:val="16"/>
                <w:szCs w:val="20"/>
                <w:lang w:val="es-GT" w:eastAsia="es-GT"/>
              </w:rPr>
            </w:pPr>
            <w:r w:rsidRPr="00651BA4">
              <w:rPr>
                <w:b/>
                <w:bCs/>
                <w:color w:val="000000"/>
                <w:sz w:val="16"/>
                <w:szCs w:val="20"/>
                <w:lang w:val="es-GT" w:eastAsia="es-GT"/>
              </w:rPr>
              <w:t>Ejecución</w:t>
            </w:r>
          </w:p>
        </w:tc>
        <w:tc>
          <w:tcPr>
            <w:tcW w:w="1089"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651BA4" w:rsidRDefault="00694E7F" w:rsidP="00244B7A">
            <w:pPr>
              <w:jc w:val="center"/>
              <w:rPr>
                <w:b/>
                <w:bCs/>
                <w:color w:val="000000"/>
                <w:sz w:val="16"/>
                <w:szCs w:val="20"/>
                <w:lang w:val="es-GT" w:eastAsia="es-GT"/>
              </w:rPr>
            </w:pPr>
            <w:r w:rsidRPr="00651BA4">
              <w:rPr>
                <w:b/>
                <w:bCs/>
                <w:color w:val="000000"/>
                <w:sz w:val="16"/>
                <w:szCs w:val="20"/>
                <w:lang w:val="es-GT" w:eastAsia="es-GT"/>
              </w:rPr>
              <w:t>Diferencias</w:t>
            </w:r>
          </w:p>
        </w:tc>
        <w:tc>
          <w:tcPr>
            <w:tcW w:w="957"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651BA4" w:rsidRDefault="00694E7F" w:rsidP="00244B7A">
            <w:pPr>
              <w:jc w:val="center"/>
              <w:rPr>
                <w:b/>
                <w:bCs/>
                <w:color w:val="000000"/>
                <w:sz w:val="16"/>
                <w:szCs w:val="20"/>
                <w:lang w:val="es-GT" w:eastAsia="es-GT"/>
              </w:rPr>
            </w:pPr>
            <w:r w:rsidRPr="00651BA4">
              <w:rPr>
                <w:b/>
                <w:bCs/>
                <w:color w:val="000000"/>
                <w:sz w:val="16"/>
                <w:szCs w:val="20"/>
                <w:lang w:val="es-GT" w:eastAsia="es-GT"/>
              </w:rPr>
              <w:t>% Ejec</w:t>
            </w:r>
          </w:p>
        </w:tc>
      </w:tr>
      <w:tr w:rsidR="00694E7F" w:rsidRPr="00651BA4" w:rsidTr="00BC2EC7">
        <w:trPr>
          <w:trHeight w:val="300"/>
          <w:jc w:val="center"/>
        </w:trPr>
        <w:tc>
          <w:tcPr>
            <w:tcW w:w="4855" w:type="dxa"/>
            <w:tcBorders>
              <w:top w:val="nil"/>
              <w:left w:val="single" w:sz="8" w:space="0" w:color="auto"/>
              <w:bottom w:val="nil"/>
              <w:right w:val="single" w:sz="4" w:space="0" w:color="auto"/>
            </w:tcBorders>
            <w:shd w:val="clear" w:color="FFFFFF" w:fill="FFFFFF"/>
            <w:noWrap/>
            <w:vAlign w:val="bottom"/>
            <w:hideMark/>
          </w:tcPr>
          <w:p w:rsidR="00694E7F" w:rsidRPr="00651BA4" w:rsidRDefault="00694E7F" w:rsidP="00694E7F">
            <w:pPr>
              <w:rPr>
                <w:b/>
                <w:bCs/>
                <w:color w:val="333333"/>
                <w:sz w:val="16"/>
                <w:szCs w:val="20"/>
                <w:lang w:val="es-GT" w:eastAsia="es-GT"/>
              </w:rPr>
            </w:pPr>
            <w:r w:rsidRPr="00651BA4">
              <w:rPr>
                <w:b/>
                <w:bCs/>
                <w:color w:val="333333"/>
                <w:sz w:val="16"/>
                <w:szCs w:val="20"/>
                <w:lang w:val="es-GT" w:eastAsia="es-GT"/>
              </w:rPr>
              <w:t>MINISTERIO DE FINANZAS PÚBLICAS</w:t>
            </w:r>
          </w:p>
        </w:tc>
        <w:tc>
          <w:tcPr>
            <w:tcW w:w="1161"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b/>
                <w:bCs/>
                <w:color w:val="333333"/>
                <w:sz w:val="16"/>
                <w:szCs w:val="20"/>
                <w:lang w:val="es-GT" w:eastAsia="es-GT"/>
              </w:rPr>
            </w:pPr>
            <w:r w:rsidRPr="00651BA4">
              <w:rPr>
                <w:b/>
                <w:bCs/>
                <w:color w:val="333333"/>
                <w:sz w:val="16"/>
                <w:szCs w:val="20"/>
                <w:lang w:val="es-GT" w:eastAsia="es-GT"/>
              </w:rPr>
              <w:t>381.2</w:t>
            </w:r>
          </w:p>
        </w:tc>
        <w:tc>
          <w:tcPr>
            <w:tcW w:w="1134"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b/>
                <w:bCs/>
                <w:color w:val="333333"/>
                <w:sz w:val="16"/>
                <w:szCs w:val="20"/>
                <w:lang w:val="es-GT" w:eastAsia="es-GT"/>
              </w:rPr>
            </w:pPr>
            <w:r w:rsidRPr="00651BA4">
              <w:rPr>
                <w:b/>
                <w:bCs/>
                <w:color w:val="333333"/>
                <w:sz w:val="16"/>
                <w:szCs w:val="20"/>
                <w:lang w:val="es-GT" w:eastAsia="es-GT"/>
              </w:rPr>
              <w:t>284.0</w:t>
            </w:r>
          </w:p>
        </w:tc>
        <w:tc>
          <w:tcPr>
            <w:tcW w:w="1089"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b/>
                <w:bCs/>
                <w:color w:val="333333"/>
                <w:sz w:val="16"/>
                <w:szCs w:val="20"/>
                <w:lang w:val="es-GT" w:eastAsia="es-GT"/>
              </w:rPr>
            </w:pPr>
            <w:r w:rsidRPr="00651BA4">
              <w:rPr>
                <w:b/>
                <w:bCs/>
                <w:color w:val="333333"/>
                <w:sz w:val="16"/>
                <w:szCs w:val="20"/>
                <w:lang w:val="es-GT" w:eastAsia="es-GT"/>
              </w:rPr>
              <w:t>97.3</w:t>
            </w:r>
          </w:p>
        </w:tc>
        <w:tc>
          <w:tcPr>
            <w:tcW w:w="957" w:type="dxa"/>
            <w:tcBorders>
              <w:top w:val="nil"/>
              <w:left w:val="nil"/>
              <w:bottom w:val="nil"/>
              <w:right w:val="single" w:sz="8" w:space="0" w:color="auto"/>
            </w:tcBorders>
            <w:shd w:val="clear" w:color="FFFFFF" w:fill="FFFFFF"/>
            <w:noWrap/>
            <w:vAlign w:val="bottom"/>
            <w:hideMark/>
          </w:tcPr>
          <w:p w:rsidR="00694E7F" w:rsidRPr="00651BA4" w:rsidRDefault="00694E7F" w:rsidP="00694E7F">
            <w:pPr>
              <w:jc w:val="right"/>
              <w:rPr>
                <w:b/>
                <w:bCs/>
                <w:color w:val="333333"/>
                <w:sz w:val="16"/>
                <w:szCs w:val="20"/>
                <w:lang w:val="es-GT" w:eastAsia="es-GT"/>
              </w:rPr>
            </w:pPr>
            <w:r w:rsidRPr="00651BA4">
              <w:rPr>
                <w:b/>
                <w:bCs/>
                <w:color w:val="333333"/>
                <w:sz w:val="16"/>
                <w:szCs w:val="20"/>
                <w:lang w:val="es-GT" w:eastAsia="es-GT"/>
              </w:rPr>
              <w:t>74.5%</w:t>
            </w:r>
          </w:p>
        </w:tc>
      </w:tr>
      <w:tr w:rsidR="00694E7F" w:rsidRPr="00651BA4" w:rsidTr="00BC2EC7">
        <w:trPr>
          <w:trHeight w:val="300"/>
          <w:jc w:val="center"/>
        </w:trPr>
        <w:tc>
          <w:tcPr>
            <w:tcW w:w="4855" w:type="dxa"/>
            <w:tcBorders>
              <w:top w:val="nil"/>
              <w:left w:val="single" w:sz="8" w:space="0" w:color="auto"/>
              <w:bottom w:val="nil"/>
              <w:right w:val="single" w:sz="4" w:space="0" w:color="auto"/>
            </w:tcBorders>
            <w:shd w:val="clear" w:color="FFFFFF" w:fill="FFFFFF"/>
            <w:noWrap/>
            <w:vAlign w:val="bottom"/>
            <w:hideMark/>
          </w:tcPr>
          <w:p w:rsidR="00694E7F" w:rsidRPr="00651BA4" w:rsidRDefault="00694E7F" w:rsidP="00694E7F">
            <w:pPr>
              <w:ind w:firstLineChars="200" w:firstLine="320"/>
              <w:rPr>
                <w:color w:val="333333"/>
                <w:sz w:val="16"/>
                <w:szCs w:val="20"/>
                <w:lang w:val="es-GT" w:eastAsia="es-GT"/>
              </w:rPr>
            </w:pPr>
            <w:r w:rsidRPr="00651BA4">
              <w:rPr>
                <w:color w:val="333333"/>
                <w:sz w:val="16"/>
                <w:szCs w:val="20"/>
                <w:lang w:val="es-GT" w:eastAsia="es-GT"/>
              </w:rPr>
              <w:t>ACTIVIDADES CENTRALES</w:t>
            </w:r>
          </w:p>
        </w:tc>
        <w:tc>
          <w:tcPr>
            <w:tcW w:w="1161"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183.3</w:t>
            </w:r>
          </w:p>
        </w:tc>
        <w:tc>
          <w:tcPr>
            <w:tcW w:w="1134"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153.2</w:t>
            </w:r>
          </w:p>
        </w:tc>
        <w:tc>
          <w:tcPr>
            <w:tcW w:w="1089"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30.1</w:t>
            </w:r>
          </w:p>
        </w:tc>
        <w:tc>
          <w:tcPr>
            <w:tcW w:w="957" w:type="dxa"/>
            <w:tcBorders>
              <w:top w:val="nil"/>
              <w:left w:val="nil"/>
              <w:bottom w:val="nil"/>
              <w:right w:val="single" w:sz="8"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83.6%</w:t>
            </w:r>
          </w:p>
        </w:tc>
      </w:tr>
      <w:tr w:rsidR="00694E7F" w:rsidRPr="00651BA4" w:rsidTr="00BC2EC7">
        <w:trPr>
          <w:trHeight w:val="300"/>
          <w:jc w:val="center"/>
        </w:trPr>
        <w:tc>
          <w:tcPr>
            <w:tcW w:w="4855" w:type="dxa"/>
            <w:tcBorders>
              <w:top w:val="nil"/>
              <w:left w:val="single" w:sz="8" w:space="0" w:color="auto"/>
              <w:bottom w:val="nil"/>
              <w:right w:val="single" w:sz="4" w:space="0" w:color="auto"/>
            </w:tcBorders>
            <w:shd w:val="clear" w:color="FFFFFF" w:fill="FFFFFF"/>
            <w:noWrap/>
            <w:vAlign w:val="bottom"/>
            <w:hideMark/>
          </w:tcPr>
          <w:p w:rsidR="00694E7F" w:rsidRPr="00651BA4" w:rsidRDefault="00694E7F" w:rsidP="00694E7F">
            <w:pPr>
              <w:ind w:firstLineChars="200" w:firstLine="320"/>
              <w:rPr>
                <w:color w:val="333333"/>
                <w:sz w:val="16"/>
                <w:szCs w:val="20"/>
                <w:lang w:val="es-GT" w:eastAsia="es-GT"/>
              </w:rPr>
            </w:pPr>
            <w:r w:rsidRPr="00651BA4">
              <w:rPr>
                <w:color w:val="333333"/>
                <w:sz w:val="16"/>
                <w:szCs w:val="20"/>
                <w:lang w:val="es-GT" w:eastAsia="es-GT"/>
              </w:rPr>
              <w:t>ADMINISTRACIÓN FINANCIERA</w:t>
            </w:r>
          </w:p>
        </w:tc>
        <w:tc>
          <w:tcPr>
            <w:tcW w:w="1161"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131.1</w:t>
            </w:r>
          </w:p>
        </w:tc>
        <w:tc>
          <w:tcPr>
            <w:tcW w:w="1134"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100.4</w:t>
            </w:r>
          </w:p>
        </w:tc>
        <w:tc>
          <w:tcPr>
            <w:tcW w:w="1089"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30.7</w:t>
            </w:r>
          </w:p>
        </w:tc>
        <w:tc>
          <w:tcPr>
            <w:tcW w:w="957" w:type="dxa"/>
            <w:tcBorders>
              <w:top w:val="nil"/>
              <w:left w:val="nil"/>
              <w:bottom w:val="nil"/>
              <w:right w:val="single" w:sz="8"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76.6%</w:t>
            </w:r>
          </w:p>
        </w:tc>
      </w:tr>
      <w:tr w:rsidR="00694E7F" w:rsidRPr="00651BA4" w:rsidTr="00BC2EC7">
        <w:trPr>
          <w:trHeight w:val="300"/>
          <w:jc w:val="center"/>
        </w:trPr>
        <w:tc>
          <w:tcPr>
            <w:tcW w:w="4855" w:type="dxa"/>
            <w:tcBorders>
              <w:top w:val="nil"/>
              <w:left w:val="single" w:sz="8" w:space="0" w:color="auto"/>
              <w:bottom w:val="nil"/>
              <w:right w:val="single" w:sz="4" w:space="0" w:color="auto"/>
            </w:tcBorders>
            <w:shd w:val="clear" w:color="FFFFFF" w:fill="FFFFFF"/>
            <w:noWrap/>
            <w:vAlign w:val="bottom"/>
            <w:hideMark/>
          </w:tcPr>
          <w:p w:rsidR="00694E7F" w:rsidRPr="00651BA4" w:rsidRDefault="00694E7F" w:rsidP="00694E7F">
            <w:pPr>
              <w:ind w:firstLineChars="200" w:firstLine="320"/>
              <w:rPr>
                <w:color w:val="333333"/>
                <w:sz w:val="16"/>
                <w:szCs w:val="20"/>
                <w:lang w:val="es-GT" w:eastAsia="es-GT"/>
              </w:rPr>
            </w:pPr>
            <w:r w:rsidRPr="00651BA4">
              <w:rPr>
                <w:color w:val="333333"/>
                <w:sz w:val="16"/>
                <w:szCs w:val="20"/>
                <w:lang w:val="es-GT" w:eastAsia="es-GT"/>
              </w:rPr>
              <w:t>SERVICIOS DE IMPRENTA</w:t>
            </w:r>
          </w:p>
        </w:tc>
        <w:tc>
          <w:tcPr>
            <w:tcW w:w="1161"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44.0</w:t>
            </w:r>
          </w:p>
        </w:tc>
        <w:tc>
          <w:tcPr>
            <w:tcW w:w="1134"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8.2</w:t>
            </w:r>
          </w:p>
        </w:tc>
        <w:tc>
          <w:tcPr>
            <w:tcW w:w="1089" w:type="dxa"/>
            <w:tcBorders>
              <w:top w:val="nil"/>
              <w:left w:val="nil"/>
              <w:bottom w:val="nil"/>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35.8</w:t>
            </w:r>
          </w:p>
        </w:tc>
        <w:tc>
          <w:tcPr>
            <w:tcW w:w="957" w:type="dxa"/>
            <w:tcBorders>
              <w:top w:val="nil"/>
              <w:left w:val="nil"/>
              <w:bottom w:val="nil"/>
              <w:right w:val="single" w:sz="8"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18.6%</w:t>
            </w:r>
          </w:p>
        </w:tc>
      </w:tr>
      <w:tr w:rsidR="00694E7F" w:rsidRPr="00651BA4" w:rsidTr="00BC2EC7">
        <w:trPr>
          <w:trHeight w:val="315"/>
          <w:jc w:val="center"/>
        </w:trPr>
        <w:tc>
          <w:tcPr>
            <w:tcW w:w="4855"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651BA4" w:rsidRDefault="00694E7F" w:rsidP="00694E7F">
            <w:pPr>
              <w:ind w:firstLineChars="200" w:firstLine="320"/>
              <w:rPr>
                <w:color w:val="333333"/>
                <w:sz w:val="16"/>
                <w:szCs w:val="20"/>
                <w:lang w:val="es-GT" w:eastAsia="es-GT"/>
              </w:rPr>
            </w:pPr>
            <w:r w:rsidRPr="00651BA4">
              <w:rPr>
                <w:color w:val="333333"/>
                <w:sz w:val="16"/>
                <w:szCs w:val="20"/>
                <w:lang w:val="es-GT" w:eastAsia="es-GT"/>
              </w:rPr>
              <w:t>ADMINISTRACIÓN DEL PATRIMONIO</w:t>
            </w:r>
          </w:p>
        </w:tc>
        <w:tc>
          <w:tcPr>
            <w:tcW w:w="1161" w:type="dxa"/>
            <w:tcBorders>
              <w:top w:val="nil"/>
              <w:left w:val="nil"/>
              <w:bottom w:val="single" w:sz="8" w:space="0" w:color="auto"/>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22.8</w:t>
            </w:r>
          </w:p>
        </w:tc>
        <w:tc>
          <w:tcPr>
            <w:tcW w:w="1134" w:type="dxa"/>
            <w:tcBorders>
              <w:top w:val="nil"/>
              <w:left w:val="nil"/>
              <w:bottom w:val="single" w:sz="8" w:space="0" w:color="auto"/>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22.1</w:t>
            </w:r>
          </w:p>
        </w:tc>
        <w:tc>
          <w:tcPr>
            <w:tcW w:w="1089" w:type="dxa"/>
            <w:tcBorders>
              <w:top w:val="nil"/>
              <w:left w:val="nil"/>
              <w:bottom w:val="single" w:sz="8" w:space="0" w:color="auto"/>
              <w:right w:val="single" w:sz="4"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0.7</w:t>
            </w:r>
          </w:p>
        </w:tc>
        <w:tc>
          <w:tcPr>
            <w:tcW w:w="957" w:type="dxa"/>
            <w:tcBorders>
              <w:top w:val="nil"/>
              <w:left w:val="single" w:sz="4" w:space="0" w:color="auto"/>
              <w:bottom w:val="single" w:sz="8" w:space="0" w:color="auto"/>
              <w:right w:val="single" w:sz="8" w:space="0" w:color="auto"/>
            </w:tcBorders>
            <w:shd w:val="clear" w:color="FFFFFF" w:fill="FFFFFF"/>
            <w:noWrap/>
            <w:vAlign w:val="bottom"/>
            <w:hideMark/>
          </w:tcPr>
          <w:p w:rsidR="00694E7F" w:rsidRPr="00651BA4" w:rsidRDefault="00694E7F" w:rsidP="00694E7F">
            <w:pPr>
              <w:jc w:val="right"/>
              <w:rPr>
                <w:color w:val="333333"/>
                <w:sz w:val="16"/>
                <w:szCs w:val="20"/>
                <w:lang w:val="es-GT" w:eastAsia="es-GT"/>
              </w:rPr>
            </w:pPr>
            <w:r w:rsidRPr="00651BA4">
              <w:rPr>
                <w:color w:val="333333"/>
                <w:sz w:val="16"/>
                <w:szCs w:val="20"/>
                <w:lang w:val="es-GT" w:eastAsia="es-GT"/>
              </w:rPr>
              <w:t>96.9%</w:t>
            </w:r>
          </w:p>
        </w:tc>
      </w:tr>
    </w:tbl>
    <w:p w:rsidR="00694E7F" w:rsidRPr="004E678D" w:rsidRDefault="00244B7A" w:rsidP="00244B7A">
      <w:pPr>
        <w:jc w:val="both"/>
        <w:rPr>
          <w:sz w:val="18"/>
        </w:rPr>
      </w:pPr>
      <w:r>
        <w:rPr>
          <w:sz w:val="18"/>
        </w:rPr>
        <w:t xml:space="preserve">       </w:t>
      </w:r>
      <w:r w:rsidR="00694E7F" w:rsidRPr="004E678D">
        <w:rPr>
          <w:sz w:val="18"/>
        </w:rPr>
        <w:t>Fuente: Ministerio de Finanzas Públicas</w:t>
      </w:r>
      <w:r w:rsidR="00694E7F">
        <w:rPr>
          <w:sz w:val="18"/>
        </w:rPr>
        <w:t>.</w:t>
      </w:r>
    </w:p>
    <w:p w:rsidR="00694E7F" w:rsidRPr="00D108FD" w:rsidRDefault="00694E7F" w:rsidP="00694E7F">
      <w:pPr>
        <w:jc w:val="both"/>
      </w:pPr>
    </w:p>
    <w:p w:rsidR="00694E7F" w:rsidRDefault="00694E7F" w:rsidP="00694E7F">
      <w:pPr>
        <w:jc w:val="both"/>
        <w:rPr>
          <w:b/>
        </w:rPr>
      </w:pPr>
      <w:r w:rsidRPr="00D108FD">
        <w:rPr>
          <w:b/>
        </w:rPr>
        <w:t>Ministerio de Educación</w:t>
      </w:r>
      <w:r>
        <w:rPr>
          <w:b/>
        </w:rPr>
        <w:t>:</w:t>
      </w:r>
    </w:p>
    <w:p w:rsidR="00694E7F" w:rsidRPr="00D108FD" w:rsidRDefault="00694E7F" w:rsidP="00694E7F">
      <w:pPr>
        <w:jc w:val="both"/>
        <w:rPr>
          <w:b/>
        </w:rPr>
      </w:pPr>
    </w:p>
    <w:p w:rsidR="00694E7F" w:rsidRDefault="00694E7F" w:rsidP="00694E7F">
      <w:pPr>
        <w:jc w:val="both"/>
      </w:pPr>
      <w:r w:rsidRPr="00D108FD">
        <w:t xml:space="preserve">Este </w:t>
      </w:r>
      <w:r>
        <w:t>M</w:t>
      </w:r>
      <w:r w:rsidRPr="00D108FD">
        <w:t>inisterio tuvo un presupuesto</w:t>
      </w:r>
      <w:r>
        <w:t xml:space="preserve"> aprobado</w:t>
      </w:r>
      <w:r w:rsidRPr="00D108FD">
        <w:t xml:space="preserve"> de </w:t>
      </w:r>
      <w:r>
        <w:t>Q</w:t>
      </w:r>
      <w:r w:rsidR="00F0222C">
        <w:t>.</w:t>
      </w:r>
      <w:r w:rsidRPr="00D108FD">
        <w:t>1</w:t>
      </w:r>
      <w:r>
        <w:t>6</w:t>
      </w:r>
      <w:r w:rsidRPr="00D108FD">
        <w:t>,</w:t>
      </w:r>
      <w:r>
        <w:t>530.6</w:t>
      </w:r>
      <w:r w:rsidRPr="00D108FD">
        <w:t xml:space="preserve"> millones y una ejecución presupuestaria de </w:t>
      </w:r>
      <w:r>
        <w:t>Q</w:t>
      </w:r>
      <w:r w:rsidR="00F0222C">
        <w:t>.</w:t>
      </w:r>
      <w:r>
        <w:t>1</w:t>
      </w:r>
      <w:r w:rsidR="00F0222C">
        <w:t>6</w:t>
      </w:r>
      <w:r w:rsidRPr="00D108FD">
        <w:t>,</w:t>
      </w:r>
      <w:r>
        <w:t>732.7</w:t>
      </w:r>
      <w:r w:rsidRPr="00D108FD">
        <w:t xml:space="preserve"> millones equivalente</w:t>
      </w:r>
      <w:r>
        <w:t>s</w:t>
      </w:r>
      <w:r w:rsidRPr="00D108FD">
        <w:t xml:space="preserve"> al </w:t>
      </w:r>
      <w:r>
        <w:t>101.2</w:t>
      </w:r>
      <w:r w:rsidRPr="00D108FD">
        <w:t>%.</w:t>
      </w:r>
      <w:r>
        <w:t xml:space="preserve"> </w:t>
      </w:r>
      <w:r w:rsidRPr="00D108FD">
        <w:t>El programa con mayor ejecución presupuestaria fue “Educación Escolar de Primaria” con un presupuesto</w:t>
      </w:r>
      <w:r>
        <w:t xml:space="preserve"> aprobado</w:t>
      </w:r>
      <w:r w:rsidRPr="00D108FD">
        <w:t xml:space="preserve"> de </w:t>
      </w:r>
      <w:r>
        <w:t>Q</w:t>
      </w:r>
      <w:r w:rsidR="00F0222C">
        <w:t>.</w:t>
      </w:r>
      <w:r w:rsidRPr="00D108FD">
        <w:t>8,</w:t>
      </w:r>
      <w:r>
        <w:t>993.7</w:t>
      </w:r>
      <w:r w:rsidRPr="00D108FD">
        <w:t xml:space="preserve"> millones, una ejecución presupuestaria de </w:t>
      </w:r>
      <w:r>
        <w:t>Q</w:t>
      </w:r>
      <w:r w:rsidR="00F0222C">
        <w:t>.</w:t>
      </w:r>
      <w:r>
        <w:t>9</w:t>
      </w:r>
      <w:r w:rsidRPr="00D108FD">
        <w:t>,</w:t>
      </w:r>
      <w:r>
        <w:t>265.6</w:t>
      </w:r>
      <w:r w:rsidRPr="00D108FD">
        <w:t xml:space="preserve"> millones equivalente</w:t>
      </w:r>
      <w:r>
        <w:t>s</w:t>
      </w:r>
      <w:r w:rsidRPr="00D108FD">
        <w:t xml:space="preserve"> al </w:t>
      </w:r>
      <w:r>
        <w:t>103.0</w:t>
      </w:r>
      <w:r w:rsidRPr="00D108FD">
        <w:t>%.</w:t>
      </w:r>
    </w:p>
    <w:p w:rsidR="00694E7F" w:rsidRPr="00D108FD" w:rsidRDefault="00694E7F" w:rsidP="00694E7F">
      <w:pPr>
        <w:jc w:val="both"/>
      </w:pPr>
    </w:p>
    <w:p w:rsidR="00694E7F" w:rsidRDefault="00694E7F" w:rsidP="00694E7F">
      <w:pPr>
        <w:jc w:val="both"/>
      </w:pPr>
      <w:r>
        <w:t xml:space="preserve">Le sigue </w:t>
      </w:r>
      <w:r w:rsidRPr="00D108FD">
        <w:t xml:space="preserve">el programa “Educación Escolar de Preprimaria” con un presupuesto de </w:t>
      </w:r>
      <w:r>
        <w:t>Q</w:t>
      </w:r>
      <w:r w:rsidR="00F0222C">
        <w:t>.</w:t>
      </w:r>
      <w:r w:rsidRPr="00D108FD">
        <w:t>1,</w:t>
      </w:r>
      <w:r>
        <w:t>807.1</w:t>
      </w:r>
      <w:r w:rsidRPr="00D108FD">
        <w:t xml:space="preserve"> millones, y una ejecución presupuestaria de </w:t>
      </w:r>
      <w:r>
        <w:t>Q</w:t>
      </w:r>
      <w:r w:rsidR="00F0222C">
        <w:t>.</w:t>
      </w:r>
      <w:r>
        <w:t>2</w:t>
      </w:r>
      <w:r w:rsidRPr="00D108FD">
        <w:t>,</w:t>
      </w:r>
      <w:r>
        <w:t>273.4</w:t>
      </w:r>
      <w:r w:rsidRPr="00D108FD">
        <w:t xml:space="preserve"> millones equivalente</w:t>
      </w:r>
      <w:r>
        <w:t>s</w:t>
      </w:r>
      <w:r w:rsidRPr="00D108FD">
        <w:t xml:space="preserve"> al </w:t>
      </w:r>
      <w:r>
        <w:t>125.8</w:t>
      </w:r>
      <w:r w:rsidRPr="00D108FD">
        <w:t>%.</w:t>
      </w:r>
      <w:r>
        <w:t xml:space="preserve"> Le sigue</w:t>
      </w:r>
      <w:r w:rsidRPr="00D108FD">
        <w:t xml:space="preserve"> </w:t>
      </w:r>
      <w:r>
        <w:t>e</w:t>
      </w:r>
      <w:r w:rsidRPr="00D108FD">
        <w:t xml:space="preserve">l programa </w:t>
      </w:r>
      <w:r>
        <w:t xml:space="preserve">de </w:t>
      </w:r>
      <w:r w:rsidRPr="00D108FD">
        <w:t xml:space="preserve">“Apoyo para el Consumo Adecuado de Alimentos” con un presupuesto de </w:t>
      </w:r>
      <w:r>
        <w:t>Q</w:t>
      </w:r>
      <w:r w:rsidR="00F0222C">
        <w:t>.</w:t>
      </w:r>
      <w:r w:rsidRPr="00D108FD">
        <w:t>1,</w:t>
      </w:r>
      <w:r>
        <w:t>879.2</w:t>
      </w:r>
      <w:r w:rsidRPr="00D108FD">
        <w:t xml:space="preserve"> millones, y una ejecución de </w:t>
      </w:r>
      <w:r>
        <w:t>Q</w:t>
      </w:r>
      <w:r w:rsidR="00F0222C">
        <w:t>.</w:t>
      </w:r>
      <w:r w:rsidRPr="00D108FD">
        <w:t>1,</w:t>
      </w:r>
      <w:r>
        <w:t>996.9</w:t>
      </w:r>
      <w:r w:rsidRPr="00D108FD">
        <w:t xml:space="preserve"> millones equivalente</w:t>
      </w:r>
      <w:r>
        <w:t>s</w:t>
      </w:r>
      <w:r w:rsidRPr="00D108FD">
        <w:t xml:space="preserve"> al </w:t>
      </w:r>
      <w:r>
        <w:t>106.3</w:t>
      </w:r>
      <w:r w:rsidRPr="00D108FD">
        <w:t>%.</w:t>
      </w:r>
    </w:p>
    <w:p w:rsidR="00694E7F" w:rsidRPr="00D108FD" w:rsidRDefault="00694E7F" w:rsidP="00694E7F">
      <w:pPr>
        <w:jc w:val="both"/>
      </w:pPr>
    </w:p>
    <w:p w:rsidR="00694E7F" w:rsidRDefault="00694E7F" w:rsidP="00694E7F">
      <w:pPr>
        <w:jc w:val="both"/>
      </w:pPr>
      <w:r w:rsidRPr="00D108FD">
        <w:t xml:space="preserve">El Programa de “Educación Escolar Básica” tuvo un presupuesto de </w:t>
      </w:r>
      <w:r>
        <w:t>Q</w:t>
      </w:r>
      <w:r w:rsidR="00F0222C">
        <w:t>.</w:t>
      </w:r>
      <w:r>
        <w:t>1,053.8</w:t>
      </w:r>
      <w:r w:rsidRPr="00D108FD">
        <w:t xml:space="preserve"> millones </w:t>
      </w:r>
      <w:r>
        <w:t>con un</w:t>
      </w:r>
      <w:r w:rsidRPr="00D108FD">
        <w:t xml:space="preserve">a ejecución presupuestaria de </w:t>
      </w:r>
      <w:r>
        <w:t>Q</w:t>
      </w:r>
      <w:r w:rsidR="00F0222C">
        <w:t>.</w:t>
      </w:r>
      <w:r>
        <w:t>1,047.7</w:t>
      </w:r>
      <w:r w:rsidRPr="00D108FD">
        <w:t xml:space="preserve"> millones equivalente</w:t>
      </w:r>
      <w:r>
        <w:t>s</w:t>
      </w:r>
      <w:r w:rsidRPr="00D108FD">
        <w:t xml:space="preserve"> al 99</w:t>
      </w:r>
      <w:r>
        <w:t>.4</w:t>
      </w:r>
      <w:r w:rsidRPr="00D108FD">
        <w:t>%.</w:t>
      </w:r>
    </w:p>
    <w:p w:rsidR="00694E7F" w:rsidRPr="00D108FD" w:rsidRDefault="00694E7F" w:rsidP="00694E7F">
      <w:pPr>
        <w:jc w:val="both"/>
      </w:pPr>
    </w:p>
    <w:p w:rsidR="00694E7F" w:rsidRDefault="00694E7F" w:rsidP="00694E7F">
      <w:pPr>
        <w:jc w:val="both"/>
      </w:pPr>
      <w:r>
        <w:t>L</w:t>
      </w:r>
      <w:r w:rsidRPr="00D108FD">
        <w:t xml:space="preserve">as Partidas No Asignables a Programas, </w:t>
      </w:r>
      <w:r>
        <w:t>tuvieron</w:t>
      </w:r>
      <w:r w:rsidRPr="00D108FD">
        <w:t xml:space="preserve"> un presupuesto</w:t>
      </w:r>
      <w:r>
        <w:t xml:space="preserve"> aprobado</w:t>
      </w:r>
      <w:r w:rsidRPr="00D108FD">
        <w:t xml:space="preserve"> de </w:t>
      </w:r>
      <w:r>
        <w:t>Q</w:t>
      </w:r>
      <w:r w:rsidR="00F0222C">
        <w:t>.</w:t>
      </w:r>
      <w:r w:rsidRPr="00D108FD">
        <w:t>5</w:t>
      </w:r>
      <w:r>
        <w:t>8</w:t>
      </w:r>
      <w:r w:rsidRPr="00D108FD">
        <w:t>5.</w:t>
      </w:r>
      <w:r>
        <w:t>5</w:t>
      </w:r>
      <w:r w:rsidRPr="00D108FD">
        <w:t xml:space="preserve"> millones, y una ejecución presupuestaria de </w:t>
      </w:r>
      <w:r>
        <w:t>Q</w:t>
      </w:r>
      <w:r w:rsidR="00F0222C">
        <w:t>.</w:t>
      </w:r>
      <w:r>
        <w:t>483.1</w:t>
      </w:r>
      <w:r w:rsidRPr="00D108FD">
        <w:t xml:space="preserve"> millones equivalente</w:t>
      </w:r>
      <w:r>
        <w:t xml:space="preserve">s </w:t>
      </w:r>
      <w:r w:rsidRPr="00D108FD">
        <w:t xml:space="preserve">al </w:t>
      </w:r>
      <w:r>
        <w:t>82.5</w:t>
      </w:r>
      <w:r w:rsidRPr="00D108FD">
        <w:t>%</w:t>
      </w:r>
      <w:r>
        <w:t>.  Es importante comentar que</w:t>
      </w:r>
      <w:r w:rsidRPr="00D108FD">
        <w:t xml:space="preserve"> bajo este rubro se registran los aportes a las escuelas e institutos por cooperativa y al Comité Nacional de Alfabetización.</w:t>
      </w:r>
    </w:p>
    <w:p w:rsidR="00694E7F" w:rsidRPr="00D108FD" w:rsidRDefault="00694E7F" w:rsidP="00694E7F">
      <w:pPr>
        <w:jc w:val="both"/>
      </w:pPr>
    </w:p>
    <w:p w:rsidR="00694E7F" w:rsidRDefault="00694E7F" w:rsidP="00694E7F">
      <w:pPr>
        <w:jc w:val="both"/>
      </w:pPr>
      <w:r w:rsidRPr="00D108FD">
        <w:t xml:space="preserve">El programa de “Educación Diversificada” tuvo un presupuesto de </w:t>
      </w:r>
      <w:r>
        <w:t>Q</w:t>
      </w:r>
      <w:r w:rsidR="00F0222C">
        <w:t>.</w:t>
      </w:r>
      <w:r>
        <w:t>556.7</w:t>
      </w:r>
      <w:r w:rsidR="009374CC">
        <w:t xml:space="preserve"> millones y</w:t>
      </w:r>
      <w:r w:rsidRPr="00D108FD">
        <w:t xml:space="preserve"> una ejecución de </w:t>
      </w:r>
      <w:r>
        <w:t>Q</w:t>
      </w:r>
      <w:r w:rsidR="00F0222C">
        <w:t>.</w:t>
      </w:r>
      <w:r w:rsidRPr="00D108FD">
        <w:t>4</w:t>
      </w:r>
      <w:r>
        <w:t>57.8</w:t>
      </w:r>
      <w:r w:rsidRPr="00D108FD">
        <w:t xml:space="preserve"> millones equivalente</w:t>
      </w:r>
      <w:r>
        <w:t>s</w:t>
      </w:r>
      <w:r w:rsidRPr="00D108FD">
        <w:t xml:space="preserve"> al </w:t>
      </w:r>
      <w:r>
        <w:t>82.2</w:t>
      </w:r>
      <w:r w:rsidRPr="00D108FD">
        <w:t>%.</w:t>
      </w:r>
    </w:p>
    <w:p w:rsidR="00694E7F" w:rsidRPr="00D108FD" w:rsidRDefault="00694E7F" w:rsidP="00694E7F">
      <w:pPr>
        <w:jc w:val="both"/>
      </w:pPr>
    </w:p>
    <w:p w:rsidR="00694E7F" w:rsidRDefault="00694E7F" w:rsidP="00694E7F">
      <w:pPr>
        <w:jc w:val="both"/>
      </w:pPr>
      <w:r w:rsidRPr="00D108FD">
        <w:t xml:space="preserve">El programa que se refiere a las Actividades Centrales tuvo un presupuesto de </w:t>
      </w:r>
      <w:r>
        <w:t>Q.635.7</w:t>
      </w:r>
      <w:r w:rsidRPr="00D108FD">
        <w:t xml:space="preserve"> millones y </w:t>
      </w:r>
      <w:r>
        <w:t>su</w:t>
      </w:r>
      <w:r w:rsidRPr="00D108FD">
        <w:t xml:space="preserve"> ejecución presupuestaria fue de </w:t>
      </w:r>
      <w:r>
        <w:t>Q</w:t>
      </w:r>
      <w:r w:rsidR="00F0222C">
        <w:t>.</w:t>
      </w:r>
      <w:r>
        <w:t>514.5</w:t>
      </w:r>
      <w:r w:rsidRPr="00D108FD">
        <w:t xml:space="preserve"> millones equivalente</w:t>
      </w:r>
      <w:r>
        <w:t>s</w:t>
      </w:r>
      <w:r w:rsidRPr="00D108FD">
        <w:t xml:space="preserve"> al </w:t>
      </w:r>
      <w:r>
        <w:t>80.9</w:t>
      </w:r>
      <w:r w:rsidRPr="00D108FD">
        <w:t>%.</w:t>
      </w:r>
    </w:p>
    <w:p w:rsidR="00694E7F" w:rsidRDefault="00694E7F" w:rsidP="00694E7F">
      <w:pPr>
        <w:jc w:val="both"/>
      </w:pPr>
    </w:p>
    <w:p w:rsidR="00694E7F" w:rsidRDefault="00694E7F" w:rsidP="00694E7F">
      <w:pPr>
        <w:jc w:val="both"/>
      </w:pPr>
      <w:r>
        <w:t>En los registros de ejecución hay programas con actividades comunes para atender los diferentes niveles de educación que en su conjunto se presupuestaron Q</w:t>
      </w:r>
      <w:r w:rsidR="00F0222C">
        <w:t>.</w:t>
      </w:r>
      <w:r>
        <w:t>1,018.9 millones, en tanto que los registros preliminares de ejecución reportan Q</w:t>
      </w:r>
      <w:r w:rsidR="00F0222C">
        <w:t>.</w:t>
      </w:r>
      <w:r>
        <w:t>661.9 millones.</w:t>
      </w:r>
    </w:p>
    <w:p w:rsidR="00694E7F" w:rsidRDefault="00694E7F" w:rsidP="00694E7F">
      <w:pPr>
        <w:jc w:val="both"/>
      </w:pPr>
    </w:p>
    <w:p w:rsidR="00694E7F" w:rsidRDefault="00694E7F" w:rsidP="00694E7F">
      <w:pPr>
        <w:jc w:val="both"/>
      </w:pPr>
      <w:r>
        <w:t xml:space="preserve">En lo referente a la </w:t>
      </w:r>
      <w:r w:rsidR="00F0222C">
        <w:t>atención a desastres, no se tení</w:t>
      </w:r>
      <w:r>
        <w:t>a contemplado el uso de recursos, no obstante, al cierre preliminar se tiene un registro de una ejecución de Q</w:t>
      </w:r>
      <w:r w:rsidR="00F0222C">
        <w:t>.</w:t>
      </w:r>
      <w:r>
        <w:t>31.8 millones</w:t>
      </w:r>
      <w:r w:rsidRPr="00D108FD">
        <w:t>.</w:t>
      </w:r>
    </w:p>
    <w:p w:rsidR="00694E7F" w:rsidRDefault="00694E7F" w:rsidP="00694E7F">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Programa!F55C2:F68C6"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fldChar w:fldCharType="end"/>
      </w:r>
    </w:p>
    <w:tbl>
      <w:tblPr>
        <w:tblW w:w="9568" w:type="dxa"/>
        <w:tblCellMar>
          <w:left w:w="70" w:type="dxa"/>
          <w:right w:w="70" w:type="dxa"/>
        </w:tblCellMar>
        <w:tblLook w:val="04A0" w:firstRow="1" w:lastRow="0" w:firstColumn="1" w:lastColumn="0" w:noHBand="0" w:noVBand="1"/>
      </w:tblPr>
      <w:tblGrid>
        <w:gridCol w:w="5315"/>
        <w:gridCol w:w="1134"/>
        <w:gridCol w:w="992"/>
        <w:gridCol w:w="1134"/>
        <w:gridCol w:w="993"/>
      </w:tblGrid>
      <w:tr w:rsidR="00694E7F" w:rsidRPr="00E27C61" w:rsidTr="00754E4D">
        <w:trPr>
          <w:trHeight w:val="180"/>
        </w:trPr>
        <w:tc>
          <w:tcPr>
            <w:tcW w:w="5315" w:type="dxa"/>
            <w:tcBorders>
              <w:top w:val="single" w:sz="8" w:space="0" w:color="auto"/>
              <w:left w:val="single" w:sz="8" w:space="0" w:color="auto"/>
              <w:bottom w:val="single" w:sz="4" w:space="0" w:color="auto"/>
              <w:right w:val="single" w:sz="4" w:space="0" w:color="auto"/>
            </w:tcBorders>
            <w:shd w:val="clear" w:color="000000" w:fill="8DB4E2"/>
            <w:noWrap/>
            <w:hideMark/>
          </w:tcPr>
          <w:p w:rsidR="00694E7F" w:rsidRPr="00E27C61" w:rsidRDefault="00694E7F" w:rsidP="00694E7F">
            <w:pPr>
              <w:jc w:val="center"/>
              <w:rPr>
                <w:b/>
                <w:bCs/>
                <w:color w:val="000000"/>
                <w:sz w:val="16"/>
                <w:szCs w:val="16"/>
                <w:lang w:val="es-GT" w:eastAsia="es-GT"/>
              </w:rPr>
            </w:pPr>
            <w:r w:rsidRPr="00E27C61">
              <w:rPr>
                <w:b/>
                <w:bCs/>
                <w:color w:val="000000"/>
                <w:sz w:val="16"/>
                <w:szCs w:val="16"/>
                <w:lang w:val="es-GT" w:eastAsia="es-GT"/>
              </w:rPr>
              <w:t>DESCRIPCION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94E7F" w:rsidRPr="00E27C61" w:rsidRDefault="00694E7F" w:rsidP="00694E7F">
            <w:pPr>
              <w:jc w:val="center"/>
              <w:rPr>
                <w:b/>
                <w:bCs/>
                <w:color w:val="000000"/>
                <w:sz w:val="16"/>
                <w:szCs w:val="16"/>
                <w:lang w:val="es-GT" w:eastAsia="es-GT"/>
              </w:rPr>
            </w:pPr>
            <w:r w:rsidRPr="00E27C61">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hideMark/>
          </w:tcPr>
          <w:p w:rsidR="00694E7F" w:rsidRPr="00E27C61" w:rsidRDefault="00694E7F" w:rsidP="00694E7F">
            <w:pPr>
              <w:jc w:val="center"/>
              <w:rPr>
                <w:b/>
                <w:bCs/>
                <w:color w:val="000000"/>
                <w:sz w:val="16"/>
                <w:szCs w:val="16"/>
                <w:lang w:val="es-GT" w:eastAsia="es-GT"/>
              </w:rPr>
            </w:pPr>
            <w:r w:rsidRPr="00E27C61">
              <w:rPr>
                <w:b/>
                <w:bCs/>
                <w:color w:val="000000"/>
                <w:sz w:val="16"/>
                <w:szCs w:val="16"/>
                <w:lang w:val="es-GT" w:eastAsia="es-GT"/>
              </w:rPr>
              <w:t>Ejecución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94E7F" w:rsidRPr="00E27C61" w:rsidRDefault="00694E7F" w:rsidP="00694E7F">
            <w:pPr>
              <w:jc w:val="center"/>
              <w:rPr>
                <w:b/>
                <w:bCs/>
                <w:color w:val="000000"/>
                <w:sz w:val="16"/>
                <w:szCs w:val="16"/>
                <w:lang w:val="es-GT" w:eastAsia="es-GT"/>
              </w:rPr>
            </w:pPr>
            <w:r w:rsidRPr="00E27C61">
              <w:rPr>
                <w:b/>
                <w:bCs/>
                <w:color w:val="000000"/>
                <w:sz w:val="16"/>
                <w:szCs w:val="16"/>
                <w:lang w:val="es-GT" w:eastAsia="es-GT"/>
              </w:rPr>
              <w:t>Diferencias</w:t>
            </w:r>
          </w:p>
        </w:tc>
        <w:tc>
          <w:tcPr>
            <w:tcW w:w="993" w:type="dxa"/>
            <w:tcBorders>
              <w:top w:val="single" w:sz="8" w:space="0" w:color="auto"/>
              <w:left w:val="nil"/>
              <w:bottom w:val="single" w:sz="4" w:space="0" w:color="auto"/>
              <w:right w:val="single" w:sz="8" w:space="0" w:color="auto"/>
            </w:tcBorders>
            <w:shd w:val="clear" w:color="000000" w:fill="8DB4E2"/>
            <w:noWrap/>
            <w:hideMark/>
          </w:tcPr>
          <w:p w:rsidR="00694E7F" w:rsidRPr="00E27C61" w:rsidRDefault="00694E7F" w:rsidP="00694E7F">
            <w:pPr>
              <w:jc w:val="center"/>
              <w:rPr>
                <w:b/>
                <w:bCs/>
                <w:color w:val="000000"/>
                <w:sz w:val="16"/>
                <w:szCs w:val="16"/>
                <w:lang w:val="es-GT" w:eastAsia="es-GT"/>
              </w:rPr>
            </w:pPr>
            <w:r w:rsidRPr="00E27C61">
              <w:rPr>
                <w:b/>
                <w:bCs/>
                <w:color w:val="000000"/>
                <w:sz w:val="16"/>
                <w:szCs w:val="16"/>
                <w:lang w:val="es-GT" w:eastAsia="es-GT"/>
              </w:rPr>
              <w:t>% Ejec</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694E7F">
            <w:pPr>
              <w:rPr>
                <w:b/>
                <w:bCs/>
                <w:color w:val="333333"/>
                <w:sz w:val="14"/>
                <w:szCs w:val="14"/>
                <w:lang w:val="es-GT" w:eastAsia="es-GT"/>
              </w:rPr>
            </w:pPr>
            <w:r w:rsidRPr="00754E4D">
              <w:rPr>
                <w:b/>
                <w:bCs/>
                <w:color w:val="333333"/>
                <w:sz w:val="14"/>
                <w:szCs w:val="14"/>
                <w:lang w:val="es-GT" w:eastAsia="es-GT"/>
              </w:rPr>
              <w:t>MINISTERIO DE EDUCACIÓN</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b/>
                <w:bCs/>
                <w:color w:val="333333"/>
                <w:sz w:val="14"/>
                <w:szCs w:val="14"/>
                <w:lang w:val="es-GT" w:eastAsia="es-GT"/>
              </w:rPr>
            </w:pPr>
            <w:r w:rsidRPr="00754E4D">
              <w:rPr>
                <w:b/>
                <w:bCs/>
                <w:color w:val="333333"/>
                <w:sz w:val="14"/>
                <w:szCs w:val="14"/>
                <w:lang w:val="es-GT" w:eastAsia="es-GT"/>
              </w:rPr>
              <w:t>16,530.6</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b/>
                <w:bCs/>
                <w:color w:val="333333"/>
                <w:sz w:val="14"/>
                <w:szCs w:val="14"/>
                <w:lang w:val="es-GT" w:eastAsia="es-GT"/>
              </w:rPr>
            </w:pPr>
            <w:r w:rsidRPr="00754E4D">
              <w:rPr>
                <w:b/>
                <w:bCs/>
                <w:color w:val="333333"/>
                <w:sz w:val="14"/>
                <w:szCs w:val="14"/>
                <w:lang w:val="es-GT" w:eastAsia="es-GT"/>
              </w:rPr>
              <w:t>16,732.7</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b/>
                <w:bCs/>
                <w:color w:val="333333"/>
                <w:sz w:val="14"/>
                <w:szCs w:val="14"/>
                <w:lang w:val="es-GT" w:eastAsia="es-GT"/>
              </w:rPr>
            </w:pPr>
            <w:r w:rsidRPr="00754E4D">
              <w:rPr>
                <w:b/>
                <w:bCs/>
                <w:color w:val="333333"/>
                <w:sz w:val="14"/>
                <w:szCs w:val="14"/>
                <w:lang w:val="es-GT" w:eastAsia="es-GT"/>
              </w:rPr>
              <w:t>-202.1</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b/>
                <w:bCs/>
                <w:color w:val="333333"/>
                <w:sz w:val="14"/>
                <w:szCs w:val="14"/>
                <w:lang w:val="es-GT" w:eastAsia="es-GT"/>
              </w:rPr>
            </w:pPr>
            <w:r w:rsidRPr="00754E4D">
              <w:rPr>
                <w:b/>
                <w:bCs/>
                <w:color w:val="333333"/>
                <w:sz w:val="14"/>
                <w:szCs w:val="14"/>
                <w:lang w:val="es-GT" w:eastAsia="es-GT"/>
              </w:rPr>
              <w:t>101.2%</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EDUCACIÓN ESCOLAR DE PRIMARIA</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8,993.7</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9,265.6</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-271.9</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103.0%</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APOYO PARA EL CONSUMO ADECUADO DE ALIMENTOS</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1,879.2</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1,996.9</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-117.7</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106.3%</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EDUCACIÓN ESCOLAR DE PREPRIMARIA</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1,807.1</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2,273.4</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-466.3</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125.8%</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EDUCACIÓN ESCOLAR BÁSICA</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1,053.8</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1,047.7</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6.1</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99.4%</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ACTIVIDADES CENTRALES</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635.7</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514.5</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121.2</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80.9%</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PARTIDAS NO ASIGNABLES A PROGRAMAS</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585.5</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483.1</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102.4</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82.5%</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EDUCACIÓN ESCOLAR DIVERSIFICADA</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556.7</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457.8</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99.0</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82.2%</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ACTS COMUNES PREPRIMARIA, PRIMARIA, BÁSICO Y DIVERSIFICADO</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440.7</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288.6</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152.1</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65.5%</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ACTIVIDADES PROGRAMAS DE PRIMARIA, BÁSICO Y DIVERSIFICADO</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295.7</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77.4</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218.3</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26.2%</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ACTIVIDADES PROGRAMAS DE PREPRIMARIA Y PRIMARIA</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162.1</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202.1</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-40.0</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124.7%</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EDUCACIÓN EXTRAESCOLAR</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117.1</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85.8</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31.2</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73.3%</w:t>
            </w:r>
          </w:p>
        </w:tc>
      </w:tr>
      <w:tr w:rsidR="00694E7F" w:rsidRPr="00E27C61" w:rsidTr="00754E4D">
        <w:trPr>
          <w:trHeight w:val="180"/>
        </w:trPr>
        <w:tc>
          <w:tcPr>
            <w:tcW w:w="5315"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EDUCACIÓN INICIAL</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3.4</w:t>
            </w:r>
          </w:p>
        </w:tc>
        <w:tc>
          <w:tcPr>
            <w:tcW w:w="992"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7.9</w:t>
            </w:r>
          </w:p>
        </w:tc>
        <w:tc>
          <w:tcPr>
            <w:tcW w:w="113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-4.5</w:t>
            </w:r>
          </w:p>
        </w:tc>
        <w:tc>
          <w:tcPr>
            <w:tcW w:w="993"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235.0%</w:t>
            </w:r>
          </w:p>
        </w:tc>
      </w:tr>
      <w:tr w:rsidR="00694E7F" w:rsidRPr="00E27C61" w:rsidTr="00754E4D">
        <w:trPr>
          <w:trHeight w:val="180"/>
        </w:trPr>
        <w:tc>
          <w:tcPr>
            <w:tcW w:w="5315"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ATENCIÓN POR DESASTRES NATURALES Y CALAMIDADES PÚBLICAS</w:t>
            </w:r>
          </w:p>
        </w:tc>
        <w:tc>
          <w:tcPr>
            <w:tcW w:w="1134" w:type="dxa"/>
            <w:tcBorders>
              <w:top w:val="nil"/>
              <w:left w:val="nil"/>
              <w:bottom w:val="single" w:sz="8" w:space="0" w:color="auto"/>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0.0</w:t>
            </w:r>
          </w:p>
        </w:tc>
        <w:tc>
          <w:tcPr>
            <w:tcW w:w="992" w:type="dxa"/>
            <w:tcBorders>
              <w:top w:val="nil"/>
              <w:left w:val="nil"/>
              <w:bottom w:val="single" w:sz="8" w:space="0" w:color="auto"/>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31.8</w:t>
            </w:r>
          </w:p>
        </w:tc>
        <w:tc>
          <w:tcPr>
            <w:tcW w:w="1134" w:type="dxa"/>
            <w:tcBorders>
              <w:top w:val="nil"/>
              <w:left w:val="nil"/>
              <w:bottom w:val="single" w:sz="8" w:space="0" w:color="auto"/>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-31.8</w:t>
            </w:r>
          </w:p>
        </w:tc>
        <w:tc>
          <w:tcPr>
            <w:tcW w:w="993" w:type="dxa"/>
            <w:tcBorders>
              <w:top w:val="nil"/>
              <w:left w:val="single" w:sz="4" w:space="0" w:color="auto"/>
              <w:bottom w:val="single" w:sz="8" w:space="0" w:color="auto"/>
              <w:right w:val="single" w:sz="8" w:space="0" w:color="auto"/>
            </w:tcBorders>
            <w:shd w:val="clear" w:color="FFFFFF" w:fill="FFFFFF"/>
            <w:noWrap/>
            <w:vAlign w:val="bottom"/>
            <w:hideMark/>
          </w:tcPr>
          <w:p w:rsidR="00694E7F" w:rsidRPr="00754E4D" w:rsidRDefault="00694E7F" w:rsidP="00694E7F">
            <w:pPr>
              <w:jc w:val="right"/>
              <w:rPr>
                <w:color w:val="FFFFFF"/>
                <w:sz w:val="14"/>
                <w:szCs w:val="14"/>
                <w:lang w:val="es-GT" w:eastAsia="es-GT"/>
              </w:rPr>
            </w:pPr>
            <w:r w:rsidRPr="00754E4D">
              <w:rPr>
                <w:color w:val="FFFFFF"/>
                <w:sz w:val="14"/>
                <w:szCs w:val="14"/>
                <w:lang w:val="es-GT" w:eastAsia="es-GT"/>
              </w:rPr>
              <w:t>#¡DIV/0!</w:t>
            </w: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Default="00694E7F" w:rsidP="00694E7F">
      <w:pPr>
        <w:jc w:val="both"/>
      </w:pPr>
    </w:p>
    <w:p w:rsidR="00694E7F" w:rsidRPr="00D108FD" w:rsidRDefault="00694E7F" w:rsidP="00694E7F">
      <w:pPr>
        <w:jc w:val="both"/>
      </w:pPr>
    </w:p>
    <w:p w:rsidR="00694E7F" w:rsidRDefault="00694E7F" w:rsidP="00694E7F">
      <w:pPr>
        <w:jc w:val="both"/>
        <w:rPr>
          <w:b/>
        </w:rPr>
      </w:pPr>
    </w:p>
    <w:p w:rsidR="00694E7F" w:rsidRDefault="00694E7F" w:rsidP="00694E7F">
      <w:pPr>
        <w:jc w:val="both"/>
        <w:rPr>
          <w:b/>
        </w:rPr>
      </w:pPr>
      <w:r w:rsidRPr="00D108FD">
        <w:rPr>
          <w:b/>
        </w:rPr>
        <w:t>Ministerio de Salud Pública y Asistencia Social</w:t>
      </w:r>
      <w:r>
        <w:rPr>
          <w:b/>
        </w:rPr>
        <w:t>:</w:t>
      </w:r>
    </w:p>
    <w:p w:rsidR="00694E7F" w:rsidRPr="00D108FD" w:rsidRDefault="00694E7F" w:rsidP="00694E7F">
      <w:pPr>
        <w:jc w:val="both"/>
        <w:rPr>
          <w:b/>
        </w:rPr>
      </w:pPr>
    </w:p>
    <w:p w:rsidR="00694E7F" w:rsidRDefault="00694E7F" w:rsidP="00694E7F">
      <w:pPr>
        <w:jc w:val="both"/>
      </w:pPr>
      <w:r w:rsidRPr="00D108FD">
        <w:t>El M</w:t>
      </w:r>
      <w:r>
        <w:t>inisterio de Salud Pública y Asistencia Social</w:t>
      </w:r>
      <w:r w:rsidRPr="00D108FD">
        <w:t xml:space="preserve"> tuvo un presupuesto </w:t>
      </w:r>
      <w:r>
        <w:t xml:space="preserve">aprobado </w:t>
      </w:r>
      <w:r w:rsidRPr="00D108FD">
        <w:t xml:space="preserve">de </w:t>
      </w:r>
      <w:r>
        <w:t>Q</w:t>
      </w:r>
      <w:r w:rsidR="00F0222C">
        <w:t>.</w:t>
      </w:r>
      <w:r>
        <w:t>8</w:t>
      </w:r>
      <w:r w:rsidRPr="00D108FD">
        <w:t>,</w:t>
      </w:r>
      <w:r>
        <w:t>197.2</w:t>
      </w:r>
      <w:r w:rsidRPr="00D108FD">
        <w:t xml:space="preserve"> millones y una ejecución presupuestaria de </w:t>
      </w:r>
      <w:r>
        <w:t>Q</w:t>
      </w:r>
      <w:r w:rsidR="00F0222C">
        <w:t>.</w:t>
      </w:r>
      <w:r>
        <w:t>8</w:t>
      </w:r>
      <w:r w:rsidRPr="00D108FD">
        <w:t>,</w:t>
      </w:r>
      <w:r>
        <w:t>618.9</w:t>
      </w:r>
      <w:r w:rsidRPr="00D108FD">
        <w:t xml:space="preserve"> millones equivalente</w:t>
      </w:r>
      <w:r w:rsidR="00F0222C">
        <w:t>s</w:t>
      </w:r>
      <w:r w:rsidRPr="00D108FD">
        <w:t xml:space="preserve"> al </w:t>
      </w:r>
      <w:r>
        <w:t>105.1</w:t>
      </w:r>
      <w:r w:rsidRPr="00D108FD">
        <w:t>%.</w:t>
      </w:r>
    </w:p>
    <w:p w:rsidR="00694E7F" w:rsidRPr="00D108FD" w:rsidRDefault="00694E7F" w:rsidP="00694E7F">
      <w:pPr>
        <w:jc w:val="both"/>
      </w:pPr>
    </w:p>
    <w:p w:rsidR="00694E7F" w:rsidRDefault="00694E7F" w:rsidP="00694E7F">
      <w:pPr>
        <w:jc w:val="both"/>
      </w:pPr>
      <w:r w:rsidRPr="00D108FD">
        <w:t xml:space="preserve">Con base a las prioridades de este ministerio se tiene como primer punto al programa “Recuperación de la Salud”, el cual tuvo un presupuesto </w:t>
      </w:r>
      <w:r>
        <w:t xml:space="preserve">aprobado </w:t>
      </w:r>
      <w:r w:rsidRPr="00D108FD">
        <w:t>de Q</w:t>
      </w:r>
      <w:r w:rsidR="00F0222C">
        <w:t>.</w:t>
      </w:r>
      <w:r>
        <w:t>4</w:t>
      </w:r>
      <w:r w:rsidRPr="00D108FD">
        <w:t>,</w:t>
      </w:r>
      <w:r>
        <w:t>173.1</w:t>
      </w:r>
      <w:r w:rsidRPr="00D108FD">
        <w:t xml:space="preserve"> millones, el S</w:t>
      </w:r>
      <w:r>
        <w:t>ICOIN</w:t>
      </w:r>
      <w:r w:rsidRPr="00D108FD">
        <w:t xml:space="preserve"> reporta una ejecución presupuestaria de </w:t>
      </w:r>
      <w:r>
        <w:t>Q</w:t>
      </w:r>
      <w:r w:rsidR="00F0222C">
        <w:t>.</w:t>
      </w:r>
      <w:r>
        <w:t>3</w:t>
      </w:r>
      <w:r w:rsidRPr="00D108FD">
        <w:t>,</w:t>
      </w:r>
      <w:r>
        <w:t>370.9</w:t>
      </w:r>
      <w:r w:rsidRPr="00D108FD">
        <w:t xml:space="preserve"> millones equivalente</w:t>
      </w:r>
      <w:r w:rsidR="00F0222C">
        <w:t>s</w:t>
      </w:r>
      <w:r w:rsidRPr="00D108FD">
        <w:t xml:space="preserve"> al </w:t>
      </w:r>
      <w:r>
        <w:t>80.8</w:t>
      </w:r>
      <w:r w:rsidRPr="00D108FD">
        <w:t>%</w:t>
      </w:r>
      <w:r>
        <w:t>.</w:t>
      </w:r>
    </w:p>
    <w:p w:rsidR="00694E7F" w:rsidRPr="00D108FD" w:rsidRDefault="00694E7F" w:rsidP="00694E7F">
      <w:pPr>
        <w:jc w:val="both"/>
      </w:pPr>
    </w:p>
    <w:p w:rsidR="00694E7F" w:rsidRDefault="00694E7F" w:rsidP="00694E7F">
      <w:pPr>
        <w:jc w:val="both"/>
      </w:pPr>
      <w:r w:rsidRPr="00D108FD">
        <w:lastRenderedPageBreak/>
        <w:t xml:space="preserve">El programa sobre “Fomento de Salud y Medicina Preventiva” tuvo un presupuesto de </w:t>
      </w:r>
      <w:r>
        <w:t>Q</w:t>
      </w:r>
      <w:r w:rsidR="00F0222C">
        <w:t>.</w:t>
      </w:r>
      <w:r w:rsidRPr="00D108FD">
        <w:t>9</w:t>
      </w:r>
      <w:r>
        <w:t>57.7</w:t>
      </w:r>
      <w:r w:rsidRPr="00D108FD">
        <w:t xml:space="preserve"> millones y una ejecución presupuestaria de </w:t>
      </w:r>
      <w:r>
        <w:t>Q</w:t>
      </w:r>
      <w:r w:rsidR="00F0222C">
        <w:t>.</w:t>
      </w:r>
      <w:r>
        <w:t>1,362.2</w:t>
      </w:r>
      <w:r w:rsidRPr="00D108FD">
        <w:t xml:space="preserve"> millones equivalente</w:t>
      </w:r>
      <w:r w:rsidR="00F0222C">
        <w:t>s</w:t>
      </w:r>
      <w:r w:rsidRPr="00D108FD">
        <w:t xml:space="preserve"> al </w:t>
      </w:r>
      <w:r>
        <w:t>142.2</w:t>
      </w:r>
      <w:r w:rsidRPr="00D108FD">
        <w:t>%</w:t>
      </w:r>
      <w:r>
        <w:t>.</w:t>
      </w:r>
    </w:p>
    <w:p w:rsidR="00694E7F" w:rsidRPr="00006FBB" w:rsidRDefault="00694E7F" w:rsidP="00694E7F">
      <w:pPr>
        <w:jc w:val="both"/>
        <w:rPr>
          <w:sz w:val="32"/>
        </w:rPr>
      </w:pPr>
    </w:p>
    <w:p w:rsidR="00694E7F" w:rsidRDefault="00694E7F" w:rsidP="00694E7F">
      <w:pPr>
        <w:jc w:val="both"/>
      </w:pPr>
      <w:r w:rsidRPr="00D108FD">
        <w:t xml:space="preserve">A continuación, se presenta el programa “Prevención de la Mortalidad de la Niñez y de la Desnutrición Crónica” que tuvo un presupuesto </w:t>
      </w:r>
      <w:r>
        <w:t xml:space="preserve">aprobado </w:t>
      </w:r>
      <w:r w:rsidRPr="00D108FD">
        <w:t xml:space="preserve">de </w:t>
      </w:r>
      <w:r>
        <w:t>Q</w:t>
      </w:r>
      <w:r w:rsidR="00F0222C">
        <w:t>.</w:t>
      </w:r>
      <w:r>
        <w:t>1,040.4</w:t>
      </w:r>
      <w:r w:rsidRPr="00D108FD">
        <w:t xml:space="preserve"> millones y una ejecución presupuestaria de </w:t>
      </w:r>
      <w:r>
        <w:t>Q</w:t>
      </w:r>
      <w:r w:rsidR="00F0222C">
        <w:t>.</w:t>
      </w:r>
      <w:r>
        <w:t>743.6</w:t>
      </w:r>
      <w:r w:rsidRPr="00D108FD">
        <w:t xml:space="preserve"> millones equivalente</w:t>
      </w:r>
      <w:r w:rsidR="00F0222C">
        <w:t>s</w:t>
      </w:r>
      <w:r w:rsidRPr="00D108FD">
        <w:t xml:space="preserve"> al </w:t>
      </w:r>
      <w:r>
        <w:t>71.5</w:t>
      </w:r>
      <w:r w:rsidRPr="00D108FD">
        <w:t>%.</w:t>
      </w:r>
    </w:p>
    <w:p w:rsidR="00694E7F" w:rsidRPr="00006FBB" w:rsidRDefault="00694E7F" w:rsidP="00694E7F">
      <w:pPr>
        <w:jc w:val="both"/>
        <w:rPr>
          <w:sz w:val="32"/>
        </w:rPr>
      </w:pPr>
    </w:p>
    <w:p w:rsidR="00694E7F" w:rsidRDefault="00694E7F" w:rsidP="00694E7F">
      <w:pPr>
        <w:jc w:val="both"/>
      </w:pPr>
      <w:r>
        <w:t>Las</w:t>
      </w:r>
      <w:r w:rsidRPr="00D108FD">
        <w:t xml:space="preserve"> Partidas No Asignables a Programas </w:t>
      </w:r>
      <w:r>
        <w:t>iniciaron el año con</w:t>
      </w:r>
      <w:r w:rsidRPr="00D108FD">
        <w:t xml:space="preserve"> un presupuesto</w:t>
      </w:r>
      <w:r>
        <w:t xml:space="preserve"> aprobado</w:t>
      </w:r>
      <w:r w:rsidRPr="00D108FD">
        <w:t xml:space="preserve"> de </w:t>
      </w:r>
      <w:r>
        <w:t>Q</w:t>
      </w:r>
      <w:r w:rsidR="00F0222C">
        <w:t>.</w:t>
      </w:r>
      <w:r>
        <w:t>520.9</w:t>
      </w:r>
      <w:r w:rsidRPr="00D108FD">
        <w:t xml:space="preserve"> millones, </w:t>
      </w:r>
      <w:r>
        <w:t>mostraron</w:t>
      </w:r>
      <w:r w:rsidRPr="00D108FD">
        <w:t xml:space="preserve"> </w:t>
      </w:r>
      <w:r>
        <w:t xml:space="preserve">una </w:t>
      </w:r>
      <w:r w:rsidRPr="00D108FD">
        <w:t>ejecución presupuestaria</w:t>
      </w:r>
      <w:r>
        <w:t xml:space="preserve"> preliminar</w:t>
      </w:r>
      <w:r w:rsidRPr="00D108FD">
        <w:t xml:space="preserve"> de </w:t>
      </w:r>
      <w:r>
        <w:t>Q</w:t>
      </w:r>
      <w:r w:rsidR="00F0222C">
        <w:t>.</w:t>
      </w:r>
      <w:r w:rsidRPr="00D108FD">
        <w:t>5</w:t>
      </w:r>
      <w:r>
        <w:t>58.6</w:t>
      </w:r>
      <w:r w:rsidRPr="00D108FD">
        <w:t xml:space="preserve"> millones equivalente</w:t>
      </w:r>
      <w:r w:rsidR="00F0222C">
        <w:t>s</w:t>
      </w:r>
      <w:r w:rsidRPr="00D108FD">
        <w:t xml:space="preserve"> al </w:t>
      </w:r>
      <w:r>
        <w:t xml:space="preserve">107.2%. </w:t>
      </w:r>
      <w:r w:rsidRPr="00D108FD">
        <w:t xml:space="preserve">La mayor ejecución dentro de este programa, se ejecutó </w:t>
      </w:r>
      <w:r>
        <w:t xml:space="preserve">con el aporte a la Unidad de Atención al Enfermo Renal Crónico </w:t>
      </w:r>
      <w:r w:rsidR="009374CC">
        <w:t>(</w:t>
      </w:r>
      <w:r>
        <w:t>UNAERC</w:t>
      </w:r>
      <w:r w:rsidR="009374CC">
        <w:t>)</w:t>
      </w:r>
      <w:r>
        <w:t xml:space="preserve"> con Q</w:t>
      </w:r>
      <w:r w:rsidR="00F0222C">
        <w:t>.</w:t>
      </w:r>
      <w:r>
        <w:t xml:space="preserve">230.0 millones </w:t>
      </w:r>
      <w:r w:rsidRPr="00D108FD">
        <w:t>bajo el subprograma Aportes a Entidades Asistenciales, específicamente bajo el renglón 432</w:t>
      </w:r>
      <w:r>
        <w:t xml:space="preserve"> “</w:t>
      </w:r>
      <w:r w:rsidRPr="00D108FD">
        <w:t xml:space="preserve">Transferencias a </w:t>
      </w:r>
      <w:r>
        <w:t>i</w:t>
      </w:r>
      <w:r w:rsidRPr="00D108FD">
        <w:t xml:space="preserve">nstituciones de </w:t>
      </w:r>
      <w:r>
        <w:t>s</w:t>
      </w:r>
      <w:r w:rsidRPr="00D108FD">
        <w:t xml:space="preserve">alud y </w:t>
      </w:r>
      <w:r>
        <w:t>a</w:t>
      </w:r>
      <w:r w:rsidRPr="00D108FD">
        <w:t xml:space="preserve">sistencia </w:t>
      </w:r>
      <w:r>
        <w:t>s</w:t>
      </w:r>
      <w:r w:rsidRPr="00D108FD">
        <w:t>ocial</w:t>
      </w:r>
      <w:r>
        <w:t>”</w:t>
      </w:r>
      <w:r w:rsidRPr="00D108FD">
        <w:t>, así:</w:t>
      </w:r>
    </w:p>
    <w:p w:rsidR="00694E7F" w:rsidRPr="00006FBB" w:rsidRDefault="00694E7F" w:rsidP="00694E7F">
      <w:pPr>
        <w:jc w:val="both"/>
        <w:rPr>
          <w:sz w:val="32"/>
        </w:rPr>
      </w:pPr>
    </w:p>
    <w:p w:rsidR="00694E7F" w:rsidRDefault="00694E7F" w:rsidP="00694E7F">
      <w:pPr>
        <w:jc w:val="both"/>
      </w:pPr>
      <w:r w:rsidRPr="00D108FD">
        <w:t>Las cantidades más significativas se transfirieron a la Unidad de Cirugía Cardiovascular de Guatemala por Q</w:t>
      </w:r>
      <w:r w:rsidR="00F0222C">
        <w:t>.</w:t>
      </w:r>
      <w:r>
        <w:t>62.0</w:t>
      </w:r>
      <w:r w:rsidRPr="00D108FD">
        <w:t xml:space="preserve"> millones, a la Unidad Nacional de Oncología Pediátrica por </w:t>
      </w:r>
      <w:r>
        <w:t>Q</w:t>
      </w:r>
      <w:r w:rsidR="00F0222C">
        <w:t>.</w:t>
      </w:r>
      <w:r>
        <w:t>60</w:t>
      </w:r>
      <w:r w:rsidRPr="00D108FD">
        <w:t xml:space="preserve">.0 millones, a la Liga Nacional Contra el Cáncer por </w:t>
      </w:r>
      <w:r>
        <w:t>Q</w:t>
      </w:r>
      <w:r w:rsidR="00F0222C">
        <w:t>.</w:t>
      </w:r>
      <w:r>
        <w:t>35.0</w:t>
      </w:r>
      <w:r w:rsidRPr="00D108FD">
        <w:t xml:space="preserve"> millones, a la Asociación Obras Sociales del Santo Hermano Pedro Frailes Franciscanos O. F. M. por </w:t>
      </w:r>
      <w:r>
        <w:t>Q</w:t>
      </w:r>
      <w:r w:rsidR="00F0222C">
        <w:t>.</w:t>
      </w:r>
      <w:r w:rsidRPr="00D108FD">
        <w:t xml:space="preserve">20.0 millones, </w:t>
      </w:r>
      <w:r>
        <w:t>Fundación Ayúdame a Escuchar B</w:t>
      </w:r>
      <w:r w:rsidR="00F0222C">
        <w:t>á</w:t>
      </w:r>
      <w:r>
        <w:t>rbara Nicolle con Q</w:t>
      </w:r>
      <w:r w:rsidR="00F0222C">
        <w:t>.</w:t>
      </w:r>
      <w:r>
        <w:t xml:space="preserve">8.0 millones, </w:t>
      </w:r>
      <w:r w:rsidRPr="00D108FD">
        <w:t>a Saint Joseph Hospice Association (Asociación Hospicio de San José) por Q</w:t>
      </w:r>
      <w:r w:rsidR="00F0222C">
        <w:t>.</w:t>
      </w:r>
      <w:r w:rsidRPr="00D108FD">
        <w:t>12.</w:t>
      </w:r>
      <w:r>
        <w:t>0</w:t>
      </w:r>
      <w:r w:rsidRPr="00D108FD">
        <w:t xml:space="preserve"> millones, a la Fundación Probienestar del Minusválido FUNDABIEM por </w:t>
      </w:r>
      <w:r>
        <w:t>Q</w:t>
      </w:r>
      <w:r w:rsidR="00F0222C">
        <w:t>.</w:t>
      </w:r>
      <w:r w:rsidRPr="00D108FD">
        <w:t>12.</w:t>
      </w:r>
      <w:r>
        <w:t>0</w:t>
      </w:r>
      <w:r w:rsidRPr="00D108FD">
        <w:t xml:space="preserve"> millones, a la Organización Cristiana de Beneficio Social Esperanza de Vida ONG por </w:t>
      </w:r>
      <w:r>
        <w:t>Q</w:t>
      </w:r>
      <w:r w:rsidR="00F0222C">
        <w:t>.</w:t>
      </w:r>
      <w:r>
        <w:t>20.0</w:t>
      </w:r>
      <w:r w:rsidRPr="00D108FD">
        <w:t xml:space="preserve"> millones, a la Cruz Roja Guatemalteca por </w:t>
      </w:r>
      <w:r>
        <w:t>Q</w:t>
      </w:r>
      <w:r w:rsidR="00F0222C">
        <w:t>.</w:t>
      </w:r>
      <w:r w:rsidRPr="00D108FD">
        <w:t xml:space="preserve">12.0 millones, en tanto que al resto de entidades se les hicieron transferencias por debajo, </w:t>
      </w:r>
      <w:r>
        <w:t xml:space="preserve">según se </w:t>
      </w:r>
      <w:r w:rsidRPr="00D108FD">
        <w:t xml:space="preserve"> observa en el cuadro </w:t>
      </w:r>
      <w:r>
        <w:t>siguiente:</w:t>
      </w:r>
    </w:p>
    <w:p w:rsidR="00694E7F" w:rsidRDefault="00694E7F" w:rsidP="00694E7F">
      <w:pPr>
        <w:jc w:val="both"/>
      </w:pPr>
    </w:p>
    <w:p w:rsidR="00006FBB" w:rsidRDefault="00006FBB">
      <w:r>
        <w:br w:type="page"/>
      </w:r>
    </w:p>
    <w:tbl>
      <w:tblPr>
        <w:tblW w:w="9222" w:type="dxa"/>
        <w:jc w:val="center"/>
        <w:tblInd w:w="-269" w:type="dxa"/>
        <w:tblCellMar>
          <w:left w:w="70" w:type="dxa"/>
          <w:right w:w="70" w:type="dxa"/>
        </w:tblCellMar>
        <w:tblLook w:val="04A0" w:firstRow="1" w:lastRow="0" w:firstColumn="1" w:lastColumn="0" w:noHBand="0" w:noVBand="1"/>
      </w:tblPr>
      <w:tblGrid>
        <w:gridCol w:w="7938"/>
        <w:gridCol w:w="1284"/>
      </w:tblGrid>
      <w:tr w:rsidR="00694E7F" w:rsidRPr="005D0D0D" w:rsidTr="00BC2EC7">
        <w:trPr>
          <w:trHeight w:val="225"/>
          <w:jc w:val="center"/>
        </w:trPr>
        <w:tc>
          <w:tcPr>
            <w:tcW w:w="7938" w:type="dxa"/>
            <w:tcBorders>
              <w:top w:val="single" w:sz="8" w:space="0" w:color="auto"/>
              <w:left w:val="single" w:sz="8" w:space="0" w:color="auto"/>
              <w:bottom w:val="single" w:sz="4" w:space="0" w:color="auto"/>
              <w:right w:val="nil"/>
            </w:tcBorders>
            <w:shd w:val="clear" w:color="000000" w:fill="8DB4E2"/>
            <w:noWrap/>
            <w:hideMark/>
          </w:tcPr>
          <w:p w:rsidR="00694E7F" w:rsidRPr="00754E4D" w:rsidRDefault="00694E7F" w:rsidP="00694E7F">
            <w:pPr>
              <w:jc w:val="center"/>
              <w:rPr>
                <w:b/>
                <w:bCs/>
                <w:color w:val="000000"/>
                <w:sz w:val="18"/>
                <w:szCs w:val="28"/>
                <w:lang w:val="es-GT" w:eastAsia="es-GT"/>
              </w:rPr>
            </w:pPr>
            <w:r w:rsidRPr="00754E4D">
              <w:rPr>
                <w:b/>
                <w:bCs/>
                <w:color w:val="000000"/>
                <w:sz w:val="18"/>
                <w:szCs w:val="28"/>
                <w:lang w:val="es-GT" w:eastAsia="es-GT"/>
              </w:rPr>
              <w:lastRenderedPageBreak/>
              <w:t>Descripción</w:t>
            </w:r>
          </w:p>
        </w:tc>
        <w:tc>
          <w:tcPr>
            <w:tcW w:w="1284" w:type="dxa"/>
            <w:tcBorders>
              <w:top w:val="single" w:sz="8" w:space="0" w:color="auto"/>
              <w:left w:val="single" w:sz="4" w:space="0" w:color="auto"/>
              <w:bottom w:val="single" w:sz="4" w:space="0" w:color="auto"/>
              <w:right w:val="single" w:sz="8" w:space="0" w:color="auto"/>
            </w:tcBorders>
            <w:shd w:val="clear" w:color="000000" w:fill="8DB4E2"/>
            <w:noWrap/>
            <w:hideMark/>
          </w:tcPr>
          <w:p w:rsidR="00694E7F" w:rsidRPr="00754E4D" w:rsidRDefault="00694E7F" w:rsidP="00694E7F">
            <w:pPr>
              <w:jc w:val="center"/>
              <w:rPr>
                <w:b/>
                <w:bCs/>
                <w:color w:val="000000"/>
                <w:sz w:val="18"/>
                <w:szCs w:val="28"/>
                <w:lang w:val="es-GT" w:eastAsia="es-GT"/>
              </w:rPr>
            </w:pPr>
            <w:r w:rsidRPr="00754E4D">
              <w:rPr>
                <w:b/>
                <w:bCs/>
                <w:color w:val="000000"/>
                <w:sz w:val="18"/>
                <w:szCs w:val="28"/>
                <w:lang w:val="es-GT" w:eastAsia="es-GT"/>
              </w:rPr>
              <w:t>Ejec</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rPr>
                <w:color w:val="000000"/>
                <w:sz w:val="16"/>
                <w:szCs w:val="18"/>
                <w:lang w:val="es-GT" w:eastAsia="es-GT"/>
              </w:rPr>
            </w:pPr>
            <w:r w:rsidRPr="005D0D0D">
              <w:rPr>
                <w:color w:val="000000"/>
                <w:sz w:val="16"/>
                <w:szCs w:val="18"/>
                <w:lang w:val="es-GT" w:eastAsia="es-GT"/>
              </w:rPr>
              <w:t>Partidas No Asignables a Programas</w:t>
            </w:r>
          </w:p>
        </w:tc>
        <w:tc>
          <w:tcPr>
            <w:tcW w:w="1284" w:type="dxa"/>
            <w:tcBorders>
              <w:top w:val="nil"/>
              <w:left w:val="nil"/>
              <w:bottom w:val="nil"/>
              <w:right w:val="single" w:sz="8" w:space="0" w:color="auto"/>
            </w:tcBorders>
            <w:shd w:val="clear" w:color="000000" w:fill="FFFFFF"/>
            <w:vAlign w:val="center"/>
            <w:hideMark/>
          </w:tcPr>
          <w:p w:rsidR="00694E7F" w:rsidRPr="005D0D0D" w:rsidRDefault="00694E7F" w:rsidP="00694E7F">
            <w:pPr>
              <w:jc w:val="center"/>
              <w:rPr>
                <w:b/>
                <w:bCs/>
                <w:color w:val="000000"/>
                <w:sz w:val="16"/>
                <w:szCs w:val="18"/>
                <w:lang w:val="es-GT" w:eastAsia="es-GT"/>
              </w:rPr>
            </w:pPr>
            <w:r w:rsidRPr="005D0D0D">
              <w:rPr>
                <w:b/>
                <w:bCs/>
                <w:color w:val="000000"/>
                <w:sz w:val="16"/>
                <w:szCs w:val="18"/>
                <w:lang w:val="es-GT" w:eastAsia="es-GT"/>
              </w:rPr>
              <w:t>558.6</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UNIDAD NACIONAL DE ATENCIÓN AL ENFERMO RENAL CRÓNICO UNAERC</w:t>
            </w:r>
          </w:p>
        </w:tc>
        <w:tc>
          <w:tcPr>
            <w:tcW w:w="1284" w:type="dxa"/>
            <w:tcBorders>
              <w:top w:val="nil"/>
              <w:left w:val="nil"/>
              <w:bottom w:val="nil"/>
              <w:right w:val="single" w:sz="8" w:space="0" w:color="auto"/>
            </w:tcBorders>
            <w:shd w:val="clear" w:color="000000" w:fill="FFFFFF"/>
            <w:vAlign w:val="center"/>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230.0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UNIDAD DE CIRUGÍA CARDIOVASCULAR DE GUATEMALA</w:t>
            </w:r>
          </w:p>
        </w:tc>
        <w:tc>
          <w:tcPr>
            <w:tcW w:w="1284" w:type="dxa"/>
            <w:tcBorders>
              <w:top w:val="nil"/>
              <w:left w:val="nil"/>
              <w:bottom w:val="nil"/>
              <w:right w:val="single" w:sz="8" w:space="0" w:color="auto"/>
            </w:tcBorders>
            <w:shd w:val="clear" w:color="000000" w:fill="FFFFFF"/>
            <w:vAlign w:val="center"/>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62.0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UNIDAD NACIONAL DE ONCOLOGÍA PEDIÁTRICA</w:t>
            </w:r>
          </w:p>
        </w:tc>
        <w:tc>
          <w:tcPr>
            <w:tcW w:w="1284" w:type="dxa"/>
            <w:tcBorders>
              <w:top w:val="nil"/>
              <w:left w:val="nil"/>
              <w:bottom w:val="nil"/>
              <w:right w:val="single" w:sz="8" w:space="0" w:color="auto"/>
            </w:tcBorders>
            <w:shd w:val="clear" w:color="000000" w:fill="FFFFFF"/>
            <w:vAlign w:val="center"/>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60.0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LIGA NACIONAL CONTRA EL CÁNCER</w:t>
            </w:r>
          </w:p>
        </w:tc>
        <w:tc>
          <w:tcPr>
            <w:tcW w:w="1284" w:type="dxa"/>
            <w:tcBorders>
              <w:top w:val="nil"/>
              <w:left w:val="nil"/>
              <w:bottom w:val="nil"/>
              <w:right w:val="single" w:sz="8" w:space="0" w:color="auto"/>
            </w:tcBorders>
            <w:shd w:val="clear" w:color="000000" w:fill="FFFFFF"/>
            <w:vAlign w:val="center"/>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35.0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ASOC OBRAS SOC SANTO HERMANO PEDRO FRAILES FRANCISCANOS O.F.M.</w:t>
            </w:r>
          </w:p>
        </w:tc>
        <w:tc>
          <w:tcPr>
            <w:tcW w:w="1284" w:type="dxa"/>
            <w:tcBorders>
              <w:top w:val="nil"/>
              <w:left w:val="nil"/>
              <w:bottom w:val="nil"/>
              <w:right w:val="single" w:sz="8" w:space="0" w:color="auto"/>
            </w:tcBorders>
            <w:shd w:val="clear" w:color="000000" w:fill="FFFFFF"/>
            <w:vAlign w:val="center"/>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20.0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ORGANIZACIÓN CRISTIANA DE BENEFICIO SOCIAL ESPERANZA DE VIDA ONG</w:t>
            </w:r>
          </w:p>
        </w:tc>
        <w:tc>
          <w:tcPr>
            <w:tcW w:w="1284" w:type="dxa"/>
            <w:tcBorders>
              <w:top w:val="nil"/>
              <w:left w:val="nil"/>
              <w:bottom w:val="nil"/>
              <w:right w:val="single" w:sz="8" w:space="0" w:color="auto"/>
            </w:tcBorders>
            <w:shd w:val="clear" w:color="000000" w:fill="FFFFFF"/>
            <w:vAlign w:val="center"/>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20.0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CRUZ ROJA GUATEMALTECA</w:t>
            </w:r>
          </w:p>
        </w:tc>
        <w:tc>
          <w:tcPr>
            <w:tcW w:w="1284" w:type="dxa"/>
            <w:tcBorders>
              <w:top w:val="nil"/>
              <w:left w:val="nil"/>
              <w:bottom w:val="nil"/>
              <w:right w:val="single" w:sz="8" w:space="0" w:color="auto"/>
            </w:tcBorders>
            <w:shd w:val="clear" w:color="000000" w:fill="FFFFFF"/>
            <w:vAlign w:val="center"/>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12.0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FUNDACIÓN PROBIENESTAR DEL MINUSVÁLIDO Y/O FUNDABIEM</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12.0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694E7F" w:rsidRDefault="00694E7F" w:rsidP="00694E7F">
            <w:pPr>
              <w:ind w:firstLineChars="300" w:firstLine="480"/>
              <w:rPr>
                <w:color w:val="000000"/>
                <w:sz w:val="16"/>
                <w:szCs w:val="18"/>
                <w:lang w:val="en-US" w:eastAsia="es-GT"/>
              </w:rPr>
            </w:pPr>
            <w:r w:rsidRPr="00694E7F">
              <w:rPr>
                <w:color w:val="000000"/>
                <w:sz w:val="16"/>
                <w:szCs w:val="18"/>
                <w:lang w:val="en-US" w:eastAsia="es-GT"/>
              </w:rPr>
              <w:t>SAINT JOSEPH S HOSPICE ASSOCIATION (ASOCIACIÓN HOSPICIO DE SAN JOSE)</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12.0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FUNDACIÓN GUATEMALTECO AMERICANA DE CIRUGÍA ORTOPÉDICA AVANZADA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11.0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 ASISTENCIA SOCIAL IGLESIA CATÓLICA ARQUIDIÓCESIS DE GUATEMALA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9.0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 ASISTENCIA MÉDICA Y OCUPACIONAL RECUPERACIÓN ENFERMO RENAL</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8.0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FUNDACIÓN AYÚDAME A ESCUCHAR BÁRBARA NICOLLE</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8.0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FUNDACIÓN MARGARITA TEJADA PARA NIÑOS CON SÍNDROME DE DOWN</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7.0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Unidad de Oftalmología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5.0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INST INVEST CIENTÍFICA Y EDUCACIÓN / ROZAS BOTRÁN ONG</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5.0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EL REFUGIO DE LA NIÑEZ (ONG)</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4.7</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FUNDACIÓN RED DE SOBREVIVIENTES DE VIOLENCIA DOMÉSTICA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4.5</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LIGA GUATEMALTECA CONTRA LAS ENFERMEDADES DEL CORAZÓN</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4.0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FUNDACIÓN ALDO CASTAÑEDA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3.6</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FUNDACIÓN DE ESPECIALIDADES MATERNO INFANTIL</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3.0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Oficina Sanitaria Panamericana (OPS)</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2.6</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INSTITUTO NEUROLÓGICO DE GUATEMALA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2.5</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FUNDACIÓN GUATEMALTECA DE TRASPLANTE HEPÁTICO</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2.5</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FUNDACIÓN GUATEMALTECA PARA NIÑOS CON SORDOCEGUERA ALEX</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2.0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ASOCIACIÓN HUMANA ONG</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2.0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PATRONATO DE ACCIÓN CONTRA LA LEPRA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1.5</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ASOCIACIÓN DE SEÑORAS DE LA CARIDAD DE SAN VICENTE DE PAUL</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ASOCIACIÓN NACIONAL DE SORDOS DE GUATEMALA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CLUB DE LEONES DE GUATEMALA, CENTROAMÉRICA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ASOCIACIÓN "HERMANA TIERRA" O.N.L.U.S.</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INSTANCIA COORDINADORA POR LA SALUD Y EL DESARROLLO DE LAS MUJERES ONG</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ASOCIACIÓN CIVIL MINISTERIO SHADAI NUEVA FAMILIA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ASOCIACION INSTITUTO PANAMERICANO CONTRA LA CEGUERA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1.0</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INSTITUTO DE NUTRICIÓN DE CENTROAMÉRICA Y PANAMÁ (INCAP)</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0.9</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SECRETARÍA DE INTEGRACIÓN CENTROAMERICANA (SICA)</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0.6</w:t>
            </w:r>
          </w:p>
        </w:tc>
      </w:tr>
      <w:tr w:rsidR="00694E7F" w:rsidRPr="005D0D0D" w:rsidTr="00BC2EC7">
        <w:trPr>
          <w:trHeight w:val="225"/>
          <w:jc w:val="center"/>
        </w:trPr>
        <w:tc>
          <w:tcPr>
            <w:tcW w:w="7938" w:type="dxa"/>
            <w:tcBorders>
              <w:top w:val="nil"/>
              <w:left w:val="single" w:sz="8" w:space="0" w:color="auto"/>
              <w:bottom w:val="nil"/>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MISIONEROS DE SAN CARLOS SCALABRINIANOS</w:t>
            </w:r>
          </w:p>
        </w:tc>
        <w:tc>
          <w:tcPr>
            <w:tcW w:w="1284" w:type="dxa"/>
            <w:tcBorders>
              <w:top w:val="nil"/>
              <w:left w:val="nil"/>
              <w:bottom w:val="nil"/>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0.6</w:t>
            </w:r>
          </w:p>
        </w:tc>
      </w:tr>
      <w:tr w:rsidR="00694E7F" w:rsidRPr="005D0D0D" w:rsidTr="00BC2EC7">
        <w:trPr>
          <w:trHeight w:val="225"/>
          <w:jc w:val="center"/>
        </w:trPr>
        <w:tc>
          <w:tcPr>
            <w:tcW w:w="7938" w:type="dxa"/>
            <w:tcBorders>
              <w:top w:val="nil"/>
              <w:left w:val="single" w:sz="8" w:space="0" w:color="auto"/>
              <w:bottom w:val="single" w:sz="8" w:space="0" w:color="auto"/>
              <w:right w:val="single" w:sz="4" w:space="0" w:color="auto"/>
            </w:tcBorders>
            <w:shd w:val="clear" w:color="000000" w:fill="FFFFFF"/>
            <w:noWrap/>
            <w:hideMark/>
          </w:tcPr>
          <w:p w:rsidR="00694E7F" w:rsidRPr="005D0D0D" w:rsidRDefault="00694E7F" w:rsidP="00694E7F">
            <w:pPr>
              <w:ind w:firstLineChars="300" w:firstLine="480"/>
              <w:rPr>
                <w:color w:val="000000"/>
                <w:sz w:val="16"/>
                <w:szCs w:val="18"/>
                <w:lang w:val="es-GT" w:eastAsia="es-GT"/>
              </w:rPr>
            </w:pPr>
            <w:r w:rsidRPr="005D0D0D">
              <w:rPr>
                <w:color w:val="000000"/>
                <w:sz w:val="16"/>
                <w:szCs w:val="18"/>
                <w:lang w:val="es-GT" w:eastAsia="es-GT"/>
              </w:rPr>
              <w:t>ASOCIACIÓN HOSPITAL DE LA FAMILIA SAN MARCOS</w:t>
            </w:r>
          </w:p>
        </w:tc>
        <w:tc>
          <w:tcPr>
            <w:tcW w:w="1284" w:type="dxa"/>
            <w:tcBorders>
              <w:top w:val="nil"/>
              <w:left w:val="single" w:sz="4" w:space="0" w:color="auto"/>
              <w:bottom w:val="single" w:sz="8" w:space="0" w:color="auto"/>
              <w:right w:val="single" w:sz="8" w:space="0" w:color="auto"/>
            </w:tcBorders>
            <w:shd w:val="clear" w:color="000000" w:fill="FFFFFF"/>
            <w:hideMark/>
          </w:tcPr>
          <w:p w:rsidR="00694E7F" w:rsidRPr="005D0D0D" w:rsidRDefault="00694E7F" w:rsidP="00694E7F">
            <w:pPr>
              <w:jc w:val="center"/>
              <w:rPr>
                <w:color w:val="000000"/>
                <w:sz w:val="16"/>
                <w:szCs w:val="18"/>
                <w:lang w:val="es-GT" w:eastAsia="es-GT"/>
              </w:rPr>
            </w:pPr>
            <w:r w:rsidRPr="005D0D0D">
              <w:rPr>
                <w:color w:val="000000"/>
                <w:sz w:val="16"/>
                <w:szCs w:val="18"/>
                <w:lang w:val="es-GT" w:eastAsia="es-GT"/>
              </w:rPr>
              <w:t>0.5</w:t>
            </w:r>
          </w:p>
        </w:tc>
      </w:tr>
    </w:tbl>
    <w:p w:rsidR="00694E7F" w:rsidRPr="00D108FD" w:rsidRDefault="008C5ECD" w:rsidP="00694E7F">
      <w:pPr>
        <w:jc w:val="both"/>
      </w:pPr>
      <w:r>
        <w:rPr>
          <w:sz w:val="18"/>
        </w:rPr>
        <w:t xml:space="preserve">     </w:t>
      </w:r>
      <w:r w:rsidR="00694E7F" w:rsidRPr="004E678D">
        <w:rPr>
          <w:sz w:val="18"/>
        </w:rPr>
        <w:t>Fuente: Ministerio de Finanzas Públicas</w:t>
      </w:r>
      <w:r w:rsidR="00694E7F">
        <w:rPr>
          <w:sz w:val="18"/>
        </w:rPr>
        <w:t>.</w:t>
      </w:r>
    </w:p>
    <w:p w:rsidR="00694E7F" w:rsidRDefault="00694E7F" w:rsidP="00694E7F">
      <w:pPr>
        <w:jc w:val="both"/>
      </w:pPr>
    </w:p>
    <w:p w:rsidR="00694E7F" w:rsidRDefault="00694E7F" w:rsidP="00694E7F">
      <w:pPr>
        <w:jc w:val="both"/>
      </w:pPr>
      <w:r w:rsidRPr="00D108FD">
        <w:t xml:space="preserve">Seguidamente se ubica el programa “Prevención de la Mortalidad Materna Neonatal” con un presupuesto de </w:t>
      </w:r>
      <w:r>
        <w:t>Q</w:t>
      </w:r>
      <w:r w:rsidR="00F0222C">
        <w:t>.</w:t>
      </w:r>
      <w:r>
        <w:t>4</w:t>
      </w:r>
      <w:r w:rsidRPr="00D108FD">
        <w:t>92.</w:t>
      </w:r>
      <w:r>
        <w:t>2</w:t>
      </w:r>
      <w:r w:rsidRPr="00D108FD">
        <w:t xml:space="preserve"> millones y una ejecución presupuestaria de </w:t>
      </w:r>
      <w:r>
        <w:t>Q</w:t>
      </w:r>
      <w:r w:rsidR="00F0222C">
        <w:t>.</w:t>
      </w:r>
      <w:r>
        <w:t>354.0</w:t>
      </w:r>
      <w:r w:rsidRPr="00D108FD">
        <w:t xml:space="preserve"> millones equivalente al </w:t>
      </w:r>
      <w:r>
        <w:t>71.9</w:t>
      </w:r>
      <w:r w:rsidRPr="00D108FD">
        <w:t>%.</w:t>
      </w:r>
    </w:p>
    <w:p w:rsidR="00694E7F" w:rsidRDefault="00694E7F" w:rsidP="00694E7F">
      <w:pPr>
        <w:jc w:val="both"/>
      </w:pPr>
    </w:p>
    <w:p w:rsidR="00694E7F" w:rsidRDefault="00694E7F" w:rsidP="00694E7F">
      <w:pPr>
        <w:jc w:val="both"/>
      </w:pPr>
      <w:r>
        <w:t>E</w:t>
      </w:r>
      <w:r w:rsidRPr="00D108FD">
        <w:t>l programa de “Administración Institucional” con un presupuesto</w:t>
      </w:r>
      <w:r>
        <w:t xml:space="preserve"> aprobado</w:t>
      </w:r>
      <w:r w:rsidRPr="00D108FD">
        <w:t xml:space="preserve"> de </w:t>
      </w:r>
      <w:r>
        <w:t>Q</w:t>
      </w:r>
      <w:r w:rsidR="00F0222C">
        <w:t>.</w:t>
      </w:r>
      <w:r w:rsidRPr="00D108FD">
        <w:t>3</w:t>
      </w:r>
      <w:r>
        <w:t>50.8</w:t>
      </w:r>
      <w:r w:rsidRPr="00D108FD">
        <w:t xml:space="preserve"> millones, una ejecución presupuestaria de </w:t>
      </w:r>
      <w:r>
        <w:t>Q</w:t>
      </w:r>
      <w:r w:rsidR="00F0222C">
        <w:t>.</w:t>
      </w:r>
      <w:r>
        <w:t>368.8</w:t>
      </w:r>
      <w:r w:rsidRPr="00D108FD">
        <w:t xml:space="preserve"> millones equivalente al </w:t>
      </w:r>
      <w:r>
        <w:t>105.5</w:t>
      </w:r>
      <w:r w:rsidRPr="00D108FD">
        <w:t>%</w:t>
      </w:r>
      <w:r>
        <w:t>.</w:t>
      </w:r>
    </w:p>
    <w:p w:rsidR="00694E7F" w:rsidRPr="00D108FD" w:rsidRDefault="00694E7F" w:rsidP="00694E7F">
      <w:pPr>
        <w:jc w:val="both"/>
      </w:pPr>
    </w:p>
    <w:p w:rsidR="00694E7F" w:rsidRDefault="00694E7F" w:rsidP="00694E7F">
      <w:pPr>
        <w:jc w:val="both"/>
      </w:pPr>
      <w:r w:rsidRPr="00D108FD">
        <w:t xml:space="preserve">Se observa también el programa “Servicio de Formación del Recurso Humano” con un presupuesto de </w:t>
      </w:r>
      <w:r>
        <w:t>Q</w:t>
      </w:r>
      <w:r w:rsidR="00F0222C">
        <w:t>.</w:t>
      </w:r>
      <w:r w:rsidRPr="00D108FD">
        <w:t>24</w:t>
      </w:r>
      <w:r>
        <w:t>3.</w:t>
      </w:r>
      <w:r w:rsidRPr="00D108FD">
        <w:t xml:space="preserve">5 millones, una ejecución de </w:t>
      </w:r>
      <w:r>
        <w:t>Q</w:t>
      </w:r>
      <w:r w:rsidR="00F0222C">
        <w:t>.</w:t>
      </w:r>
      <w:r>
        <w:t>382.3</w:t>
      </w:r>
      <w:r w:rsidRPr="00D108FD">
        <w:t xml:space="preserve"> millones equivalente al </w:t>
      </w:r>
      <w:r>
        <w:t>157.0</w:t>
      </w:r>
      <w:r w:rsidRPr="00D108FD">
        <w:t>%</w:t>
      </w:r>
      <w:r>
        <w:t>.</w:t>
      </w:r>
    </w:p>
    <w:p w:rsidR="00694E7F" w:rsidRDefault="00694E7F" w:rsidP="00694E7F">
      <w:pPr>
        <w:jc w:val="both"/>
      </w:pPr>
    </w:p>
    <w:p w:rsidR="00006FBB" w:rsidRPr="00D108FD" w:rsidRDefault="00006FBB" w:rsidP="00694E7F">
      <w:pPr>
        <w:jc w:val="both"/>
      </w:pPr>
    </w:p>
    <w:p w:rsidR="00694E7F" w:rsidRDefault="00694E7F" w:rsidP="00694E7F">
      <w:pPr>
        <w:jc w:val="both"/>
      </w:pPr>
      <w:r w:rsidRPr="00D108FD">
        <w:t xml:space="preserve">Dentro de los prioritarios se ubica finalmente el programa “Prevención y control de las Enfermedades Vectoriales y Zoonóticas” con un presupuesto de </w:t>
      </w:r>
      <w:r>
        <w:t>Q</w:t>
      </w:r>
      <w:r w:rsidR="00F0222C">
        <w:t>.</w:t>
      </w:r>
      <w:r w:rsidRPr="00D108FD">
        <w:t>1</w:t>
      </w:r>
      <w:r>
        <w:t>88.0</w:t>
      </w:r>
      <w:r w:rsidRPr="00D108FD">
        <w:t xml:space="preserve"> millones y una ejecución presupuestaria de </w:t>
      </w:r>
      <w:r>
        <w:t>Q</w:t>
      </w:r>
      <w:r w:rsidR="00F0222C">
        <w:t>.</w:t>
      </w:r>
      <w:r w:rsidRPr="00D108FD">
        <w:t>1</w:t>
      </w:r>
      <w:r>
        <w:t>78.0</w:t>
      </w:r>
      <w:r w:rsidRPr="00D108FD">
        <w:t xml:space="preserve"> millones equivalente al </w:t>
      </w:r>
      <w:r>
        <w:t>94</w:t>
      </w:r>
      <w:r w:rsidRPr="00D108FD">
        <w:t>.7%</w:t>
      </w:r>
      <w:r>
        <w:t xml:space="preserve">. </w:t>
      </w:r>
      <w:r w:rsidRPr="00D108FD">
        <w:t xml:space="preserve">Finalmente se encuentran </w:t>
      </w:r>
      <w:r>
        <w:t>4</w:t>
      </w:r>
      <w:r w:rsidRPr="00D108FD">
        <w:t xml:space="preserve"> programas con una ejecución por debajo de los </w:t>
      </w:r>
      <w:r>
        <w:t>Q</w:t>
      </w:r>
      <w:r w:rsidR="00F0222C">
        <w:t>.</w:t>
      </w:r>
      <w:r>
        <w:t>117.3</w:t>
      </w:r>
      <w:r w:rsidRPr="00D108FD">
        <w:t xml:space="preserve"> millones los cuales se detallan en el cuadro siguiente.</w:t>
      </w:r>
    </w:p>
    <w:p w:rsidR="00694E7F" w:rsidRPr="00D108FD" w:rsidRDefault="00694E7F" w:rsidP="00694E7F">
      <w:pPr>
        <w:jc w:val="both"/>
      </w:pPr>
    </w:p>
    <w:p w:rsidR="00694E7F" w:rsidRDefault="00694E7F" w:rsidP="00694E7F">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Programa!F70C2:F83C6"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fldChar w:fldCharType="end"/>
      </w:r>
    </w:p>
    <w:tbl>
      <w:tblPr>
        <w:tblW w:w="9209" w:type="dxa"/>
        <w:jc w:val="center"/>
        <w:tblInd w:w="-1053" w:type="dxa"/>
        <w:tblCellMar>
          <w:left w:w="70" w:type="dxa"/>
          <w:right w:w="70" w:type="dxa"/>
        </w:tblCellMar>
        <w:tblLook w:val="04A0" w:firstRow="1" w:lastRow="0" w:firstColumn="1" w:lastColumn="0" w:noHBand="0" w:noVBand="1"/>
      </w:tblPr>
      <w:tblGrid>
        <w:gridCol w:w="5094"/>
        <w:gridCol w:w="1123"/>
        <w:gridCol w:w="1013"/>
        <w:gridCol w:w="1024"/>
        <w:gridCol w:w="955"/>
      </w:tblGrid>
      <w:tr w:rsidR="00694E7F" w:rsidRPr="001B3328" w:rsidTr="00BC2EC7">
        <w:trPr>
          <w:trHeight w:val="252"/>
          <w:jc w:val="center"/>
        </w:trPr>
        <w:tc>
          <w:tcPr>
            <w:tcW w:w="5094"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DESCRIPCION</w:t>
            </w:r>
          </w:p>
        </w:tc>
        <w:tc>
          <w:tcPr>
            <w:tcW w:w="1123"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Asignado</w:t>
            </w:r>
          </w:p>
        </w:tc>
        <w:tc>
          <w:tcPr>
            <w:tcW w:w="1013"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Ejecución</w:t>
            </w:r>
          </w:p>
        </w:tc>
        <w:tc>
          <w:tcPr>
            <w:tcW w:w="102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Diferencias</w:t>
            </w:r>
          </w:p>
        </w:tc>
        <w:tc>
          <w:tcPr>
            <w:tcW w:w="955"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 Ejec</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694E7F">
            <w:pPr>
              <w:rPr>
                <w:b/>
                <w:bCs/>
                <w:color w:val="333333"/>
                <w:sz w:val="14"/>
                <w:szCs w:val="14"/>
                <w:lang w:val="es-GT" w:eastAsia="es-GT"/>
              </w:rPr>
            </w:pPr>
            <w:r w:rsidRPr="00754E4D">
              <w:rPr>
                <w:b/>
                <w:bCs/>
                <w:color w:val="333333"/>
                <w:sz w:val="14"/>
                <w:szCs w:val="14"/>
                <w:lang w:val="es-GT" w:eastAsia="es-GT"/>
              </w:rPr>
              <w:t>MINISTERIO DE SALUD PÚBLICA Y ASISTENCIA SOCIAL</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b/>
                <w:bCs/>
                <w:color w:val="333333"/>
                <w:sz w:val="14"/>
                <w:szCs w:val="14"/>
                <w:lang w:val="es-GT" w:eastAsia="es-GT"/>
              </w:rPr>
            </w:pPr>
            <w:r w:rsidRPr="00754E4D">
              <w:rPr>
                <w:b/>
                <w:bCs/>
                <w:color w:val="333333"/>
                <w:sz w:val="14"/>
                <w:szCs w:val="14"/>
                <w:lang w:val="es-GT" w:eastAsia="es-GT"/>
              </w:rPr>
              <w:t>8,197.2</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b/>
                <w:bCs/>
                <w:color w:val="333333"/>
                <w:sz w:val="14"/>
                <w:szCs w:val="14"/>
                <w:lang w:val="es-GT" w:eastAsia="es-GT"/>
              </w:rPr>
            </w:pPr>
            <w:r w:rsidRPr="00754E4D">
              <w:rPr>
                <w:b/>
                <w:bCs/>
                <w:color w:val="333333"/>
                <w:sz w:val="14"/>
                <w:szCs w:val="14"/>
                <w:lang w:val="es-GT" w:eastAsia="es-GT"/>
              </w:rPr>
              <w:t>8,618.9</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b/>
                <w:bCs/>
                <w:color w:val="333333"/>
                <w:sz w:val="14"/>
                <w:szCs w:val="14"/>
                <w:lang w:val="es-GT" w:eastAsia="es-GT"/>
              </w:rPr>
            </w:pPr>
            <w:r w:rsidRPr="00754E4D">
              <w:rPr>
                <w:b/>
                <w:bCs/>
                <w:color w:val="333333"/>
                <w:sz w:val="14"/>
                <w:szCs w:val="14"/>
                <w:lang w:val="es-GT" w:eastAsia="es-GT"/>
              </w:rPr>
              <w:t>-421.7</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b/>
                <w:bCs/>
                <w:color w:val="333333"/>
                <w:sz w:val="14"/>
                <w:szCs w:val="14"/>
                <w:lang w:val="es-GT" w:eastAsia="es-GT"/>
              </w:rPr>
            </w:pPr>
            <w:r w:rsidRPr="00754E4D">
              <w:rPr>
                <w:b/>
                <w:bCs/>
                <w:color w:val="333333"/>
                <w:sz w:val="14"/>
                <w:szCs w:val="14"/>
                <w:lang w:val="es-GT" w:eastAsia="es-GT"/>
              </w:rPr>
              <w:t>105.1%</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RECUPERACIÓN DE LA SALUD</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4,173.1</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3,370.9</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802.2</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80.8%</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PREVENCIÓN MORTALIDAD NIÑEZ Y DESNUTRICIÓN CRÓNICA</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1,040.4</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743.6</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296.8</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71.5%</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FOMENTO DE LA SALUD Y MEDICINA PREVENTIVA</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957.7</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1,362.2</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-404.5</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142.2%</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PARTIDAS NO ASIGNABLES A PROGRAMAS</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520.9</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558.6</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-37.7</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107.2%</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PREVENCIÓN DE LA MORTALIDAD MATERNA Y NEONATAL</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492.2</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354.0</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138.2</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71.9%</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ADMINISTRACIÓN INSTITUCIONAL</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350.8</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368.8</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-18.1</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105.1%</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SERVICIO DE FORMACIÓN DEL RECURSO HUMANO</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243.5</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382.3</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-138.8</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157.0%</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PREVENCIÓN ENFERMEDADES VECTORIALES Y ZOONÓTICAS</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188.0</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178.0</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10.0</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94.7%</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PREVENCIÓN Y CONTROL DE ITS, VIH/SIDA</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117.3</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62.5</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54.8</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53.3%</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INFRAESTRUCTURA EN SALUD</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76.1</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0.0</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76.1</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0.0%</w:t>
            </w:r>
          </w:p>
        </w:tc>
      </w:tr>
      <w:tr w:rsidR="00694E7F" w:rsidRPr="001B3328" w:rsidTr="00BC2EC7">
        <w:trPr>
          <w:trHeight w:val="252"/>
          <w:jc w:val="center"/>
        </w:trPr>
        <w:tc>
          <w:tcPr>
            <w:tcW w:w="5094" w:type="dxa"/>
            <w:tcBorders>
              <w:top w:val="nil"/>
              <w:left w:val="single" w:sz="8" w:space="0" w:color="auto"/>
              <w:bottom w:val="nil"/>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PREVENCIÓN Y CONTROL DE LA TUBERCULOSIS</w:t>
            </w:r>
          </w:p>
        </w:tc>
        <w:tc>
          <w:tcPr>
            <w:tcW w:w="112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37.1</w:t>
            </w:r>
          </w:p>
        </w:tc>
        <w:tc>
          <w:tcPr>
            <w:tcW w:w="1013"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14.8</w:t>
            </w:r>
          </w:p>
        </w:tc>
        <w:tc>
          <w:tcPr>
            <w:tcW w:w="1024" w:type="dxa"/>
            <w:tcBorders>
              <w:top w:val="nil"/>
              <w:left w:val="nil"/>
              <w:bottom w:val="nil"/>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22.4</w:t>
            </w:r>
          </w:p>
        </w:tc>
        <w:tc>
          <w:tcPr>
            <w:tcW w:w="955" w:type="dxa"/>
            <w:tcBorders>
              <w:top w:val="nil"/>
              <w:left w:val="nil"/>
              <w:bottom w:val="nil"/>
              <w:right w:val="single" w:sz="8"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39.8%</w:t>
            </w:r>
          </w:p>
        </w:tc>
      </w:tr>
      <w:tr w:rsidR="00694E7F" w:rsidRPr="001B3328" w:rsidTr="00BC2EC7">
        <w:trPr>
          <w:trHeight w:val="252"/>
          <w:jc w:val="center"/>
        </w:trPr>
        <w:tc>
          <w:tcPr>
            <w:tcW w:w="5094"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754E4D" w:rsidRDefault="00694E7F" w:rsidP="00754E4D">
            <w:pPr>
              <w:ind w:firstLineChars="200" w:firstLine="280"/>
              <w:rPr>
                <w:color w:val="333333"/>
                <w:sz w:val="14"/>
                <w:szCs w:val="14"/>
                <w:lang w:val="es-GT" w:eastAsia="es-GT"/>
              </w:rPr>
            </w:pPr>
            <w:r w:rsidRPr="00754E4D">
              <w:rPr>
                <w:color w:val="333333"/>
                <w:sz w:val="14"/>
                <w:szCs w:val="14"/>
                <w:lang w:val="es-GT" w:eastAsia="es-GT"/>
              </w:rPr>
              <w:t>ATENCIÓN DESASTRES NATURALES Y CALAMIDADES PÚBLICAS</w:t>
            </w:r>
          </w:p>
        </w:tc>
        <w:tc>
          <w:tcPr>
            <w:tcW w:w="1123" w:type="dxa"/>
            <w:tcBorders>
              <w:top w:val="nil"/>
              <w:left w:val="nil"/>
              <w:bottom w:val="single" w:sz="8" w:space="0" w:color="auto"/>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0.0</w:t>
            </w:r>
          </w:p>
        </w:tc>
        <w:tc>
          <w:tcPr>
            <w:tcW w:w="1013" w:type="dxa"/>
            <w:tcBorders>
              <w:top w:val="nil"/>
              <w:left w:val="nil"/>
              <w:bottom w:val="single" w:sz="8" w:space="0" w:color="auto"/>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1,223.2</w:t>
            </w:r>
          </w:p>
        </w:tc>
        <w:tc>
          <w:tcPr>
            <w:tcW w:w="1024" w:type="dxa"/>
            <w:tcBorders>
              <w:top w:val="nil"/>
              <w:left w:val="nil"/>
              <w:bottom w:val="single" w:sz="8" w:space="0" w:color="auto"/>
              <w:right w:val="single" w:sz="4" w:space="0" w:color="auto"/>
            </w:tcBorders>
            <w:shd w:val="clear" w:color="FFFFFF" w:fill="FFFFFF"/>
            <w:noWrap/>
            <w:vAlign w:val="bottom"/>
            <w:hideMark/>
          </w:tcPr>
          <w:p w:rsidR="00694E7F" w:rsidRPr="00754E4D" w:rsidRDefault="00694E7F" w:rsidP="00694E7F">
            <w:pPr>
              <w:jc w:val="right"/>
              <w:rPr>
                <w:color w:val="333333"/>
                <w:sz w:val="14"/>
                <w:szCs w:val="14"/>
                <w:lang w:val="es-GT" w:eastAsia="es-GT"/>
              </w:rPr>
            </w:pPr>
            <w:r w:rsidRPr="00754E4D">
              <w:rPr>
                <w:color w:val="333333"/>
                <w:sz w:val="14"/>
                <w:szCs w:val="14"/>
                <w:lang w:val="es-GT" w:eastAsia="es-GT"/>
              </w:rPr>
              <w:t>-1,223.2</w:t>
            </w:r>
          </w:p>
        </w:tc>
        <w:tc>
          <w:tcPr>
            <w:tcW w:w="955" w:type="dxa"/>
            <w:tcBorders>
              <w:top w:val="nil"/>
              <w:left w:val="single" w:sz="4" w:space="0" w:color="auto"/>
              <w:bottom w:val="single" w:sz="8" w:space="0" w:color="auto"/>
              <w:right w:val="single" w:sz="8" w:space="0" w:color="auto"/>
            </w:tcBorders>
            <w:shd w:val="clear" w:color="FFFFFF" w:fill="FFFFFF"/>
            <w:noWrap/>
            <w:vAlign w:val="bottom"/>
            <w:hideMark/>
          </w:tcPr>
          <w:p w:rsidR="00694E7F" w:rsidRPr="00754E4D" w:rsidRDefault="00694E7F" w:rsidP="00694E7F">
            <w:pPr>
              <w:jc w:val="right"/>
              <w:rPr>
                <w:color w:val="FFFFFF"/>
                <w:sz w:val="14"/>
                <w:szCs w:val="14"/>
                <w:lang w:val="es-GT" w:eastAsia="es-GT"/>
              </w:rPr>
            </w:pPr>
            <w:r w:rsidRPr="00754E4D">
              <w:rPr>
                <w:color w:val="FFFFFF"/>
                <w:sz w:val="14"/>
                <w:szCs w:val="14"/>
                <w:lang w:val="es-GT" w:eastAsia="es-GT"/>
              </w:rPr>
              <w:t>#¡DIV/0!</w:t>
            </w:r>
          </w:p>
        </w:tc>
      </w:tr>
    </w:tbl>
    <w:p w:rsidR="00694E7F" w:rsidRPr="004E678D" w:rsidRDefault="00754E4D" w:rsidP="00754E4D">
      <w:pPr>
        <w:jc w:val="both"/>
        <w:rPr>
          <w:sz w:val="18"/>
        </w:rPr>
      </w:pPr>
      <w:r>
        <w:rPr>
          <w:sz w:val="18"/>
        </w:rPr>
        <w:t xml:space="preserve">   </w:t>
      </w:r>
      <w:r w:rsidR="00694E7F" w:rsidRPr="004E678D">
        <w:rPr>
          <w:sz w:val="18"/>
        </w:rPr>
        <w:t>Fuente: Ministerio de Finanzas Públicas</w:t>
      </w:r>
      <w:r w:rsidR="00694E7F">
        <w:rPr>
          <w:sz w:val="18"/>
        </w:rPr>
        <w:t>.</w:t>
      </w:r>
    </w:p>
    <w:p w:rsidR="00694E7F" w:rsidRDefault="00694E7F" w:rsidP="00694E7F">
      <w:pPr>
        <w:jc w:val="both"/>
      </w:pPr>
    </w:p>
    <w:p w:rsidR="00694E7F" w:rsidRPr="00D108FD" w:rsidRDefault="00694E7F" w:rsidP="00694E7F">
      <w:pPr>
        <w:jc w:val="both"/>
      </w:pPr>
    </w:p>
    <w:p w:rsidR="00694E7F" w:rsidRDefault="00694E7F" w:rsidP="00694E7F">
      <w:pPr>
        <w:jc w:val="both"/>
        <w:rPr>
          <w:b/>
        </w:rPr>
      </w:pPr>
      <w:r w:rsidRPr="00D108FD">
        <w:rPr>
          <w:b/>
        </w:rPr>
        <w:t>Ministerio de Trabajo y Previsión Social</w:t>
      </w:r>
      <w:r>
        <w:rPr>
          <w:b/>
        </w:rPr>
        <w:t>:</w:t>
      </w:r>
    </w:p>
    <w:p w:rsidR="00694E7F" w:rsidRPr="00006FBB" w:rsidRDefault="00694E7F" w:rsidP="00694E7F">
      <w:pPr>
        <w:jc w:val="both"/>
        <w:rPr>
          <w:b/>
          <w:sz w:val="28"/>
        </w:rPr>
      </w:pPr>
    </w:p>
    <w:p w:rsidR="00694E7F" w:rsidRDefault="00694E7F" w:rsidP="00694E7F">
      <w:pPr>
        <w:jc w:val="both"/>
      </w:pPr>
      <w:r w:rsidRPr="00D108FD">
        <w:t>El Min</w:t>
      </w:r>
      <w:r>
        <w:t>isterio de Trabajo y Previsión Social</w:t>
      </w:r>
      <w:r w:rsidRPr="00D108FD">
        <w:t xml:space="preserve"> tuvo </w:t>
      </w:r>
      <w:r>
        <w:t>un presupuesto</w:t>
      </w:r>
      <w:r w:rsidRPr="00D108FD">
        <w:t xml:space="preserve"> </w:t>
      </w:r>
      <w:r>
        <w:t xml:space="preserve">aprobad </w:t>
      </w:r>
      <w:r w:rsidRPr="00D108FD">
        <w:t xml:space="preserve">de </w:t>
      </w:r>
      <w:r>
        <w:t>Q</w:t>
      </w:r>
      <w:r w:rsidR="00F0222C">
        <w:t>.</w:t>
      </w:r>
      <w:r>
        <w:t>752</w:t>
      </w:r>
      <w:r w:rsidRPr="00D108FD">
        <w:t xml:space="preserve">.2 millones </w:t>
      </w:r>
      <w:r>
        <w:t>su</w:t>
      </w:r>
      <w:r w:rsidRPr="00D108FD">
        <w:t xml:space="preserve"> ejecución presupuestaria se ubicó en </w:t>
      </w:r>
      <w:r>
        <w:t>Q</w:t>
      </w:r>
      <w:r w:rsidR="00F0222C">
        <w:t>.</w:t>
      </w:r>
      <w:r w:rsidRPr="00D108FD">
        <w:t>6</w:t>
      </w:r>
      <w:r>
        <w:t>50.5</w:t>
      </w:r>
      <w:r w:rsidRPr="00D108FD">
        <w:t xml:space="preserve"> millones equivalente</w:t>
      </w:r>
      <w:r w:rsidR="00F0222C">
        <w:t>s</w:t>
      </w:r>
      <w:r w:rsidRPr="00D108FD">
        <w:t xml:space="preserve"> al </w:t>
      </w:r>
      <w:r>
        <w:t>86.5</w:t>
      </w:r>
      <w:r w:rsidRPr="00D108FD">
        <w:t>%</w:t>
      </w:r>
      <w:r>
        <w:t>.</w:t>
      </w:r>
    </w:p>
    <w:p w:rsidR="00694E7F" w:rsidRPr="00006FBB" w:rsidRDefault="00694E7F" w:rsidP="00694E7F">
      <w:pPr>
        <w:jc w:val="both"/>
        <w:rPr>
          <w:sz w:val="28"/>
        </w:rPr>
      </w:pPr>
    </w:p>
    <w:p w:rsidR="00694E7F" w:rsidRDefault="00694E7F" w:rsidP="00694E7F">
      <w:pPr>
        <w:jc w:val="both"/>
      </w:pPr>
      <w:r>
        <w:t>Con base</w:t>
      </w:r>
      <w:r w:rsidRPr="00D108FD">
        <w:t xml:space="preserve"> en las cifras </w:t>
      </w:r>
      <w:r>
        <w:t>d</w:t>
      </w:r>
      <w:r w:rsidRPr="00D108FD">
        <w:t>el S</w:t>
      </w:r>
      <w:r>
        <w:t>ICOIN</w:t>
      </w:r>
      <w:r w:rsidRPr="00D108FD">
        <w:t xml:space="preserve">, se </w:t>
      </w:r>
      <w:r>
        <w:t>observa</w:t>
      </w:r>
      <w:r w:rsidRPr="00D108FD">
        <w:t xml:space="preserve"> que el principal programa fue “Atención al Adulto Mayor” con un presupuesto </w:t>
      </w:r>
      <w:r>
        <w:t xml:space="preserve">aprobado </w:t>
      </w:r>
      <w:r w:rsidRPr="00D108FD">
        <w:t xml:space="preserve">de </w:t>
      </w:r>
      <w:r>
        <w:t>Q</w:t>
      </w:r>
      <w:r w:rsidR="00F0222C">
        <w:t>.</w:t>
      </w:r>
      <w:r>
        <w:t>550.0</w:t>
      </w:r>
      <w:r w:rsidRPr="00D108FD">
        <w:t xml:space="preserve"> millones y una ejecución de </w:t>
      </w:r>
      <w:r>
        <w:t>Q</w:t>
      </w:r>
      <w:r w:rsidR="00F0222C">
        <w:t>.</w:t>
      </w:r>
      <w:r w:rsidRPr="00D108FD">
        <w:t>4</w:t>
      </w:r>
      <w:r>
        <w:t>87.7</w:t>
      </w:r>
      <w:r w:rsidRPr="00D108FD">
        <w:t xml:space="preserve"> millones equivalente</w:t>
      </w:r>
      <w:r w:rsidR="00F0222C">
        <w:t>s</w:t>
      </w:r>
      <w:r w:rsidRPr="00D108FD">
        <w:t xml:space="preserve"> al </w:t>
      </w:r>
      <w:r>
        <w:t>88.7</w:t>
      </w:r>
      <w:r w:rsidRPr="00D108FD">
        <w:t>%</w:t>
      </w:r>
      <w:r>
        <w:t>.</w:t>
      </w:r>
    </w:p>
    <w:p w:rsidR="00694E7F" w:rsidRPr="00006FBB" w:rsidRDefault="00694E7F" w:rsidP="00694E7F">
      <w:pPr>
        <w:jc w:val="both"/>
        <w:rPr>
          <w:sz w:val="28"/>
        </w:rPr>
      </w:pPr>
    </w:p>
    <w:p w:rsidR="00694E7F" w:rsidRDefault="00694E7F" w:rsidP="00694E7F">
      <w:pPr>
        <w:jc w:val="both"/>
      </w:pPr>
      <w:r>
        <w:t>Le sigue el programa “Recreación de los Trabajadores del Estado” con presupuesto aprobado de Q</w:t>
      </w:r>
      <w:r w:rsidR="00F0222C">
        <w:t>.</w:t>
      </w:r>
      <w:r>
        <w:t>96.1 millones, ejecución presupuestaria de Q</w:t>
      </w:r>
      <w:r w:rsidR="00F0222C">
        <w:t>.</w:t>
      </w:r>
      <w:r>
        <w:t>30.5 millones, equivalente</w:t>
      </w:r>
      <w:r w:rsidR="00F0222C">
        <w:t>s</w:t>
      </w:r>
      <w:r>
        <w:t xml:space="preserve"> al 31.7%.</w:t>
      </w:r>
    </w:p>
    <w:p w:rsidR="00694E7F" w:rsidRPr="00006FBB" w:rsidRDefault="00694E7F" w:rsidP="00694E7F">
      <w:pPr>
        <w:jc w:val="both"/>
        <w:rPr>
          <w:sz w:val="28"/>
        </w:rPr>
      </w:pPr>
    </w:p>
    <w:p w:rsidR="00694E7F" w:rsidRDefault="00694E7F" w:rsidP="00694E7F">
      <w:pPr>
        <w:jc w:val="both"/>
      </w:pPr>
      <w:r w:rsidRPr="00D108FD">
        <w:t>El programa de “Administración Institucional” con</w:t>
      </w:r>
      <w:r>
        <w:t xml:space="preserve"> un </w:t>
      </w:r>
      <w:r w:rsidRPr="00D108FD">
        <w:t xml:space="preserve">presupuesto de </w:t>
      </w:r>
      <w:r>
        <w:t>Q</w:t>
      </w:r>
      <w:r w:rsidR="00F0222C">
        <w:t>.</w:t>
      </w:r>
      <w:r w:rsidRPr="00D108FD">
        <w:t>5</w:t>
      </w:r>
      <w:r>
        <w:t>6.2</w:t>
      </w:r>
      <w:r w:rsidRPr="00D108FD">
        <w:t xml:space="preserve"> millones, </w:t>
      </w:r>
      <w:r>
        <w:t xml:space="preserve">con </w:t>
      </w:r>
      <w:r w:rsidRPr="00D108FD">
        <w:t xml:space="preserve">ejecución presupuestaria fue de </w:t>
      </w:r>
      <w:r>
        <w:t>Q</w:t>
      </w:r>
      <w:r w:rsidR="00F0222C">
        <w:t>.</w:t>
      </w:r>
      <w:r w:rsidRPr="00D108FD">
        <w:t>5</w:t>
      </w:r>
      <w:r>
        <w:t>9.3</w:t>
      </w:r>
      <w:r w:rsidRPr="00D108FD">
        <w:t xml:space="preserve"> millones equivalentes al </w:t>
      </w:r>
      <w:r>
        <w:t>105.4</w:t>
      </w:r>
      <w:r w:rsidRPr="00D108FD">
        <w:t>%.</w:t>
      </w:r>
    </w:p>
    <w:p w:rsidR="00694E7F" w:rsidRPr="00006FBB" w:rsidRDefault="00694E7F" w:rsidP="00694E7F">
      <w:pPr>
        <w:jc w:val="both"/>
        <w:rPr>
          <w:sz w:val="28"/>
        </w:rPr>
      </w:pPr>
    </w:p>
    <w:p w:rsidR="00694E7F" w:rsidRDefault="00694E7F" w:rsidP="00694E7F">
      <w:pPr>
        <w:jc w:val="both"/>
      </w:pPr>
      <w:r w:rsidRPr="00D108FD">
        <w:t>Para completar la ejecución presupuestaria de</w:t>
      </w:r>
      <w:r>
        <w:t xml:space="preserve"> este Ministerio</w:t>
      </w:r>
      <w:r w:rsidRPr="00D108FD">
        <w:t xml:space="preserve">, solo restan tres programas los cuales tuvieron una ejecución </w:t>
      </w:r>
      <w:r>
        <w:t xml:space="preserve">por debajo </w:t>
      </w:r>
      <w:r w:rsidRPr="00D108FD">
        <w:t xml:space="preserve">de </w:t>
      </w:r>
      <w:r>
        <w:t>Q</w:t>
      </w:r>
      <w:r w:rsidR="00F0222C">
        <w:t>.</w:t>
      </w:r>
      <w:r w:rsidRPr="00D108FD">
        <w:t>3</w:t>
      </w:r>
      <w:r>
        <w:t>4.2</w:t>
      </w:r>
      <w:r w:rsidRPr="00D108FD">
        <w:t xml:space="preserve"> millones</w:t>
      </w:r>
      <w:r>
        <w:t>,</w:t>
      </w:r>
      <w:r w:rsidRPr="00D108FD">
        <w:t xml:space="preserve"> tal como se observa en el cuadro </w:t>
      </w:r>
      <w:r>
        <w:t>siguiente:</w:t>
      </w:r>
    </w:p>
    <w:p w:rsidR="00694E7F" w:rsidRPr="00D108FD" w:rsidRDefault="00694E7F" w:rsidP="00694E7F">
      <w:pPr>
        <w:jc w:val="both"/>
      </w:pPr>
    </w:p>
    <w:p w:rsidR="00694E7F" w:rsidRPr="004E678D" w:rsidRDefault="00694E7F" w:rsidP="00694E7F">
      <w:pPr>
        <w:jc w:val="both"/>
        <w:rPr>
          <w:sz w:val="18"/>
        </w:rPr>
      </w:pPr>
    </w:p>
    <w:tbl>
      <w:tblPr>
        <w:tblW w:w="9269" w:type="dxa"/>
        <w:jc w:val="center"/>
        <w:tblInd w:w="-860" w:type="dxa"/>
        <w:tblCellMar>
          <w:left w:w="70" w:type="dxa"/>
          <w:right w:w="70" w:type="dxa"/>
        </w:tblCellMar>
        <w:tblLook w:val="04A0" w:firstRow="1" w:lastRow="0" w:firstColumn="1" w:lastColumn="0" w:noHBand="0" w:noVBand="1"/>
      </w:tblPr>
      <w:tblGrid>
        <w:gridCol w:w="4906"/>
        <w:gridCol w:w="1134"/>
        <w:gridCol w:w="1128"/>
        <w:gridCol w:w="1128"/>
        <w:gridCol w:w="973"/>
      </w:tblGrid>
      <w:tr w:rsidR="00694E7F" w:rsidRPr="000952AC" w:rsidTr="00BC2EC7">
        <w:trPr>
          <w:trHeight w:val="259"/>
          <w:jc w:val="center"/>
        </w:trPr>
        <w:tc>
          <w:tcPr>
            <w:tcW w:w="4906"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lastRenderedPageBreak/>
              <w:t>DESCRIPCION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Asignado</w:t>
            </w:r>
          </w:p>
        </w:tc>
        <w:tc>
          <w:tcPr>
            <w:tcW w:w="1128"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Ejecución</w:t>
            </w:r>
          </w:p>
        </w:tc>
        <w:tc>
          <w:tcPr>
            <w:tcW w:w="1128"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Diferencias</w:t>
            </w:r>
          </w:p>
        </w:tc>
        <w:tc>
          <w:tcPr>
            <w:tcW w:w="973"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 Ejec</w:t>
            </w:r>
          </w:p>
        </w:tc>
      </w:tr>
      <w:tr w:rsidR="00694E7F" w:rsidRPr="000952AC" w:rsidTr="00BC2EC7">
        <w:trPr>
          <w:trHeight w:val="259"/>
          <w:jc w:val="center"/>
        </w:trPr>
        <w:tc>
          <w:tcPr>
            <w:tcW w:w="4906" w:type="dxa"/>
            <w:tcBorders>
              <w:top w:val="nil"/>
              <w:left w:val="single" w:sz="8" w:space="0" w:color="auto"/>
              <w:bottom w:val="nil"/>
              <w:right w:val="single" w:sz="4" w:space="0" w:color="auto"/>
            </w:tcBorders>
            <w:shd w:val="clear" w:color="FFFFFF" w:fill="FFFFFF"/>
            <w:noWrap/>
            <w:vAlign w:val="bottom"/>
            <w:hideMark/>
          </w:tcPr>
          <w:p w:rsidR="00694E7F" w:rsidRPr="000952AC" w:rsidRDefault="00694E7F" w:rsidP="00694E7F">
            <w:pPr>
              <w:rPr>
                <w:b/>
                <w:bCs/>
                <w:color w:val="333333"/>
                <w:sz w:val="14"/>
                <w:szCs w:val="16"/>
                <w:lang w:val="es-GT" w:eastAsia="es-GT"/>
              </w:rPr>
            </w:pPr>
            <w:r w:rsidRPr="000952AC">
              <w:rPr>
                <w:b/>
                <w:bCs/>
                <w:color w:val="333333"/>
                <w:sz w:val="14"/>
                <w:szCs w:val="16"/>
                <w:lang w:val="es-GT" w:eastAsia="es-GT"/>
              </w:rPr>
              <w:t>MINISTERIO DE TRABAJO Y PREVISIÓN SOCIAL</w:t>
            </w:r>
          </w:p>
        </w:tc>
        <w:tc>
          <w:tcPr>
            <w:tcW w:w="1134"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b/>
                <w:bCs/>
                <w:color w:val="333333"/>
                <w:sz w:val="14"/>
                <w:szCs w:val="16"/>
                <w:lang w:val="es-GT" w:eastAsia="es-GT"/>
              </w:rPr>
            </w:pPr>
            <w:r w:rsidRPr="000952AC">
              <w:rPr>
                <w:b/>
                <w:bCs/>
                <w:color w:val="333333"/>
                <w:sz w:val="14"/>
                <w:szCs w:val="16"/>
                <w:lang w:val="es-GT" w:eastAsia="es-GT"/>
              </w:rPr>
              <w:t>752.2</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b/>
                <w:bCs/>
                <w:color w:val="333333"/>
                <w:sz w:val="14"/>
                <w:szCs w:val="16"/>
                <w:lang w:val="es-GT" w:eastAsia="es-GT"/>
              </w:rPr>
            </w:pPr>
            <w:r w:rsidRPr="000952AC">
              <w:rPr>
                <w:b/>
                <w:bCs/>
                <w:color w:val="333333"/>
                <w:sz w:val="14"/>
                <w:szCs w:val="16"/>
                <w:lang w:val="es-GT" w:eastAsia="es-GT"/>
              </w:rPr>
              <w:t>650.5</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b/>
                <w:bCs/>
                <w:color w:val="333333"/>
                <w:sz w:val="14"/>
                <w:szCs w:val="16"/>
                <w:lang w:val="es-GT" w:eastAsia="es-GT"/>
              </w:rPr>
            </w:pPr>
            <w:r w:rsidRPr="000952AC">
              <w:rPr>
                <w:b/>
                <w:bCs/>
                <w:color w:val="333333"/>
                <w:sz w:val="14"/>
                <w:szCs w:val="16"/>
                <w:lang w:val="es-GT" w:eastAsia="es-GT"/>
              </w:rPr>
              <w:t>101.8</w:t>
            </w:r>
          </w:p>
        </w:tc>
        <w:tc>
          <w:tcPr>
            <w:tcW w:w="973" w:type="dxa"/>
            <w:tcBorders>
              <w:top w:val="nil"/>
              <w:left w:val="nil"/>
              <w:bottom w:val="nil"/>
              <w:right w:val="single" w:sz="8" w:space="0" w:color="auto"/>
            </w:tcBorders>
            <w:shd w:val="clear" w:color="FFFFFF" w:fill="FFFFFF"/>
            <w:noWrap/>
            <w:vAlign w:val="bottom"/>
            <w:hideMark/>
          </w:tcPr>
          <w:p w:rsidR="00694E7F" w:rsidRPr="000952AC" w:rsidRDefault="00694E7F" w:rsidP="00694E7F">
            <w:pPr>
              <w:jc w:val="right"/>
              <w:rPr>
                <w:b/>
                <w:bCs/>
                <w:color w:val="333333"/>
                <w:sz w:val="14"/>
                <w:szCs w:val="16"/>
                <w:lang w:val="es-GT" w:eastAsia="es-GT"/>
              </w:rPr>
            </w:pPr>
            <w:r w:rsidRPr="000952AC">
              <w:rPr>
                <w:b/>
                <w:bCs/>
                <w:color w:val="333333"/>
                <w:sz w:val="14"/>
                <w:szCs w:val="16"/>
                <w:lang w:val="es-GT" w:eastAsia="es-GT"/>
              </w:rPr>
              <w:t>86.5%</w:t>
            </w:r>
          </w:p>
        </w:tc>
      </w:tr>
      <w:tr w:rsidR="00694E7F" w:rsidRPr="000952AC" w:rsidTr="00BC2EC7">
        <w:trPr>
          <w:trHeight w:val="259"/>
          <w:jc w:val="center"/>
        </w:trPr>
        <w:tc>
          <w:tcPr>
            <w:tcW w:w="4906" w:type="dxa"/>
            <w:tcBorders>
              <w:top w:val="nil"/>
              <w:left w:val="single" w:sz="8" w:space="0" w:color="auto"/>
              <w:bottom w:val="nil"/>
              <w:right w:val="single" w:sz="4" w:space="0" w:color="auto"/>
            </w:tcBorders>
            <w:shd w:val="clear" w:color="FFFFFF" w:fill="FFFFFF"/>
            <w:noWrap/>
            <w:vAlign w:val="bottom"/>
            <w:hideMark/>
          </w:tcPr>
          <w:p w:rsidR="00694E7F" w:rsidRPr="000952AC" w:rsidRDefault="00694E7F" w:rsidP="00694E7F">
            <w:pPr>
              <w:ind w:firstLineChars="200" w:firstLine="280"/>
              <w:rPr>
                <w:color w:val="333333"/>
                <w:sz w:val="14"/>
                <w:szCs w:val="16"/>
                <w:lang w:val="es-GT" w:eastAsia="es-GT"/>
              </w:rPr>
            </w:pPr>
            <w:r w:rsidRPr="000952AC">
              <w:rPr>
                <w:color w:val="333333"/>
                <w:sz w:val="14"/>
                <w:szCs w:val="16"/>
                <w:lang w:val="es-GT" w:eastAsia="es-GT"/>
              </w:rPr>
              <w:t>ATENCIÓN AL ADULTO MAYOR</w:t>
            </w:r>
          </w:p>
        </w:tc>
        <w:tc>
          <w:tcPr>
            <w:tcW w:w="1134"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550.0</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487.7</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62.3</w:t>
            </w:r>
          </w:p>
        </w:tc>
        <w:tc>
          <w:tcPr>
            <w:tcW w:w="973" w:type="dxa"/>
            <w:tcBorders>
              <w:top w:val="nil"/>
              <w:left w:val="nil"/>
              <w:bottom w:val="nil"/>
              <w:right w:val="single" w:sz="8"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88.7%</w:t>
            </w:r>
          </w:p>
        </w:tc>
      </w:tr>
      <w:tr w:rsidR="00694E7F" w:rsidRPr="000952AC" w:rsidTr="00BC2EC7">
        <w:trPr>
          <w:trHeight w:val="259"/>
          <w:jc w:val="center"/>
        </w:trPr>
        <w:tc>
          <w:tcPr>
            <w:tcW w:w="4906" w:type="dxa"/>
            <w:tcBorders>
              <w:top w:val="nil"/>
              <w:left w:val="single" w:sz="8" w:space="0" w:color="auto"/>
              <w:bottom w:val="nil"/>
              <w:right w:val="single" w:sz="4" w:space="0" w:color="auto"/>
            </w:tcBorders>
            <w:shd w:val="clear" w:color="FFFFFF" w:fill="FFFFFF"/>
            <w:noWrap/>
            <w:vAlign w:val="bottom"/>
            <w:hideMark/>
          </w:tcPr>
          <w:p w:rsidR="00694E7F" w:rsidRPr="000952AC" w:rsidRDefault="00694E7F" w:rsidP="00694E7F">
            <w:pPr>
              <w:ind w:firstLineChars="200" w:firstLine="280"/>
              <w:rPr>
                <w:color w:val="333333"/>
                <w:sz w:val="14"/>
                <w:szCs w:val="16"/>
                <w:lang w:val="es-GT" w:eastAsia="es-GT"/>
              </w:rPr>
            </w:pPr>
            <w:r w:rsidRPr="000952AC">
              <w:rPr>
                <w:color w:val="333333"/>
                <w:sz w:val="14"/>
                <w:szCs w:val="16"/>
                <w:lang w:val="es-GT" w:eastAsia="es-GT"/>
              </w:rPr>
              <w:t>RECREACIÓN DE LOS TRABAJADORES DEL ESTADO</w:t>
            </w:r>
          </w:p>
        </w:tc>
        <w:tc>
          <w:tcPr>
            <w:tcW w:w="1134"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96.1</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30.5</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65.6</w:t>
            </w:r>
          </w:p>
        </w:tc>
        <w:tc>
          <w:tcPr>
            <w:tcW w:w="973" w:type="dxa"/>
            <w:tcBorders>
              <w:top w:val="nil"/>
              <w:left w:val="nil"/>
              <w:bottom w:val="nil"/>
              <w:right w:val="single" w:sz="8"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31.7%</w:t>
            </w:r>
          </w:p>
        </w:tc>
      </w:tr>
      <w:tr w:rsidR="00694E7F" w:rsidRPr="000952AC" w:rsidTr="00BC2EC7">
        <w:trPr>
          <w:trHeight w:val="259"/>
          <w:jc w:val="center"/>
        </w:trPr>
        <w:tc>
          <w:tcPr>
            <w:tcW w:w="4906" w:type="dxa"/>
            <w:tcBorders>
              <w:top w:val="nil"/>
              <w:left w:val="single" w:sz="8" w:space="0" w:color="auto"/>
              <w:bottom w:val="nil"/>
              <w:right w:val="single" w:sz="4" w:space="0" w:color="auto"/>
            </w:tcBorders>
            <w:shd w:val="clear" w:color="FFFFFF" w:fill="FFFFFF"/>
            <w:noWrap/>
            <w:vAlign w:val="bottom"/>
            <w:hideMark/>
          </w:tcPr>
          <w:p w:rsidR="00694E7F" w:rsidRPr="000952AC" w:rsidRDefault="00694E7F" w:rsidP="00694E7F">
            <w:pPr>
              <w:ind w:firstLineChars="200" w:firstLine="280"/>
              <w:rPr>
                <w:color w:val="333333"/>
                <w:sz w:val="14"/>
                <w:szCs w:val="16"/>
                <w:lang w:val="es-GT" w:eastAsia="es-GT"/>
              </w:rPr>
            </w:pPr>
            <w:r w:rsidRPr="000952AC">
              <w:rPr>
                <w:color w:val="333333"/>
                <w:sz w:val="14"/>
                <w:szCs w:val="16"/>
                <w:lang w:val="es-GT" w:eastAsia="es-GT"/>
              </w:rPr>
              <w:t>ADMINISTRACIÓN INSTITUCIONAL</w:t>
            </w:r>
          </w:p>
        </w:tc>
        <w:tc>
          <w:tcPr>
            <w:tcW w:w="1134"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56.2</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59.3</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-3.0</w:t>
            </w:r>
          </w:p>
        </w:tc>
        <w:tc>
          <w:tcPr>
            <w:tcW w:w="973" w:type="dxa"/>
            <w:tcBorders>
              <w:top w:val="nil"/>
              <w:left w:val="nil"/>
              <w:bottom w:val="nil"/>
              <w:right w:val="single" w:sz="8"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105.4%</w:t>
            </w:r>
          </w:p>
        </w:tc>
      </w:tr>
      <w:tr w:rsidR="00694E7F" w:rsidRPr="000952AC" w:rsidTr="00BC2EC7">
        <w:trPr>
          <w:trHeight w:val="259"/>
          <w:jc w:val="center"/>
        </w:trPr>
        <w:tc>
          <w:tcPr>
            <w:tcW w:w="4906" w:type="dxa"/>
            <w:tcBorders>
              <w:top w:val="nil"/>
              <w:left w:val="single" w:sz="8" w:space="0" w:color="auto"/>
              <w:bottom w:val="nil"/>
              <w:right w:val="single" w:sz="4" w:space="0" w:color="auto"/>
            </w:tcBorders>
            <w:shd w:val="clear" w:color="FFFFFF" w:fill="FFFFFF"/>
            <w:noWrap/>
            <w:vAlign w:val="bottom"/>
            <w:hideMark/>
          </w:tcPr>
          <w:p w:rsidR="00694E7F" w:rsidRPr="000952AC" w:rsidRDefault="00694E7F" w:rsidP="00694E7F">
            <w:pPr>
              <w:ind w:firstLineChars="200" w:firstLine="280"/>
              <w:rPr>
                <w:color w:val="333333"/>
                <w:sz w:val="14"/>
                <w:szCs w:val="16"/>
                <w:lang w:val="es-GT" w:eastAsia="es-GT"/>
              </w:rPr>
            </w:pPr>
            <w:r w:rsidRPr="000952AC">
              <w:rPr>
                <w:color w:val="333333"/>
                <w:sz w:val="14"/>
                <w:szCs w:val="16"/>
                <w:lang w:val="es-GT" w:eastAsia="es-GT"/>
              </w:rPr>
              <w:t>PROMOCIÓN DE LA FORMALIDAD DEL EMPLEO</w:t>
            </w:r>
          </w:p>
        </w:tc>
        <w:tc>
          <w:tcPr>
            <w:tcW w:w="1134"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36.3</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34.2</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2.1</w:t>
            </w:r>
          </w:p>
        </w:tc>
        <w:tc>
          <w:tcPr>
            <w:tcW w:w="973" w:type="dxa"/>
            <w:tcBorders>
              <w:top w:val="nil"/>
              <w:left w:val="nil"/>
              <w:bottom w:val="nil"/>
              <w:right w:val="single" w:sz="8"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94.3%</w:t>
            </w:r>
          </w:p>
        </w:tc>
      </w:tr>
      <w:tr w:rsidR="00694E7F" w:rsidRPr="000952AC" w:rsidTr="00BC2EC7">
        <w:trPr>
          <w:trHeight w:val="259"/>
          <w:jc w:val="center"/>
        </w:trPr>
        <w:tc>
          <w:tcPr>
            <w:tcW w:w="4906" w:type="dxa"/>
            <w:tcBorders>
              <w:top w:val="nil"/>
              <w:left w:val="single" w:sz="8" w:space="0" w:color="auto"/>
              <w:bottom w:val="nil"/>
              <w:right w:val="single" w:sz="4" w:space="0" w:color="auto"/>
            </w:tcBorders>
            <w:shd w:val="clear" w:color="FFFFFF" w:fill="FFFFFF"/>
            <w:noWrap/>
            <w:vAlign w:val="bottom"/>
            <w:hideMark/>
          </w:tcPr>
          <w:p w:rsidR="00694E7F" w:rsidRPr="000952AC" w:rsidRDefault="00694E7F" w:rsidP="00694E7F">
            <w:pPr>
              <w:ind w:firstLineChars="200" w:firstLine="280"/>
              <w:rPr>
                <w:color w:val="333333"/>
                <w:sz w:val="14"/>
                <w:szCs w:val="16"/>
                <w:lang w:val="es-GT" w:eastAsia="es-GT"/>
              </w:rPr>
            </w:pPr>
            <w:r w:rsidRPr="000952AC">
              <w:rPr>
                <w:color w:val="333333"/>
                <w:sz w:val="14"/>
                <w:szCs w:val="16"/>
                <w:lang w:val="es-GT" w:eastAsia="es-GT"/>
              </w:rPr>
              <w:t>GESTIÓN DE ASUNTOS LABORALES</w:t>
            </w:r>
          </w:p>
        </w:tc>
        <w:tc>
          <w:tcPr>
            <w:tcW w:w="1134"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12.7</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10.9</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1.8</w:t>
            </w:r>
          </w:p>
        </w:tc>
        <w:tc>
          <w:tcPr>
            <w:tcW w:w="973" w:type="dxa"/>
            <w:tcBorders>
              <w:top w:val="nil"/>
              <w:left w:val="nil"/>
              <w:bottom w:val="nil"/>
              <w:right w:val="single" w:sz="8"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85.8%</w:t>
            </w:r>
          </w:p>
        </w:tc>
      </w:tr>
      <w:tr w:rsidR="00694E7F" w:rsidRPr="000952AC" w:rsidTr="00BC2EC7">
        <w:trPr>
          <w:trHeight w:val="259"/>
          <w:jc w:val="center"/>
        </w:trPr>
        <w:tc>
          <w:tcPr>
            <w:tcW w:w="4906" w:type="dxa"/>
            <w:tcBorders>
              <w:top w:val="nil"/>
              <w:left w:val="single" w:sz="8" w:space="0" w:color="auto"/>
              <w:bottom w:val="nil"/>
              <w:right w:val="single" w:sz="4" w:space="0" w:color="auto"/>
            </w:tcBorders>
            <w:shd w:val="clear" w:color="FFFFFF" w:fill="FFFFFF"/>
            <w:noWrap/>
            <w:vAlign w:val="bottom"/>
            <w:hideMark/>
          </w:tcPr>
          <w:p w:rsidR="00694E7F" w:rsidRPr="000952AC" w:rsidRDefault="00694E7F" w:rsidP="00694E7F">
            <w:pPr>
              <w:ind w:firstLineChars="200" w:firstLine="280"/>
              <w:rPr>
                <w:color w:val="333333"/>
                <w:sz w:val="14"/>
                <w:szCs w:val="16"/>
                <w:lang w:val="es-GT" w:eastAsia="es-GT"/>
              </w:rPr>
            </w:pPr>
            <w:r w:rsidRPr="000952AC">
              <w:rPr>
                <w:color w:val="333333"/>
                <w:sz w:val="14"/>
                <w:szCs w:val="16"/>
                <w:lang w:val="es-GT" w:eastAsia="es-GT"/>
              </w:rPr>
              <w:t>PARTIDAS NO ASIGNABLES A PROGRAMAS</w:t>
            </w:r>
          </w:p>
        </w:tc>
        <w:tc>
          <w:tcPr>
            <w:tcW w:w="1134"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0.9</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4.9</w:t>
            </w:r>
          </w:p>
        </w:tc>
        <w:tc>
          <w:tcPr>
            <w:tcW w:w="1128" w:type="dxa"/>
            <w:tcBorders>
              <w:top w:val="nil"/>
              <w:left w:val="nil"/>
              <w:bottom w:val="nil"/>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-4.0</w:t>
            </w:r>
          </w:p>
        </w:tc>
        <w:tc>
          <w:tcPr>
            <w:tcW w:w="973" w:type="dxa"/>
            <w:tcBorders>
              <w:top w:val="nil"/>
              <w:left w:val="nil"/>
              <w:bottom w:val="nil"/>
              <w:right w:val="single" w:sz="8"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535.2%</w:t>
            </w:r>
          </w:p>
        </w:tc>
      </w:tr>
      <w:tr w:rsidR="00694E7F" w:rsidRPr="000952AC" w:rsidTr="00BC2EC7">
        <w:trPr>
          <w:trHeight w:val="259"/>
          <w:jc w:val="center"/>
        </w:trPr>
        <w:tc>
          <w:tcPr>
            <w:tcW w:w="4906"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0952AC" w:rsidRDefault="00694E7F" w:rsidP="00694E7F">
            <w:pPr>
              <w:ind w:firstLineChars="200" w:firstLine="280"/>
              <w:rPr>
                <w:color w:val="333333"/>
                <w:sz w:val="14"/>
                <w:szCs w:val="16"/>
                <w:lang w:val="es-GT" w:eastAsia="es-GT"/>
              </w:rPr>
            </w:pPr>
            <w:r w:rsidRPr="000952AC">
              <w:rPr>
                <w:color w:val="333333"/>
                <w:sz w:val="14"/>
                <w:szCs w:val="16"/>
                <w:lang w:val="es-GT" w:eastAsia="es-GT"/>
              </w:rPr>
              <w:t>ATENCIÓN DESASTRES NATURALES Y CALAMIDADES</w:t>
            </w:r>
          </w:p>
        </w:tc>
        <w:tc>
          <w:tcPr>
            <w:tcW w:w="1134" w:type="dxa"/>
            <w:tcBorders>
              <w:top w:val="nil"/>
              <w:left w:val="nil"/>
              <w:bottom w:val="single" w:sz="8" w:space="0" w:color="auto"/>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0.0</w:t>
            </w:r>
          </w:p>
        </w:tc>
        <w:tc>
          <w:tcPr>
            <w:tcW w:w="1128" w:type="dxa"/>
            <w:tcBorders>
              <w:top w:val="nil"/>
              <w:left w:val="nil"/>
              <w:bottom w:val="single" w:sz="8" w:space="0" w:color="auto"/>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23.1</w:t>
            </w:r>
          </w:p>
        </w:tc>
        <w:tc>
          <w:tcPr>
            <w:tcW w:w="1128" w:type="dxa"/>
            <w:tcBorders>
              <w:top w:val="nil"/>
              <w:left w:val="nil"/>
              <w:bottom w:val="single" w:sz="8" w:space="0" w:color="auto"/>
              <w:right w:val="single" w:sz="4" w:space="0" w:color="auto"/>
            </w:tcBorders>
            <w:shd w:val="clear" w:color="FFFFFF" w:fill="FFFFFF"/>
            <w:noWrap/>
            <w:vAlign w:val="bottom"/>
            <w:hideMark/>
          </w:tcPr>
          <w:p w:rsidR="00694E7F" w:rsidRPr="000952AC" w:rsidRDefault="00694E7F" w:rsidP="00694E7F">
            <w:pPr>
              <w:jc w:val="right"/>
              <w:rPr>
                <w:color w:val="333333"/>
                <w:sz w:val="14"/>
                <w:szCs w:val="16"/>
                <w:lang w:val="es-GT" w:eastAsia="es-GT"/>
              </w:rPr>
            </w:pPr>
            <w:r w:rsidRPr="000952AC">
              <w:rPr>
                <w:color w:val="333333"/>
                <w:sz w:val="14"/>
                <w:szCs w:val="16"/>
                <w:lang w:val="es-GT" w:eastAsia="es-GT"/>
              </w:rPr>
              <w:t>-23.1</w:t>
            </w:r>
          </w:p>
        </w:tc>
        <w:tc>
          <w:tcPr>
            <w:tcW w:w="973" w:type="dxa"/>
            <w:tcBorders>
              <w:top w:val="nil"/>
              <w:left w:val="single" w:sz="4" w:space="0" w:color="auto"/>
              <w:bottom w:val="single" w:sz="8" w:space="0" w:color="auto"/>
              <w:right w:val="single" w:sz="8" w:space="0" w:color="auto"/>
            </w:tcBorders>
            <w:shd w:val="clear" w:color="FFFFFF" w:fill="FFFFFF"/>
            <w:noWrap/>
            <w:vAlign w:val="bottom"/>
            <w:hideMark/>
          </w:tcPr>
          <w:p w:rsidR="00694E7F" w:rsidRPr="000952AC" w:rsidRDefault="00694E7F" w:rsidP="00694E7F">
            <w:pPr>
              <w:jc w:val="right"/>
              <w:rPr>
                <w:color w:val="FFFFFF"/>
                <w:sz w:val="14"/>
                <w:szCs w:val="16"/>
                <w:lang w:val="es-GT" w:eastAsia="es-GT"/>
              </w:rPr>
            </w:pPr>
            <w:r w:rsidRPr="000952AC">
              <w:rPr>
                <w:color w:val="FFFFFF"/>
                <w:sz w:val="14"/>
                <w:szCs w:val="16"/>
                <w:lang w:val="es-GT" w:eastAsia="es-GT"/>
              </w:rPr>
              <w:t>#¡DIV/0!</w:t>
            </w:r>
          </w:p>
        </w:tc>
      </w:tr>
    </w:tbl>
    <w:p w:rsidR="00694E7F" w:rsidRPr="004E678D" w:rsidRDefault="00754E4D" w:rsidP="00754E4D">
      <w:pPr>
        <w:jc w:val="both"/>
        <w:rPr>
          <w:sz w:val="18"/>
        </w:rPr>
      </w:pPr>
      <w:r>
        <w:rPr>
          <w:sz w:val="18"/>
        </w:rPr>
        <w:t xml:space="preserve">    </w:t>
      </w:r>
      <w:r w:rsidR="00694E7F" w:rsidRPr="004E678D">
        <w:rPr>
          <w:sz w:val="18"/>
        </w:rPr>
        <w:t>Fuente: Ministerio de Finanzas Públicas</w:t>
      </w:r>
      <w:r w:rsidR="00694E7F">
        <w:rPr>
          <w:sz w:val="18"/>
        </w:rPr>
        <w:t>.</w:t>
      </w:r>
    </w:p>
    <w:p w:rsidR="00694E7F" w:rsidRDefault="00694E7F" w:rsidP="00694E7F">
      <w:pPr>
        <w:jc w:val="both"/>
      </w:pPr>
    </w:p>
    <w:p w:rsidR="00694E7F" w:rsidRDefault="00694E7F" w:rsidP="00694E7F">
      <w:pPr>
        <w:jc w:val="both"/>
      </w:pPr>
    </w:p>
    <w:p w:rsidR="00694E7F" w:rsidRPr="00D108FD" w:rsidRDefault="00694E7F" w:rsidP="00694E7F">
      <w:pPr>
        <w:jc w:val="both"/>
      </w:pPr>
    </w:p>
    <w:p w:rsidR="00694E7F" w:rsidRDefault="00694E7F" w:rsidP="00694E7F">
      <w:pPr>
        <w:jc w:val="both"/>
        <w:rPr>
          <w:b/>
        </w:rPr>
      </w:pPr>
      <w:r w:rsidRPr="00D108FD">
        <w:rPr>
          <w:b/>
        </w:rPr>
        <w:t>Ministerio de Economía</w:t>
      </w:r>
      <w:r>
        <w:rPr>
          <w:b/>
        </w:rPr>
        <w:t>:</w:t>
      </w:r>
    </w:p>
    <w:p w:rsidR="00694E7F" w:rsidRPr="00D108FD" w:rsidRDefault="00694E7F" w:rsidP="00694E7F">
      <w:pPr>
        <w:jc w:val="both"/>
        <w:rPr>
          <w:b/>
        </w:rPr>
      </w:pPr>
    </w:p>
    <w:p w:rsidR="00694E7F" w:rsidRDefault="00694E7F" w:rsidP="00694E7F">
      <w:pPr>
        <w:jc w:val="both"/>
      </w:pPr>
      <w:r w:rsidRPr="00D108FD">
        <w:t>El Min</w:t>
      </w:r>
      <w:r>
        <w:t xml:space="preserve">isterio de Economía </w:t>
      </w:r>
      <w:r w:rsidRPr="00D108FD">
        <w:t xml:space="preserve">tuvo un presupuesto </w:t>
      </w:r>
      <w:r>
        <w:t xml:space="preserve">aprobado </w:t>
      </w:r>
      <w:r w:rsidRPr="00D108FD">
        <w:t xml:space="preserve">de </w:t>
      </w:r>
      <w:r>
        <w:t>Q</w:t>
      </w:r>
      <w:r w:rsidR="00F0222C">
        <w:t>.</w:t>
      </w:r>
      <w:r>
        <w:t>403</w:t>
      </w:r>
      <w:r w:rsidRPr="00D108FD">
        <w:t xml:space="preserve">.4 millones.  La ejecución presupuestaria fue de </w:t>
      </w:r>
      <w:r>
        <w:t>Q</w:t>
      </w:r>
      <w:r w:rsidR="00F0222C">
        <w:t>.</w:t>
      </w:r>
      <w:r w:rsidRPr="00D108FD">
        <w:t>3</w:t>
      </w:r>
      <w:r>
        <w:t>,408.9</w:t>
      </w:r>
      <w:r w:rsidRPr="00D108FD">
        <w:t xml:space="preserve"> millones equivalente</w:t>
      </w:r>
      <w:r w:rsidR="00F0222C">
        <w:t>s</w:t>
      </w:r>
      <w:r w:rsidRPr="00D108FD">
        <w:t xml:space="preserve"> al </w:t>
      </w:r>
      <w:r>
        <w:t>845.1</w:t>
      </w:r>
      <w:r w:rsidRPr="00D108FD">
        <w:t>%.</w:t>
      </w:r>
    </w:p>
    <w:p w:rsidR="00694E7F" w:rsidRDefault="00694E7F" w:rsidP="00694E7F">
      <w:pPr>
        <w:jc w:val="both"/>
      </w:pPr>
    </w:p>
    <w:p w:rsidR="00694E7F" w:rsidRDefault="00694E7F" w:rsidP="00694E7F">
      <w:pPr>
        <w:jc w:val="both"/>
      </w:pPr>
      <w:r>
        <w:t xml:space="preserve">En virtud de la crisis provocada por la pandemia y los desastres naturales, el Ministerio de Economía ejecutó recursos para atender esas necesidades a través del programa </w:t>
      </w:r>
      <w:r w:rsidR="00923DC4">
        <w:t>“</w:t>
      </w:r>
      <w:r w:rsidRPr="00557291">
        <w:rPr>
          <w:i/>
        </w:rPr>
        <w:t>Atención por Desastres Naturales y Calamidades Públicas</w:t>
      </w:r>
      <w:r w:rsidR="00923DC4">
        <w:rPr>
          <w:i/>
        </w:rPr>
        <w:t>”</w:t>
      </w:r>
      <w:r>
        <w:t xml:space="preserve">, sub programa </w:t>
      </w:r>
      <w:r w:rsidR="00923DC4">
        <w:t>“</w:t>
      </w:r>
      <w:r w:rsidRPr="00557291">
        <w:rPr>
          <w:i/>
        </w:rPr>
        <w:t>Estado de Calamidad Pública por Emergencia COVID-19 (DG 5-2020)</w:t>
      </w:r>
      <w:r w:rsidR="00923DC4">
        <w:rPr>
          <w:i/>
        </w:rPr>
        <w:t>”</w:t>
      </w:r>
      <w:r>
        <w:t xml:space="preserve"> y la actividad</w:t>
      </w:r>
      <w:r w:rsidR="00923DC4">
        <w:t xml:space="preserve"> específica</w:t>
      </w:r>
      <w:r>
        <w:t xml:space="preserve"> </w:t>
      </w:r>
      <w:r w:rsidR="00923DC4">
        <w:t>“</w:t>
      </w:r>
      <w:r w:rsidRPr="00557291">
        <w:rPr>
          <w:i/>
        </w:rPr>
        <w:t>Intervenciones Realizadas para la atención de la emergencia COVID-19</w:t>
      </w:r>
      <w:r w:rsidR="00923DC4">
        <w:rPr>
          <w:i/>
        </w:rPr>
        <w:t>”</w:t>
      </w:r>
      <w:r>
        <w:t>, el cual al inicio del año no tenía presupuesto asignado y al cierre preliminar existe un registro en el SICOIN de ejecución por valor de Q</w:t>
      </w:r>
      <w:r w:rsidR="00923DC4">
        <w:t>.</w:t>
      </w:r>
      <w:r>
        <w:t>2,400.8 millones.</w:t>
      </w:r>
    </w:p>
    <w:p w:rsidR="00694E7F" w:rsidRPr="00D108FD" w:rsidRDefault="00694E7F" w:rsidP="00694E7F">
      <w:pPr>
        <w:jc w:val="both"/>
      </w:pPr>
    </w:p>
    <w:p w:rsidR="00694E7F" w:rsidRDefault="00694E7F" w:rsidP="00694E7F">
      <w:pPr>
        <w:jc w:val="both"/>
      </w:pPr>
      <w:r w:rsidRPr="00D108FD">
        <w:t xml:space="preserve">El programa </w:t>
      </w:r>
      <w:r>
        <w:t>de</w:t>
      </w:r>
      <w:r w:rsidRPr="00D108FD">
        <w:t xml:space="preserve"> </w:t>
      </w:r>
      <w:r>
        <w:t>“</w:t>
      </w:r>
      <w:r w:rsidRPr="00D108FD">
        <w:t>Partidas No Asignables a Programas</w:t>
      </w:r>
      <w:r>
        <w:t>”</w:t>
      </w:r>
      <w:r w:rsidRPr="00D108FD">
        <w:t>, tuvo un presupuesto</w:t>
      </w:r>
      <w:r>
        <w:t xml:space="preserve"> aprobado</w:t>
      </w:r>
      <w:r w:rsidRPr="00D108FD">
        <w:t xml:space="preserve"> de </w:t>
      </w:r>
      <w:r>
        <w:t>Q.86.3</w:t>
      </w:r>
      <w:r w:rsidRPr="00D108FD">
        <w:t xml:space="preserve"> millones y ejecución de </w:t>
      </w:r>
      <w:r>
        <w:t>Q</w:t>
      </w:r>
      <w:r w:rsidR="00776FE6">
        <w:t>.</w:t>
      </w:r>
      <w:r>
        <w:t>49.6</w:t>
      </w:r>
      <w:r w:rsidRPr="00D108FD">
        <w:t xml:space="preserve"> millones equivalente al </w:t>
      </w:r>
      <w:r>
        <w:t>57.4</w:t>
      </w:r>
      <w:r w:rsidRPr="00D108FD">
        <w:t>%</w:t>
      </w:r>
      <w:r>
        <w:t>.</w:t>
      </w:r>
    </w:p>
    <w:p w:rsidR="00694E7F" w:rsidRPr="00D108FD" w:rsidRDefault="00694E7F" w:rsidP="00694E7F">
      <w:pPr>
        <w:jc w:val="both"/>
      </w:pPr>
    </w:p>
    <w:p w:rsidR="00694E7F" w:rsidRDefault="00694E7F" w:rsidP="00694E7F">
      <w:pPr>
        <w:jc w:val="both"/>
      </w:pPr>
      <w:r w:rsidRPr="00D108FD">
        <w:t>El programa de “</w:t>
      </w:r>
      <w:r>
        <w:t>Actividades Centrales</w:t>
      </w:r>
      <w:r w:rsidRPr="00D108FD">
        <w:t xml:space="preserve">” tuvo un presupuesto de </w:t>
      </w:r>
      <w:r>
        <w:t>Q</w:t>
      </w:r>
      <w:r w:rsidR="00776FE6">
        <w:t>.</w:t>
      </w:r>
      <w:r>
        <w:t>57.4</w:t>
      </w:r>
      <w:r w:rsidRPr="00D108FD">
        <w:t xml:space="preserve"> millones y una ejecución presupuestaria de </w:t>
      </w:r>
      <w:r>
        <w:t>Q</w:t>
      </w:r>
      <w:r w:rsidR="00776FE6">
        <w:t>.</w:t>
      </w:r>
      <w:r>
        <w:t>57.7</w:t>
      </w:r>
      <w:r w:rsidRPr="00D108FD">
        <w:t xml:space="preserve"> millones equivalente al </w:t>
      </w:r>
      <w:r>
        <w:t>100.6</w:t>
      </w:r>
      <w:r w:rsidRPr="00D108FD">
        <w:t>%</w:t>
      </w:r>
      <w:r>
        <w:t>.</w:t>
      </w:r>
    </w:p>
    <w:p w:rsidR="00694E7F" w:rsidRPr="00D108FD" w:rsidRDefault="00694E7F" w:rsidP="00694E7F">
      <w:pPr>
        <w:jc w:val="both"/>
      </w:pPr>
    </w:p>
    <w:p w:rsidR="00694E7F" w:rsidRDefault="00694E7F" w:rsidP="00694E7F">
      <w:pPr>
        <w:jc w:val="both"/>
      </w:pPr>
      <w:r w:rsidRPr="00D108FD">
        <w:t xml:space="preserve">El programa de “Gestión de la Integración Económica y Comercio Exterior” </w:t>
      </w:r>
      <w:r>
        <w:t>tuvo un presupuesto aprobado de</w:t>
      </w:r>
      <w:r w:rsidRPr="00D108FD">
        <w:t xml:space="preserve"> </w:t>
      </w:r>
      <w:r>
        <w:t>Q</w:t>
      </w:r>
      <w:r w:rsidR="00776FE6">
        <w:t>.</w:t>
      </w:r>
      <w:r>
        <w:t>83.5</w:t>
      </w:r>
      <w:r w:rsidRPr="00D108FD">
        <w:t xml:space="preserve"> millones y la ejecución presupuestaria fue de </w:t>
      </w:r>
      <w:r>
        <w:t>Q</w:t>
      </w:r>
      <w:r w:rsidR="00776FE6">
        <w:t>.</w:t>
      </w:r>
      <w:r>
        <w:t>331.5</w:t>
      </w:r>
      <w:r w:rsidRPr="00D108FD">
        <w:t xml:space="preserve"> millones equivalente al </w:t>
      </w:r>
      <w:r>
        <w:t>396.8</w:t>
      </w:r>
      <w:r w:rsidRPr="00D108FD">
        <w:t>%</w:t>
      </w:r>
      <w:r>
        <w:t>, en virtud que la Actividad Administración de Acuerdos Comerciales Internacionales pasó de un presupuesto asignado de Q</w:t>
      </w:r>
      <w:r w:rsidR="00776FE6">
        <w:t>.</w:t>
      </w:r>
      <w:r>
        <w:t>54.2 millones a una ejecución al cierre preliminar de Q</w:t>
      </w:r>
      <w:r w:rsidR="00776FE6">
        <w:t>.</w:t>
      </w:r>
      <w:r>
        <w:t>312.4 millones, mientras que el resto de las actividades tuvieron una ejecución dentro de lo asignado.</w:t>
      </w:r>
    </w:p>
    <w:p w:rsidR="00694E7F" w:rsidRPr="00D108FD" w:rsidRDefault="00694E7F" w:rsidP="00694E7F">
      <w:pPr>
        <w:jc w:val="both"/>
      </w:pPr>
    </w:p>
    <w:p w:rsidR="00694E7F" w:rsidRDefault="00694E7F" w:rsidP="00694E7F">
      <w:pPr>
        <w:jc w:val="both"/>
      </w:pPr>
      <w:r>
        <w:t>El programa “Desarrollo de la micro, pequeña y mediana empresa”, pas</w:t>
      </w:r>
      <w:r w:rsidR="00776FE6">
        <w:t>ó</w:t>
      </w:r>
      <w:r>
        <w:t xml:space="preserve"> de un presupuesto asignado de Q</w:t>
      </w:r>
      <w:r w:rsidR="00776FE6">
        <w:t>.</w:t>
      </w:r>
      <w:r>
        <w:t>53.1 millones a una ejecución de Q</w:t>
      </w:r>
      <w:r w:rsidR="00776FE6">
        <w:t>.</w:t>
      </w:r>
      <w:r>
        <w:t>480.7 millones equivalentes al 905.6%, como resultado de la atención a la actividad “Servicio de Asistencia Técnica y Financiera a la Micro, Pequeña y Mediana Empresa”, el cual tuvo un presupuesto asignado de Q</w:t>
      </w:r>
      <w:r w:rsidR="00776FE6">
        <w:t>.</w:t>
      </w:r>
      <w:r>
        <w:t>51.6 millones y según los registros del SICOIN, una ejecución de Q</w:t>
      </w:r>
      <w:r w:rsidR="00776FE6">
        <w:t>.</w:t>
      </w:r>
      <w:r>
        <w:t>480.1 millones.</w:t>
      </w:r>
    </w:p>
    <w:p w:rsidR="00694E7F" w:rsidRDefault="00694E7F" w:rsidP="00694E7F">
      <w:pPr>
        <w:jc w:val="both"/>
      </w:pPr>
    </w:p>
    <w:p w:rsidR="00694E7F" w:rsidRDefault="00694E7F" w:rsidP="00694E7F">
      <w:pPr>
        <w:jc w:val="both"/>
      </w:pPr>
      <w:r w:rsidRPr="00D108FD">
        <w:lastRenderedPageBreak/>
        <w:t xml:space="preserve">En los 4 restantes programas se observa una ejecución por debajo de los </w:t>
      </w:r>
      <w:r>
        <w:t>Q</w:t>
      </w:r>
      <w:r w:rsidR="00776FE6">
        <w:t>.</w:t>
      </w:r>
      <w:r>
        <w:t>57.7</w:t>
      </w:r>
      <w:r w:rsidRPr="00D108FD">
        <w:t xml:space="preserve"> millones, tal como se puede observar en el cuadro que se presenta a continuación</w:t>
      </w:r>
      <w:r>
        <w:t>:</w:t>
      </w:r>
    </w:p>
    <w:p w:rsidR="00694E7F" w:rsidRPr="00D108FD" w:rsidRDefault="00694E7F" w:rsidP="00694E7F">
      <w:pPr>
        <w:jc w:val="both"/>
      </w:pPr>
    </w:p>
    <w:tbl>
      <w:tblPr>
        <w:tblW w:w="9426" w:type="dxa"/>
        <w:tblCellMar>
          <w:left w:w="70" w:type="dxa"/>
          <w:right w:w="70" w:type="dxa"/>
        </w:tblCellMar>
        <w:tblLook w:val="04A0" w:firstRow="1" w:lastRow="0" w:firstColumn="1" w:lastColumn="0" w:noHBand="0" w:noVBand="1"/>
      </w:tblPr>
      <w:tblGrid>
        <w:gridCol w:w="5547"/>
        <w:gridCol w:w="1044"/>
        <w:gridCol w:w="992"/>
        <w:gridCol w:w="992"/>
        <w:gridCol w:w="851"/>
      </w:tblGrid>
      <w:tr w:rsidR="00694E7F" w:rsidRPr="00E96B4E" w:rsidTr="00754E4D">
        <w:trPr>
          <w:trHeight w:val="259"/>
        </w:trPr>
        <w:tc>
          <w:tcPr>
            <w:tcW w:w="5547"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DESCRIPCION</w:t>
            </w:r>
          </w:p>
        </w:tc>
        <w:tc>
          <w:tcPr>
            <w:tcW w:w="104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Ejecución</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754E4D" w:rsidRDefault="00694E7F" w:rsidP="00754E4D">
            <w:pPr>
              <w:jc w:val="center"/>
              <w:rPr>
                <w:b/>
                <w:bCs/>
                <w:color w:val="000000"/>
                <w:sz w:val="16"/>
                <w:szCs w:val="16"/>
                <w:lang w:val="es-GT" w:eastAsia="es-GT"/>
              </w:rPr>
            </w:pPr>
            <w:r w:rsidRPr="00754E4D">
              <w:rPr>
                <w:b/>
                <w:bCs/>
                <w:color w:val="000000"/>
                <w:sz w:val="16"/>
                <w:szCs w:val="16"/>
                <w:lang w:val="es-GT" w:eastAsia="es-GT"/>
              </w:rPr>
              <w:t>% Ejec</w:t>
            </w:r>
          </w:p>
        </w:tc>
      </w:tr>
      <w:tr w:rsidR="00694E7F" w:rsidRPr="00E96B4E" w:rsidTr="00754E4D">
        <w:trPr>
          <w:trHeight w:val="259"/>
        </w:trPr>
        <w:tc>
          <w:tcPr>
            <w:tcW w:w="5547" w:type="dxa"/>
            <w:tcBorders>
              <w:top w:val="nil"/>
              <w:left w:val="single" w:sz="8" w:space="0" w:color="auto"/>
              <w:bottom w:val="nil"/>
              <w:right w:val="single" w:sz="4" w:space="0" w:color="auto"/>
            </w:tcBorders>
            <w:shd w:val="clear" w:color="FFFFFF" w:fill="FFFFFF"/>
            <w:noWrap/>
            <w:vAlign w:val="center"/>
            <w:hideMark/>
          </w:tcPr>
          <w:p w:rsidR="00694E7F" w:rsidRPr="00E96B4E" w:rsidRDefault="00694E7F" w:rsidP="00694E7F">
            <w:pPr>
              <w:rPr>
                <w:b/>
                <w:bCs/>
                <w:color w:val="333333"/>
                <w:sz w:val="14"/>
                <w:szCs w:val="16"/>
                <w:lang w:val="es-GT" w:eastAsia="es-GT"/>
              </w:rPr>
            </w:pPr>
            <w:r w:rsidRPr="00E96B4E">
              <w:rPr>
                <w:b/>
                <w:bCs/>
                <w:color w:val="333333"/>
                <w:sz w:val="14"/>
                <w:szCs w:val="16"/>
                <w:lang w:val="es-GT" w:eastAsia="es-GT"/>
              </w:rPr>
              <w:t>MINISTERIO DE ECONOMÍA</w:t>
            </w:r>
          </w:p>
        </w:tc>
        <w:tc>
          <w:tcPr>
            <w:tcW w:w="1044"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b/>
                <w:bCs/>
                <w:color w:val="333333"/>
                <w:sz w:val="14"/>
                <w:szCs w:val="16"/>
                <w:lang w:val="es-GT" w:eastAsia="es-GT"/>
              </w:rPr>
            </w:pPr>
            <w:r w:rsidRPr="00E96B4E">
              <w:rPr>
                <w:b/>
                <w:bCs/>
                <w:color w:val="333333"/>
                <w:sz w:val="14"/>
                <w:szCs w:val="16"/>
                <w:lang w:val="es-GT" w:eastAsia="es-GT"/>
              </w:rPr>
              <w:t>403.4</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b/>
                <w:bCs/>
                <w:color w:val="333333"/>
                <w:sz w:val="14"/>
                <w:szCs w:val="16"/>
                <w:lang w:val="es-GT" w:eastAsia="es-GT"/>
              </w:rPr>
            </w:pPr>
            <w:r w:rsidRPr="00E96B4E">
              <w:rPr>
                <w:b/>
                <w:bCs/>
                <w:color w:val="333333"/>
                <w:sz w:val="14"/>
                <w:szCs w:val="16"/>
                <w:lang w:val="es-GT" w:eastAsia="es-GT"/>
              </w:rPr>
              <w:t>3,408.9</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b/>
                <w:bCs/>
                <w:color w:val="333333"/>
                <w:sz w:val="14"/>
                <w:szCs w:val="16"/>
                <w:lang w:val="es-GT" w:eastAsia="es-GT"/>
              </w:rPr>
            </w:pPr>
            <w:r w:rsidRPr="00E96B4E">
              <w:rPr>
                <w:b/>
                <w:bCs/>
                <w:color w:val="333333"/>
                <w:sz w:val="14"/>
                <w:szCs w:val="16"/>
                <w:lang w:val="es-GT" w:eastAsia="es-GT"/>
              </w:rPr>
              <w:t>-3,005.5</w:t>
            </w:r>
          </w:p>
        </w:tc>
        <w:tc>
          <w:tcPr>
            <w:tcW w:w="851" w:type="dxa"/>
            <w:tcBorders>
              <w:top w:val="nil"/>
              <w:left w:val="nil"/>
              <w:bottom w:val="nil"/>
              <w:right w:val="single" w:sz="8" w:space="0" w:color="auto"/>
            </w:tcBorders>
            <w:shd w:val="clear" w:color="FFFFFF" w:fill="FFFFFF"/>
            <w:noWrap/>
            <w:vAlign w:val="center"/>
            <w:hideMark/>
          </w:tcPr>
          <w:p w:rsidR="00694E7F" w:rsidRPr="00E96B4E" w:rsidRDefault="00694E7F" w:rsidP="00694E7F">
            <w:pPr>
              <w:jc w:val="right"/>
              <w:rPr>
                <w:b/>
                <w:bCs/>
                <w:color w:val="333333"/>
                <w:sz w:val="14"/>
                <w:szCs w:val="16"/>
                <w:lang w:val="es-GT" w:eastAsia="es-GT"/>
              </w:rPr>
            </w:pPr>
            <w:r w:rsidRPr="00E96B4E">
              <w:rPr>
                <w:b/>
                <w:bCs/>
                <w:color w:val="333333"/>
                <w:sz w:val="14"/>
                <w:szCs w:val="16"/>
                <w:lang w:val="es-GT" w:eastAsia="es-GT"/>
              </w:rPr>
              <w:t>845.1%</w:t>
            </w:r>
          </w:p>
        </w:tc>
      </w:tr>
      <w:tr w:rsidR="00694E7F" w:rsidRPr="00E96B4E" w:rsidTr="00754E4D">
        <w:trPr>
          <w:trHeight w:val="259"/>
        </w:trPr>
        <w:tc>
          <w:tcPr>
            <w:tcW w:w="5547" w:type="dxa"/>
            <w:tcBorders>
              <w:top w:val="nil"/>
              <w:left w:val="single" w:sz="8" w:space="0" w:color="auto"/>
              <w:bottom w:val="nil"/>
              <w:right w:val="single" w:sz="4" w:space="0" w:color="auto"/>
            </w:tcBorders>
            <w:shd w:val="clear" w:color="FFFFFF" w:fill="FFFFFF"/>
            <w:noWrap/>
            <w:vAlign w:val="center"/>
            <w:hideMark/>
          </w:tcPr>
          <w:p w:rsidR="00694E7F" w:rsidRPr="00E96B4E" w:rsidRDefault="00694E7F" w:rsidP="00694E7F">
            <w:pPr>
              <w:ind w:firstLineChars="200" w:firstLine="280"/>
              <w:rPr>
                <w:color w:val="333333"/>
                <w:sz w:val="14"/>
                <w:szCs w:val="16"/>
                <w:lang w:val="es-GT" w:eastAsia="es-GT"/>
              </w:rPr>
            </w:pPr>
            <w:r w:rsidRPr="00E96B4E">
              <w:rPr>
                <w:color w:val="333333"/>
                <w:sz w:val="14"/>
                <w:szCs w:val="16"/>
                <w:lang w:val="es-GT" w:eastAsia="es-GT"/>
              </w:rPr>
              <w:t>PARTIDAS NO ASIGNABLES A PROGRAMAS</w:t>
            </w:r>
          </w:p>
        </w:tc>
        <w:tc>
          <w:tcPr>
            <w:tcW w:w="1044"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86.3</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49.6</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36.8</w:t>
            </w:r>
          </w:p>
        </w:tc>
        <w:tc>
          <w:tcPr>
            <w:tcW w:w="851" w:type="dxa"/>
            <w:tcBorders>
              <w:top w:val="nil"/>
              <w:left w:val="nil"/>
              <w:bottom w:val="nil"/>
              <w:right w:val="single" w:sz="8"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57.4%</w:t>
            </w:r>
          </w:p>
        </w:tc>
      </w:tr>
      <w:tr w:rsidR="00694E7F" w:rsidRPr="00E96B4E" w:rsidTr="00754E4D">
        <w:trPr>
          <w:trHeight w:val="259"/>
        </w:trPr>
        <w:tc>
          <w:tcPr>
            <w:tcW w:w="5547" w:type="dxa"/>
            <w:tcBorders>
              <w:top w:val="nil"/>
              <w:left w:val="single" w:sz="8" w:space="0" w:color="auto"/>
              <w:bottom w:val="nil"/>
              <w:right w:val="single" w:sz="4" w:space="0" w:color="auto"/>
            </w:tcBorders>
            <w:shd w:val="clear" w:color="FFFFFF" w:fill="FFFFFF"/>
            <w:noWrap/>
            <w:vAlign w:val="center"/>
            <w:hideMark/>
          </w:tcPr>
          <w:p w:rsidR="00694E7F" w:rsidRPr="00E96B4E" w:rsidRDefault="00694E7F" w:rsidP="00694E7F">
            <w:pPr>
              <w:ind w:firstLineChars="200" w:firstLine="280"/>
              <w:rPr>
                <w:color w:val="333333"/>
                <w:sz w:val="14"/>
                <w:szCs w:val="16"/>
                <w:lang w:val="es-GT" w:eastAsia="es-GT"/>
              </w:rPr>
            </w:pPr>
            <w:r w:rsidRPr="00E96B4E">
              <w:rPr>
                <w:color w:val="333333"/>
                <w:sz w:val="14"/>
                <w:szCs w:val="16"/>
                <w:lang w:val="es-GT" w:eastAsia="es-GT"/>
              </w:rPr>
              <w:t>GESTION INTEGRACION ECONOMICA Y COMERCIO</w:t>
            </w:r>
          </w:p>
        </w:tc>
        <w:tc>
          <w:tcPr>
            <w:tcW w:w="1044"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83.5</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331.5</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-248.0</w:t>
            </w:r>
          </w:p>
        </w:tc>
        <w:tc>
          <w:tcPr>
            <w:tcW w:w="851" w:type="dxa"/>
            <w:tcBorders>
              <w:top w:val="nil"/>
              <w:left w:val="nil"/>
              <w:bottom w:val="nil"/>
              <w:right w:val="single" w:sz="8"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396.8%</w:t>
            </w:r>
          </w:p>
        </w:tc>
      </w:tr>
      <w:tr w:rsidR="00694E7F" w:rsidRPr="00E96B4E" w:rsidTr="00754E4D">
        <w:trPr>
          <w:trHeight w:val="259"/>
        </w:trPr>
        <w:tc>
          <w:tcPr>
            <w:tcW w:w="5547" w:type="dxa"/>
            <w:tcBorders>
              <w:top w:val="nil"/>
              <w:left w:val="single" w:sz="8" w:space="0" w:color="auto"/>
              <w:bottom w:val="nil"/>
              <w:right w:val="single" w:sz="4" w:space="0" w:color="auto"/>
            </w:tcBorders>
            <w:shd w:val="clear" w:color="FFFFFF" w:fill="FFFFFF"/>
            <w:noWrap/>
            <w:vAlign w:val="center"/>
            <w:hideMark/>
          </w:tcPr>
          <w:p w:rsidR="00694E7F" w:rsidRPr="00E96B4E" w:rsidRDefault="00694E7F" w:rsidP="00694E7F">
            <w:pPr>
              <w:ind w:firstLineChars="200" w:firstLine="280"/>
              <w:rPr>
                <w:color w:val="333333"/>
                <w:sz w:val="14"/>
                <w:szCs w:val="16"/>
                <w:lang w:val="es-GT" w:eastAsia="es-GT"/>
              </w:rPr>
            </w:pPr>
            <w:r w:rsidRPr="00E96B4E">
              <w:rPr>
                <w:color w:val="333333"/>
                <w:sz w:val="14"/>
                <w:szCs w:val="16"/>
                <w:lang w:val="es-GT" w:eastAsia="es-GT"/>
              </w:rPr>
              <w:t>SERVICIOS REGISTRALES</w:t>
            </w:r>
          </w:p>
        </w:tc>
        <w:tc>
          <w:tcPr>
            <w:tcW w:w="1044"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72.8</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45.4</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27.4</w:t>
            </w:r>
          </w:p>
        </w:tc>
        <w:tc>
          <w:tcPr>
            <w:tcW w:w="851" w:type="dxa"/>
            <w:tcBorders>
              <w:top w:val="nil"/>
              <w:left w:val="nil"/>
              <w:bottom w:val="nil"/>
              <w:right w:val="single" w:sz="8"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62.4%</w:t>
            </w:r>
          </w:p>
        </w:tc>
      </w:tr>
      <w:tr w:rsidR="00694E7F" w:rsidRPr="00E96B4E" w:rsidTr="00754E4D">
        <w:trPr>
          <w:trHeight w:val="259"/>
        </w:trPr>
        <w:tc>
          <w:tcPr>
            <w:tcW w:w="5547" w:type="dxa"/>
            <w:tcBorders>
              <w:top w:val="nil"/>
              <w:left w:val="single" w:sz="8" w:space="0" w:color="auto"/>
              <w:bottom w:val="nil"/>
              <w:right w:val="single" w:sz="4" w:space="0" w:color="auto"/>
            </w:tcBorders>
            <w:shd w:val="clear" w:color="FFFFFF" w:fill="FFFFFF"/>
            <w:vAlign w:val="center"/>
            <w:hideMark/>
          </w:tcPr>
          <w:p w:rsidR="00694E7F" w:rsidRPr="00E96B4E" w:rsidRDefault="00694E7F" w:rsidP="00694E7F">
            <w:pPr>
              <w:ind w:firstLineChars="200" w:firstLine="280"/>
              <w:rPr>
                <w:color w:val="333333"/>
                <w:sz w:val="14"/>
                <w:szCs w:val="16"/>
                <w:lang w:val="es-GT" w:eastAsia="es-GT"/>
              </w:rPr>
            </w:pPr>
            <w:r w:rsidRPr="00E96B4E">
              <w:rPr>
                <w:color w:val="333333"/>
                <w:sz w:val="14"/>
                <w:szCs w:val="16"/>
                <w:lang w:val="es-GT" w:eastAsia="es-GT"/>
              </w:rPr>
              <w:t>ACTIVIDADES CENTRALES</w:t>
            </w:r>
          </w:p>
        </w:tc>
        <w:tc>
          <w:tcPr>
            <w:tcW w:w="1044"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57.4</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57.7</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-0.3</w:t>
            </w:r>
          </w:p>
        </w:tc>
        <w:tc>
          <w:tcPr>
            <w:tcW w:w="851" w:type="dxa"/>
            <w:tcBorders>
              <w:top w:val="nil"/>
              <w:left w:val="nil"/>
              <w:bottom w:val="nil"/>
              <w:right w:val="single" w:sz="8"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100.6%</w:t>
            </w:r>
          </w:p>
        </w:tc>
      </w:tr>
      <w:tr w:rsidR="00694E7F" w:rsidRPr="00E96B4E" w:rsidTr="00754E4D">
        <w:trPr>
          <w:trHeight w:val="259"/>
        </w:trPr>
        <w:tc>
          <w:tcPr>
            <w:tcW w:w="5547" w:type="dxa"/>
            <w:tcBorders>
              <w:top w:val="nil"/>
              <w:left w:val="single" w:sz="8" w:space="0" w:color="auto"/>
              <w:bottom w:val="nil"/>
              <w:right w:val="single" w:sz="4" w:space="0" w:color="auto"/>
            </w:tcBorders>
            <w:shd w:val="clear" w:color="FFFFFF" w:fill="FFFFFF"/>
            <w:noWrap/>
            <w:vAlign w:val="center"/>
            <w:hideMark/>
          </w:tcPr>
          <w:p w:rsidR="00694E7F" w:rsidRPr="00E96B4E" w:rsidRDefault="00694E7F" w:rsidP="00694E7F">
            <w:pPr>
              <w:ind w:firstLineChars="200" w:firstLine="280"/>
              <w:rPr>
                <w:color w:val="333333"/>
                <w:sz w:val="14"/>
                <w:szCs w:val="16"/>
                <w:lang w:val="es-GT" w:eastAsia="es-GT"/>
              </w:rPr>
            </w:pPr>
            <w:r w:rsidRPr="00E96B4E">
              <w:rPr>
                <w:color w:val="333333"/>
                <w:sz w:val="14"/>
                <w:szCs w:val="16"/>
                <w:lang w:val="es-GT" w:eastAsia="es-GT"/>
              </w:rPr>
              <w:t>DESARROLLO MICRO, PEQUEÑA Y MEDIANA EMPRESA</w:t>
            </w:r>
          </w:p>
        </w:tc>
        <w:tc>
          <w:tcPr>
            <w:tcW w:w="1044"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53.1</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480.7</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-427.6</w:t>
            </w:r>
          </w:p>
        </w:tc>
        <w:tc>
          <w:tcPr>
            <w:tcW w:w="851" w:type="dxa"/>
            <w:tcBorders>
              <w:top w:val="nil"/>
              <w:left w:val="nil"/>
              <w:bottom w:val="nil"/>
              <w:right w:val="single" w:sz="8"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905.6%</w:t>
            </w:r>
          </w:p>
        </w:tc>
      </w:tr>
      <w:tr w:rsidR="00694E7F" w:rsidRPr="00E96B4E" w:rsidTr="00754E4D">
        <w:trPr>
          <w:trHeight w:val="259"/>
        </w:trPr>
        <w:tc>
          <w:tcPr>
            <w:tcW w:w="5547" w:type="dxa"/>
            <w:tcBorders>
              <w:top w:val="nil"/>
              <w:left w:val="single" w:sz="8" w:space="0" w:color="auto"/>
              <w:bottom w:val="nil"/>
              <w:right w:val="single" w:sz="4" w:space="0" w:color="auto"/>
            </w:tcBorders>
            <w:shd w:val="clear" w:color="FFFFFF" w:fill="FFFFFF"/>
            <w:vAlign w:val="center"/>
            <w:hideMark/>
          </w:tcPr>
          <w:p w:rsidR="00694E7F" w:rsidRPr="00E96B4E" w:rsidRDefault="00694E7F" w:rsidP="00694E7F">
            <w:pPr>
              <w:ind w:firstLineChars="200" w:firstLine="280"/>
              <w:rPr>
                <w:color w:val="333333"/>
                <w:sz w:val="14"/>
                <w:szCs w:val="16"/>
                <w:lang w:val="es-GT" w:eastAsia="es-GT"/>
              </w:rPr>
            </w:pPr>
            <w:r w:rsidRPr="00E96B4E">
              <w:rPr>
                <w:color w:val="333333"/>
                <w:sz w:val="14"/>
                <w:szCs w:val="16"/>
                <w:lang w:val="es-GT" w:eastAsia="es-GT"/>
              </w:rPr>
              <w:t>PROMOCION DE LA INVERSION Y COMPETENCIA</w:t>
            </w:r>
          </w:p>
        </w:tc>
        <w:tc>
          <w:tcPr>
            <w:tcW w:w="1044"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31.4</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21.2</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10.2</w:t>
            </w:r>
          </w:p>
        </w:tc>
        <w:tc>
          <w:tcPr>
            <w:tcW w:w="851" w:type="dxa"/>
            <w:tcBorders>
              <w:top w:val="nil"/>
              <w:left w:val="nil"/>
              <w:bottom w:val="nil"/>
              <w:right w:val="single" w:sz="8"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67.4%</w:t>
            </w:r>
          </w:p>
        </w:tc>
      </w:tr>
      <w:tr w:rsidR="00694E7F" w:rsidRPr="00E96B4E" w:rsidTr="00754E4D">
        <w:trPr>
          <w:trHeight w:val="259"/>
        </w:trPr>
        <w:tc>
          <w:tcPr>
            <w:tcW w:w="5547" w:type="dxa"/>
            <w:tcBorders>
              <w:top w:val="nil"/>
              <w:left w:val="single" w:sz="8" w:space="0" w:color="auto"/>
              <w:bottom w:val="nil"/>
              <w:right w:val="single" w:sz="4" w:space="0" w:color="auto"/>
            </w:tcBorders>
            <w:shd w:val="clear" w:color="FFFFFF" w:fill="FFFFFF"/>
            <w:noWrap/>
            <w:vAlign w:val="center"/>
            <w:hideMark/>
          </w:tcPr>
          <w:p w:rsidR="00694E7F" w:rsidRPr="00E96B4E" w:rsidRDefault="00694E7F" w:rsidP="00694E7F">
            <w:pPr>
              <w:ind w:firstLineChars="200" w:firstLine="280"/>
              <w:rPr>
                <w:color w:val="333333"/>
                <w:sz w:val="14"/>
                <w:szCs w:val="16"/>
                <w:lang w:val="es-GT" w:eastAsia="es-GT"/>
              </w:rPr>
            </w:pPr>
            <w:r w:rsidRPr="00E96B4E">
              <w:rPr>
                <w:color w:val="333333"/>
                <w:sz w:val="14"/>
                <w:szCs w:val="16"/>
                <w:lang w:val="es-GT" w:eastAsia="es-GT"/>
              </w:rPr>
              <w:t>ASISTENCIA PROTECCION CONSUMIDOR SUPERVISION COMERCIO INTERNO</w:t>
            </w:r>
          </w:p>
        </w:tc>
        <w:tc>
          <w:tcPr>
            <w:tcW w:w="1044"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18.9</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22.1</w:t>
            </w:r>
          </w:p>
        </w:tc>
        <w:tc>
          <w:tcPr>
            <w:tcW w:w="992" w:type="dxa"/>
            <w:tcBorders>
              <w:top w:val="nil"/>
              <w:left w:val="nil"/>
              <w:bottom w:val="nil"/>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-3.2</w:t>
            </w:r>
          </w:p>
        </w:tc>
        <w:tc>
          <w:tcPr>
            <w:tcW w:w="851" w:type="dxa"/>
            <w:tcBorders>
              <w:top w:val="nil"/>
              <w:left w:val="nil"/>
              <w:bottom w:val="nil"/>
              <w:right w:val="single" w:sz="8"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116.9%</w:t>
            </w:r>
          </w:p>
        </w:tc>
      </w:tr>
      <w:tr w:rsidR="00694E7F" w:rsidRPr="00E96B4E" w:rsidTr="00754E4D">
        <w:trPr>
          <w:trHeight w:val="259"/>
        </w:trPr>
        <w:tc>
          <w:tcPr>
            <w:tcW w:w="5547" w:type="dxa"/>
            <w:tcBorders>
              <w:top w:val="nil"/>
              <w:left w:val="single" w:sz="8" w:space="0" w:color="auto"/>
              <w:bottom w:val="single" w:sz="8" w:space="0" w:color="auto"/>
              <w:right w:val="single" w:sz="4" w:space="0" w:color="auto"/>
            </w:tcBorders>
            <w:shd w:val="clear" w:color="FFFFFF" w:fill="FFFFFF"/>
            <w:vAlign w:val="center"/>
            <w:hideMark/>
          </w:tcPr>
          <w:p w:rsidR="00694E7F" w:rsidRPr="00E96B4E" w:rsidRDefault="00694E7F" w:rsidP="00694E7F">
            <w:pPr>
              <w:ind w:firstLineChars="200" w:firstLine="280"/>
              <w:rPr>
                <w:color w:val="333333"/>
                <w:sz w:val="14"/>
                <w:szCs w:val="16"/>
                <w:lang w:val="es-GT" w:eastAsia="es-GT"/>
              </w:rPr>
            </w:pPr>
            <w:r w:rsidRPr="00E96B4E">
              <w:rPr>
                <w:color w:val="333333"/>
                <w:sz w:val="14"/>
                <w:szCs w:val="16"/>
                <w:lang w:val="es-GT" w:eastAsia="es-GT"/>
              </w:rPr>
              <w:t>ATENCIÓN DESASTRES NATURALES Y CALAMIDADES</w:t>
            </w:r>
          </w:p>
        </w:tc>
        <w:tc>
          <w:tcPr>
            <w:tcW w:w="1044" w:type="dxa"/>
            <w:tcBorders>
              <w:top w:val="nil"/>
              <w:left w:val="nil"/>
              <w:bottom w:val="single" w:sz="8" w:space="0" w:color="auto"/>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0.0</w:t>
            </w:r>
          </w:p>
        </w:tc>
        <w:tc>
          <w:tcPr>
            <w:tcW w:w="992" w:type="dxa"/>
            <w:tcBorders>
              <w:top w:val="nil"/>
              <w:left w:val="nil"/>
              <w:bottom w:val="single" w:sz="8" w:space="0" w:color="auto"/>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2,400.8</w:t>
            </w:r>
          </w:p>
        </w:tc>
        <w:tc>
          <w:tcPr>
            <w:tcW w:w="992" w:type="dxa"/>
            <w:tcBorders>
              <w:top w:val="nil"/>
              <w:left w:val="nil"/>
              <w:bottom w:val="single" w:sz="8" w:space="0" w:color="auto"/>
              <w:right w:val="single" w:sz="4" w:space="0" w:color="auto"/>
            </w:tcBorders>
            <w:shd w:val="clear" w:color="FFFFFF" w:fill="FFFFFF"/>
            <w:noWrap/>
            <w:vAlign w:val="center"/>
            <w:hideMark/>
          </w:tcPr>
          <w:p w:rsidR="00694E7F" w:rsidRPr="00E96B4E" w:rsidRDefault="00694E7F" w:rsidP="00694E7F">
            <w:pPr>
              <w:jc w:val="right"/>
              <w:rPr>
                <w:color w:val="333333"/>
                <w:sz w:val="14"/>
                <w:szCs w:val="16"/>
                <w:lang w:val="es-GT" w:eastAsia="es-GT"/>
              </w:rPr>
            </w:pPr>
            <w:r w:rsidRPr="00E96B4E">
              <w:rPr>
                <w:color w:val="333333"/>
                <w:sz w:val="14"/>
                <w:szCs w:val="16"/>
                <w:lang w:val="es-GT" w:eastAsia="es-GT"/>
              </w:rPr>
              <w:t>-2,400.8</w:t>
            </w:r>
          </w:p>
        </w:tc>
        <w:tc>
          <w:tcPr>
            <w:tcW w:w="851" w:type="dxa"/>
            <w:tcBorders>
              <w:top w:val="nil"/>
              <w:left w:val="single" w:sz="4" w:space="0" w:color="auto"/>
              <w:bottom w:val="single" w:sz="8" w:space="0" w:color="auto"/>
              <w:right w:val="single" w:sz="8" w:space="0" w:color="auto"/>
            </w:tcBorders>
            <w:shd w:val="clear" w:color="FFFFFF" w:fill="FFFFFF"/>
            <w:noWrap/>
            <w:vAlign w:val="center"/>
            <w:hideMark/>
          </w:tcPr>
          <w:p w:rsidR="00694E7F" w:rsidRPr="00E96B4E" w:rsidRDefault="00694E7F" w:rsidP="00694E7F">
            <w:pPr>
              <w:jc w:val="right"/>
              <w:rPr>
                <w:color w:val="FFFFFF"/>
                <w:sz w:val="14"/>
                <w:szCs w:val="16"/>
                <w:lang w:val="es-GT" w:eastAsia="es-GT"/>
              </w:rPr>
            </w:pPr>
            <w:r w:rsidRPr="00E96B4E">
              <w:rPr>
                <w:color w:val="FFFFFF"/>
                <w:sz w:val="14"/>
                <w:szCs w:val="16"/>
                <w:lang w:val="es-GT" w:eastAsia="es-GT"/>
              </w:rPr>
              <w:t>#¡DIV/0!</w:t>
            </w: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Pr="00D108FD" w:rsidRDefault="00694E7F" w:rsidP="00694E7F">
      <w:pPr>
        <w:jc w:val="both"/>
      </w:pPr>
    </w:p>
    <w:p w:rsidR="00694E7F" w:rsidRDefault="00694E7F" w:rsidP="00694E7F">
      <w:pPr>
        <w:jc w:val="both"/>
        <w:rPr>
          <w:b/>
        </w:rPr>
      </w:pPr>
    </w:p>
    <w:p w:rsidR="00694E7F" w:rsidRDefault="00694E7F" w:rsidP="00694E7F">
      <w:pPr>
        <w:jc w:val="both"/>
        <w:rPr>
          <w:b/>
        </w:rPr>
      </w:pPr>
      <w:r w:rsidRPr="00D108FD">
        <w:rPr>
          <w:b/>
        </w:rPr>
        <w:t>Ministerio de Agricultura, Ganadería y Alimentación</w:t>
      </w:r>
      <w:r>
        <w:rPr>
          <w:b/>
        </w:rPr>
        <w:t>:</w:t>
      </w:r>
    </w:p>
    <w:p w:rsidR="00694E7F" w:rsidRPr="00D108FD" w:rsidRDefault="00694E7F" w:rsidP="00694E7F">
      <w:pPr>
        <w:jc w:val="both"/>
        <w:rPr>
          <w:b/>
        </w:rPr>
      </w:pPr>
    </w:p>
    <w:p w:rsidR="00694E7F" w:rsidRDefault="00694E7F" w:rsidP="00694E7F">
      <w:pPr>
        <w:jc w:val="both"/>
      </w:pPr>
      <w:r w:rsidRPr="00D108FD">
        <w:t>El M</w:t>
      </w:r>
      <w:r>
        <w:t>inisterio de Agricultura, Ganadería y Alimentación (MAGA)</w:t>
      </w:r>
      <w:r w:rsidRPr="00D108FD">
        <w:t xml:space="preserve"> tuvo un presupuesto</w:t>
      </w:r>
      <w:r>
        <w:t xml:space="preserve"> aprobado</w:t>
      </w:r>
      <w:r w:rsidRPr="00D108FD">
        <w:t xml:space="preserve"> de </w:t>
      </w:r>
      <w:r>
        <w:t>Q</w:t>
      </w:r>
      <w:r w:rsidR="00776FE6">
        <w:t>.</w:t>
      </w:r>
      <w:r w:rsidRPr="00D108FD">
        <w:t>1,</w:t>
      </w:r>
      <w:r>
        <w:t>365.4</w:t>
      </w:r>
      <w:r w:rsidRPr="00D108FD">
        <w:t xml:space="preserve"> millones y una ejecución presupuestaria de </w:t>
      </w:r>
      <w:r>
        <w:t>Q</w:t>
      </w:r>
      <w:r w:rsidR="00776FE6">
        <w:t>.</w:t>
      </w:r>
      <w:r w:rsidRPr="00D108FD">
        <w:t>1,</w:t>
      </w:r>
      <w:r>
        <w:t>122.4</w:t>
      </w:r>
      <w:r w:rsidRPr="00D108FD">
        <w:t xml:space="preserve"> millones equivalente</w:t>
      </w:r>
      <w:r w:rsidR="00776FE6">
        <w:t>s</w:t>
      </w:r>
      <w:r w:rsidRPr="00D108FD">
        <w:t xml:space="preserve"> al </w:t>
      </w:r>
      <w:r>
        <w:t>82.2</w:t>
      </w:r>
      <w:r w:rsidRPr="00D108FD">
        <w:t>%</w:t>
      </w:r>
      <w:r>
        <w:t>.</w:t>
      </w:r>
    </w:p>
    <w:p w:rsidR="00694E7F" w:rsidRPr="00D108FD" w:rsidRDefault="00694E7F" w:rsidP="00694E7F">
      <w:pPr>
        <w:jc w:val="both"/>
      </w:pPr>
    </w:p>
    <w:p w:rsidR="00694E7F" w:rsidRDefault="00694E7F" w:rsidP="00694E7F">
      <w:pPr>
        <w:jc w:val="both"/>
      </w:pPr>
      <w:r w:rsidRPr="00D108FD">
        <w:t xml:space="preserve">De acuerdo </w:t>
      </w:r>
      <w:r>
        <w:t>a</w:t>
      </w:r>
      <w:r w:rsidRPr="00D108FD">
        <w:t>l S</w:t>
      </w:r>
      <w:r>
        <w:t>ICOIN</w:t>
      </w:r>
      <w:r w:rsidRPr="00D108FD">
        <w:t>, los programas prioritarios para las funciones esenciales de este ministerio,</w:t>
      </w:r>
      <w:r>
        <w:t xml:space="preserve"> se ubica primeramente el de </w:t>
      </w:r>
      <w:r w:rsidRPr="00D108FD">
        <w:t xml:space="preserve">“Apoyo a la Agricultura Familiar” el cual tuvo un presupuesto </w:t>
      </w:r>
      <w:r>
        <w:t xml:space="preserve">aprobado </w:t>
      </w:r>
      <w:r w:rsidRPr="00D108FD">
        <w:t xml:space="preserve">de </w:t>
      </w:r>
      <w:r>
        <w:t>Q</w:t>
      </w:r>
      <w:r w:rsidR="00776FE6">
        <w:t>.</w:t>
      </w:r>
      <w:r>
        <w:t>601.7 millones</w:t>
      </w:r>
      <w:r w:rsidRPr="00D108FD">
        <w:t xml:space="preserve"> y una ejecución presupuestaria de </w:t>
      </w:r>
      <w:r>
        <w:t>Q</w:t>
      </w:r>
      <w:r w:rsidR="00776FE6">
        <w:t>.</w:t>
      </w:r>
      <w:r>
        <w:t>332.4</w:t>
      </w:r>
      <w:r w:rsidRPr="00D108FD">
        <w:t xml:space="preserve"> millones equivalentes al </w:t>
      </w:r>
      <w:r>
        <w:t>55.2</w:t>
      </w:r>
      <w:r w:rsidRPr="00D108FD">
        <w:t>%.</w:t>
      </w:r>
    </w:p>
    <w:p w:rsidR="00694E7F" w:rsidRPr="00D108FD" w:rsidRDefault="00694E7F" w:rsidP="00694E7F">
      <w:pPr>
        <w:jc w:val="both"/>
      </w:pPr>
    </w:p>
    <w:p w:rsidR="00694E7F" w:rsidRDefault="00694E7F" w:rsidP="00694E7F">
      <w:pPr>
        <w:jc w:val="both"/>
      </w:pPr>
      <w:r w:rsidRPr="00D108FD">
        <w:t>El programa de “Apoyo a la Productividad y Competitividad Agropecuaria e Hidrobiológica” tuvo un presupuesto</w:t>
      </w:r>
      <w:r>
        <w:t xml:space="preserve"> inicial</w:t>
      </w:r>
      <w:r w:rsidRPr="00D108FD">
        <w:t xml:space="preserve"> de </w:t>
      </w:r>
      <w:r>
        <w:t>Q</w:t>
      </w:r>
      <w:r w:rsidR="009374CC">
        <w:t>.</w:t>
      </w:r>
      <w:r>
        <w:t>323.1</w:t>
      </w:r>
      <w:r w:rsidRPr="00D108FD">
        <w:t xml:space="preserve"> millones y una ejecución presupuestaria de </w:t>
      </w:r>
      <w:r>
        <w:t>Q</w:t>
      </w:r>
      <w:r w:rsidR="00776FE6">
        <w:t>.</w:t>
      </w:r>
      <w:r>
        <w:t xml:space="preserve">126.5 </w:t>
      </w:r>
      <w:r w:rsidRPr="00D108FD">
        <w:t>millones equivalente</w:t>
      </w:r>
      <w:r w:rsidR="00776FE6">
        <w:t>s</w:t>
      </w:r>
      <w:r w:rsidRPr="00D108FD">
        <w:t xml:space="preserve"> al </w:t>
      </w:r>
      <w:r>
        <w:t>39.2</w:t>
      </w:r>
      <w:r w:rsidRPr="00D108FD">
        <w:t>%.</w:t>
      </w:r>
    </w:p>
    <w:p w:rsidR="00694E7F" w:rsidRPr="00D108FD" w:rsidRDefault="00694E7F" w:rsidP="00694E7F">
      <w:pPr>
        <w:jc w:val="both"/>
      </w:pPr>
    </w:p>
    <w:p w:rsidR="00694E7F" w:rsidRDefault="00694E7F" w:rsidP="00694E7F">
      <w:pPr>
        <w:jc w:val="both"/>
      </w:pPr>
      <w:r w:rsidRPr="00D108FD">
        <w:t xml:space="preserve">Las Actividades Centrales </w:t>
      </w:r>
      <w:r>
        <w:t>con presupuesto aprobado de Q</w:t>
      </w:r>
      <w:r w:rsidR="00776FE6">
        <w:t>.</w:t>
      </w:r>
      <w:r>
        <w:t>141.1</w:t>
      </w:r>
      <w:r w:rsidRPr="00D108FD">
        <w:t xml:space="preserve"> millones y una ejecución presupuestaria de </w:t>
      </w:r>
      <w:r>
        <w:t>Q</w:t>
      </w:r>
      <w:r w:rsidR="00776FE6">
        <w:t>.</w:t>
      </w:r>
      <w:r>
        <w:t>154.7</w:t>
      </w:r>
      <w:r w:rsidRPr="00D108FD">
        <w:t xml:space="preserve"> millones equivalente</w:t>
      </w:r>
      <w:r w:rsidR="00776FE6">
        <w:t>s</w:t>
      </w:r>
      <w:r w:rsidRPr="00D108FD">
        <w:t xml:space="preserve"> a un </w:t>
      </w:r>
      <w:r>
        <w:t>109.6</w:t>
      </w:r>
      <w:r w:rsidRPr="00D108FD">
        <w:t>%</w:t>
      </w:r>
      <w:r>
        <w:t>.</w:t>
      </w:r>
    </w:p>
    <w:p w:rsidR="00694E7F" w:rsidRPr="00D108FD" w:rsidRDefault="00694E7F" w:rsidP="00694E7F">
      <w:pPr>
        <w:jc w:val="both"/>
      </w:pPr>
    </w:p>
    <w:p w:rsidR="00694E7F" w:rsidRDefault="00694E7F" w:rsidP="00694E7F">
      <w:pPr>
        <w:jc w:val="both"/>
      </w:pPr>
      <w:r w:rsidRPr="00D108FD">
        <w:t>E</w:t>
      </w:r>
      <w:r>
        <w:t xml:space="preserve">ste Ministerio </w:t>
      </w:r>
      <w:r w:rsidRPr="00D108FD">
        <w:t>con</w:t>
      </w:r>
      <w:r>
        <w:t>sideró</w:t>
      </w:r>
      <w:r w:rsidRPr="00D108FD">
        <w:t xml:space="preserve"> </w:t>
      </w:r>
      <w:r>
        <w:t>“</w:t>
      </w:r>
      <w:r w:rsidRPr="00D108FD">
        <w:t>Partidas No Asignables a Programas</w:t>
      </w:r>
      <w:r>
        <w:t>”</w:t>
      </w:r>
      <w:r w:rsidRPr="00D108FD">
        <w:t xml:space="preserve"> con un presupuesto</w:t>
      </w:r>
      <w:r>
        <w:t xml:space="preserve"> aprobado</w:t>
      </w:r>
      <w:r w:rsidRPr="00D108FD">
        <w:t xml:space="preserve"> de </w:t>
      </w:r>
      <w:r>
        <w:t>Q</w:t>
      </w:r>
      <w:r w:rsidR="00776FE6">
        <w:t>.</w:t>
      </w:r>
      <w:r w:rsidRPr="00D108FD">
        <w:t>24</w:t>
      </w:r>
      <w:r>
        <w:t xml:space="preserve">4.1 </w:t>
      </w:r>
      <w:r w:rsidRPr="00D108FD">
        <w:t xml:space="preserve">millones y una ejecución presupuestaria de </w:t>
      </w:r>
      <w:r>
        <w:t>Q</w:t>
      </w:r>
      <w:r w:rsidR="00776FE6">
        <w:t>.</w:t>
      </w:r>
      <w:r w:rsidRPr="00D108FD">
        <w:t>2</w:t>
      </w:r>
      <w:r>
        <w:t>22.5</w:t>
      </w:r>
      <w:r w:rsidRPr="00D108FD">
        <w:t xml:space="preserve"> millones equivalente</w:t>
      </w:r>
      <w:r w:rsidR="00776FE6">
        <w:t>s</w:t>
      </w:r>
      <w:r w:rsidRPr="00D108FD">
        <w:t xml:space="preserve"> al 9</w:t>
      </w:r>
      <w:r>
        <w:t>1.2</w:t>
      </w:r>
      <w:r w:rsidRPr="00D108FD">
        <w:t>%</w:t>
      </w:r>
      <w:r>
        <w:t>.</w:t>
      </w:r>
    </w:p>
    <w:p w:rsidR="00694E7F" w:rsidRDefault="00694E7F" w:rsidP="00694E7F">
      <w:pPr>
        <w:jc w:val="both"/>
      </w:pPr>
    </w:p>
    <w:p w:rsidR="00694E7F" w:rsidRDefault="00694E7F" w:rsidP="00694E7F">
      <w:pPr>
        <w:jc w:val="both"/>
      </w:pPr>
      <w:r>
        <w:t xml:space="preserve">Este ministerio también cuenta con registro de ejecución en el programa </w:t>
      </w:r>
      <w:r w:rsidRPr="00557291">
        <w:rPr>
          <w:i/>
        </w:rPr>
        <w:t>Atención por Desastres Naturales y Calamidades Públicas</w:t>
      </w:r>
      <w:r>
        <w:t>, el cual no tuvo presupuesto asignado pero si un registro de ejecución por valor de Q</w:t>
      </w:r>
      <w:r w:rsidR="00776FE6">
        <w:t>.</w:t>
      </w:r>
      <w:r>
        <w:t>254.7 millones.</w:t>
      </w:r>
    </w:p>
    <w:p w:rsidR="00694E7F" w:rsidRPr="00D108FD" w:rsidRDefault="00694E7F" w:rsidP="00694E7F">
      <w:pPr>
        <w:jc w:val="both"/>
      </w:pPr>
    </w:p>
    <w:p w:rsidR="00694E7F" w:rsidRDefault="00694E7F" w:rsidP="00694E7F">
      <w:pPr>
        <w:jc w:val="both"/>
      </w:pPr>
      <w:r w:rsidRPr="00D108FD">
        <w:t xml:space="preserve">Los restantes 2 programas tuvieron una ejecución presupuestaria por debajo de </w:t>
      </w:r>
      <w:r>
        <w:t>Q</w:t>
      </w:r>
      <w:r w:rsidR="00776FE6">
        <w:t>.</w:t>
      </w:r>
      <w:r>
        <w:t>30.5</w:t>
      </w:r>
      <w:r w:rsidRPr="00D108FD">
        <w:t xml:space="preserve"> millones</w:t>
      </w:r>
      <w:r>
        <w:t xml:space="preserve"> del programa “Desarrollo Sostenible de los Recursos Naturales”</w:t>
      </w:r>
      <w:r w:rsidRPr="00D108FD">
        <w:t>, según se observa en el cuadro a continuación.</w:t>
      </w:r>
    </w:p>
    <w:p w:rsidR="00694E7F" w:rsidRDefault="00694E7F" w:rsidP="00694E7F">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Programa!F104C2:F111C6"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fldChar w:fldCharType="end"/>
      </w:r>
    </w:p>
    <w:tbl>
      <w:tblPr>
        <w:tblW w:w="9685" w:type="dxa"/>
        <w:tblCellMar>
          <w:left w:w="70" w:type="dxa"/>
          <w:right w:w="70" w:type="dxa"/>
        </w:tblCellMar>
        <w:tblLook w:val="04A0" w:firstRow="1" w:lastRow="0" w:firstColumn="1" w:lastColumn="0" w:noHBand="0" w:noVBand="1"/>
      </w:tblPr>
      <w:tblGrid>
        <w:gridCol w:w="5740"/>
        <w:gridCol w:w="993"/>
        <w:gridCol w:w="992"/>
        <w:gridCol w:w="1030"/>
        <w:gridCol w:w="930"/>
      </w:tblGrid>
      <w:tr w:rsidR="00694E7F" w:rsidRPr="007F08BF" w:rsidTr="00575460">
        <w:trPr>
          <w:trHeight w:val="259"/>
        </w:trPr>
        <w:tc>
          <w:tcPr>
            <w:tcW w:w="5740"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lastRenderedPageBreak/>
              <w:t>DESCRIPCION</w:t>
            </w:r>
          </w:p>
        </w:tc>
        <w:tc>
          <w:tcPr>
            <w:tcW w:w="993"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Ejecución</w:t>
            </w:r>
          </w:p>
        </w:tc>
        <w:tc>
          <w:tcPr>
            <w:tcW w:w="1030"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Diferencias</w:t>
            </w:r>
          </w:p>
        </w:tc>
        <w:tc>
          <w:tcPr>
            <w:tcW w:w="930"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 Ejec</w:t>
            </w:r>
          </w:p>
        </w:tc>
      </w:tr>
      <w:tr w:rsidR="00694E7F" w:rsidRPr="007F08BF" w:rsidTr="00575460">
        <w:trPr>
          <w:trHeight w:val="259"/>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7F08BF" w:rsidRDefault="00694E7F" w:rsidP="00694E7F">
            <w:pPr>
              <w:rPr>
                <w:b/>
                <w:bCs/>
                <w:color w:val="333333"/>
                <w:sz w:val="14"/>
                <w:szCs w:val="16"/>
                <w:lang w:val="es-GT" w:eastAsia="es-GT"/>
              </w:rPr>
            </w:pPr>
            <w:r w:rsidRPr="007F08BF">
              <w:rPr>
                <w:b/>
                <w:bCs/>
                <w:color w:val="333333"/>
                <w:sz w:val="14"/>
                <w:szCs w:val="16"/>
                <w:lang w:val="es-GT" w:eastAsia="es-GT"/>
              </w:rPr>
              <w:t>MINISTERIO DE AGRICULTURA, GANADERÍA Y ALIMENTACIÓN</w:t>
            </w:r>
          </w:p>
        </w:tc>
        <w:tc>
          <w:tcPr>
            <w:tcW w:w="993"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b/>
                <w:bCs/>
                <w:color w:val="333333"/>
                <w:sz w:val="14"/>
                <w:szCs w:val="16"/>
                <w:lang w:val="es-GT" w:eastAsia="es-GT"/>
              </w:rPr>
            </w:pPr>
            <w:r w:rsidRPr="007F08BF">
              <w:rPr>
                <w:b/>
                <w:bCs/>
                <w:color w:val="333333"/>
                <w:sz w:val="14"/>
                <w:szCs w:val="16"/>
                <w:lang w:val="es-GT" w:eastAsia="es-GT"/>
              </w:rPr>
              <w:t>1,365.4</w:t>
            </w:r>
          </w:p>
        </w:tc>
        <w:tc>
          <w:tcPr>
            <w:tcW w:w="992"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b/>
                <w:bCs/>
                <w:color w:val="333333"/>
                <w:sz w:val="14"/>
                <w:szCs w:val="16"/>
                <w:lang w:val="es-GT" w:eastAsia="es-GT"/>
              </w:rPr>
            </w:pPr>
            <w:r w:rsidRPr="007F08BF">
              <w:rPr>
                <w:b/>
                <w:bCs/>
                <w:color w:val="333333"/>
                <w:sz w:val="14"/>
                <w:szCs w:val="16"/>
                <w:lang w:val="es-GT" w:eastAsia="es-GT"/>
              </w:rPr>
              <w:t>1,122.4</w:t>
            </w:r>
          </w:p>
        </w:tc>
        <w:tc>
          <w:tcPr>
            <w:tcW w:w="1030"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b/>
                <w:bCs/>
                <w:color w:val="333333"/>
                <w:sz w:val="14"/>
                <w:szCs w:val="16"/>
                <w:lang w:val="es-GT" w:eastAsia="es-GT"/>
              </w:rPr>
            </w:pPr>
            <w:r w:rsidRPr="007F08BF">
              <w:rPr>
                <w:b/>
                <w:bCs/>
                <w:color w:val="333333"/>
                <w:sz w:val="14"/>
                <w:szCs w:val="16"/>
                <w:lang w:val="es-GT" w:eastAsia="es-GT"/>
              </w:rPr>
              <w:t>243.0</w:t>
            </w:r>
          </w:p>
        </w:tc>
        <w:tc>
          <w:tcPr>
            <w:tcW w:w="930" w:type="dxa"/>
            <w:tcBorders>
              <w:top w:val="nil"/>
              <w:left w:val="nil"/>
              <w:bottom w:val="nil"/>
              <w:right w:val="single" w:sz="8" w:space="0" w:color="auto"/>
            </w:tcBorders>
            <w:shd w:val="clear" w:color="FFFFFF" w:fill="FFFFFF"/>
            <w:noWrap/>
            <w:vAlign w:val="center"/>
            <w:hideMark/>
          </w:tcPr>
          <w:p w:rsidR="00694E7F" w:rsidRPr="007F08BF" w:rsidRDefault="00694E7F" w:rsidP="00694E7F">
            <w:pPr>
              <w:jc w:val="right"/>
              <w:rPr>
                <w:b/>
                <w:bCs/>
                <w:color w:val="333333"/>
                <w:sz w:val="14"/>
                <w:szCs w:val="16"/>
                <w:lang w:val="es-GT" w:eastAsia="es-GT"/>
              </w:rPr>
            </w:pPr>
            <w:r w:rsidRPr="007F08BF">
              <w:rPr>
                <w:b/>
                <w:bCs/>
                <w:color w:val="333333"/>
                <w:sz w:val="14"/>
                <w:szCs w:val="16"/>
                <w:lang w:val="es-GT" w:eastAsia="es-GT"/>
              </w:rPr>
              <w:t>82.2%</w:t>
            </w:r>
          </w:p>
        </w:tc>
      </w:tr>
      <w:tr w:rsidR="00694E7F" w:rsidRPr="007F08BF" w:rsidTr="00575460">
        <w:trPr>
          <w:trHeight w:val="259"/>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7F08BF" w:rsidRDefault="00694E7F" w:rsidP="00694E7F">
            <w:pPr>
              <w:ind w:firstLineChars="200" w:firstLine="280"/>
              <w:rPr>
                <w:color w:val="333333"/>
                <w:sz w:val="14"/>
                <w:szCs w:val="16"/>
                <w:lang w:val="es-GT" w:eastAsia="es-GT"/>
              </w:rPr>
            </w:pPr>
            <w:r w:rsidRPr="007F08BF">
              <w:rPr>
                <w:color w:val="333333"/>
                <w:sz w:val="14"/>
                <w:szCs w:val="16"/>
                <w:lang w:val="es-GT" w:eastAsia="es-GT"/>
              </w:rPr>
              <w:t>APOYO A LA AGRICULTURA FAMILIAR</w:t>
            </w:r>
          </w:p>
        </w:tc>
        <w:tc>
          <w:tcPr>
            <w:tcW w:w="993"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601.7</w:t>
            </w:r>
          </w:p>
        </w:tc>
        <w:tc>
          <w:tcPr>
            <w:tcW w:w="992"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332.4</w:t>
            </w:r>
          </w:p>
        </w:tc>
        <w:tc>
          <w:tcPr>
            <w:tcW w:w="1030"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269.4</w:t>
            </w:r>
          </w:p>
        </w:tc>
        <w:tc>
          <w:tcPr>
            <w:tcW w:w="930" w:type="dxa"/>
            <w:tcBorders>
              <w:top w:val="nil"/>
              <w:left w:val="nil"/>
              <w:bottom w:val="nil"/>
              <w:right w:val="single" w:sz="8"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55.2%</w:t>
            </w:r>
          </w:p>
        </w:tc>
      </w:tr>
      <w:tr w:rsidR="00694E7F" w:rsidRPr="007F08BF" w:rsidTr="00575460">
        <w:trPr>
          <w:trHeight w:val="259"/>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7F08BF" w:rsidRDefault="00694E7F" w:rsidP="00694E7F">
            <w:pPr>
              <w:ind w:firstLineChars="200" w:firstLine="280"/>
              <w:rPr>
                <w:color w:val="333333"/>
                <w:sz w:val="14"/>
                <w:szCs w:val="16"/>
                <w:lang w:val="es-GT" w:eastAsia="es-GT"/>
              </w:rPr>
            </w:pPr>
            <w:r w:rsidRPr="007F08BF">
              <w:rPr>
                <w:color w:val="333333"/>
                <w:sz w:val="14"/>
                <w:szCs w:val="16"/>
                <w:lang w:val="es-GT" w:eastAsia="es-GT"/>
              </w:rPr>
              <w:t>APOYO A LA PRODU Y COMPETITIVIDAD AGROPECUARIA E HIDROBIOLÓGICA</w:t>
            </w:r>
          </w:p>
        </w:tc>
        <w:tc>
          <w:tcPr>
            <w:tcW w:w="993"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323.1</w:t>
            </w:r>
          </w:p>
        </w:tc>
        <w:tc>
          <w:tcPr>
            <w:tcW w:w="992"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126.5</w:t>
            </w:r>
          </w:p>
        </w:tc>
        <w:tc>
          <w:tcPr>
            <w:tcW w:w="1030"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196.6</w:t>
            </w:r>
          </w:p>
        </w:tc>
        <w:tc>
          <w:tcPr>
            <w:tcW w:w="930" w:type="dxa"/>
            <w:tcBorders>
              <w:top w:val="nil"/>
              <w:left w:val="nil"/>
              <w:bottom w:val="nil"/>
              <w:right w:val="single" w:sz="8"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39.2%</w:t>
            </w:r>
          </w:p>
        </w:tc>
      </w:tr>
      <w:tr w:rsidR="00694E7F" w:rsidRPr="007F08BF" w:rsidTr="00575460">
        <w:trPr>
          <w:trHeight w:val="259"/>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7F08BF" w:rsidRDefault="00694E7F" w:rsidP="00694E7F">
            <w:pPr>
              <w:ind w:firstLineChars="200" w:firstLine="280"/>
              <w:rPr>
                <w:color w:val="333333"/>
                <w:sz w:val="14"/>
                <w:szCs w:val="16"/>
                <w:lang w:val="es-GT" w:eastAsia="es-GT"/>
              </w:rPr>
            </w:pPr>
            <w:r w:rsidRPr="007F08BF">
              <w:rPr>
                <w:color w:val="333333"/>
                <w:sz w:val="14"/>
                <w:szCs w:val="16"/>
                <w:lang w:val="es-GT" w:eastAsia="es-GT"/>
              </w:rPr>
              <w:t>PARTIDAS NO ASIGNABLES A PROGRAMAS</w:t>
            </w:r>
          </w:p>
        </w:tc>
        <w:tc>
          <w:tcPr>
            <w:tcW w:w="993"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244.1</w:t>
            </w:r>
          </w:p>
        </w:tc>
        <w:tc>
          <w:tcPr>
            <w:tcW w:w="992"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222.5</w:t>
            </w:r>
          </w:p>
        </w:tc>
        <w:tc>
          <w:tcPr>
            <w:tcW w:w="1030"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21.5</w:t>
            </w:r>
          </w:p>
        </w:tc>
        <w:tc>
          <w:tcPr>
            <w:tcW w:w="930" w:type="dxa"/>
            <w:tcBorders>
              <w:top w:val="nil"/>
              <w:left w:val="nil"/>
              <w:bottom w:val="nil"/>
              <w:right w:val="single" w:sz="8"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91.2%</w:t>
            </w:r>
          </w:p>
        </w:tc>
      </w:tr>
      <w:tr w:rsidR="00694E7F" w:rsidRPr="007F08BF" w:rsidTr="00575460">
        <w:trPr>
          <w:trHeight w:val="259"/>
        </w:trPr>
        <w:tc>
          <w:tcPr>
            <w:tcW w:w="5740" w:type="dxa"/>
            <w:tcBorders>
              <w:top w:val="nil"/>
              <w:left w:val="single" w:sz="8" w:space="0" w:color="auto"/>
              <w:bottom w:val="nil"/>
              <w:right w:val="single" w:sz="4" w:space="0" w:color="auto"/>
            </w:tcBorders>
            <w:shd w:val="clear" w:color="FFFFFF" w:fill="FFFFFF"/>
            <w:vAlign w:val="bottom"/>
            <w:hideMark/>
          </w:tcPr>
          <w:p w:rsidR="00694E7F" w:rsidRPr="007F08BF" w:rsidRDefault="00694E7F" w:rsidP="00694E7F">
            <w:pPr>
              <w:ind w:firstLineChars="200" w:firstLine="280"/>
              <w:rPr>
                <w:color w:val="333333"/>
                <w:sz w:val="14"/>
                <w:szCs w:val="16"/>
                <w:lang w:val="es-GT" w:eastAsia="es-GT"/>
              </w:rPr>
            </w:pPr>
            <w:r w:rsidRPr="007F08BF">
              <w:rPr>
                <w:color w:val="333333"/>
                <w:sz w:val="14"/>
                <w:szCs w:val="16"/>
                <w:lang w:val="es-GT" w:eastAsia="es-GT"/>
              </w:rPr>
              <w:t>ACTIVIDADES CENTRALES</w:t>
            </w:r>
          </w:p>
        </w:tc>
        <w:tc>
          <w:tcPr>
            <w:tcW w:w="993"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141.1</w:t>
            </w:r>
          </w:p>
        </w:tc>
        <w:tc>
          <w:tcPr>
            <w:tcW w:w="992"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154.7</w:t>
            </w:r>
          </w:p>
        </w:tc>
        <w:tc>
          <w:tcPr>
            <w:tcW w:w="1030"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-13.6</w:t>
            </w:r>
          </w:p>
        </w:tc>
        <w:tc>
          <w:tcPr>
            <w:tcW w:w="930" w:type="dxa"/>
            <w:tcBorders>
              <w:top w:val="nil"/>
              <w:left w:val="nil"/>
              <w:bottom w:val="nil"/>
              <w:right w:val="single" w:sz="8"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109.6%</w:t>
            </w:r>
          </w:p>
        </w:tc>
      </w:tr>
      <w:tr w:rsidR="00694E7F" w:rsidRPr="007F08BF" w:rsidTr="00575460">
        <w:trPr>
          <w:trHeight w:val="259"/>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7F08BF" w:rsidRDefault="00694E7F" w:rsidP="00694E7F">
            <w:pPr>
              <w:ind w:firstLineChars="200" w:firstLine="280"/>
              <w:rPr>
                <w:color w:val="333333"/>
                <w:sz w:val="14"/>
                <w:szCs w:val="16"/>
                <w:lang w:val="es-GT" w:eastAsia="es-GT"/>
              </w:rPr>
            </w:pPr>
            <w:r w:rsidRPr="007F08BF">
              <w:rPr>
                <w:color w:val="333333"/>
                <w:sz w:val="14"/>
                <w:szCs w:val="16"/>
                <w:lang w:val="es-GT" w:eastAsia="es-GT"/>
              </w:rPr>
              <w:t>DESARROLLO SOSTENIBLE DE LOS RECURSOS NATURALES</w:t>
            </w:r>
          </w:p>
        </w:tc>
        <w:tc>
          <w:tcPr>
            <w:tcW w:w="993"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52.5</w:t>
            </w:r>
          </w:p>
        </w:tc>
        <w:tc>
          <w:tcPr>
            <w:tcW w:w="992"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30.5</w:t>
            </w:r>
          </w:p>
        </w:tc>
        <w:tc>
          <w:tcPr>
            <w:tcW w:w="1030"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22.0</w:t>
            </w:r>
          </w:p>
        </w:tc>
        <w:tc>
          <w:tcPr>
            <w:tcW w:w="930" w:type="dxa"/>
            <w:tcBorders>
              <w:top w:val="nil"/>
              <w:left w:val="nil"/>
              <w:bottom w:val="nil"/>
              <w:right w:val="single" w:sz="8"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58.1%</w:t>
            </w:r>
          </w:p>
        </w:tc>
      </w:tr>
      <w:tr w:rsidR="00694E7F" w:rsidRPr="007F08BF" w:rsidTr="00575460">
        <w:trPr>
          <w:trHeight w:val="259"/>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7F08BF" w:rsidRDefault="00694E7F" w:rsidP="00694E7F">
            <w:pPr>
              <w:ind w:firstLineChars="200" w:firstLine="280"/>
              <w:rPr>
                <w:color w:val="333333"/>
                <w:sz w:val="14"/>
                <w:szCs w:val="16"/>
                <w:lang w:val="es-GT" w:eastAsia="es-GT"/>
              </w:rPr>
            </w:pPr>
            <w:r w:rsidRPr="007F08BF">
              <w:rPr>
                <w:color w:val="333333"/>
                <w:sz w:val="14"/>
                <w:szCs w:val="16"/>
                <w:lang w:val="es-GT" w:eastAsia="es-GT"/>
              </w:rPr>
              <w:t>APOYO A LA PROTECCIÓN Y BIENESTAR ANIMAL</w:t>
            </w:r>
          </w:p>
        </w:tc>
        <w:tc>
          <w:tcPr>
            <w:tcW w:w="993"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3.0</w:t>
            </w:r>
          </w:p>
        </w:tc>
        <w:tc>
          <w:tcPr>
            <w:tcW w:w="992"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1.2</w:t>
            </w:r>
          </w:p>
        </w:tc>
        <w:tc>
          <w:tcPr>
            <w:tcW w:w="1030" w:type="dxa"/>
            <w:tcBorders>
              <w:top w:val="nil"/>
              <w:left w:val="nil"/>
              <w:bottom w:val="nil"/>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1.8</w:t>
            </w:r>
          </w:p>
        </w:tc>
        <w:tc>
          <w:tcPr>
            <w:tcW w:w="930" w:type="dxa"/>
            <w:tcBorders>
              <w:top w:val="nil"/>
              <w:left w:val="nil"/>
              <w:bottom w:val="nil"/>
              <w:right w:val="single" w:sz="8"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40.4%</w:t>
            </w:r>
          </w:p>
        </w:tc>
      </w:tr>
      <w:tr w:rsidR="00694E7F" w:rsidRPr="007F08BF" w:rsidTr="00575460">
        <w:trPr>
          <w:trHeight w:val="259"/>
        </w:trPr>
        <w:tc>
          <w:tcPr>
            <w:tcW w:w="5740"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7F08BF" w:rsidRDefault="00694E7F" w:rsidP="00694E7F">
            <w:pPr>
              <w:ind w:firstLineChars="200" w:firstLine="280"/>
              <w:rPr>
                <w:color w:val="333333"/>
                <w:sz w:val="14"/>
                <w:szCs w:val="16"/>
                <w:lang w:val="es-GT" w:eastAsia="es-GT"/>
              </w:rPr>
            </w:pPr>
            <w:r w:rsidRPr="007F08BF">
              <w:rPr>
                <w:color w:val="333333"/>
                <w:sz w:val="14"/>
                <w:szCs w:val="16"/>
                <w:lang w:val="es-GT" w:eastAsia="es-GT"/>
              </w:rPr>
              <w:t>ATENCIÓN POR DESASTRES NATURALES Y CALAMIDADES PÚBLICAS</w:t>
            </w:r>
          </w:p>
        </w:tc>
        <w:tc>
          <w:tcPr>
            <w:tcW w:w="993" w:type="dxa"/>
            <w:tcBorders>
              <w:top w:val="nil"/>
              <w:left w:val="nil"/>
              <w:bottom w:val="single" w:sz="8" w:space="0" w:color="auto"/>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0.0</w:t>
            </w:r>
          </w:p>
        </w:tc>
        <w:tc>
          <w:tcPr>
            <w:tcW w:w="992" w:type="dxa"/>
            <w:tcBorders>
              <w:top w:val="nil"/>
              <w:left w:val="nil"/>
              <w:bottom w:val="single" w:sz="8" w:space="0" w:color="auto"/>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254.7</w:t>
            </w:r>
          </w:p>
        </w:tc>
        <w:tc>
          <w:tcPr>
            <w:tcW w:w="1030" w:type="dxa"/>
            <w:tcBorders>
              <w:top w:val="nil"/>
              <w:left w:val="nil"/>
              <w:bottom w:val="single" w:sz="8" w:space="0" w:color="auto"/>
              <w:right w:val="single" w:sz="4" w:space="0" w:color="auto"/>
            </w:tcBorders>
            <w:shd w:val="clear" w:color="FFFFFF" w:fill="FFFFFF"/>
            <w:noWrap/>
            <w:vAlign w:val="center"/>
            <w:hideMark/>
          </w:tcPr>
          <w:p w:rsidR="00694E7F" w:rsidRPr="007F08BF" w:rsidRDefault="00694E7F" w:rsidP="00694E7F">
            <w:pPr>
              <w:jc w:val="right"/>
              <w:rPr>
                <w:color w:val="333333"/>
                <w:sz w:val="14"/>
                <w:szCs w:val="16"/>
                <w:lang w:val="es-GT" w:eastAsia="es-GT"/>
              </w:rPr>
            </w:pPr>
            <w:r w:rsidRPr="007F08BF">
              <w:rPr>
                <w:color w:val="333333"/>
                <w:sz w:val="14"/>
                <w:szCs w:val="16"/>
                <w:lang w:val="es-GT" w:eastAsia="es-GT"/>
              </w:rPr>
              <w:t>-254.7</w:t>
            </w:r>
          </w:p>
        </w:tc>
        <w:tc>
          <w:tcPr>
            <w:tcW w:w="930" w:type="dxa"/>
            <w:tcBorders>
              <w:top w:val="nil"/>
              <w:left w:val="single" w:sz="4" w:space="0" w:color="auto"/>
              <w:bottom w:val="single" w:sz="8" w:space="0" w:color="auto"/>
              <w:right w:val="single" w:sz="8" w:space="0" w:color="auto"/>
            </w:tcBorders>
            <w:shd w:val="clear" w:color="FFFFFF" w:fill="FFFFFF"/>
            <w:noWrap/>
            <w:vAlign w:val="center"/>
          </w:tcPr>
          <w:p w:rsidR="00694E7F" w:rsidRPr="007F08BF" w:rsidRDefault="00694E7F" w:rsidP="00694E7F">
            <w:pPr>
              <w:jc w:val="right"/>
              <w:rPr>
                <w:color w:val="FFFFFF"/>
                <w:sz w:val="14"/>
                <w:szCs w:val="16"/>
                <w:lang w:val="es-GT" w:eastAsia="es-GT"/>
              </w:rPr>
            </w:pP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Default="00694E7F" w:rsidP="00694E7F">
      <w:pPr>
        <w:jc w:val="both"/>
        <w:rPr>
          <w:b/>
        </w:rPr>
      </w:pPr>
    </w:p>
    <w:p w:rsidR="00694E7F" w:rsidRDefault="00694E7F" w:rsidP="00694E7F">
      <w:pPr>
        <w:jc w:val="both"/>
        <w:rPr>
          <w:b/>
        </w:rPr>
      </w:pPr>
    </w:p>
    <w:p w:rsidR="00694E7F" w:rsidRDefault="00694E7F" w:rsidP="00694E7F">
      <w:pPr>
        <w:jc w:val="both"/>
        <w:rPr>
          <w:b/>
        </w:rPr>
      </w:pPr>
      <w:r w:rsidRPr="00D108FD">
        <w:rPr>
          <w:b/>
        </w:rPr>
        <w:t>Ministerio de Comunicaciones, Infraestructura y Vivienda</w:t>
      </w:r>
      <w:r>
        <w:rPr>
          <w:b/>
        </w:rPr>
        <w:t>:</w:t>
      </w:r>
    </w:p>
    <w:p w:rsidR="00694E7F" w:rsidRPr="00D108FD" w:rsidRDefault="00694E7F" w:rsidP="00694E7F">
      <w:pPr>
        <w:jc w:val="both"/>
        <w:rPr>
          <w:b/>
        </w:rPr>
      </w:pPr>
    </w:p>
    <w:p w:rsidR="00694E7F" w:rsidRDefault="00694E7F" w:rsidP="00694E7F">
      <w:pPr>
        <w:jc w:val="both"/>
      </w:pPr>
      <w:r w:rsidRPr="00D108FD">
        <w:t xml:space="preserve">El </w:t>
      </w:r>
      <w:r w:rsidRPr="00E868EE">
        <w:t>Ministerio de Comunicaciones, Infraestructura y Vivienda</w:t>
      </w:r>
      <w:r w:rsidRPr="00D108FD">
        <w:t>, tuvo un presupuesto</w:t>
      </w:r>
      <w:r>
        <w:t xml:space="preserve"> aprobado</w:t>
      </w:r>
      <w:r w:rsidRPr="00D108FD">
        <w:t xml:space="preserve"> de </w:t>
      </w:r>
      <w:r>
        <w:t>Q</w:t>
      </w:r>
      <w:r w:rsidR="00776FE6">
        <w:t>.</w:t>
      </w:r>
      <w:r>
        <w:t>6</w:t>
      </w:r>
      <w:r w:rsidRPr="00D108FD">
        <w:t>,</w:t>
      </w:r>
      <w:r>
        <w:t>053.</w:t>
      </w:r>
      <w:r w:rsidRPr="00D108FD">
        <w:t xml:space="preserve">4 millones y una ejecución presupuestaria de </w:t>
      </w:r>
      <w:r>
        <w:t>Q</w:t>
      </w:r>
      <w:r w:rsidR="00776FE6">
        <w:t>.</w:t>
      </w:r>
      <w:r>
        <w:t>4</w:t>
      </w:r>
      <w:r w:rsidRPr="00D108FD">
        <w:t>,</w:t>
      </w:r>
      <w:r>
        <w:t>813.1</w:t>
      </w:r>
      <w:r w:rsidRPr="00D108FD">
        <w:t xml:space="preserve"> millones equivalente</w:t>
      </w:r>
      <w:r w:rsidR="00776FE6">
        <w:t>s</w:t>
      </w:r>
      <w:r w:rsidRPr="00D108FD">
        <w:t xml:space="preserve"> al </w:t>
      </w:r>
      <w:r>
        <w:t>7</w:t>
      </w:r>
      <w:r w:rsidRPr="00D108FD">
        <w:t>9</w:t>
      </w:r>
      <w:r>
        <w:t>.5</w:t>
      </w:r>
      <w:r w:rsidRPr="00D108FD">
        <w:t>%</w:t>
      </w:r>
      <w:r>
        <w:t>.</w:t>
      </w:r>
    </w:p>
    <w:p w:rsidR="00694E7F" w:rsidRPr="00D108FD" w:rsidRDefault="00694E7F" w:rsidP="00694E7F">
      <w:pPr>
        <w:jc w:val="both"/>
      </w:pPr>
    </w:p>
    <w:p w:rsidR="00694E7F" w:rsidRDefault="00694E7F" w:rsidP="00694E7F">
      <w:pPr>
        <w:jc w:val="both"/>
      </w:pPr>
      <w:r w:rsidRPr="00D108FD">
        <w:t>El primero de los programas prioritarios es “Desarrollo de la Infraestructura Vial” con un presupuesto</w:t>
      </w:r>
      <w:r>
        <w:t xml:space="preserve"> aprobado</w:t>
      </w:r>
      <w:r w:rsidRPr="00D108FD">
        <w:t xml:space="preserve"> de </w:t>
      </w:r>
      <w:r>
        <w:t>Q</w:t>
      </w:r>
      <w:r w:rsidR="00776FE6">
        <w:t>.</w:t>
      </w:r>
      <w:r w:rsidRPr="00D108FD">
        <w:t>4,</w:t>
      </w:r>
      <w:r>
        <w:t>402.6</w:t>
      </w:r>
      <w:r w:rsidRPr="00D108FD">
        <w:t xml:space="preserve"> millones y una ejecución presupuestaria de </w:t>
      </w:r>
      <w:r>
        <w:t>Q</w:t>
      </w:r>
      <w:r w:rsidR="00776FE6">
        <w:t>.</w:t>
      </w:r>
      <w:r>
        <w:t>3</w:t>
      </w:r>
      <w:r w:rsidRPr="00D108FD">
        <w:t>,</w:t>
      </w:r>
      <w:r>
        <w:t xml:space="preserve">832.6 millones </w:t>
      </w:r>
      <w:r w:rsidRPr="00D108FD">
        <w:t xml:space="preserve">equivalentes al </w:t>
      </w:r>
      <w:r>
        <w:t>87.1</w:t>
      </w:r>
      <w:r w:rsidRPr="00D108FD">
        <w:t>%.</w:t>
      </w:r>
    </w:p>
    <w:p w:rsidR="00694E7F" w:rsidRPr="00D108FD" w:rsidRDefault="00694E7F" w:rsidP="00694E7F">
      <w:pPr>
        <w:jc w:val="both"/>
      </w:pPr>
    </w:p>
    <w:p w:rsidR="00694E7F" w:rsidRDefault="00694E7F" w:rsidP="00694E7F">
      <w:pPr>
        <w:jc w:val="both"/>
      </w:pPr>
      <w:r>
        <w:t xml:space="preserve">También </w:t>
      </w:r>
      <w:r w:rsidRPr="00D108FD">
        <w:t xml:space="preserve">aparece el programa “Atención por Desastres Naturales y Calamidades Públicas” con un presupuesto </w:t>
      </w:r>
      <w:r>
        <w:t xml:space="preserve">aprobado </w:t>
      </w:r>
      <w:r w:rsidRPr="00D108FD">
        <w:t xml:space="preserve">de </w:t>
      </w:r>
      <w:r>
        <w:t>Q</w:t>
      </w:r>
      <w:r w:rsidR="00776FE6">
        <w:t>.</w:t>
      </w:r>
      <w:r w:rsidRPr="00D108FD">
        <w:t>2</w:t>
      </w:r>
      <w:r>
        <w:t>79.3</w:t>
      </w:r>
      <w:r w:rsidRPr="00D108FD">
        <w:t xml:space="preserve"> millones y una ejecución presupuestaria de </w:t>
      </w:r>
      <w:r>
        <w:t>Q</w:t>
      </w:r>
      <w:r w:rsidR="00776FE6">
        <w:t>.</w:t>
      </w:r>
      <w:r>
        <w:t>65.9</w:t>
      </w:r>
      <w:r w:rsidRPr="00D108FD">
        <w:t xml:space="preserve"> millones equivalente</w:t>
      </w:r>
      <w:r w:rsidR="00776FE6">
        <w:t>s</w:t>
      </w:r>
      <w:r w:rsidRPr="00D108FD">
        <w:t xml:space="preserve"> al </w:t>
      </w:r>
      <w:r>
        <w:t>23.6</w:t>
      </w:r>
      <w:r w:rsidRPr="00D108FD">
        <w:t>%.</w:t>
      </w:r>
    </w:p>
    <w:p w:rsidR="00694E7F" w:rsidRPr="00D108FD" w:rsidRDefault="00694E7F" w:rsidP="00694E7F">
      <w:pPr>
        <w:jc w:val="both"/>
      </w:pPr>
    </w:p>
    <w:p w:rsidR="00694E7F" w:rsidRDefault="00694E7F" w:rsidP="00694E7F">
      <w:pPr>
        <w:jc w:val="both"/>
      </w:pPr>
      <w:r w:rsidRPr="00D108FD">
        <w:t xml:space="preserve">Le sigue el programa de “Servicios Aeronáuticos y Aeroportuarios”, el cual </w:t>
      </w:r>
      <w:r>
        <w:t xml:space="preserve">tuvo un presupuesto aprobado </w:t>
      </w:r>
      <w:r w:rsidRPr="00D108FD">
        <w:t xml:space="preserve">de </w:t>
      </w:r>
      <w:r>
        <w:t>Q</w:t>
      </w:r>
      <w:r w:rsidR="00776FE6">
        <w:t>.</w:t>
      </w:r>
      <w:r>
        <w:t>269.3</w:t>
      </w:r>
      <w:r w:rsidRPr="00D108FD">
        <w:t xml:space="preserve"> millones y una ejecución presupuestaria de </w:t>
      </w:r>
      <w:r>
        <w:t>Q</w:t>
      </w:r>
      <w:r w:rsidR="00776FE6">
        <w:t>.</w:t>
      </w:r>
      <w:r w:rsidRPr="00D108FD">
        <w:t>1</w:t>
      </w:r>
      <w:r>
        <w:t>45.6</w:t>
      </w:r>
      <w:r w:rsidRPr="00D108FD">
        <w:t xml:space="preserve"> millones equivalente</w:t>
      </w:r>
      <w:r w:rsidR="00776FE6">
        <w:t>s</w:t>
      </w:r>
      <w:r w:rsidRPr="00D108FD">
        <w:t xml:space="preserve"> al </w:t>
      </w:r>
      <w:r>
        <w:t>54.1</w:t>
      </w:r>
      <w:r w:rsidRPr="00D108FD">
        <w:t>%</w:t>
      </w:r>
      <w:r>
        <w:t>.</w:t>
      </w:r>
    </w:p>
    <w:p w:rsidR="00694E7F" w:rsidRPr="00D108FD" w:rsidRDefault="00694E7F" w:rsidP="00694E7F">
      <w:pPr>
        <w:jc w:val="both"/>
      </w:pPr>
    </w:p>
    <w:p w:rsidR="00694E7F" w:rsidRDefault="00694E7F" w:rsidP="00694E7F">
      <w:pPr>
        <w:jc w:val="both"/>
      </w:pPr>
      <w:r w:rsidRPr="00D108FD">
        <w:t xml:space="preserve">Se observa también el programa “Desarrollo de la Vivienda” con un presupuesto de </w:t>
      </w:r>
      <w:r>
        <w:t>Q</w:t>
      </w:r>
      <w:r w:rsidR="00776FE6">
        <w:t>.</w:t>
      </w:r>
      <w:r>
        <w:t>584.6</w:t>
      </w:r>
      <w:r w:rsidRPr="00D108FD">
        <w:t xml:space="preserve"> </w:t>
      </w:r>
      <w:r w:rsidR="002D213E">
        <w:t xml:space="preserve">millones </w:t>
      </w:r>
      <w:r w:rsidRPr="00D108FD">
        <w:t xml:space="preserve">y una ejecución presupuestaria de </w:t>
      </w:r>
      <w:r>
        <w:t>Q</w:t>
      </w:r>
      <w:r w:rsidR="00776FE6">
        <w:t>.</w:t>
      </w:r>
      <w:r>
        <w:t>408.3</w:t>
      </w:r>
      <w:r w:rsidRPr="00D108FD">
        <w:t xml:space="preserve"> millones equivalente</w:t>
      </w:r>
      <w:r w:rsidR="00776FE6">
        <w:t>s</w:t>
      </w:r>
      <w:r w:rsidRPr="00D108FD">
        <w:t xml:space="preserve"> al </w:t>
      </w:r>
      <w:r>
        <w:t>69.8</w:t>
      </w:r>
      <w:r w:rsidRPr="00D108FD">
        <w:t>%</w:t>
      </w:r>
      <w:r>
        <w:t>.</w:t>
      </w:r>
    </w:p>
    <w:p w:rsidR="00694E7F" w:rsidRDefault="00694E7F" w:rsidP="00694E7F">
      <w:pPr>
        <w:jc w:val="both"/>
      </w:pPr>
    </w:p>
    <w:p w:rsidR="00694E7F" w:rsidRDefault="00694E7F" w:rsidP="00694E7F">
      <w:pPr>
        <w:jc w:val="both"/>
      </w:pPr>
      <w:r>
        <w:t>Se observa a continuación el programa de “Servicios de Protección y Seguridad Vial” con presupuesto aprobado de Q</w:t>
      </w:r>
      <w:r w:rsidR="00776FE6">
        <w:t>.</w:t>
      </w:r>
      <w:r>
        <w:t>92.6 millones y una ejecución presupuestaria de Q</w:t>
      </w:r>
      <w:r w:rsidR="00776FE6">
        <w:t>.</w:t>
      </w:r>
      <w:r>
        <w:t>50.1 millones, equivalente</w:t>
      </w:r>
      <w:r w:rsidR="00776FE6">
        <w:t>s</w:t>
      </w:r>
      <w:r>
        <w:t xml:space="preserve"> al 54.1%.</w:t>
      </w:r>
    </w:p>
    <w:p w:rsidR="00694E7F" w:rsidRPr="00D108FD" w:rsidRDefault="00694E7F" w:rsidP="00694E7F">
      <w:pPr>
        <w:jc w:val="both"/>
      </w:pPr>
    </w:p>
    <w:p w:rsidR="00694E7F" w:rsidRDefault="00694E7F" w:rsidP="00694E7F">
      <w:pPr>
        <w:jc w:val="both"/>
      </w:pPr>
      <w:r w:rsidRPr="00D108FD">
        <w:t xml:space="preserve">Finalmente, dentro del grupo de programas con mayor presupuesto y ejecución, se ubica el de “Construcción de Obra Pública” con un presupuesto de </w:t>
      </w:r>
      <w:r>
        <w:t>Q</w:t>
      </w:r>
      <w:r w:rsidR="00776FE6">
        <w:t>.</w:t>
      </w:r>
      <w:r>
        <w:t>82.9</w:t>
      </w:r>
      <w:r w:rsidRPr="00D108FD">
        <w:t xml:space="preserve"> millones y una ejecución presupuestaria de </w:t>
      </w:r>
      <w:r>
        <w:t>Q</w:t>
      </w:r>
      <w:r w:rsidR="00776FE6">
        <w:t>.</w:t>
      </w:r>
      <w:r>
        <w:t>78.6</w:t>
      </w:r>
      <w:r w:rsidRPr="00D108FD">
        <w:t xml:space="preserve"> millones equivalente</w:t>
      </w:r>
      <w:r w:rsidR="00776FE6">
        <w:t>s</w:t>
      </w:r>
      <w:r w:rsidRPr="00D108FD">
        <w:t xml:space="preserve"> al </w:t>
      </w:r>
      <w:r>
        <w:t>94.8%.</w:t>
      </w:r>
    </w:p>
    <w:p w:rsidR="00694E7F" w:rsidRDefault="00694E7F" w:rsidP="00694E7F">
      <w:pPr>
        <w:jc w:val="both"/>
      </w:pPr>
    </w:p>
    <w:p w:rsidR="00694E7F" w:rsidRDefault="00694E7F" w:rsidP="00694E7F">
      <w:pPr>
        <w:jc w:val="both"/>
      </w:pPr>
      <w:r w:rsidRPr="00D108FD">
        <w:t xml:space="preserve">Seguidamente se observan </w:t>
      </w:r>
      <w:r>
        <w:t>9</w:t>
      </w:r>
      <w:r w:rsidRPr="00D108FD">
        <w:t xml:space="preserve"> programas más, los cuales tuvieron una ejecución presupuestaria por debajo de los </w:t>
      </w:r>
      <w:r>
        <w:t>Q</w:t>
      </w:r>
      <w:r w:rsidR="00776FE6">
        <w:t>.</w:t>
      </w:r>
      <w:r>
        <w:t>62</w:t>
      </w:r>
      <w:r w:rsidRPr="00D108FD">
        <w:t>.0 millones</w:t>
      </w:r>
      <w:r>
        <w:t>, ejecutados a través del programa Servicios de Información Sismológica, Climáticas, Meteorológica e Hidrológica</w:t>
      </w:r>
      <w:r w:rsidRPr="00D108FD">
        <w:t>, tal como se observa en el cuadro que se presenta a continuación</w:t>
      </w:r>
      <w:r>
        <w:t>:</w:t>
      </w:r>
    </w:p>
    <w:p w:rsidR="00694E7F" w:rsidRDefault="00694E7F" w:rsidP="00694E7F">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Programa!F113C2:F131C6"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fldChar w:fldCharType="end"/>
      </w:r>
    </w:p>
    <w:tbl>
      <w:tblPr>
        <w:tblW w:w="9568" w:type="dxa"/>
        <w:tblCellMar>
          <w:left w:w="70" w:type="dxa"/>
          <w:right w:w="70" w:type="dxa"/>
        </w:tblCellMar>
        <w:tblLook w:val="04A0" w:firstRow="1" w:lastRow="0" w:firstColumn="1" w:lastColumn="0" w:noHBand="0" w:noVBand="1"/>
      </w:tblPr>
      <w:tblGrid>
        <w:gridCol w:w="5599"/>
        <w:gridCol w:w="1134"/>
        <w:gridCol w:w="1000"/>
        <w:gridCol w:w="936"/>
        <w:gridCol w:w="899"/>
      </w:tblGrid>
      <w:tr w:rsidR="00694E7F" w:rsidRPr="0020629F" w:rsidTr="00575460">
        <w:trPr>
          <w:trHeight w:val="251"/>
        </w:trPr>
        <w:tc>
          <w:tcPr>
            <w:tcW w:w="5599"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lastRenderedPageBreak/>
              <w:t>DESCRIPCION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Asignado</w:t>
            </w:r>
          </w:p>
        </w:tc>
        <w:tc>
          <w:tcPr>
            <w:tcW w:w="1000"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Ejecución</w:t>
            </w:r>
          </w:p>
        </w:tc>
        <w:tc>
          <w:tcPr>
            <w:tcW w:w="936"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Diferencias</w:t>
            </w:r>
          </w:p>
        </w:tc>
        <w:tc>
          <w:tcPr>
            <w:tcW w:w="899"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 Ejec</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rPr>
                <w:b/>
                <w:bCs/>
                <w:color w:val="333333"/>
                <w:sz w:val="14"/>
                <w:szCs w:val="16"/>
                <w:lang w:val="es-GT" w:eastAsia="es-GT"/>
              </w:rPr>
            </w:pPr>
            <w:r w:rsidRPr="00FD1E62">
              <w:rPr>
                <w:b/>
                <w:bCs/>
                <w:color w:val="333333"/>
                <w:sz w:val="14"/>
                <w:szCs w:val="16"/>
                <w:lang w:val="es-GT" w:eastAsia="es-GT"/>
              </w:rPr>
              <w:t xml:space="preserve">MINISTERIO </w:t>
            </w:r>
            <w:r w:rsidRPr="0020629F">
              <w:rPr>
                <w:b/>
                <w:bCs/>
                <w:color w:val="333333"/>
                <w:sz w:val="14"/>
                <w:szCs w:val="16"/>
                <w:lang w:val="es-GT" w:eastAsia="es-GT"/>
              </w:rPr>
              <w:t>DE COMUNICACIONES</w:t>
            </w:r>
            <w:r w:rsidRPr="00FD1E62">
              <w:rPr>
                <w:b/>
                <w:bCs/>
                <w:color w:val="333333"/>
                <w:sz w:val="14"/>
                <w:szCs w:val="16"/>
                <w:lang w:val="es-GT" w:eastAsia="es-GT"/>
              </w:rPr>
              <w:t>, INFRAESTRUCTURA Y VIVIENDA</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b/>
                <w:bCs/>
                <w:color w:val="333333"/>
                <w:sz w:val="14"/>
                <w:szCs w:val="16"/>
                <w:lang w:val="es-GT" w:eastAsia="es-GT"/>
              </w:rPr>
            </w:pPr>
            <w:r w:rsidRPr="00FD1E62">
              <w:rPr>
                <w:b/>
                <w:bCs/>
                <w:color w:val="333333"/>
                <w:sz w:val="14"/>
                <w:szCs w:val="16"/>
                <w:lang w:val="es-GT" w:eastAsia="es-GT"/>
              </w:rPr>
              <w:t>6,053.4</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b/>
                <w:bCs/>
                <w:color w:val="333333"/>
                <w:sz w:val="14"/>
                <w:szCs w:val="16"/>
                <w:lang w:val="es-GT" w:eastAsia="es-GT"/>
              </w:rPr>
            </w:pPr>
            <w:r w:rsidRPr="00FD1E62">
              <w:rPr>
                <w:b/>
                <w:bCs/>
                <w:color w:val="333333"/>
                <w:sz w:val="14"/>
                <w:szCs w:val="16"/>
                <w:lang w:val="es-GT" w:eastAsia="es-GT"/>
              </w:rPr>
              <w:t>4,813.1</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b/>
                <w:bCs/>
                <w:color w:val="333333"/>
                <w:sz w:val="14"/>
                <w:szCs w:val="16"/>
                <w:lang w:val="es-GT" w:eastAsia="es-GT"/>
              </w:rPr>
            </w:pPr>
            <w:r w:rsidRPr="00FD1E62">
              <w:rPr>
                <w:b/>
                <w:bCs/>
                <w:color w:val="333333"/>
                <w:sz w:val="14"/>
                <w:szCs w:val="16"/>
                <w:lang w:val="es-GT" w:eastAsia="es-GT"/>
              </w:rPr>
              <w:t>1,240.3</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b/>
                <w:bCs/>
                <w:color w:val="333333"/>
                <w:sz w:val="14"/>
                <w:szCs w:val="16"/>
                <w:lang w:val="es-GT" w:eastAsia="es-GT"/>
              </w:rPr>
            </w:pPr>
            <w:r w:rsidRPr="00FD1E62">
              <w:rPr>
                <w:b/>
                <w:bCs/>
                <w:color w:val="333333"/>
                <w:sz w:val="14"/>
                <w:szCs w:val="16"/>
                <w:lang w:val="es-GT" w:eastAsia="es-GT"/>
              </w:rPr>
              <w:t>79.5%</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DESARROLLO DE LA INFRAESTRUCTURA VIAL</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4,402.6</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3,832.6</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570.0</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87.1%</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DESARROLLO DE LA VIVIENDA</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584.6</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408.3</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176.4</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69.8%</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ATENCIÓN POR DESASTRES NATURALES Y CALAMIDADES PÚBLICAS</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279.3</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65.9</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213.5</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23.6%</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SERVICIOS AERONAUTICOS Y AEROPORTUARIOS</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269.3</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145.6</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123.7</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54.1%</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SERVIS URBANIZ LEGALIZACION CONSTRUC Y MEJ BIENES INMUEBLES</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102.4</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39.7</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62.7</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38.7%</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SERVICIOS DE PROTECCION Y SEGURIDAD VIAL</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92.6</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50.1</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42.4</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54.1%</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CONSTRUCCION DE OBRA PUBLICA</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82.9</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78.6</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4.3</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94.8%</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SERVS INFO SISMOLOGICA, CLIMATICA, METEOROLOGICA E HIDROLOGICA</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66.1</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62.0</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4.0</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93.9%</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ACTIVIDADES CENTRALES</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53.8</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37.2</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16.6</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69.2%</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SERVICIOS DE CORREOS Y TELEGRAFOS</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42.8</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18.1</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24.7</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42.4%</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REGULACION DE TELECOMUNICACIONES</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20.0</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14.1</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5.9</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70.5%</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REGULACION DE TRANSPORTE EXTRAURBANO POR CARRETERA</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18.2</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12.7</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5.5</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70.0%</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SERVICIOS DE RADIODIFUSION Y TELEVISION</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12.0</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10.9</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1.1</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91.0%</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PARTIDAS NO ASIGNABLES A PROGRAMAS</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11.7</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26.0</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-14.3</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222.5%</w:t>
            </w:r>
          </w:p>
        </w:tc>
      </w:tr>
      <w:tr w:rsidR="00694E7F" w:rsidRPr="0020629F" w:rsidTr="00575460">
        <w:trPr>
          <w:trHeight w:val="251"/>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SERVICIOS PARA EL DESARROLLO DE LA TELEFONIA</w:t>
            </w:r>
          </w:p>
        </w:tc>
        <w:tc>
          <w:tcPr>
            <w:tcW w:w="1134"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8.0</w:t>
            </w:r>
          </w:p>
        </w:tc>
        <w:tc>
          <w:tcPr>
            <w:tcW w:w="1000"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5.8</w:t>
            </w:r>
          </w:p>
        </w:tc>
        <w:tc>
          <w:tcPr>
            <w:tcW w:w="936" w:type="dxa"/>
            <w:tcBorders>
              <w:top w:val="nil"/>
              <w:left w:val="nil"/>
              <w:bottom w:val="nil"/>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2.2</w:t>
            </w:r>
          </w:p>
        </w:tc>
        <w:tc>
          <w:tcPr>
            <w:tcW w:w="899" w:type="dxa"/>
            <w:tcBorders>
              <w:top w:val="nil"/>
              <w:left w:val="nil"/>
              <w:bottom w:val="nil"/>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71.9%</w:t>
            </w:r>
          </w:p>
        </w:tc>
      </w:tr>
      <w:tr w:rsidR="00694E7F" w:rsidRPr="0020629F" w:rsidTr="00575460">
        <w:trPr>
          <w:trHeight w:val="251"/>
        </w:trPr>
        <w:tc>
          <w:tcPr>
            <w:tcW w:w="5599" w:type="dxa"/>
            <w:tcBorders>
              <w:top w:val="nil"/>
              <w:left w:val="single" w:sz="8" w:space="0" w:color="auto"/>
              <w:bottom w:val="single" w:sz="8" w:space="0" w:color="auto"/>
              <w:right w:val="single" w:sz="4" w:space="0" w:color="auto"/>
            </w:tcBorders>
            <w:shd w:val="clear" w:color="FFFFFF" w:fill="FFFFFF"/>
            <w:vAlign w:val="center"/>
            <w:hideMark/>
          </w:tcPr>
          <w:p w:rsidR="00694E7F" w:rsidRPr="00FD1E62" w:rsidRDefault="00694E7F" w:rsidP="00694E7F">
            <w:pPr>
              <w:ind w:firstLineChars="200" w:firstLine="280"/>
              <w:rPr>
                <w:color w:val="333333"/>
                <w:sz w:val="14"/>
                <w:szCs w:val="16"/>
                <w:lang w:val="es-GT" w:eastAsia="es-GT"/>
              </w:rPr>
            </w:pPr>
            <w:r w:rsidRPr="00FD1E62">
              <w:rPr>
                <w:color w:val="333333"/>
                <w:sz w:val="14"/>
                <w:szCs w:val="16"/>
                <w:lang w:val="es-GT" w:eastAsia="es-GT"/>
              </w:rPr>
              <w:t>SERVICIOS DE CABLE POR TELEVISION</w:t>
            </w:r>
          </w:p>
        </w:tc>
        <w:tc>
          <w:tcPr>
            <w:tcW w:w="1134" w:type="dxa"/>
            <w:tcBorders>
              <w:top w:val="nil"/>
              <w:left w:val="nil"/>
              <w:bottom w:val="single" w:sz="8" w:space="0" w:color="auto"/>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7.2</w:t>
            </w:r>
          </w:p>
        </w:tc>
        <w:tc>
          <w:tcPr>
            <w:tcW w:w="1000" w:type="dxa"/>
            <w:tcBorders>
              <w:top w:val="nil"/>
              <w:left w:val="nil"/>
              <w:bottom w:val="single" w:sz="8" w:space="0" w:color="auto"/>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5.6</w:t>
            </w:r>
          </w:p>
        </w:tc>
        <w:tc>
          <w:tcPr>
            <w:tcW w:w="936" w:type="dxa"/>
            <w:tcBorders>
              <w:top w:val="nil"/>
              <w:left w:val="nil"/>
              <w:bottom w:val="single" w:sz="8" w:space="0" w:color="auto"/>
              <w:right w:val="single" w:sz="4"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1.6</w:t>
            </w:r>
          </w:p>
        </w:tc>
        <w:tc>
          <w:tcPr>
            <w:tcW w:w="899" w:type="dxa"/>
            <w:tcBorders>
              <w:top w:val="nil"/>
              <w:left w:val="single" w:sz="4" w:space="0" w:color="auto"/>
              <w:bottom w:val="single" w:sz="8" w:space="0" w:color="auto"/>
              <w:right w:val="single" w:sz="8" w:space="0" w:color="auto"/>
            </w:tcBorders>
            <w:shd w:val="clear" w:color="FFFFFF" w:fill="FFFFFF"/>
            <w:noWrap/>
            <w:vAlign w:val="center"/>
            <w:hideMark/>
          </w:tcPr>
          <w:p w:rsidR="00694E7F" w:rsidRPr="00FD1E62" w:rsidRDefault="00694E7F" w:rsidP="00694E7F">
            <w:pPr>
              <w:jc w:val="right"/>
              <w:rPr>
                <w:color w:val="333333"/>
                <w:sz w:val="14"/>
                <w:szCs w:val="16"/>
                <w:lang w:val="es-GT" w:eastAsia="es-GT"/>
              </w:rPr>
            </w:pPr>
            <w:r w:rsidRPr="00FD1E62">
              <w:rPr>
                <w:color w:val="333333"/>
                <w:sz w:val="14"/>
                <w:szCs w:val="16"/>
                <w:lang w:val="es-GT" w:eastAsia="es-GT"/>
              </w:rPr>
              <w:t>77.3%</w:t>
            </w: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Pr="00006FBB" w:rsidRDefault="00694E7F" w:rsidP="00694E7F">
      <w:pPr>
        <w:jc w:val="both"/>
        <w:rPr>
          <w:sz w:val="4"/>
        </w:rPr>
      </w:pPr>
    </w:p>
    <w:p w:rsidR="00694E7F" w:rsidRPr="00D108FD" w:rsidRDefault="00694E7F" w:rsidP="00694E7F">
      <w:pPr>
        <w:jc w:val="both"/>
      </w:pPr>
    </w:p>
    <w:p w:rsidR="00694E7F" w:rsidRDefault="00694E7F" w:rsidP="00694E7F">
      <w:pPr>
        <w:jc w:val="both"/>
        <w:rPr>
          <w:b/>
        </w:rPr>
      </w:pPr>
      <w:r>
        <w:rPr>
          <w:b/>
        </w:rPr>
        <w:t>M</w:t>
      </w:r>
      <w:r w:rsidRPr="00D108FD">
        <w:rPr>
          <w:b/>
        </w:rPr>
        <w:t>inisterio de Energía y Minas</w:t>
      </w:r>
      <w:r>
        <w:rPr>
          <w:b/>
        </w:rPr>
        <w:t>:</w:t>
      </w:r>
    </w:p>
    <w:p w:rsidR="00694E7F" w:rsidRPr="00D108FD" w:rsidRDefault="00694E7F" w:rsidP="00694E7F">
      <w:pPr>
        <w:jc w:val="both"/>
        <w:rPr>
          <w:b/>
        </w:rPr>
      </w:pPr>
    </w:p>
    <w:p w:rsidR="00694E7F" w:rsidRDefault="00694E7F" w:rsidP="00694E7F">
      <w:pPr>
        <w:jc w:val="both"/>
      </w:pPr>
      <w:r w:rsidRPr="00D108FD">
        <w:t xml:space="preserve">Este </w:t>
      </w:r>
      <w:r>
        <w:t>M</w:t>
      </w:r>
      <w:r w:rsidRPr="00D108FD">
        <w:t xml:space="preserve">inisterio inició </w:t>
      </w:r>
      <w:r>
        <w:t>conto con un</w:t>
      </w:r>
      <w:r w:rsidRPr="00D108FD">
        <w:t xml:space="preserve"> presupuesto</w:t>
      </w:r>
      <w:r>
        <w:t xml:space="preserve"> aprobado</w:t>
      </w:r>
      <w:r w:rsidRPr="00D108FD">
        <w:t xml:space="preserve"> de </w:t>
      </w:r>
      <w:r>
        <w:t>Q</w:t>
      </w:r>
      <w:r w:rsidR="00776FE6">
        <w:t>.</w:t>
      </w:r>
      <w:r>
        <w:t>81.0</w:t>
      </w:r>
      <w:r w:rsidRPr="00D108FD">
        <w:t xml:space="preserve"> millones y una ejecución presupuestaria de </w:t>
      </w:r>
      <w:r>
        <w:t>Q</w:t>
      </w:r>
      <w:r w:rsidR="00776FE6">
        <w:t>.</w:t>
      </w:r>
      <w:r>
        <w:t>68.9</w:t>
      </w:r>
      <w:r w:rsidRPr="00D108FD">
        <w:t xml:space="preserve"> millones equivalente</w:t>
      </w:r>
      <w:r w:rsidR="00776FE6">
        <w:t>s</w:t>
      </w:r>
      <w:r w:rsidRPr="00D108FD">
        <w:t xml:space="preserve"> al </w:t>
      </w:r>
      <w:r>
        <w:t>85.1</w:t>
      </w:r>
      <w:r w:rsidRPr="00D108FD">
        <w:t>%</w:t>
      </w:r>
      <w:r>
        <w:t>.</w:t>
      </w:r>
    </w:p>
    <w:p w:rsidR="00694E7F" w:rsidRPr="00D108FD" w:rsidRDefault="00694E7F" w:rsidP="00694E7F">
      <w:pPr>
        <w:jc w:val="both"/>
      </w:pPr>
    </w:p>
    <w:p w:rsidR="00694E7F" w:rsidRDefault="00694E7F" w:rsidP="00694E7F">
      <w:pPr>
        <w:jc w:val="both"/>
      </w:pPr>
      <w:r w:rsidRPr="00D108FD">
        <w:t>Dos fueron los programas prioritarios de</w:t>
      </w:r>
      <w:r>
        <w:t xml:space="preserve"> este Ministerio</w:t>
      </w:r>
      <w:r w:rsidRPr="00D108FD">
        <w:t xml:space="preserve">, siendo el primero el de las Actividades Centrales que iniciaron con un presupuesto de </w:t>
      </w:r>
      <w:r>
        <w:t>Q</w:t>
      </w:r>
      <w:r w:rsidR="00776FE6">
        <w:t>.</w:t>
      </w:r>
      <w:r>
        <w:t>25.8</w:t>
      </w:r>
      <w:r w:rsidRPr="00D108FD">
        <w:t xml:space="preserve"> millones y una ejecución presupuestaria de </w:t>
      </w:r>
      <w:r>
        <w:t>Q</w:t>
      </w:r>
      <w:r w:rsidR="00776FE6">
        <w:t>.</w:t>
      </w:r>
      <w:r>
        <w:t>29.0</w:t>
      </w:r>
      <w:r w:rsidRPr="00D108FD">
        <w:t xml:space="preserve"> millones equivalente</w:t>
      </w:r>
      <w:r w:rsidR="00776FE6">
        <w:t>s</w:t>
      </w:r>
      <w:r w:rsidRPr="00D108FD">
        <w:t xml:space="preserve"> al </w:t>
      </w:r>
      <w:r>
        <w:t>112.1</w:t>
      </w:r>
      <w:r w:rsidRPr="00D108FD">
        <w:t>%.</w:t>
      </w:r>
    </w:p>
    <w:p w:rsidR="00694E7F" w:rsidRPr="00D108FD" w:rsidRDefault="00694E7F" w:rsidP="00694E7F">
      <w:pPr>
        <w:jc w:val="both"/>
      </w:pPr>
    </w:p>
    <w:p w:rsidR="00694E7F" w:rsidRDefault="00694E7F" w:rsidP="00694E7F">
      <w:pPr>
        <w:jc w:val="both"/>
      </w:pPr>
      <w:r w:rsidRPr="00D108FD">
        <w:t>El segundo programa más importante fue “Exploración, Explotación y Comercialización Petrolera” con un presupuesto</w:t>
      </w:r>
      <w:r>
        <w:t xml:space="preserve"> aprobado</w:t>
      </w:r>
      <w:r w:rsidRPr="00D108FD">
        <w:t xml:space="preserve"> de </w:t>
      </w:r>
      <w:r>
        <w:t>Q</w:t>
      </w:r>
      <w:r w:rsidR="00776FE6">
        <w:t>.</w:t>
      </w:r>
      <w:r w:rsidRPr="00D108FD">
        <w:t>1</w:t>
      </w:r>
      <w:r>
        <w:t>7.4</w:t>
      </w:r>
      <w:r w:rsidRPr="00D108FD">
        <w:t xml:space="preserve"> millones y una ejecución presupuestaria de </w:t>
      </w:r>
      <w:r>
        <w:t>Q</w:t>
      </w:r>
      <w:r w:rsidR="00776FE6">
        <w:t>.</w:t>
      </w:r>
      <w:r w:rsidRPr="00D108FD">
        <w:t>1</w:t>
      </w:r>
      <w:r>
        <w:t>4.4</w:t>
      </w:r>
      <w:r w:rsidRPr="00D108FD">
        <w:t xml:space="preserve"> millones equivalente</w:t>
      </w:r>
      <w:r w:rsidR="00776FE6">
        <w:t>s</w:t>
      </w:r>
      <w:r w:rsidRPr="00D108FD">
        <w:t xml:space="preserve"> al 8</w:t>
      </w:r>
      <w:r>
        <w:t>2.8</w:t>
      </w:r>
      <w:r w:rsidRPr="00D108FD">
        <w:t>%</w:t>
      </w:r>
      <w:r>
        <w:t>.</w:t>
      </w:r>
    </w:p>
    <w:p w:rsidR="00694E7F" w:rsidRPr="00D108FD" w:rsidRDefault="00694E7F" w:rsidP="00694E7F">
      <w:pPr>
        <w:jc w:val="both"/>
      </w:pPr>
    </w:p>
    <w:p w:rsidR="00694E7F" w:rsidRDefault="00694E7F" w:rsidP="00694E7F">
      <w:pPr>
        <w:jc w:val="both"/>
        <w:rPr>
          <w:rFonts w:ascii="Calibri" w:eastAsia="Calibri" w:hAnsi="Calibri"/>
          <w:sz w:val="20"/>
          <w:szCs w:val="20"/>
          <w:lang w:val="es-GT" w:eastAsia="es-GT"/>
        </w:rPr>
      </w:pPr>
      <w:r w:rsidRPr="00D108FD">
        <w:t>Seguidamente el S</w:t>
      </w:r>
      <w:r>
        <w:t>ICOIN</w:t>
      </w:r>
      <w:r w:rsidRPr="00D108FD">
        <w:t xml:space="preserve"> reporta </w:t>
      </w:r>
      <w:r>
        <w:t>6</w:t>
      </w:r>
      <w:r w:rsidRPr="00D108FD">
        <w:t xml:space="preserve"> programas más con una ejecución por debajo de los </w:t>
      </w:r>
      <w:r>
        <w:t>Q</w:t>
      </w:r>
      <w:r w:rsidR="00776FE6">
        <w:t>.</w:t>
      </w:r>
      <w:r>
        <w:t>9.9</w:t>
      </w:r>
      <w:r w:rsidRPr="00D108FD">
        <w:t xml:space="preserve"> millones</w:t>
      </w:r>
      <w:r>
        <w:t xml:space="preserve"> del programa Exploración y Explotación Minera</w:t>
      </w:r>
      <w:r w:rsidRPr="00D108FD">
        <w:t>, tal como se puede observar en el cuadro a continuación</w:t>
      </w:r>
      <w:r>
        <w:t>:</w:t>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Programa!F133C2:F142C6"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fldChar w:fldCharType="end"/>
      </w:r>
    </w:p>
    <w:tbl>
      <w:tblPr>
        <w:tblW w:w="9568" w:type="dxa"/>
        <w:tblCellMar>
          <w:left w:w="70" w:type="dxa"/>
          <w:right w:w="70" w:type="dxa"/>
        </w:tblCellMar>
        <w:tblLook w:val="04A0" w:firstRow="1" w:lastRow="0" w:firstColumn="1" w:lastColumn="0" w:noHBand="0" w:noVBand="1"/>
      </w:tblPr>
      <w:tblGrid>
        <w:gridCol w:w="5599"/>
        <w:gridCol w:w="1134"/>
        <w:gridCol w:w="1062"/>
        <w:gridCol w:w="922"/>
        <w:gridCol w:w="851"/>
      </w:tblGrid>
      <w:tr w:rsidR="00694E7F" w:rsidRPr="00A31D88" w:rsidTr="00BC2EC7">
        <w:trPr>
          <w:trHeight w:val="255"/>
        </w:trPr>
        <w:tc>
          <w:tcPr>
            <w:tcW w:w="5599"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DESCRIPCION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Asignado</w:t>
            </w:r>
          </w:p>
        </w:tc>
        <w:tc>
          <w:tcPr>
            <w:tcW w:w="1062"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Ejecución</w:t>
            </w:r>
          </w:p>
        </w:tc>
        <w:tc>
          <w:tcPr>
            <w:tcW w:w="922"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 Ejec</w:t>
            </w:r>
          </w:p>
        </w:tc>
      </w:tr>
      <w:tr w:rsidR="00694E7F" w:rsidRPr="00A31D88" w:rsidTr="00BC2EC7">
        <w:trPr>
          <w:trHeight w:val="255"/>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A31D88" w:rsidRDefault="00694E7F" w:rsidP="00694E7F">
            <w:pPr>
              <w:rPr>
                <w:b/>
                <w:bCs/>
                <w:color w:val="333333"/>
                <w:sz w:val="14"/>
                <w:szCs w:val="16"/>
                <w:lang w:val="es-GT" w:eastAsia="es-GT"/>
              </w:rPr>
            </w:pPr>
            <w:r w:rsidRPr="00A31D88">
              <w:rPr>
                <w:b/>
                <w:bCs/>
                <w:color w:val="333333"/>
                <w:sz w:val="14"/>
                <w:szCs w:val="16"/>
                <w:lang w:val="es-GT" w:eastAsia="es-GT"/>
              </w:rPr>
              <w:t>MINISTERIO DE ENERGÍA Y MINAS</w:t>
            </w:r>
          </w:p>
        </w:tc>
        <w:tc>
          <w:tcPr>
            <w:tcW w:w="1134"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b/>
                <w:bCs/>
                <w:color w:val="333333"/>
                <w:sz w:val="14"/>
                <w:szCs w:val="16"/>
                <w:lang w:val="es-GT" w:eastAsia="es-GT"/>
              </w:rPr>
            </w:pPr>
            <w:r w:rsidRPr="00A31D88">
              <w:rPr>
                <w:b/>
                <w:bCs/>
                <w:color w:val="333333"/>
                <w:sz w:val="14"/>
                <w:szCs w:val="16"/>
                <w:lang w:val="es-GT" w:eastAsia="es-GT"/>
              </w:rPr>
              <w:t>81.0</w:t>
            </w:r>
          </w:p>
        </w:tc>
        <w:tc>
          <w:tcPr>
            <w:tcW w:w="106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b/>
                <w:bCs/>
                <w:color w:val="333333"/>
                <w:sz w:val="14"/>
                <w:szCs w:val="16"/>
                <w:lang w:val="es-GT" w:eastAsia="es-GT"/>
              </w:rPr>
            </w:pPr>
            <w:r w:rsidRPr="00A31D88">
              <w:rPr>
                <w:b/>
                <w:bCs/>
                <w:color w:val="333333"/>
                <w:sz w:val="14"/>
                <w:szCs w:val="16"/>
                <w:lang w:val="es-GT" w:eastAsia="es-GT"/>
              </w:rPr>
              <w:t>68.9</w:t>
            </w:r>
          </w:p>
        </w:tc>
        <w:tc>
          <w:tcPr>
            <w:tcW w:w="92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b/>
                <w:bCs/>
                <w:color w:val="333333"/>
                <w:sz w:val="14"/>
                <w:szCs w:val="16"/>
                <w:lang w:val="es-GT" w:eastAsia="es-GT"/>
              </w:rPr>
            </w:pPr>
            <w:r w:rsidRPr="00A31D88">
              <w:rPr>
                <w:b/>
                <w:bCs/>
                <w:color w:val="333333"/>
                <w:sz w:val="14"/>
                <w:szCs w:val="16"/>
                <w:lang w:val="es-GT" w:eastAsia="es-GT"/>
              </w:rPr>
              <w:t>12.1</w:t>
            </w:r>
          </w:p>
        </w:tc>
        <w:tc>
          <w:tcPr>
            <w:tcW w:w="851" w:type="dxa"/>
            <w:tcBorders>
              <w:top w:val="nil"/>
              <w:left w:val="nil"/>
              <w:bottom w:val="nil"/>
              <w:right w:val="single" w:sz="8" w:space="0" w:color="auto"/>
            </w:tcBorders>
            <w:shd w:val="clear" w:color="FFFFFF" w:fill="FFFFFF"/>
            <w:noWrap/>
            <w:vAlign w:val="center"/>
            <w:hideMark/>
          </w:tcPr>
          <w:p w:rsidR="00694E7F" w:rsidRPr="00A31D88" w:rsidRDefault="00694E7F" w:rsidP="00694E7F">
            <w:pPr>
              <w:jc w:val="right"/>
              <w:rPr>
                <w:b/>
                <w:bCs/>
                <w:color w:val="333333"/>
                <w:sz w:val="14"/>
                <w:szCs w:val="16"/>
                <w:lang w:val="es-GT" w:eastAsia="es-GT"/>
              </w:rPr>
            </w:pPr>
            <w:r w:rsidRPr="00A31D88">
              <w:rPr>
                <w:b/>
                <w:bCs/>
                <w:color w:val="333333"/>
                <w:sz w:val="14"/>
                <w:szCs w:val="16"/>
                <w:lang w:val="es-GT" w:eastAsia="es-GT"/>
              </w:rPr>
              <w:t>85.1%</w:t>
            </w:r>
          </w:p>
        </w:tc>
      </w:tr>
      <w:tr w:rsidR="00694E7F" w:rsidRPr="00A31D88" w:rsidTr="00BC2EC7">
        <w:trPr>
          <w:trHeight w:val="255"/>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A31D88" w:rsidRDefault="00694E7F" w:rsidP="00694E7F">
            <w:pPr>
              <w:ind w:firstLineChars="200" w:firstLine="280"/>
              <w:rPr>
                <w:color w:val="333333"/>
                <w:sz w:val="14"/>
                <w:szCs w:val="16"/>
                <w:lang w:val="es-GT" w:eastAsia="es-GT"/>
              </w:rPr>
            </w:pPr>
            <w:r w:rsidRPr="00A31D88">
              <w:rPr>
                <w:color w:val="333333"/>
                <w:sz w:val="14"/>
                <w:szCs w:val="16"/>
                <w:lang w:val="es-GT" w:eastAsia="es-GT"/>
              </w:rPr>
              <w:t>ACTIVIDADES CENTRALES</w:t>
            </w:r>
          </w:p>
        </w:tc>
        <w:tc>
          <w:tcPr>
            <w:tcW w:w="1134"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25.8</w:t>
            </w:r>
          </w:p>
        </w:tc>
        <w:tc>
          <w:tcPr>
            <w:tcW w:w="106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29.0</w:t>
            </w:r>
          </w:p>
        </w:tc>
        <w:tc>
          <w:tcPr>
            <w:tcW w:w="92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-3.1</w:t>
            </w:r>
          </w:p>
        </w:tc>
        <w:tc>
          <w:tcPr>
            <w:tcW w:w="851" w:type="dxa"/>
            <w:tcBorders>
              <w:top w:val="nil"/>
              <w:left w:val="nil"/>
              <w:bottom w:val="nil"/>
              <w:right w:val="single" w:sz="8"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112.1%</w:t>
            </w:r>
          </w:p>
        </w:tc>
      </w:tr>
      <w:tr w:rsidR="00694E7F" w:rsidRPr="00A31D88" w:rsidTr="00BC2EC7">
        <w:trPr>
          <w:trHeight w:val="255"/>
        </w:trPr>
        <w:tc>
          <w:tcPr>
            <w:tcW w:w="5599" w:type="dxa"/>
            <w:tcBorders>
              <w:top w:val="nil"/>
              <w:left w:val="single" w:sz="8" w:space="0" w:color="auto"/>
              <w:bottom w:val="nil"/>
              <w:right w:val="single" w:sz="4" w:space="0" w:color="auto"/>
            </w:tcBorders>
            <w:shd w:val="clear" w:color="FFFFFF" w:fill="FFFFFF"/>
            <w:vAlign w:val="center"/>
            <w:hideMark/>
          </w:tcPr>
          <w:p w:rsidR="00694E7F" w:rsidRPr="00A31D88" w:rsidRDefault="00694E7F" w:rsidP="00694E7F">
            <w:pPr>
              <w:ind w:firstLineChars="200" w:firstLine="280"/>
              <w:rPr>
                <w:color w:val="333333"/>
                <w:sz w:val="14"/>
                <w:szCs w:val="16"/>
                <w:lang w:val="es-GT" w:eastAsia="es-GT"/>
              </w:rPr>
            </w:pPr>
            <w:r w:rsidRPr="00A31D88">
              <w:rPr>
                <w:color w:val="333333"/>
                <w:sz w:val="14"/>
                <w:szCs w:val="16"/>
                <w:lang w:val="es-GT" w:eastAsia="es-GT"/>
              </w:rPr>
              <w:t>EXPLORACION, EXPLOTACION Y COMERCIALIZACION PETROLERA</w:t>
            </w:r>
          </w:p>
        </w:tc>
        <w:tc>
          <w:tcPr>
            <w:tcW w:w="1134"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17.4</w:t>
            </w:r>
          </w:p>
        </w:tc>
        <w:tc>
          <w:tcPr>
            <w:tcW w:w="106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14.4</w:t>
            </w:r>
          </w:p>
        </w:tc>
        <w:tc>
          <w:tcPr>
            <w:tcW w:w="92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3.0</w:t>
            </w:r>
          </w:p>
        </w:tc>
        <w:tc>
          <w:tcPr>
            <w:tcW w:w="851" w:type="dxa"/>
            <w:tcBorders>
              <w:top w:val="nil"/>
              <w:left w:val="nil"/>
              <w:bottom w:val="nil"/>
              <w:right w:val="single" w:sz="8"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82.8%</w:t>
            </w:r>
          </w:p>
        </w:tc>
      </w:tr>
      <w:tr w:rsidR="00694E7F" w:rsidRPr="00A31D88" w:rsidTr="00BC2EC7">
        <w:trPr>
          <w:trHeight w:val="255"/>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A31D88" w:rsidRDefault="00694E7F" w:rsidP="00694E7F">
            <w:pPr>
              <w:ind w:firstLineChars="200" w:firstLine="280"/>
              <w:rPr>
                <w:color w:val="333333"/>
                <w:sz w:val="14"/>
                <w:szCs w:val="16"/>
                <w:lang w:val="es-GT" w:eastAsia="es-GT"/>
              </w:rPr>
            </w:pPr>
            <w:r w:rsidRPr="00A31D88">
              <w:rPr>
                <w:color w:val="333333"/>
                <w:sz w:val="14"/>
                <w:szCs w:val="16"/>
                <w:lang w:val="es-GT" w:eastAsia="es-GT"/>
              </w:rPr>
              <w:t>EXPLORACION Y EXPLOTACION MINERA</w:t>
            </w:r>
          </w:p>
        </w:tc>
        <w:tc>
          <w:tcPr>
            <w:tcW w:w="1134"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12.1</w:t>
            </w:r>
          </w:p>
        </w:tc>
        <w:tc>
          <w:tcPr>
            <w:tcW w:w="106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9.9</w:t>
            </w:r>
          </w:p>
        </w:tc>
        <w:tc>
          <w:tcPr>
            <w:tcW w:w="92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2.2</w:t>
            </w:r>
          </w:p>
        </w:tc>
        <w:tc>
          <w:tcPr>
            <w:tcW w:w="851" w:type="dxa"/>
            <w:tcBorders>
              <w:top w:val="nil"/>
              <w:left w:val="nil"/>
              <w:bottom w:val="nil"/>
              <w:right w:val="single" w:sz="8"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81.6%</w:t>
            </w:r>
          </w:p>
        </w:tc>
      </w:tr>
      <w:tr w:rsidR="00694E7F" w:rsidRPr="00A31D88" w:rsidTr="00BC2EC7">
        <w:trPr>
          <w:trHeight w:val="255"/>
        </w:trPr>
        <w:tc>
          <w:tcPr>
            <w:tcW w:w="5599" w:type="dxa"/>
            <w:tcBorders>
              <w:top w:val="nil"/>
              <w:left w:val="single" w:sz="8" w:space="0" w:color="auto"/>
              <w:bottom w:val="nil"/>
              <w:right w:val="single" w:sz="4" w:space="0" w:color="auto"/>
            </w:tcBorders>
            <w:shd w:val="clear" w:color="FFFFFF" w:fill="FFFFFF"/>
            <w:vAlign w:val="center"/>
            <w:hideMark/>
          </w:tcPr>
          <w:p w:rsidR="00694E7F" w:rsidRPr="00A31D88" w:rsidRDefault="00694E7F" w:rsidP="00694E7F">
            <w:pPr>
              <w:ind w:firstLineChars="200" w:firstLine="280"/>
              <w:rPr>
                <w:color w:val="333333"/>
                <w:sz w:val="14"/>
                <w:szCs w:val="16"/>
                <w:lang w:val="es-GT" w:eastAsia="es-GT"/>
              </w:rPr>
            </w:pPr>
            <w:r w:rsidRPr="00A31D88">
              <w:rPr>
                <w:color w:val="333333"/>
                <w:sz w:val="14"/>
                <w:szCs w:val="16"/>
                <w:lang w:val="es-GT" w:eastAsia="es-GT"/>
              </w:rPr>
              <w:t>INCREMENTO DE LA ENERGIA RENOVABLE EN LA MATRIZ ENERGETICA</w:t>
            </w:r>
          </w:p>
        </w:tc>
        <w:tc>
          <w:tcPr>
            <w:tcW w:w="1134"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10.9</w:t>
            </w:r>
          </w:p>
        </w:tc>
        <w:tc>
          <w:tcPr>
            <w:tcW w:w="106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5.2</w:t>
            </w:r>
          </w:p>
        </w:tc>
        <w:tc>
          <w:tcPr>
            <w:tcW w:w="92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5.7</w:t>
            </w:r>
          </w:p>
        </w:tc>
        <w:tc>
          <w:tcPr>
            <w:tcW w:w="851" w:type="dxa"/>
            <w:tcBorders>
              <w:top w:val="nil"/>
              <w:left w:val="nil"/>
              <w:bottom w:val="nil"/>
              <w:right w:val="single" w:sz="8"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47.6%</w:t>
            </w:r>
          </w:p>
        </w:tc>
      </w:tr>
      <w:tr w:rsidR="00694E7F" w:rsidRPr="00A31D88" w:rsidTr="00BC2EC7">
        <w:trPr>
          <w:trHeight w:val="255"/>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A31D88" w:rsidRDefault="00694E7F" w:rsidP="00694E7F">
            <w:pPr>
              <w:ind w:firstLineChars="200" w:firstLine="280"/>
              <w:rPr>
                <w:color w:val="333333"/>
                <w:sz w:val="14"/>
                <w:szCs w:val="16"/>
                <w:lang w:val="es-GT" w:eastAsia="es-GT"/>
              </w:rPr>
            </w:pPr>
            <w:r w:rsidRPr="00A31D88">
              <w:rPr>
                <w:color w:val="333333"/>
                <w:sz w:val="14"/>
                <w:szCs w:val="16"/>
                <w:lang w:val="es-GT" w:eastAsia="es-GT"/>
              </w:rPr>
              <w:t>DESARROLLO SOSTENIBLE SECTOR ENERGETICO MINERO HIDROCARBUROS</w:t>
            </w:r>
          </w:p>
        </w:tc>
        <w:tc>
          <w:tcPr>
            <w:tcW w:w="1134"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5.8</w:t>
            </w:r>
          </w:p>
        </w:tc>
        <w:tc>
          <w:tcPr>
            <w:tcW w:w="106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3.4</w:t>
            </w:r>
          </w:p>
        </w:tc>
        <w:tc>
          <w:tcPr>
            <w:tcW w:w="92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2.4</w:t>
            </w:r>
          </w:p>
        </w:tc>
        <w:tc>
          <w:tcPr>
            <w:tcW w:w="851" w:type="dxa"/>
            <w:tcBorders>
              <w:top w:val="nil"/>
              <w:left w:val="nil"/>
              <w:bottom w:val="nil"/>
              <w:right w:val="single" w:sz="8"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58.0%</w:t>
            </w:r>
          </w:p>
        </w:tc>
      </w:tr>
      <w:tr w:rsidR="00694E7F" w:rsidRPr="00A31D88" w:rsidTr="00BC2EC7">
        <w:trPr>
          <w:trHeight w:val="255"/>
        </w:trPr>
        <w:tc>
          <w:tcPr>
            <w:tcW w:w="5599" w:type="dxa"/>
            <w:tcBorders>
              <w:top w:val="nil"/>
              <w:left w:val="single" w:sz="8" w:space="0" w:color="auto"/>
              <w:bottom w:val="nil"/>
              <w:right w:val="single" w:sz="4" w:space="0" w:color="auto"/>
            </w:tcBorders>
            <w:shd w:val="clear" w:color="FFFFFF" w:fill="FFFFFF"/>
            <w:vAlign w:val="center"/>
            <w:hideMark/>
          </w:tcPr>
          <w:p w:rsidR="00694E7F" w:rsidRPr="00A31D88" w:rsidRDefault="00694E7F" w:rsidP="00694E7F">
            <w:pPr>
              <w:ind w:firstLineChars="200" w:firstLine="280"/>
              <w:rPr>
                <w:color w:val="333333"/>
                <w:sz w:val="14"/>
                <w:szCs w:val="16"/>
                <w:lang w:val="es-GT" w:eastAsia="es-GT"/>
              </w:rPr>
            </w:pPr>
            <w:r w:rsidRPr="00A31D88">
              <w:rPr>
                <w:color w:val="333333"/>
                <w:sz w:val="14"/>
                <w:szCs w:val="16"/>
                <w:lang w:val="es-GT" w:eastAsia="es-GT"/>
              </w:rPr>
              <w:t>SEGURIDAD RADIOLOGICA</w:t>
            </w:r>
          </w:p>
        </w:tc>
        <w:tc>
          <w:tcPr>
            <w:tcW w:w="1134"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4.4</w:t>
            </w:r>
          </w:p>
        </w:tc>
        <w:tc>
          <w:tcPr>
            <w:tcW w:w="106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2.8</w:t>
            </w:r>
          </w:p>
        </w:tc>
        <w:tc>
          <w:tcPr>
            <w:tcW w:w="92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1.6</w:t>
            </w:r>
          </w:p>
        </w:tc>
        <w:tc>
          <w:tcPr>
            <w:tcW w:w="851" w:type="dxa"/>
            <w:tcBorders>
              <w:top w:val="nil"/>
              <w:left w:val="nil"/>
              <w:bottom w:val="nil"/>
              <w:right w:val="single" w:sz="8"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64.3%</w:t>
            </w:r>
          </w:p>
        </w:tc>
      </w:tr>
      <w:tr w:rsidR="00694E7F" w:rsidRPr="00A31D88" w:rsidTr="00BC2EC7">
        <w:trPr>
          <w:trHeight w:val="255"/>
        </w:trPr>
        <w:tc>
          <w:tcPr>
            <w:tcW w:w="5599" w:type="dxa"/>
            <w:tcBorders>
              <w:top w:val="nil"/>
              <w:left w:val="single" w:sz="8" w:space="0" w:color="auto"/>
              <w:bottom w:val="nil"/>
              <w:right w:val="single" w:sz="4" w:space="0" w:color="auto"/>
            </w:tcBorders>
            <w:shd w:val="clear" w:color="FFFFFF" w:fill="FFFFFF"/>
            <w:noWrap/>
            <w:vAlign w:val="center"/>
            <w:hideMark/>
          </w:tcPr>
          <w:p w:rsidR="00694E7F" w:rsidRPr="00A31D88" w:rsidRDefault="00694E7F" w:rsidP="00694E7F">
            <w:pPr>
              <w:ind w:firstLineChars="200" w:firstLine="280"/>
              <w:rPr>
                <w:color w:val="333333"/>
                <w:sz w:val="14"/>
                <w:szCs w:val="16"/>
                <w:lang w:val="es-GT" w:eastAsia="es-GT"/>
              </w:rPr>
            </w:pPr>
            <w:r w:rsidRPr="00A31D88">
              <w:rPr>
                <w:color w:val="333333"/>
                <w:sz w:val="14"/>
                <w:szCs w:val="16"/>
                <w:lang w:val="es-GT" w:eastAsia="es-GT"/>
              </w:rPr>
              <w:t>SERVICIOS TECNICOS DE LABORATORIO</w:t>
            </w:r>
          </w:p>
        </w:tc>
        <w:tc>
          <w:tcPr>
            <w:tcW w:w="1134"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4.2</w:t>
            </w:r>
          </w:p>
        </w:tc>
        <w:tc>
          <w:tcPr>
            <w:tcW w:w="106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4.0</w:t>
            </w:r>
          </w:p>
        </w:tc>
        <w:tc>
          <w:tcPr>
            <w:tcW w:w="922" w:type="dxa"/>
            <w:tcBorders>
              <w:top w:val="nil"/>
              <w:left w:val="nil"/>
              <w:bottom w:val="nil"/>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0.2</w:t>
            </w:r>
          </w:p>
        </w:tc>
        <w:tc>
          <w:tcPr>
            <w:tcW w:w="851" w:type="dxa"/>
            <w:tcBorders>
              <w:top w:val="nil"/>
              <w:left w:val="nil"/>
              <w:bottom w:val="nil"/>
              <w:right w:val="single" w:sz="8"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94.6%</w:t>
            </w:r>
          </w:p>
        </w:tc>
      </w:tr>
      <w:tr w:rsidR="00694E7F" w:rsidRPr="00A31D88" w:rsidTr="00BC2EC7">
        <w:trPr>
          <w:trHeight w:val="255"/>
        </w:trPr>
        <w:tc>
          <w:tcPr>
            <w:tcW w:w="5599" w:type="dxa"/>
            <w:tcBorders>
              <w:top w:val="nil"/>
              <w:left w:val="single" w:sz="8" w:space="0" w:color="auto"/>
              <w:bottom w:val="single" w:sz="8" w:space="0" w:color="auto"/>
              <w:right w:val="single" w:sz="4" w:space="0" w:color="auto"/>
            </w:tcBorders>
            <w:shd w:val="clear" w:color="FFFFFF" w:fill="FFFFFF"/>
            <w:noWrap/>
            <w:vAlign w:val="center"/>
            <w:hideMark/>
          </w:tcPr>
          <w:p w:rsidR="00694E7F" w:rsidRPr="00A31D88" w:rsidRDefault="00694E7F" w:rsidP="00694E7F">
            <w:pPr>
              <w:ind w:firstLineChars="200" w:firstLine="280"/>
              <w:rPr>
                <w:color w:val="333333"/>
                <w:sz w:val="14"/>
                <w:szCs w:val="16"/>
                <w:lang w:val="es-GT" w:eastAsia="es-GT"/>
              </w:rPr>
            </w:pPr>
            <w:r w:rsidRPr="00A31D88">
              <w:rPr>
                <w:color w:val="333333"/>
                <w:sz w:val="14"/>
                <w:szCs w:val="16"/>
                <w:lang w:val="es-GT" w:eastAsia="es-GT"/>
              </w:rPr>
              <w:t>PARTIDAS NO ASIGNABLES A PROGRAMAS</w:t>
            </w:r>
          </w:p>
        </w:tc>
        <w:tc>
          <w:tcPr>
            <w:tcW w:w="1134" w:type="dxa"/>
            <w:tcBorders>
              <w:top w:val="nil"/>
              <w:left w:val="nil"/>
              <w:bottom w:val="single" w:sz="8" w:space="0" w:color="auto"/>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0.3</w:t>
            </w:r>
          </w:p>
        </w:tc>
        <w:tc>
          <w:tcPr>
            <w:tcW w:w="1062" w:type="dxa"/>
            <w:tcBorders>
              <w:top w:val="nil"/>
              <w:left w:val="nil"/>
              <w:bottom w:val="single" w:sz="8" w:space="0" w:color="auto"/>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0.2</w:t>
            </w:r>
          </w:p>
        </w:tc>
        <w:tc>
          <w:tcPr>
            <w:tcW w:w="922" w:type="dxa"/>
            <w:tcBorders>
              <w:top w:val="nil"/>
              <w:left w:val="nil"/>
              <w:bottom w:val="single" w:sz="8" w:space="0" w:color="auto"/>
              <w:right w:val="single" w:sz="4"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0.0</w:t>
            </w:r>
          </w:p>
        </w:tc>
        <w:tc>
          <w:tcPr>
            <w:tcW w:w="851" w:type="dxa"/>
            <w:tcBorders>
              <w:top w:val="nil"/>
              <w:left w:val="single" w:sz="4" w:space="0" w:color="auto"/>
              <w:bottom w:val="single" w:sz="8" w:space="0" w:color="auto"/>
              <w:right w:val="single" w:sz="8" w:space="0" w:color="auto"/>
            </w:tcBorders>
            <w:shd w:val="clear" w:color="FFFFFF" w:fill="FFFFFF"/>
            <w:noWrap/>
            <w:vAlign w:val="center"/>
            <w:hideMark/>
          </w:tcPr>
          <w:p w:rsidR="00694E7F" w:rsidRPr="00A31D88" w:rsidRDefault="00694E7F" w:rsidP="00694E7F">
            <w:pPr>
              <w:jc w:val="right"/>
              <w:rPr>
                <w:color w:val="333333"/>
                <w:sz w:val="14"/>
                <w:szCs w:val="16"/>
                <w:lang w:val="es-GT" w:eastAsia="es-GT"/>
              </w:rPr>
            </w:pPr>
            <w:r w:rsidRPr="00A31D88">
              <w:rPr>
                <w:color w:val="333333"/>
                <w:sz w:val="14"/>
                <w:szCs w:val="16"/>
                <w:lang w:val="es-GT" w:eastAsia="es-GT"/>
              </w:rPr>
              <w:t>89.9%</w:t>
            </w: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Default="00694E7F" w:rsidP="00694E7F">
      <w:pPr>
        <w:jc w:val="both"/>
      </w:pPr>
    </w:p>
    <w:p w:rsidR="00694E7F" w:rsidRDefault="00694E7F" w:rsidP="00694E7F">
      <w:pPr>
        <w:jc w:val="both"/>
        <w:rPr>
          <w:b/>
        </w:rPr>
      </w:pPr>
      <w:r w:rsidRPr="00D108FD">
        <w:rPr>
          <w:b/>
        </w:rPr>
        <w:t>Ministerio de Cultura y Deportes</w:t>
      </w:r>
      <w:r>
        <w:rPr>
          <w:b/>
        </w:rPr>
        <w:t>:</w:t>
      </w:r>
    </w:p>
    <w:p w:rsidR="00694E7F" w:rsidRPr="00D108FD" w:rsidRDefault="00694E7F" w:rsidP="00694E7F">
      <w:pPr>
        <w:jc w:val="both"/>
        <w:rPr>
          <w:b/>
        </w:rPr>
      </w:pPr>
    </w:p>
    <w:p w:rsidR="00694E7F" w:rsidRDefault="00694E7F" w:rsidP="00694E7F">
      <w:pPr>
        <w:jc w:val="both"/>
      </w:pPr>
      <w:r w:rsidRPr="00D108FD">
        <w:t xml:space="preserve">Este </w:t>
      </w:r>
      <w:r>
        <w:t>M</w:t>
      </w:r>
      <w:r w:rsidRPr="00D108FD">
        <w:t xml:space="preserve">inisterio </w:t>
      </w:r>
      <w:r>
        <w:t>contó</w:t>
      </w:r>
      <w:r w:rsidRPr="00D108FD">
        <w:t xml:space="preserve"> con un presupuesto</w:t>
      </w:r>
      <w:r>
        <w:t xml:space="preserve"> aprobado</w:t>
      </w:r>
      <w:r w:rsidRPr="00D108FD">
        <w:t xml:space="preserve"> de </w:t>
      </w:r>
      <w:r>
        <w:t>Q</w:t>
      </w:r>
      <w:r w:rsidR="00776FE6">
        <w:t>.</w:t>
      </w:r>
      <w:r>
        <w:t>623.0</w:t>
      </w:r>
      <w:r w:rsidRPr="00D108FD">
        <w:t xml:space="preserve"> millones y una ejecución presupuestaria de </w:t>
      </w:r>
      <w:r>
        <w:t>Q</w:t>
      </w:r>
      <w:r w:rsidR="00776FE6">
        <w:t>.</w:t>
      </w:r>
      <w:r>
        <w:t>358.8</w:t>
      </w:r>
      <w:r w:rsidRPr="00D108FD">
        <w:t xml:space="preserve"> millones equivalente</w:t>
      </w:r>
      <w:r w:rsidR="00776FE6">
        <w:t>s</w:t>
      </w:r>
      <w:r w:rsidRPr="00D108FD">
        <w:t xml:space="preserve"> al </w:t>
      </w:r>
      <w:r>
        <w:t>5</w:t>
      </w:r>
      <w:r w:rsidRPr="00D108FD">
        <w:t>7</w:t>
      </w:r>
      <w:r>
        <w:t>.6</w:t>
      </w:r>
      <w:r w:rsidRPr="00D108FD">
        <w:t>%.</w:t>
      </w:r>
    </w:p>
    <w:p w:rsidR="00694E7F" w:rsidRPr="00D108FD" w:rsidRDefault="00694E7F" w:rsidP="00694E7F">
      <w:pPr>
        <w:jc w:val="both"/>
      </w:pPr>
    </w:p>
    <w:p w:rsidR="00694E7F" w:rsidRDefault="00694E7F" w:rsidP="00694E7F">
      <w:pPr>
        <w:jc w:val="both"/>
      </w:pPr>
      <w:r w:rsidRPr="00D108FD">
        <w:t xml:space="preserve">Dentro de los programas con mayor cantidad de recursos ejecutados, se ubica “Fomento al Deporte No Federado y a la Recreación” con un presupuesto de </w:t>
      </w:r>
      <w:r>
        <w:t>Q</w:t>
      </w:r>
      <w:r w:rsidR="00776FE6">
        <w:t>.</w:t>
      </w:r>
      <w:r w:rsidRPr="00D108FD">
        <w:t>2</w:t>
      </w:r>
      <w:r>
        <w:t>9</w:t>
      </w:r>
      <w:r w:rsidRPr="00D108FD">
        <w:t>1</w:t>
      </w:r>
      <w:r>
        <w:t>.9</w:t>
      </w:r>
      <w:r w:rsidRPr="00D108FD">
        <w:t xml:space="preserve"> millones, y su ejecución fue de </w:t>
      </w:r>
      <w:r>
        <w:t>Q</w:t>
      </w:r>
      <w:r w:rsidR="00776FE6">
        <w:t>.</w:t>
      </w:r>
      <w:r>
        <w:t>97.9</w:t>
      </w:r>
      <w:r w:rsidRPr="00D108FD">
        <w:t xml:space="preserve"> millones equivalente</w:t>
      </w:r>
      <w:r w:rsidR="00776FE6">
        <w:t>s</w:t>
      </w:r>
      <w:r w:rsidRPr="00D108FD">
        <w:t xml:space="preserve"> al </w:t>
      </w:r>
      <w:r>
        <w:t>33.5</w:t>
      </w:r>
      <w:r w:rsidRPr="00D108FD">
        <w:t>%.</w:t>
      </w:r>
    </w:p>
    <w:p w:rsidR="00694E7F" w:rsidRPr="00D108FD" w:rsidRDefault="00694E7F" w:rsidP="00694E7F">
      <w:pPr>
        <w:jc w:val="both"/>
      </w:pPr>
    </w:p>
    <w:p w:rsidR="00694E7F" w:rsidRDefault="00694E7F" w:rsidP="00694E7F">
      <w:pPr>
        <w:jc w:val="both"/>
      </w:pPr>
      <w:r w:rsidRPr="00D108FD">
        <w:t>El siguiente programa fue “Restauración, Preservación y Protección del Patrimonio Cultural y Natural” el cual tuvo un presupuesto</w:t>
      </w:r>
      <w:r>
        <w:t xml:space="preserve"> inicial</w:t>
      </w:r>
      <w:r w:rsidRPr="00D108FD">
        <w:t xml:space="preserve"> de </w:t>
      </w:r>
      <w:r>
        <w:t>Q</w:t>
      </w:r>
      <w:r w:rsidR="00776FE6">
        <w:t>.</w:t>
      </w:r>
      <w:r w:rsidRPr="00D108FD">
        <w:t>15</w:t>
      </w:r>
      <w:r>
        <w:t>4.3</w:t>
      </w:r>
      <w:r w:rsidRPr="00D108FD">
        <w:t xml:space="preserve"> millones y una ejecución presupuestaria de </w:t>
      </w:r>
      <w:r>
        <w:t>Q</w:t>
      </w:r>
      <w:r w:rsidR="00776FE6">
        <w:t>.</w:t>
      </w:r>
      <w:r w:rsidRPr="00D108FD">
        <w:t>1</w:t>
      </w:r>
      <w:r>
        <w:t>12.9</w:t>
      </w:r>
      <w:r w:rsidRPr="00D108FD">
        <w:t xml:space="preserve"> millones equivalente</w:t>
      </w:r>
      <w:r w:rsidR="00776FE6">
        <w:t>s</w:t>
      </w:r>
      <w:r w:rsidRPr="00D108FD">
        <w:t xml:space="preserve"> al </w:t>
      </w:r>
      <w:r>
        <w:t>73.2</w:t>
      </w:r>
      <w:r w:rsidRPr="00D108FD">
        <w:t>%</w:t>
      </w:r>
      <w:r>
        <w:t>.</w:t>
      </w:r>
    </w:p>
    <w:p w:rsidR="00694E7F" w:rsidRPr="00D108FD" w:rsidRDefault="00694E7F" w:rsidP="00694E7F">
      <w:pPr>
        <w:jc w:val="both"/>
      </w:pPr>
    </w:p>
    <w:p w:rsidR="00694E7F" w:rsidRDefault="00694E7F" w:rsidP="00694E7F">
      <w:pPr>
        <w:jc w:val="both"/>
      </w:pPr>
      <w:r w:rsidRPr="00D108FD">
        <w:t xml:space="preserve">Finalmente, dentro de los programas con mayor asignación se ubica el programa de “Formación, Fomento y Difusión de las Artes” con un presupuesto de </w:t>
      </w:r>
      <w:r>
        <w:t>Q</w:t>
      </w:r>
      <w:r w:rsidR="00776FE6">
        <w:t>.</w:t>
      </w:r>
      <w:r w:rsidRPr="00D108FD">
        <w:t>1</w:t>
      </w:r>
      <w:r>
        <w:t>07.0</w:t>
      </w:r>
      <w:r w:rsidRPr="00D108FD">
        <w:t xml:space="preserve"> millones y una ejecución presupuestaria de </w:t>
      </w:r>
      <w:r>
        <w:t>Q</w:t>
      </w:r>
      <w:r w:rsidR="00776FE6">
        <w:t>.</w:t>
      </w:r>
      <w:r>
        <w:t>82.9</w:t>
      </w:r>
      <w:r w:rsidRPr="00D108FD">
        <w:t xml:space="preserve"> millones equivalente</w:t>
      </w:r>
      <w:r w:rsidR="00776FE6">
        <w:t>s</w:t>
      </w:r>
      <w:r>
        <w:t xml:space="preserve"> al 77.4%</w:t>
      </w:r>
      <w:r w:rsidRPr="00D108FD">
        <w:t>.</w:t>
      </w:r>
    </w:p>
    <w:p w:rsidR="00694E7F" w:rsidRPr="00D108FD" w:rsidRDefault="00694E7F" w:rsidP="00694E7F">
      <w:pPr>
        <w:jc w:val="both"/>
      </w:pPr>
    </w:p>
    <w:p w:rsidR="00694E7F" w:rsidRDefault="00694E7F" w:rsidP="00694E7F">
      <w:pPr>
        <w:jc w:val="both"/>
      </w:pPr>
      <w:r w:rsidRPr="00D108FD">
        <w:t xml:space="preserve">Quedan </w:t>
      </w:r>
      <w:r>
        <w:t>4</w:t>
      </w:r>
      <w:r w:rsidRPr="00D108FD">
        <w:t xml:space="preserve"> programas restantes para completar la ejecución presupuestaria, los cuales se ubicaron por debajo de los </w:t>
      </w:r>
      <w:r>
        <w:t>Q</w:t>
      </w:r>
      <w:r w:rsidR="00925918">
        <w:t>.</w:t>
      </w:r>
      <w:r>
        <w:t>22.9</w:t>
      </w:r>
      <w:r w:rsidRPr="00D108FD">
        <w:t xml:space="preserve"> millones</w:t>
      </w:r>
      <w:r>
        <w:t xml:space="preserve"> ejecutados por el programa de Administración Institucional</w:t>
      </w:r>
      <w:r w:rsidRPr="00D108FD">
        <w:t>, según se observa en el cuadro que se presenta a continuación</w:t>
      </w:r>
      <w:r>
        <w:t>:</w:t>
      </w:r>
    </w:p>
    <w:p w:rsidR="00694E7F" w:rsidRDefault="00694E7F" w:rsidP="00694E7F">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Programa!F144C2:F151C6"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fldChar w:fldCharType="end"/>
      </w:r>
    </w:p>
    <w:tbl>
      <w:tblPr>
        <w:tblW w:w="9568" w:type="dxa"/>
        <w:tblCellMar>
          <w:left w:w="70" w:type="dxa"/>
          <w:right w:w="70" w:type="dxa"/>
        </w:tblCellMar>
        <w:tblLook w:val="04A0" w:firstRow="1" w:lastRow="0" w:firstColumn="1" w:lastColumn="0" w:noHBand="0" w:noVBand="1"/>
      </w:tblPr>
      <w:tblGrid>
        <w:gridCol w:w="5457"/>
        <w:gridCol w:w="1134"/>
        <w:gridCol w:w="1004"/>
        <w:gridCol w:w="980"/>
        <w:gridCol w:w="993"/>
      </w:tblGrid>
      <w:tr w:rsidR="00694E7F" w:rsidRPr="00414A15" w:rsidTr="00575460">
        <w:trPr>
          <w:trHeight w:val="228"/>
        </w:trPr>
        <w:tc>
          <w:tcPr>
            <w:tcW w:w="5457"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DESCRIPCION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Asignado</w:t>
            </w:r>
          </w:p>
        </w:tc>
        <w:tc>
          <w:tcPr>
            <w:tcW w:w="100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Ejecución</w:t>
            </w:r>
          </w:p>
        </w:tc>
        <w:tc>
          <w:tcPr>
            <w:tcW w:w="980"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Diferencias</w:t>
            </w:r>
          </w:p>
        </w:tc>
        <w:tc>
          <w:tcPr>
            <w:tcW w:w="993"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575460" w:rsidRDefault="00694E7F" w:rsidP="00575460">
            <w:pPr>
              <w:jc w:val="center"/>
              <w:rPr>
                <w:b/>
                <w:bCs/>
                <w:color w:val="000000"/>
                <w:sz w:val="16"/>
                <w:szCs w:val="16"/>
                <w:lang w:val="es-GT" w:eastAsia="es-GT"/>
              </w:rPr>
            </w:pPr>
            <w:r w:rsidRPr="00575460">
              <w:rPr>
                <w:b/>
                <w:bCs/>
                <w:color w:val="000000"/>
                <w:sz w:val="16"/>
                <w:szCs w:val="16"/>
                <w:lang w:val="es-GT" w:eastAsia="es-GT"/>
              </w:rPr>
              <w:t>% Ejec</w:t>
            </w:r>
          </w:p>
        </w:tc>
      </w:tr>
      <w:tr w:rsidR="00694E7F" w:rsidRPr="00414A15" w:rsidTr="00575460">
        <w:trPr>
          <w:trHeight w:val="228"/>
        </w:trPr>
        <w:tc>
          <w:tcPr>
            <w:tcW w:w="5457" w:type="dxa"/>
            <w:tcBorders>
              <w:top w:val="nil"/>
              <w:left w:val="single" w:sz="8" w:space="0" w:color="auto"/>
              <w:bottom w:val="nil"/>
              <w:right w:val="single" w:sz="4" w:space="0" w:color="auto"/>
            </w:tcBorders>
            <w:shd w:val="clear" w:color="FFFFFF" w:fill="FFFFFF"/>
            <w:noWrap/>
            <w:vAlign w:val="bottom"/>
            <w:hideMark/>
          </w:tcPr>
          <w:p w:rsidR="00694E7F" w:rsidRPr="00575460" w:rsidRDefault="00694E7F" w:rsidP="00694E7F">
            <w:pPr>
              <w:rPr>
                <w:b/>
                <w:bCs/>
                <w:color w:val="333333"/>
                <w:sz w:val="14"/>
                <w:szCs w:val="14"/>
                <w:lang w:val="es-GT" w:eastAsia="es-GT"/>
              </w:rPr>
            </w:pPr>
            <w:r w:rsidRPr="00575460">
              <w:rPr>
                <w:b/>
                <w:bCs/>
                <w:color w:val="333333"/>
                <w:sz w:val="14"/>
                <w:szCs w:val="14"/>
                <w:lang w:val="es-GT" w:eastAsia="es-GT"/>
              </w:rPr>
              <w:t>MINISTERIO DE CULTURA Y DEPORTES</w:t>
            </w:r>
          </w:p>
        </w:tc>
        <w:tc>
          <w:tcPr>
            <w:tcW w:w="113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b/>
                <w:bCs/>
                <w:color w:val="333333"/>
                <w:sz w:val="14"/>
                <w:szCs w:val="14"/>
                <w:lang w:val="es-GT" w:eastAsia="es-GT"/>
              </w:rPr>
            </w:pPr>
            <w:r w:rsidRPr="00575460">
              <w:rPr>
                <w:b/>
                <w:bCs/>
                <w:color w:val="333333"/>
                <w:sz w:val="14"/>
                <w:szCs w:val="14"/>
                <w:lang w:val="es-GT" w:eastAsia="es-GT"/>
              </w:rPr>
              <w:t>623.0</w:t>
            </w:r>
          </w:p>
        </w:tc>
        <w:tc>
          <w:tcPr>
            <w:tcW w:w="100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b/>
                <w:bCs/>
                <w:color w:val="333333"/>
                <w:sz w:val="14"/>
                <w:szCs w:val="14"/>
                <w:lang w:val="es-GT" w:eastAsia="es-GT"/>
              </w:rPr>
            </w:pPr>
            <w:r w:rsidRPr="00575460">
              <w:rPr>
                <w:b/>
                <w:bCs/>
                <w:color w:val="333333"/>
                <w:sz w:val="14"/>
                <w:szCs w:val="14"/>
                <w:lang w:val="es-GT" w:eastAsia="es-GT"/>
              </w:rPr>
              <w:t>358.8</w:t>
            </w:r>
          </w:p>
        </w:tc>
        <w:tc>
          <w:tcPr>
            <w:tcW w:w="980"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b/>
                <w:bCs/>
                <w:color w:val="333333"/>
                <w:sz w:val="14"/>
                <w:szCs w:val="14"/>
                <w:lang w:val="es-GT" w:eastAsia="es-GT"/>
              </w:rPr>
            </w:pPr>
            <w:r w:rsidRPr="00575460">
              <w:rPr>
                <w:b/>
                <w:bCs/>
                <w:color w:val="333333"/>
                <w:sz w:val="14"/>
                <w:szCs w:val="14"/>
                <w:lang w:val="es-GT" w:eastAsia="es-GT"/>
              </w:rPr>
              <w:t>264.1</w:t>
            </w:r>
          </w:p>
        </w:tc>
        <w:tc>
          <w:tcPr>
            <w:tcW w:w="993" w:type="dxa"/>
            <w:tcBorders>
              <w:top w:val="nil"/>
              <w:left w:val="nil"/>
              <w:bottom w:val="nil"/>
              <w:right w:val="single" w:sz="8" w:space="0" w:color="auto"/>
            </w:tcBorders>
            <w:shd w:val="clear" w:color="FFFFFF" w:fill="FFFFFF"/>
            <w:noWrap/>
            <w:vAlign w:val="bottom"/>
            <w:hideMark/>
          </w:tcPr>
          <w:p w:rsidR="00694E7F" w:rsidRPr="00575460" w:rsidRDefault="00694E7F" w:rsidP="00694E7F">
            <w:pPr>
              <w:jc w:val="right"/>
              <w:rPr>
                <w:b/>
                <w:bCs/>
                <w:color w:val="333333"/>
                <w:sz w:val="14"/>
                <w:szCs w:val="14"/>
                <w:lang w:val="es-GT" w:eastAsia="es-GT"/>
              </w:rPr>
            </w:pPr>
            <w:r w:rsidRPr="00575460">
              <w:rPr>
                <w:b/>
                <w:bCs/>
                <w:color w:val="333333"/>
                <w:sz w:val="14"/>
                <w:szCs w:val="14"/>
                <w:lang w:val="es-GT" w:eastAsia="es-GT"/>
              </w:rPr>
              <w:t>57.6%</w:t>
            </w:r>
          </w:p>
        </w:tc>
      </w:tr>
      <w:tr w:rsidR="00694E7F" w:rsidRPr="00414A15" w:rsidTr="00575460">
        <w:trPr>
          <w:trHeight w:val="228"/>
        </w:trPr>
        <w:tc>
          <w:tcPr>
            <w:tcW w:w="5457" w:type="dxa"/>
            <w:tcBorders>
              <w:top w:val="nil"/>
              <w:left w:val="single" w:sz="8" w:space="0" w:color="auto"/>
              <w:bottom w:val="nil"/>
              <w:right w:val="single" w:sz="4" w:space="0" w:color="auto"/>
            </w:tcBorders>
            <w:shd w:val="clear" w:color="FFFFFF" w:fill="FFFFFF"/>
            <w:vAlign w:val="bottom"/>
            <w:hideMark/>
          </w:tcPr>
          <w:p w:rsidR="00694E7F" w:rsidRPr="00575460" w:rsidRDefault="00694E7F" w:rsidP="00575460">
            <w:pPr>
              <w:ind w:firstLineChars="200" w:firstLine="280"/>
              <w:rPr>
                <w:color w:val="333333"/>
                <w:sz w:val="14"/>
                <w:szCs w:val="14"/>
                <w:lang w:val="es-GT" w:eastAsia="es-GT"/>
              </w:rPr>
            </w:pPr>
            <w:r w:rsidRPr="00575460">
              <w:rPr>
                <w:color w:val="333333"/>
                <w:sz w:val="14"/>
                <w:szCs w:val="14"/>
                <w:lang w:val="es-GT" w:eastAsia="es-GT"/>
              </w:rPr>
              <w:t>FOMENTO AL DEPORTE NO FEDERADO Y A LA RECREACIÓN</w:t>
            </w:r>
          </w:p>
        </w:tc>
        <w:tc>
          <w:tcPr>
            <w:tcW w:w="113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291.9</w:t>
            </w:r>
          </w:p>
        </w:tc>
        <w:tc>
          <w:tcPr>
            <w:tcW w:w="100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97.9</w:t>
            </w:r>
          </w:p>
        </w:tc>
        <w:tc>
          <w:tcPr>
            <w:tcW w:w="980"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194.0</w:t>
            </w:r>
          </w:p>
        </w:tc>
        <w:tc>
          <w:tcPr>
            <w:tcW w:w="993" w:type="dxa"/>
            <w:tcBorders>
              <w:top w:val="nil"/>
              <w:left w:val="nil"/>
              <w:bottom w:val="nil"/>
              <w:right w:val="single" w:sz="8"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33.5%</w:t>
            </w:r>
          </w:p>
        </w:tc>
      </w:tr>
      <w:tr w:rsidR="00694E7F" w:rsidRPr="00414A15" w:rsidTr="00575460">
        <w:trPr>
          <w:trHeight w:val="228"/>
        </w:trPr>
        <w:tc>
          <w:tcPr>
            <w:tcW w:w="5457" w:type="dxa"/>
            <w:tcBorders>
              <w:top w:val="nil"/>
              <w:left w:val="single" w:sz="8" w:space="0" w:color="auto"/>
              <w:bottom w:val="nil"/>
              <w:right w:val="single" w:sz="4" w:space="0" w:color="auto"/>
            </w:tcBorders>
            <w:shd w:val="clear" w:color="FFFFFF" w:fill="FFFFFF"/>
            <w:vAlign w:val="bottom"/>
            <w:hideMark/>
          </w:tcPr>
          <w:p w:rsidR="00694E7F" w:rsidRPr="00575460" w:rsidRDefault="00694E7F" w:rsidP="00575460">
            <w:pPr>
              <w:ind w:firstLineChars="200" w:firstLine="280"/>
              <w:rPr>
                <w:color w:val="333333"/>
                <w:sz w:val="14"/>
                <w:szCs w:val="14"/>
                <w:lang w:val="es-GT" w:eastAsia="es-GT"/>
              </w:rPr>
            </w:pPr>
            <w:r w:rsidRPr="00575460">
              <w:rPr>
                <w:color w:val="333333"/>
                <w:sz w:val="14"/>
                <w:szCs w:val="14"/>
                <w:lang w:val="es-GT" w:eastAsia="es-GT"/>
              </w:rPr>
              <w:t>RESTAURACIÓN Y PROTECCIÓN DEL PATRIMONIO CULTURAL Y NATURAL</w:t>
            </w:r>
          </w:p>
        </w:tc>
        <w:tc>
          <w:tcPr>
            <w:tcW w:w="113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154.3</w:t>
            </w:r>
          </w:p>
        </w:tc>
        <w:tc>
          <w:tcPr>
            <w:tcW w:w="100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112.9</w:t>
            </w:r>
          </w:p>
        </w:tc>
        <w:tc>
          <w:tcPr>
            <w:tcW w:w="980"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41.4</w:t>
            </w:r>
          </w:p>
        </w:tc>
        <w:tc>
          <w:tcPr>
            <w:tcW w:w="993" w:type="dxa"/>
            <w:tcBorders>
              <w:top w:val="nil"/>
              <w:left w:val="nil"/>
              <w:bottom w:val="nil"/>
              <w:right w:val="single" w:sz="8"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73.2%</w:t>
            </w:r>
          </w:p>
        </w:tc>
      </w:tr>
      <w:tr w:rsidR="00694E7F" w:rsidRPr="00414A15" w:rsidTr="00575460">
        <w:trPr>
          <w:trHeight w:val="228"/>
        </w:trPr>
        <w:tc>
          <w:tcPr>
            <w:tcW w:w="5457" w:type="dxa"/>
            <w:tcBorders>
              <w:top w:val="nil"/>
              <w:left w:val="single" w:sz="8" w:space="0" w:color="auto"/>
              <w:bottom w:val="nil"/>
              <w:right w:val="single" w:sz="4" w:space="0" w:color="auto"/>
            </w:tcBorders>
            <w:shd w:val="clear" w:color="FFFFFF" w:fill="FFFFFF"/>
            <w:vAlign w:val="bottom"/>
            <w:hideMark/>
          </w:tcPr>
          <w:p w:rsidR="00694E7F" w:rsidRPr="00575460" w:rsidRDefault="00694E7F" w:rsidP="00575460">
            <w:pPr>
              <w:ind w:firstLineChars="200" w:firstLine="280"/>
              <w:rPr>
                <w:color w:val="333333"/>
                <w:sz w:val="14"/>
                <w:szCs w:val="14"/>
                <w:lang w:val="es-GT" w:eastAsia="es-GT"/>
              </w:rPr>
            </w:pPr>
            <w:r w:rsidRPr="00575460">
              <w:rPr>
                <w:color w:val="333333"/>
                <w:sz w:val="14"/>
                <w:szCs w:val="14"/>
                <w:lang w:val="es-GT" w:eastAsia="es-GT"/>
              </w:rPr>
              <w:t>FORMACIÓN, FOMENTO Y DIFUSIÓN DE LAS ARTES</w:t>
            </w:r>
          </w:p>
        </w:tc>
        <w:tc>
          <w:tcPr>
            <w:tcW w:w="113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107.0</w:t>
            </w:r>
          </w:p>
        </w:tc>
        <w:tc>
          <w:tcPr>
            <w:tcW w:w="100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82.9</w:t>
            </w:r>
          </w:p>
        </w:tc>
        <w:tc>
          <w:tcPr>
            <w:tcW w:w="980"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24.2</w:t>
            </w:r>
          </w:p>
        </w:tc>
        <w:tc>
          <w:tcPr>
            <w:tcW w:w="993" w:type="dxa"/>
            <w:tcBorders>
              <w:top w:val="nil"/>
              <w:left w:val="nil"/>
              <w:bottom w:val="nil"/>
              <w:right w:val="single" w:sz="8"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77.4%</w:t>
            </w:r>
          </w:p>
        </w:tc>
      </w:tr>
      <w:tr w:rsidR="00694E7F" w:rsidRPr="00414A15" w:rsidTr="00575460">
        <w:trPr>
          <w:trHeight w:val="228"/>
        </w:trPr>
        <w:tc>
          <w:tcPr>
            <w:tcW w:w="5457" w:type="dxa"/>
            <w:tcBorders>
              <w:top w:val="nil"/>
              <w:left w:val="single" w:sz="8" w:space="0" w:color="auto"/>
              <w:bottom w:val="nil"/>
              <w:right w:val="single" w:sz="4" w:space="0" w:color="auto"/>
            </w:tcBorders>
            <w:shd w:val="clear" w:color="FFFFFF" w:fill="FFFFFF"/>
            <w:noWrap/>
            <w:vAlign w:val="bottom"/>
            <w:hideMark/>
          </w:tcPr>
          <w:p w:rsidR="00694E7F" w:rsidRPr="00575460" w:rsidRDefault="00694E7F" w:rsidP="00575460">
            <w:pPr>
              <w:ind w:firstLineChars="200" w:firstLine="280"/>
              <w:rPr>
                <w:color w:val="333333"/>
                <w:sz w:val="14"/>
                <w:szCs w:val="14"/>
                <w:lang w:val="es-GT" w:eastAsia="es-GT"/>
              </w:rPr>
            </w:pPr>
            <w:r w:rsidRPr="00575460">
              <w:rPr>
                <w:color w:val="333333"/>
                <w:sz w:val="14"/>
                <w:szCs w:val="14"/>
                <w:lang w:val="es-GT" w:eastAsia="es-GT"/>
              </w:rPr>
              <w:t>ADMINISTRACIÓN INSTITUCIONAL</w:t>
            </w:r>
          </w:p>
        </w:tc>
        <w:tc>
          <w:tcPr>
            <w:tcW w:w="113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25.6</w:t>
            </w:r>
          </w:p>
        </w:tc>
        <w:tc>
          <w:tcPr>
            <w:tcW w:w="100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22.9</w:t>
            </w:r>
          </w:p>
        </w:tc>
        <w:tc>
          <w:tcPr>
            <w:tcW w:w="980"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2.7</w:t>
            </w:r>
          </w:p>
        </w:tc>
        <w:tc>
          <w:tcPr>
            <w:tcW w:w="993" w:type="dxa"/>
            <w:tcBorders>
              <w:top w:val="nil"/>
              <w:left w:val="nil"/>
              <w:bottom w:val="nil"/>
              <w:right w:val="single" w:sz="8"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89.4%</w:t>
            </w:r>
          </w:p>
        </w:tc>
      </w:tr>
      <w:tr w:rsidR="00694E7F" w:rsidRPr="00414A15" w:rsidTr="00575460">
        <w:trPr>
          <w:trHeight w:val="228"/>
        </w:trPr>
        <w:tc>
          <w:tcPr>
            <w:tcW w:w="5457" w:type="dxa"/>
            <w:tcBorders>
              <w:top w:val="nil"/>
              <w:left w:val="single" w:sz="8" w:space="0" w:color="auto"/>
              <w:bottom w:val="nil"/>
              <w:right w:val="single" w:sz="4" w:space="0" w:color="auto"/>
            </w:tcBorders>
            <w:shd w:val="clear" w:color="FFFFFF" w:fill="FFFFFF"/>
            <w:noWrap/>
            <w:vAlign w:val="bottom"/>
            <w:hideMark/>
          </w:tcPr>
          <w:p w:rsidR="00694E7F" w:rsidRPr="00575460" w:rsidRDefault="00694E7F" w:rsidP="00575460">
            <w:pPr>
              <w:ind w:firstLineChars="200" w:firstLine="280"/>
              <w:rPr>
                <w:color w:val="333333"/>
                <w:sz w:val="14"/>
                <w:szCs w:val="14"/>
                <w:lang w:val="es-GT" w:eastAsia="es-GT"/>
              </w:rPr>
            </w:pPr>
            <w:r w:rsidRPr="00575460">
              <w:rPr>
                <w:color w:val="333333"/>
                <w:sz w:val="14"/>
                <w:szCs w:val="14"/>
                <w:lang w:val="es-GT" w:eastAsia="es-GT"/>
              </w:rPr>
              <w:t>PARTIDAS NO ASIGNABLES A PROGRAMAS</w:t>
            </w:r>
          </w:p>
        </w:tc>
        <w:tc>
          <w:tcPr>
            <w:tcW w:w="113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23.7</w:t>
            </w:r>
          </w:p>
        </w:tc>
        <w:tc>
          <w:tcPr>
            <w:tcW w:w="100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18.9</w:t>
            </w:r>
          </w:p>
        </w:tc>
        <w:tc>
          <w:tcPr>
            <w:tcW w:w="980"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4.8</w:t>
            </w:r>
          </w:p>
        </w:tc>
        <w:tc>
          <w:tcPr>
            <w:tcW w:w="993" w:type="dxa"/>
            <w:tcBorders>
              <w:top w:val="nil"/>
              <w:left w:val="nil"/>
              <w:bottom w:val="nil"/>
              <w:right w:val="single" w:sz="8"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79.9%</w:t>
            </w:r>
          </w:p>
        </w:tc>
      </w:tr>
      <w:tr w:rsidR="00694E7F" w:rsidRPr="00414A15" w:rsidTr="00575460">
        <w:trPr>
          <w:trHeight w:val="228"/>
        </w:trPr>
        <w:tc>
          <w:tcPr>
            <w:tcW w:w="5457" w:type="dxa"/>
            <w:tcBorders>
              <w:top w:val="nil"/>
              <w:left w:val="single" w:sz="8" w:space="0" w:color="auto"/>
              <w:bottom w:val="nil"/>
              <w:right w:val="single" w:sz="4" w:space="0" w:color="auto"/>
            </w:tcBorders>
            <w:shd w:val="clear" w:color="FFFFFF" w:fill="FFFFFF"/>
            <w:noWrap/>
            <w:vAlign w:val="bottom"/>
            <w:hideMark/>
          </w:tcPr>
          <w:p w:rsidR="00694E7F" w:rsidRPr="00575460" w:rsidRDefault="00694E7F" w:rsidP="00575460">
            <w:pPr>
              <w:ind w:firstLineChars="200" w:firstLine="280"/>
              <w:rPr>
                <w:color w:val="333333"/>
                <w:sz w:val="14"/>
                <w:szCs w:val="14"/>
                <w:lang w:val="es-GT" w:eastAsia="es-GT"/>
              </w:rPr>
            </w:pPr>
            <w:r w:rsidRPr="00575460">
              <w:rPr>
                <w:color w:val="333333"/>
                <w:sz w:val="14"/>
                <w:szCs w:val="14"/>
                <w:lang w:val="es-GT" w:eastAsia="es-GT"/>
              </w:rPr>
              <w:t>GESTIÓN DEL DESARROLLO CULTURAL</w:t>
            </w:r>
          </w:p>
        </w:tc>
        <w:tc>
          <w:tcPr>
            <w:tcW w:w="113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20.5</w:t>
            </w:r>
          </w:p>
        </w:tc>
        <w:tc>
          <w:tcPr>
            <w:tcW w:w="1004"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15.2</w:t>
            </w:r>
          </w:p>
        </w:tc>
        <w:tc>
          <w:tcPr>
            <w:tcW w:w="980" w:type="dxa"/>
            <w:tcBorders>
              <w:top w:val="nil"/>
              <w:left w:val="nil"/>
              <w:bottom w:val="nil"/>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5.3</w:t>
            </w:r>
          </w:p>
        </w:tc>
        <w:tc>
          <w:tcPr>
            <w:tcW w:w="993" w:type="dxa"/>
            <w:tcBorders>
              <w:top w:val="nil"/>
              <w:left w:val="nil"/>
              <w:bottom w:val="nil"/>
              <w:right w:val="single" w:sz="8"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74.1%</w:t>
            </w:r>
          </w:p>
        </w:tc>
      </w:tr>
      <w:tr w:rsidR="00694E7F" w:rsidRPr="00414A15" w:rsidTr="00575460">
        <w:trPr>
          <w:trHeight w:val="228"/>
        </w:trPr>
        <w:tc>
          <w:tcPr>
            <w:tcW w:w="5457"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575460" w:rsidRDefault="00694E7F" w:rsidP="00575460">
            <w:pPr>
              <w:ind w:firstLineChars="200" w:firstLine="280"/>
              <w:rPr>
                <w:color w:val="333333"/>
                <w:sz w:val="14"/>
                <w:szCs w:val="14"/>
                <w:lang w:val="es-GT" w:eastAsia="es-GT"/>
              </w:rPr>
            </w:pPr>
            <w:r w:rsidRPr="00575460">
              <w:rPr>
                <w:color w:val="333333"/>
                <w:sz w:val="14"/>
                <w:szCs w:val="14"/>
                <w:lang w:val="es-GT" w:eastAsia="es-GT"/>
              </w:rPr>
              <w:t>ATENCIÓN POR DESASTRES NATURALES Y CALAMIDADES PÚBLICAS</w:t>
            </w:r>
          </w:p>
        </w:tc>
        <w:tc>
          <w:tcPr>
            <w:tcW w:w="1134" w:type="dxa"/>
            <w:tcBorders>
              <w:top w:val="nil"/>
              <w:left w:val="nil"/>
              <w:bottom w:val="single" w:sz="8" w:space="0" w:color="auto"/>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0.0</w:t>
            </w:r>
          </w:p>
        </w:tc>
        <w:tc>
          <w:tcPr>
            <w:tcW w:w="1004" w:type="dxa"/>
            <w:tcBorders>
              <w:top w:val="nil"/>
              <w:left w:val="nil"/>
              <w:bottom w:val="single" w:sz="8" w:space="0" w:color="auto"/>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8.3</w:t>
            </w:r>
          </w:p>
        </w:tc>
        <w:tc>
          <w:tcPr>
            <w:tcW w:w="980" w:type="dxa"/>
            <w:tcBorders>
              <w:top w:val="nil"/>
              <w:left w:val="nil"/>
              <w:bottom w:val="single" w:sz="8" w:space="0" w:color="auto"/>
              <w:right w:val="single" w:sz="4"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r w:rsidRPr="00575460">
              <w:rPr>
                <w:color w:val="333333"/>
                <w:sz w:val="14"/>
                <w:szCs w:val="14"/>
                <w:lang w:val="es-GT" w:eastAsia="es-GT"/>
              </w:rPr>
              <w:t>-8.3</w:t>
            </w:r>
          </w:p>
        </w:tc>
        <w:tc>
          <w:tcPr>
            <w:tcW w:w="993" w:type="dxa"/>
            <w:tcBorders>
              <w:top w:val="nil"/>
              <w:left w:val="single" w:sz="4" w:space="0" w:color="auto"/>
              <w:bottom w:val="single" w:sz="8" w:space="0" w:color="auto"/>
              <w:right w:val="single" w:sz="8" w:space="0" w:color="auto"/>
            </w:tcBorders>
            <w:shd w:val="clear" w:color="FFFFFF" w:fill="FFFFFF"/>
            <w:noWrap/>
            <w:vAlign w:val="bottom"/>
            <w:hideMark/>
          </w:tcPr>
          <w:p w:rsidR="00694E7F" w:rsidRPr="00575460" w:rsidRDefault="00694E7F" w:rsidP="00694E7F">
            <w:pPr>
              <w:jc w:val="right"/>
              <w:rPr>
                <w:color w:val="333333"/>
                <w:sz w:val="14"/>
                <w:szCs w:val="14"/>
                <w:lang w:val="es-GT" w:eastAsia="es-GT"/>
              </w:rPr>
            </w:pP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Default="00694E7F" w:rsidP="00694E7F">
      <w:pPr>
        <w:jc w:val="both"/>
      </w:pPr>
    </w:p>
    <w:p w:rsidR="00694E7F" w:rsidRPr="00D108FD" w:rsidRDefault="00694E7F" w:rsidP="00694E7F">
      <w:pPr>
        <w:jc w:val="both"/>
      </w:pPr>
    </w:p>
    <w:p w:rsidR="00694E7F" w:rsidRDefault="00694E7F" w:rsidP="00694E7F">
      <w:pPr>
        <w:jc w:val="both"/>
        <w:rPr>
          <w:b/>
        </w:rPr>
      </w:pPr>
      <w:r w:rsidRPr="00D108FD">
        <w:rPr>
          <w:b/>
        </w:rPr>
        <w:t>Ministerio de Ambiente y Recursos Naturales</w:t>
      </w:r>
      <w:r>
        <w:rPr>
          <w:b/>
        </w:rPr>
        <w:t>:</w:t>
      </w:r>
    </w:p>
    <w:p w:rsidR="00694E7F" w:rsidRPr="00D108FD" w:rsidRDefault="00694E7F" w:rsidP="00694E7F">
      <w:pPr>
        <w:jc w:val="both"/>
        <w:rPr>
          <w:b/>
        </w:rPr>
      </w:pPr>
    </w:p>
    <w:p w:rsidR="00694E7F" w:rsidRDefault="00694E7F" w:rsidP="00694E7F">
      <w:pPr>
        <w:jc w:val="both"/>
      </w:pPr>
      <w:r w:rsidRPr="00D108FD">
        <w:t xml:space="preserve">El </w:t>
      </w:r>
      <w:r w:rsidRPr="00B21910">
        <w:t>Ministerio de Ambiente y Recursos Naturales</w:t>
      </w:r>
      <w:r w:rsidRPr="00D108FD">
        <w:t xml:space="preserve"> tuvo un presupuesto </w:t>
      </w:r>
      <w:r>
        <w:t xml:space="preserve">aprobado </w:t>
      </w:r>
      <w:r w:rsidRPr="00D108FD">
        <w:t xml:space="preserve">de </w:t>
      </w:r>
      <w:r>
        <w:t>Q</w:t>
      </w:r>
      <w:r w:rsidR="00925918">
        <w:t>.</w:t>
      </w:r>
      <w:r w:rsidRPr="00D108FD">
        <w:t>1</w:t>
      </w:r>
      <w:r>
        <w:t>27.3</w:t>
      </w:r>
      <w:r w:rsidRPr="00D108FD">
        <w:t xml:space="preserve"> millones, y una ejecución presupuestaria de </w:t>
      </w:r>
      <w:r>
        <w:t>Q</w:t>
      </w:r>
      <w:r w:rsidR="00925918">
        <w:t>.</w:t>
      </w:r>
      <w:r w:rsidRPr="00D108FD">
        <w:t>1</w:t>
      </w:r>
      <w:r>
        <w:t>17.4</w:t>
      </w:r>
      <w:r w:rsidRPr="00D108FD">
        <w:t xml:space="preserve"> millones equivalente</w:t>
      </w:r>
      <w:r w:rsidR="00925918">
        <w:t>s</w:t>
      </w:r>
      <w:r w:rsidRPr="00D108FD">
        <w:t xml:space="preserve"> al </w:t>
      </w:r>
      <w:r>
        <w:t>92.3</w:t>
      </w:r>
      <w:r w:rsidRPr="00D108FD">
        <w:t>%</w:t>
      </w:r>
      <w:r>
        <w:t>.</w:t>
      </w:r>
    </w:p>
    <w:p w:rsidR="00694E7F" w:rsidRPr="00D108FD" w:rsidRDefault="00694E7F" w:rsidP="00694E7F">
      <w:pPr>
        <w:jc w:val="both"/>
      </w:pPr>
    </w:p>
    <w:p w:rsidR="00694E7F" w:rsidRDefault="00694E7F" w:rsidP="00694E7F">
      <w:pPr>
        <w:jc w:val="both"/>
      </w:pPr>
      <w:r w:rsidRPr="00D108FD">
        <w:t xml:space="preserve">Este </w:t>
      </w:r>
      <w:r>
        <w:t>M</w:t>
      </w:r>
      <w:r w:rsidRPr="00D108FD">
        <w:t>inisterio operó durante 20</w:t>
      </w:r>
      <w:r>
        <w:t>20</w:t>
      </w:r>
      <w:r w:rsidRPr="00D108FD">
        <w:t xml:space="preserve"> con dos programas principales de acuerdo al monto observado en su ejecución presupuestaria, dentro de esos el primero es “</w:t>
      </w:r>
      <w:r>
        <w:t>Gestión Ambiental con Énfasis en e</w:t>
      </w:r>
      <w:r w:rsidRPr="00D108FD">
        <w:t xml:space="preserve">l Cambio Climático” con un presupuesto </w:t>
      </w:r>
      <w:r>
        <w:t xml:space="preserve">aprobado </w:t>
      </w:r>
      <w:r w:rsidRPr="00D108FD">
        <w:t xml:space="preserve">de </w:t>
      </w:r>
      <w:r>
        <w:t>Q</w:t>
      </w:r>
      <w:r w:rsidR="00925918">
        <w:t>.</w:t>
      </w:r>
      <w:r>
        <w:t>45.8</w:t>
      </w:r>
      <w:r w:rsidRPr="00D108FD">
        <w:t xml:space="preserve"> millones y una ejecución presupuestaria de </w:t>
      </w:r>
      <w:r>
        <w:t>Q</w:t>
      </w:r>
      <w:r w:rsidR="00925918">
        <w:t>.</w:t>
      </w:r>
      <w:r>
        <w:t>54.6</w:t>
      </w:r>
      <w:r w:rsidRPr="00D108FD">
        <w:t xml:space="preserve"> millones equivalente</w:t>
      </w:r>
      <w:r w:rsidR="00925918">
        <w:t>s</w:t>
      </w:r>
      <w:r w:rsidRPr="00D108FD">
        <w:t xml:space="preserve"> al </w:t>
      </w:r>
      <w:r>
        <w:t>119.2</w:t>
      </w:r>
      <w:r w:rsidRPr="00D108FD">
        <w:t>%</w:t>
      </w:r>
      <w:r>
        <w:t>.</w:t>
      </w:r>
    </w:p>
    <w:p w:rsidR="00694E7F" w:rsidRPr="00D108FD" w:rsidRDefault="00694E7F" w:rsidP="00694E7F">
      <w:pPr>
        <w:jc w:val="both"/>
      </w:pPr>
    </w:p>
    <w:p w:rsidR="00694E7F" w:rsidRDefault="00694E7F" w:rsidP="00694E7F">
      <w:pPr>
        <w:jc w:val="both"/>
      </w:pPr>
      <w:r w:rsidRPr="00D108FD">
        <w:t>El segundo fue el de “Administración Institucional” con un presupuesto</w:t>
      </w:r>
      <w:r>
        <w:t xml:space="preserve"> aprobado</w:t>
      </w:r>
      <w:r w:rsidRPr="00D108FD">
        <w:t xml:space="preserve"> </w:t>
      </w:r>
      <w:r>
        <w:t>de Q</w:t>
      </w:r>
      <w:r w:rsidR="00925918">
        <w:t>.</w:t>
      </w:r>
      <w:r>
        <w:t>49.9</w:t>
      </w:r>
      <w:r w:rsidRPr="00D108FD">
        <w:t xml:space="preserve"> millones y una ejecución presupuestaria de </w:t>
      </w:r>
      <w:r>
        <w:t>Q</w:t>
      </w:r>
      <w:r w:rsidR="00925918">
        <w:t>.</w:t>
      </w:r>
      <w:r>
        <w:t>45.3</w:t>
      </w:r>
      <w:r w:rsidRPr="00D108FD">
        <w:t xml:space="preserve"> millones equivalente al </w:t>
      </w:r>
      <w:r>
        <w:t>90.7</w:t>
      </w:r>
      <w:r w:rsidRPr="00D108FD">
        <w:t>%</w:t>
      </w:r>
      <w:r>
        <w:t>.</w:t>
      </w:r>
    </w:p>
    <w:p w:rsidR="00694E7F" w:rsidRDefault="00694E7F" w:rsidP="00694E7F">
      <w:pPr>
        <w:jc w:val="both"/>
      </w:pPr>
      <w:r>
        <w:lastRenderedPageBreak/>
        <w:t>Los 3 programas restantes tuvieron una ejecución al cierre preliminar de 2020 por debajo de Q</w:t>
      </w:r>
      <w:r w:rsidR="00925918">
        <w:t>.</w:t>
      </w:r>
      <w:r>
        <w:t>9.2 millones, ejecutados por e</w:t>
      </w:r>
      <w:r w:rsidRPr="00D108FD">
        <w:t>l programa “Conservación y Protección de los Recursos Naturales y Ambiente”</w:t>
      </w:r>
      <w:r>
        <w:t>, así:</w:t>
      </w:r>
    </w:p>
    <w:p w:rsidR="00694E7F" w:rsidRPr="004E678D" w:rsidRDefault="00694E7F" w:rsidP="00694E7F">
      <w:pPr>
        <w:jc w:val="both"/>
        <w:rPr>
          <w:sz w:val="18"/>
        </w:rPr>
      </w:pPr>
    </w:p>
    <w:tbl>
      <w:tblPr>
        <w:tblW w:w="9484" w:type="dxa"/>
        <w:tblCellMar>
          <w:left w:w="70" w:type="dxa"/>
          <w:right w:w="70" w:type="dxa"/>
        </w:tblCellMar>
        <w:tblLook w:val="04A0" w:firstRow="1" w:lastRow="0" w:firstColumn="1" w:lastColumn="0" w:noHBand="0" w:noVBand="1"/>
      </w:tblPr>
      <w:tblGrid>
        <w:gridCol w:w="5740"/>
        <w:gridCol w:w="1050"/>
        <w:gridCol w:w="1000"/>
        <w:gridCol w:w="914"/>
        <w:gridCol w:w="780"/>
      </w:tblGrid>
      <w:tr w:rsidR="00694E7F" w:rsidRPr="00A43DF0" w:rsidTr="00915EB2">
        <w:trPr>
          <w:trHeight w:val="225"/>
        </w:trPr>
        <w:tc>
          <w:tcPr>
            <w:tcW w:w="5740"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915EB2" w:rsidRDefault="00694E7F" w:rsidP="00915EB2">
            <w:pPr>
              <w:jc w:val="center"/>
              <w:rPr>
                <w:b/>
                <w:bCs/>
                <w:color w:val="000000"/>
                <w:sz w:val="16"/>
                <w:szCs w:val="16"/>
                <w:lang w:val="es-GT" w:eastAsia="es-GT"/>
              </w:rPr>
            </w:pPr>
            <w:r w:rsidRPr="00915EB2">
              <w:rPr>
                <w:b/>
                <w:bCs/>
                <w:color w:val="000000"/>
                <w:sz w:val="16"/>
                <w:szCs w:val="16"/>
                <w:lang w:val="es-GT" w:eastAsia="es-GT"/>
              </w:rPr>
              <w:t>DESCRIPCION</w:t>
            </w:r>
          </w:p>
        </w:tc>
        <w:tc>
          <w:tcPr>
            <w:tcW w:w="1050"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915EB2" w:rsidRDefault="00694E7F" w:rsidP="00915EB2">
            <w:pPr>
              <w:jc w:val="center"/>
              <w:rPr>
                <w:b/>
                <w:bCs/>
                <w:color w:val="000000"/>
                <w:sz w:val="16"/>
                <w:szCs w:val="16"/>
                <w:lang w:val="es-GT" w:eastAsia="es-GT"/>
              </w:rPr>
            </w:pPr>
            <w:r w:rsidRPr="00915EB2">
              <w:rPr>
                <w:b/>
                <w:bCs/>
                <w:color w:val="000000"/>
                <w:sz w:val="16"/>
                <w:szCs w:val="16"/>
                <w:lang w:val="es-GT" w:eastAsia="es-GT"/>
              </w:rPr>
              <w:t>Asignado</w:t>
            </w:r>
          </w:p>
        </w:tc>
        <w:tc>
          <w:tcPr>
            <w:tcW w:w="1000"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915EB2" w:rsidRDefault="00694E7F" w:rsidP="00915EB2">
            <w:pPr>
              <w:jc w:val="center"/>
              <w:rPr>
                <w:b/>
                <w:bCs/>
                <w:color w:val="000000"/>
                <w:sz w:val="16"/>
                <w:szCs w:val="16"/>
                <w:lang w:val="es-GT" w:eastAsia="es-GT"/>
              </w:rPr>
            </w:pPr>
            <w:r w:rsidRPr="00915EB2">
              <w:rPr>
                <w:b/>
                <w:bCs/>
                <w:color w:val="000000"/>
                <w:sz w:val="16"/>
                <w:szCs w:val="16"/>
                <w:lang w:val="es-GT" w:eastAsia="es-GT"/>
              </w:rPr>
              <w:t>Ejecución</w:t>
            </w:r>
          </w:p>
        </w:tc>
        <w:tc>
          <w:tcPr>
            <w:tcW w:w="91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915EB2" w:rsidRDefault="00694E7F" w:rsidP="00915EB2">
            <w:pPr>
              <w:jc w:val="center"/>
              <w:rPr>
                <w:b/>
                <w:bCs/>
                <w:color w:val="000000"/>
                <w:sz w:val="16"/>
                <w:szCs w:val="16"/>
                <w:lang w:val="es-GT" w:eastAsia="es-GT"/>
              </w:rPr>
            </w:pPr>
            <w:r w:rsidRPr="00915EB2">
              <w:rPr>
                <w:b/>
                <w:bCs/>
                <w:color w:val="000000"/>
                <w:sz w:val="16"/>
                <w:szCs w:val="16"/>
                <w:lang w:val="es-GT" w:eastAsia="es-GT"/>
              </w:rPr>
              <w:t>Diferencias</w:t>
            </w:r>
          </w:p>
        </w:tc>
        <w:tc>
          <w:tcPr>
            <w:tcW w:w="780"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915EB2" w:rsidRDefault="00694E7F" w:rsidP="00915EB2">
            <w:pPr>
              <w:jc w:val="center"/>
              <w:rPr>
                <w:b/>
                <w:bCs/>
                <w:color w:val="000000"/>
                <w:sz w:val="16"/>
                <w:szCs w:val="16"/>
                <w:lang w:val="es-GT" w:eastAsia="es-GT"/>
              </w:rPr>
            </w:pPr>
            <w:r w:rsidRPr="00915EB2">
              <w:rPr>
                <w:b/>
                <w:bCs/>
                <w:color w:val="000000"/>
                <w:sz w:val="16"/>
                <w:szCs w:val="16"/>
                <w:lang w:val="es-GT" w:eastAsia="es-GT"/>
              </w:rPr>
              <w:t>% Ejec</w:t>
            </w:r>
          </w:p>
        </w:tc>
      </w:tr>
      <w:tr w:rsidR="00694E7F" w:rsidRPr="00A43DF0" w:rsidTr="00915EB2">
        <w:trPr>
          <w:trHeight w:val="225"/>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A43DF0" w:rsidRDefault="00694E7F" w:rsidP="00694E7F">
            <w:pPr>
              <w:rPr>
                <w:b/>
                <w:bCs/>
                <w:color w:val="333333"/>
                <w:sz w:val="14"/>
                <w:szCs w:val="16"/>
                <w:lang w:val="es-GT" w:eastAsia="es-GT"/>
              </w:rPr>
            </w:pPr>
            <w:r w:rsidRPr="00A43DF0">
              <w:rPr>
                <w:b/>
                <w:bCs/>
                <w:color w:val="333333"/>
                <w:sz w:val="14"/>
                <w:szCs w:val="16"/>
                <w:lang w:val="es-GT" w:eastAsia="es-GT"/>
              </w:rPr>
              <w:t>MINISTERIO DE AMBIENTE Y RECURSOS NATURALES</w:t>
            </w:r>
          </w:p>
        </w:tc>
        <w:tc>
          <w:tcPr>
            <w:tcW w:w="1050"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b/>
                <w:bCs/>
                <w:color w:val="333333"/>
                <w:sz w:val="14"/>
                <w:szCs w:val="16"/>
                <w:lang w:val="es-GT" w:eastAsia="es-GT"/>
              </w:rPr>
            </w:pPr>
            <w:r w:rsidRPr="00A43DF0">
              <w:rPr>
                <w:b/>
                <w:bCs/>
                <w:color w:val="333333"/>
                <w:sz w:val="14"/>
                <w:szCs w:val="16"/>
                <w:lang w:val="es-GT" w:eastAsia="es-GT"/>
              </w:rPr>
              <w:t>127.3</w:t>
            </w:r>
          </w:p>
        </w:tc>
        <w:tc>
          <w:tcPr>
            <w:tcW w:w="1000"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b/>
                <w:bCs/>
                <w:color w:val="333333"/>
                <w:sz w:val="14"/>
                <w:szCs w:val="16"/>
                <w:lang w:val="es-GT" w:eastAsia="es-GT"/>
              </w:rPr>
            </w:pPr>
            <w:r w:rsidRPr="00A43DF0">
              <w:rPr>
                <w:b/>
                <w:bCs/>
                <w:color w:val="333333"/>
                <w:sz w:val="14"/>
                <w:szCs w:val="16"/>
                <w:lang w:val="es-GT" w:eastAsia="es-GT"/>
              </w:rPr>
              <w:t>117.4</w:t>
            </w:r>
          </w:p>
        </w:tc>
        <w:tc>
          <w:tcPr>
            <w:tcW w:w="914"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b/>
                <w:bCs/>
                <w:color w:val="333333"/>
                <w:sz w:val="14"/>
                <w:szCs w:val="16"/>
                <w:lang w:val="es-GT" w:eastAsia="es-GT"/>
              </w:rPr>
            </w:pPr>
            <w:r w:rsidRPr="00A43DF0">
              <w:rPr>
                <w:b/>
                <w:bCs/>
                <w:color w:val="333333"/>
                <w:sz w:val="14"/>
                <w:szCs w:val="16"/>
                <w:lang w:val="es-GT" w:eastAsia="es-GT"/>
              </w:rPr>
              <w:t>9.8</w:t>
            </w:r>
          </w:p>
        </w:tc>
        <w:tc>
          <w:tcPr>
            <w:tcW w:w="780" w:type="dxa"/>
            <w:tcBorders>
              <w:top w:val="nil"/>
              <w:left w:val="nil"/>
              <w:bottom w:val="nil"/>
              <w:right w:val="single" w:sz="8" w:space="0" w:color="auto"/>
            </w:tcBorders>
            <w:shd w:val="clear" w:color="FFFFFF" w:fill="FFFFFF"/>
            <w:noWrap/>
            <w:vAlign w:val="center"/>
            <w:hideMark/>
          </w:tcPr>
          <w:p w:rsidR="00694E7F" w:rsidRPr="00A43DF0" w:rsidRDefault="00694E7F" w:rsidP="00694E7F">
            <w:pPr>
              <w:jc w:val="right"/>
              <w:rPr>
                <w:b/>
                <w:bCs/>
                <w:color w:val="333333"/>
                <w:sz w:val="14"/>
                <w:szCs w:val="16"/>
                <w:lang w:val="es-GT" w:eastAsia="es-GT"/>
              </w:rPr>
            </w:pPr>
            <w:r w:rsidRPr="00A43DF0">
              <w:rPr>
                <w:b/>
                <w:bCs/>
                <w:color w:val="333333"/>
                <w:sz w:val="14"/>
                <w:szCs w:val="16"/>
                <w:lang w:val="es-GT" w:eastAsia="es-GT"/>
              </w:rPr>
              <w:t>92.3%</w:t>
            </w:r>
          </w:p>
        </w:tc>
      </w:tr>
      <w:tr w:rsidR="00694E7F" w:rsidRPr="00A43DF0" w:rsidTr="00915EB2">
        <w:trPr>
          <w:trHeight w:val="225"/>
        </w:trPr>
        <w:tc>
          <w:tcPr>
            <w:tcW w:w="5740" w:type="dxa"/>
            <w:tcBorders>
              <w:top w:val="nil"/>
              <w:left w:val="single" w:sz="8" w:space="0" w:color="auto"/>
              <w:bottom w:val="nil"/>
              <w:right w:val="single" w:sz="4" w:space="0" w:color="auto"/>
            </w:tcBorders>
            <w:shd w:val="clear" w:color="FFFFFF" w:fill="FFFFFF"/>
            <w:vAlign w:val="bottom"/>
            <w:hideMark/>
          </w:tcPr>
          <w:p w:rsidR="00694E7F" w:rsidRPr="00A43DF0" w:rsidRDefault="00694E7F" w:rsidP="00694E7F">
            <w:pPr>
              <w:ind w:firstLineChars="200" w:firstLine="280"/>
              <w:rPr>
                <w:color w:val="333333"/>
                <w:sz w:val="14"/>
                <w:szCs w:val="16"/>
                <w:lang w:val="es-GT" w:eastAsia="es-GT"/>
              </w:rPr>
            </w:pPr>
            <w:r w:rsidRPr="00A43DF0">
              <w:rPr>
                <w:color w:val="333333"/>
                <w:sz w:val="14"/>
                <w:szCs w:val="16"/>
                <w:lang w:val="es-GT" w:eastAsia="es-GT"/>
              </w:rPr>
              <w:t>ADMINISTRACIÓN INSTITUCIONAL</w:t>
            </w:r>
          </w:p>
        </w:tc>
        <w:tc>
          <w:tcPr>
            <w:tcW w:w="1050"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49.9</w:t>
            </w:r>
          </w:p>
        </w:tc>
        <w:tc>
          <w:tcPr>
            <w:tcW w:w="1000"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45.3</w:t>
            </w:r>
          </w:p>
        </w:tc>
        <w:tc>
          <w:tcPr>
            <w:tcW w:w="914"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4.6</w:t>
            </w:r>
          </w:p>
        </w:tc>
        <w:tc>
          <w:tcPr>
            <w:tcW w:w="780" w:type="dxa"/>
            <w:tcBorders>
              <w:top w:val="nil"/>
              <w:left w:val="nil"/>
              <w:bottom w:val="nil"/>
              <w:right w:val="single" w:sz="8"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90.7%</w:t>
            </w:r>
          </w:p>
        </w:tc>
      </w:tr>
      <w:tr w:rsidR="00694E7F" w:rsidRPr="00A43DF0" w:rsidTr="00915EB2">
        <w:trPr>
          <w:trHeight w:val="225"/>
        </w:trPr>
        <w:tc>
          <w:tcPr>
            <w:tcW w:w="5740" w:type="dxa"/>
            <w:tcBorders>
              <w:top w:val="nil"/>
              <w:left w:val="single" w:sz="8" w:space="0" w:color="auto"/>
              <w:bottom w:val="nil"/>
              <w:right w:val="single" w:sz="4" w:space="0" w:color="auto"/>
            </w:tcBorders>
            <w:shd w:val="clear" w:color="FFFFFF" w:fill="FFFFFF"/>
            <w:vAlign w:val="bottom"/>
            <w:hideMark/>
          </w:tcPr>
          <w:p w:rsidR="00694E7F" w:rsidRPr="00A43DF0" w:rsidRDefault="00694E7F" w:rsidP="00694E7F">
            <w:pPr>
              <w:ind w:firstLineChars="200" w:firstLine="280"/>
              <w:rPr>
                <w:color w:val="333333"/>
                <w:sz w:val="14"/>
                <w:szCs w:val="16"/>
                <w:lang w:val="es-GT" w:eastAsia="es-GT"/>
              </w:rPr>
            </w:pPr>
            <w:r w:rsidRPr="00A43DF0">
              <w:rPr>
                <w:color w:val="333333"/>
                <w:sz w:val="14"/>
                <w:szCs w:val="16"/>
                <w:lang w:val="es-GT" w:eastAsia="es-GT"/>
              </w:rPr>
              <w:t>GESTIÓN AMBIENTAL CON ÉNFASIS EN EL CAMBIO CLIMÁTICO</w:t>
            </w:r>
          </w:p>
        </w:tc>
        <w:tc>
          <w:tcPr>
            <w:tcW w:w="1050"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45.8</w:t>
            </w:r>
          </w:p>
        </w:tc>
        <w:tc>
          <w:tcPr>
            <w:tcW w:w="1000"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54.6</w:t>
            </w:r>
          </w:p>
        </w:tc>
        <w:tc>
          <w:tcPr>
            <w:tcW w:w="914"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-8.8</w:t>
            </w:r>
          </w:p>
        </w:tc>
        <w:tc>
          <w:tcPr>
            <w:tcW w:w="780" w:type="dxa"/>
            <w:tcBorders>
              <w:top w:val="nil"/>
              <w:left w:val="nil"/>
              <w:bottom w:val="nil"/>
              <w:right w:val="single" w:sz="8"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119.2%</w:t>
            </w:r>
          </w:p>
        </w:tc>
      </w:tr>
      <w:tr w:rsidR="00694E7F" w:rsidRPr="00A43DF0" w:rsidTr="00915EB2">
        <w:trPr>
          <w:trHeight w:val="225"/>
        </w:trPr>
        <w:tc>
          <w:tcPr>
            <w:tcW w:w="5740" w:type="dxa"/>
            <w:tcBorders>
              <w:top w:val="nil"/>
              <w:left w:val="single" w:sz="8" w:space="0" w:color="auto"/>
              <w:bottom w:val="nil"/>
              <w:right w:val="single" w:sz="4" w:space="0" w:color="auto"/>
            </w:tcBorders>
            <w:shd w:val="clear" w:color="FFFFFF" w:fill="FFFFFF"/>
            <w:vAlign w:val="bottom"/>
            <w:hideMark/>
          </w:tcPr>
          <w:p w:rsidR="00694E7F" w:rsidRPr="00A43DF0" w:rsidRDefault="00694E7F" w:rsidP="00694E7F">
            <w:pPr>
              <w:ind w:firstLineChars="200" w:firstLine="280"/>
              <w:rPr>
                <w:color w:val="333333"/>
                <w:sz w:val="14"/>
                <w:szCs w:val="16"/>
                <w:lang w:val="es-GT" w:eastAsia="es-GT"/>
              </w:rPr>
            </w:pPr>
            <w:r w:rsidRPr="00A43DF0">
              <w:rPr>
                <w:color w:val="333333"/>
                <w:sz w:val="14"/>
                <w:szCs w:val="16"/>
                <w:lang w:val="es-GT" w:eastAsia="es-GT"/>
              </w:rPr>
              <w:t>CONSERVACIÓN Y PROTECCIÓN DE LOS RECURSOS NATURALES Y AMBIENTE</w:t>
            </w:r>
          </w:p>
        </w:tc>
        <w:tc>
          <w:tcPr>
            <w:tcW w:w="1050"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19.1</w:t>
            </w:r>
          </w:p>
        </w:tc>
        <w:tc>
          <w:tcPr>
            <w:tcW w:w="1000"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9.2</w:t>
            </w:r>
          </w:p>
        </w:tc>
        <w:tc>
          <w:tcPr>
            <w:tcW w:w="914"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9.9</w:t>
            </w:r>
          </w:p>
        </w:tc>
        <w:tc>
          <w:tcPr>
            <w:tcW w:w="780" w:type="dxa"/>
            <w:tcBorders>
              <w:top w:val="nil"/>
              <w:left w:val="nil"/>
              <w:bottom w:val="nil"/>
              <w:right w:val="single" w:sz="8"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48.1%</w:t>
            </w:r>
          </w:p>
        </w:tc>
      </w:tr>
      <w:tr w:rsidR="00694E7F" w:rsidRPr="00A43DF0" w:rsidTr="00915EB2">
        <w:trPr>
          <w:trHeight w:val="225"/>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A43DF0" w:rsidRDefault="00694E7F" w:rsidP="00694E7F">
            <w:pPr>
              <w:ind w:firstLineChars="200" w:firstLine="280"/>
              <w:rPr>
                <w:color w:val="333333"/>
                <w:sz w:val="14"/>
                <w:szCs w:val="16"/>
                <w:lang w:val="es-GT" w:eastAsia="es-GT"/>
              </w:rPr>
            </w:pPr>
            <w:r w:rsidRPr="00A43DF0">
              <w:rPr>
                <w:color w:val="333333"/>
                <w:sz w:val="14"/>
                <w:szCs w:val="16"/>
                <w:lang w:val="es-GT" w:eastAsia="es-GT"/>
              </w:rPr>
              <w:t>SENSIBILIZACIÓN SOCIO AMBIENTAL Y PARTICIPACIÓN CIUDADANA</w:t>
            </w:r>
          </w:p>
        </w:tc>
        <w:tc>
          <w:tcPr>
            <w:tcW w:w="1050"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11.6</w:t>
            </w:r>
          </w:p>
        </w:tc>
        <w:tc>
          <w:tcPr>
            <w:tcW w:w="1000"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7.6</w:t>
            </w:r>
          </w:p>
        </w:tc>
        <w:tc>
          <w:tcPr>
            <w:tcW w:w="914" w:type="dxa"/>
            <w:tcBorders>
              <w:top w:val="nil"/>
              <w:left w:val="nil"/>
              <w:bottom w:val="nil"/>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4.0</w:t>
            </w:r>
          </w:p>
        </w:tc>
        <w:tc>
          <w:tcPr>
            <w:tcW w:w="780" w:type="dxa"/>
            <w:tcBorders>
              <w:top w:val="nil"/>
              <w:left w:val="nil"/>
              <w:bottom w:val="nil"/>
              <w:right w:val="single" w:sz="8"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65.7%</w:t>
            </w:r>
          </w:p>
        </w:tc>
      </w:tr>
      <w:tr w:rsidR="00694E7F" w:rsidRPr="00A43DF0" w:rsidTr="00915EB2">
        <w:trPr>
          <w:trHeight w:val="225"/>
        </w:trPr>
        <w:tc>
          <w:tcPr>
            <w:tcW w:w="5740"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A43DF0" w:rsidRDefault="00694E7F" w:rsidP="00694E7F">
            <w:pPr>
              <w:ind w:firstLineChars="200" w:firstLine="280"/>
              <w:rPr>
                <w:color w:val="333333"/>
                <w:sz w:val="14"/>
                <w:szCs w:val="16"/>
                <w:lang w:val="es-GT" w:eastAsia="es-GT"/>
              </w:rPr>
            </w:pPr>
            <w:r w:rsidRPr="00A43DF0">
              <w:rPr>
                <w:color w:val="333333"/>
                <w:sz w:val="14"/>
                <w:szCs w:val="16"/>
                <w:lang w:val="es-GT" w:eastAsia="es-GT"/>
              </w:rPr>
              <w:t>PARTIDAS NO ASIGNABLES A PROGRAMAS</w:t>
            </w:r>
          </w:p>
        </w:tc>
        <w:tc>
          <w:tcPr>
            <w:tcW w:w="1050" w:type="dxa"/>
            <w:tcBorders>
              <w:top w:val="nil"/>
              <w:left w:val="nil"/>
              <w:bottom w:val="single" w:sz="8" w:space="0" w:color="auto"/>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0.8</w:t>
            </w:r>
          </w:p>
        </w:tc>
        <w:tc>
          <w:tcPr>
            <w:tcW w:w="1000" w:type="dxa"/>
            <w:tcBorders>
              <w:top w:val="nil"/>
              <w:left w:val="nil"/>
              <w:bottom w:val="single" w:sz="8" w:space="0" w:color="auto"/>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0.7</w:t>
            </w:r>
          </w:p>
        </w:tc>
        <w:tc>
          <w:tcPr>
            <w:tcW w:w="914" w:type="dxa"/>
            <w:tcBorders>
              <w:top w:val="nil"/>
              <w:left w:val="nil"/>
              <w:bottom w:val="single" w:sz="8" w:space="0" w:color="auto"/>
              <w:right w:val="single" w:sz="4"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0.1</w:t>
            </w:r>
          </w:p>
        </w:tc>
        <w:tc>
          <w:tcPr>
            <w:tcW w:w="780" w:type="dxa"/>
            <w:tcBorders>
              <w:top w:val="nil"/>
              <w:left w:val="single" w:sz="4" w:space="0" w:color="auto"/>
              <w:bottom w:val="single" w:sz="8" w:space="0" w:color="auto"/>
              <w:right w:val="single" w:sz="8" w:space="0" w:color="auto"/>
            </w:tcBorders>
            <w:shd w:val="clear" w:color="FFFFFF" w:fill="FFFFFF"/>
            <w:noWrap/>
            <w:vAlign w:val="center"/>
            <w:hideMark/>
          </w:tcPr>
          <w:p w:rsidR="00694E7F" w:rsidRPr="00A43DF0" w:rsidRDefault="00694E7F" w:rsidP="00694E7F">
            <w:pPr>
              <w:jc w:val="right"/>
              <w:rPr>
                <w:color w:val="333333"/>
                <w:sz w:val="14"/>
                <w:szCs w:val="16"/>
                <w:lang w:val="es-GT" w:eastAsia="es-GT"/>
              </w:rPr>
            </w:pPr>
            <w:r w:rsidRPr="00A43DF0">
              <w:rPr>
                <w:color w:val="333333"/>
                <w:sz w:val="14"/>
                <w:szCs w:val="16"/>
                <w:lang w:val="es-GT" w:eastAsia="es-GT"/>
              </w:rPr>
              <w:t>91.5%</w:t>
            </w:r>
          </w:p>
        </w:tc>
      </w:tr>
    </w:tbl>
    <w:p w:rsidR="00694E7F" w:rsidRDefault="00694E7F" w:rsidP="00694E7F">
      <w:pPr>
        <w:jc w:val="both"/>
        <w:rPr>
          <w:sz w:val="18"/>
        </w:rPr>
      </w:pPr>
      <w:r w:rsidRPr="004E678D">
        <w:rPr>
          <w:sz w:val="18"/>
        </w:rPr>
        <w:t>Fuente: Ministerio de Finanzas Públicas</w:t>
      </w:r>
      <w:r>
        <w:rPr>
          <w:sz w:val="18"/>
        </w:rPr>
        <w:t>.</w:t>
      </w:r>
    </w:p>
    <w:p w:rsidR="00694E7F" w:rsidRPr="00D108FD" w:rsidRDefault="00694E7F" w:rsidP="00694E7F">
      <w:pPr>
        <w:jc w:val="both"/>
      </w:pPr>
    </w:p>
    <w:p w:rsidR="00694E7F" w:rsidRDefault="00694E7F" w:rsidP="00694E7F">
      <w:pPr>
        <w:jc w:val="both"/>
        <w:rPr>
          <w:b/>
        </w:rPr>
      </w:pPr>
      <w:r w:rsidRPr="00D108FD">
        <w:rPr>
          <w:b/>
        </w:rPr>
        <w:t>Ministerio de Desarrollo Social</w:t>
      </w:r>
      <w:r>
        <w:rPr>
          <w:b/>
        </w:rPr>
        <w:t>:</w:t>
      </w:r>
    </w:p>
    <w:p w:rsidR="00694E7F" w:rsidRPr="00AB2D0A" w:rsidRDefault="00694E7F" w:rsidP="00694E7F">
      <w:pPr>
        <w:jc w:val="both"/>
        <w:rPr>
          <w:b/>
          <w:sz w:val="20"/>
        </w:rPr>
      </w:pPr>
    </w:p>
    <w:p w:rsidR="00694E7F" w:rsidRDefault="00694E7F" w:rsidP="00694E7F">
      <w:pPr>
        <w:jc w:val="both"/>
      </w:pPr>
      <w:r w:rsidRPr="00D108FD">
        <w:t>El Min</w:t>
      </w:r>
      <w:r>
        <w:t xml:space="preserve">isterio de </w:t>
      </w:r>
      <w:r w:rsidRPr="00D108FD">
        <w:t>Des</w:t>
      </w:r>
      <w:r>
        <w:t>arrollo Social</w:t>
      </w:r>
      <w:r w:rsidRPr="00D108FD">
        <w:t xml:space="preserve"> tuvo una asignación</w:t>
      </w:r>
      <w:r>
        <w:t xml:space="preserve"> inicial</w:t>
      </w:r>
      <w:r w:rsidRPr="00D108FD">
        <w:t xml:space="preserve"> de </w:t>
      </w:r>
      <w:r>
        <w:t>Q</w:t>
      </w:r>
      <w:r w:rsidR="00925918">
        <w:t>.</w:t>
      </w:r>
      <w:r w:rsidRPr="00D108FD">
        <w:t>1,</w:t>
      </w:r>
      <w:r>
        <w:t>159.1</w:t>
      </w:r>
      <w:r w:rsidRPr="00D108FD">
        <w:t xml:space="preserve"> millones y una ejecución presupuestaria de </w:t>
      </w:r>
      <w:r>
        <w:t>Q</w:t>
      </w:r>
      <w:r w:rsidR="00925918">
        <w:t>.</w:t>
      </w:r>
      <w:r>
        <w:t>7,152.7</w:t>
      </w:r>
      <w:r w:rsidRPr="00D108FD">
        <w:t xml:space="preserve"> millones equivalente</w:t>
      </w:r>
      <w:r>
        <w:t>s</w:t>
      </w:r>
      <w:r w:rsidRPr="00D108FD">
        <w:t xml:space="preserve"> al </w:t>
      </w:r>
      <w:r>
        <w:t>617.1</w:t>
      </w:r>
      <w:r w:rsidRPr="00D108FD">
        <w:t>%</w:t>
      </w:r>
      <w:r w:rsidR="00925918">
        <w:t>.</w:t>
      </w:r>
    </w:p>
    <w:p w:rsidR="00694E7F" w:rsidRPr="00AB2D0A" w:rsidRDefault="00694E7F" w:rsidP="00694E7F">
      <w:pPr>
        <w:jc w:val="both"/>
        <w:rPr>
          <w:sz w:val="20"/>
        </w:rPr>
      </w:pPr>
    </w:p>
    <w:p w:rsidR="00694E7F" w:rsidRDefault="00694E7F" w:rsidP="00694E7F">
      <w:pPr>
        <w:jc w:val="both"/>
      </w:pPr>
      <w:r w:rsidRPr="00D108FD">
        <w:t xml:space="preserve">El programa con mayor </w:t>
      </w:r>
      <w:r>
        <w:t>presupuesto asignado</w:t>
      </w:r>
      <w:r w:rsidRPr="00D108FD">
        <w:t xml:space="preserve"> fue “</w:t>
      </w:r>
      <w:r>
        <w:t>Dotación, Servicios e Infraestructura para el Desarrollo Social</w:t>
      </w:r>
      <w:r w:rsidRPr="00D108FD">
        <w:t xml:space="preserve">” con un presupuesto de </w:t>
      </w:r>
      <w:r>
        <w:t>Q</w:t>
      </w:r>
      <w:r w:rsidR="00925918">
        <w:t>.</w:t>
      </w:r>
      <w:r>
        <w:t>467.6</w:t>
      </w:r>
      <w:r w:rsidRPr="00D108FD">
        <w:t xml:space="preserve"> millones y una ejecución presupuestaria de </w:t>
      </w:r>
      <w:r>
        <w:t>Q</w:t>
      </w:r>
      <w:r w:rsidR="00925918">
        <w:t>.</w:t>
      </w:r>
      <w:r>
        <w:t>86.0</w:t>
      </w:r>
      <w:r w:rsidRPr="00D108FD">
        <w:t xml:space="preserve"> millones equivalente</w:t>
      </w:r>
      <w:r w:rsidR="00925918">
        <w:t>s</w:t>
      </w:r>
      <w:r w:rsidRPr="00D108FD">
        <w:t xml:space="preserve"> al </w:t>
      </w:r>
      <w:r>
        <w:t>18.4%.</w:t>
      </w:r>
    </w:p>
    <w:p w:rsidR="00694E7F" w:rsidRPr="00AB2D0A" w:rsidRDefault="00694E7F" w:rsidP="00694E7F">
      <w:pPr>
        <w:jc w:val="both"/>
        <w:rPr>
          <w:sz w:val="20"/>
        </w:rPr>
      </w:pPr>
    </w:p>
    <w:p w:rsidR="00694E7F" w:rsidRDefault="00694E7F" w:rsidP="00694E7F">
      <w:pPr>
        <w:jc w:val="both"/>
      </w:pPr>
      <w:r w:rsidRPr="00D108FD">
        <w:t xml:space="preserve">El programa “Transferencias Monetarias Condicionadas en Salud y Educación” </w:t>
      </w:r>
      <w:r>
        <w:t xml:space="preserve">tiene un </w:t>
      </w:r>
      <w:r w:rsidRPr="00D108FD">
        <w:t>presupuesto</w:t>
      </w:r>
      <w:r>
        <w:t xml:space="preserve"> aprobado</w:t>
      </w:r>
      <w:r w:rsidRPr="00D108FD">
        <w:t xml:space="preserve"> de </w:t>
      </w:r>
      <w:r>
        <w:t>Q</w:t>
      </w:r>
      <w:r w:rsidR="00925918">
        <w:t>.</w:t>
      </w:r>
      <w:r w:rsidRPr="00D108FD">
        <w:t>3</w:t>
      </w:r>
      <w:r>
        <w:t>52.9</w:t>
      </w:r>
      <w:r w:rsidRPr="00D108FD">
        <w:t xml:space="preserve"> millones y una ejecución presupuestaria de </w:t>
      </w:r>
      <w:r>
        <w:t>Q</w:t>
      </w:r>
      <w:r w:rsidR="00925918">
        <w:t>.</w:t>
      </w:r>
      <w:r>
        <w:t>384.4</w:t>
      </w:r>
      <w:r w:rsidRPr="00D108FD">
        <w:t xml:space="preserve"> millones equivalente</w:t>
      </w:r>
      <w:r w:rsidR="00925918">
        <w:t>s</w:t>
      </w:r>
      <w:r w:rsidRPr="00D108FD">
        <w:t xml:space="preserve"> al </w:t>
      </w:r>
      <w:r>
        <w:t>108.9%.</w:t>
      </w:r>
    </w:p>
    <w:p w:rsidR="00694E7F" w:rsidRPr="00AB2D0A" w:rsidRDefault="00694E7F" w:rsidP="00694E7F">
      <w:pPr>
        <w:jc w:val="both"/>
        <w:rPr>
          <w:sz w:val="20"/>
        </w:rPr>
      </w:pPr>
    </w:p>
    <w:p w:rsidR="00694E7F" w:rsidRDefault="00694E7F" w:rsidP="00694E7F">
      <w:pPr>
        <w:jc w:val="both"/>
      </w:pPr>
      <w:r>
        <w:t>El programa “Administración Institucional” con presupuesto aprobado de Q</w:t>
      </w:r>
      <w:r w:rsidR="00925918">
        <w:t>.</w:t>
      </w:r>
      <w:r>
        <w:t>68.1 millones, tuvo  una ejecución presupuestaria de Q</w:t>
      </w:r>
      <w:r w:rsidR="00925918">
        <w:t>.</w:t>
      </w:r>
      <w:r>
        <w:t>69.9 millones, equivalente</w:t>
      </w:r>
      <w:r w:rsidR="00925918">
        <w:t>s</w:t>
      </w:r>
      <w:r>
        <w:t xml:space="preserve"> a 102.7%.</w:t>
      </w:r>
    </w:p>
    <w:p w:rsidR="00694E7F" w:rsidRPr="00AB2D0A" w:rsidRDefault="00694E7F" w:rsidP="00694E7F">
      <w:pPr>
        <w:jc w:val="both"/>
        <w:rPr>
          <w:sz w:val="20"/>
        </w:rPr>
      </w:pPr>
    </w:p>
    <w:p w:rsidR="00694E7F" w:rsidRDefault="00694E7F" w:rsidP="00694E7F">
      <w:pPr>
        <w:jc w:val="both"/>
      </w:pPr>
      <w:r w:rsidRPr="00D108FD">
        <w:t>El programa “</w:t>
      </w:r>
      <w:r>
        <w:t xml:space="preserve">Servicios de </w:t>
      </w:r>
      <w:r w:rsidRPr="00D108FD">
        <w:t xml:space="preserve">Apoyo </w:t>
      </w:r>
      <w:r>
        <w:t>Diferentes Programas Sociales</w:t>
      </w:r>
      <w:r w:rsidRPr="00D108FD">
        <w:t xml:space="preserve">” inició con un presupuesto de </w:t>
      </w:r>
      <w:r>
        <w:t>Q</w:t>
      </w:r>
      <w:r w:rsidR="00925918">
        <w:t>.</w:t>
      </w:r>
      <w:r w:rsidRPr="00D108FD">
        <w:t>1</w:t>
      </w:r>
      <w:r>
        <w:t>00.5</w:t>
      </w:r>
      <w:r w:rsidRPr="00D108FD">
        <w:t xml:space="preserve"> millones y una ejecución presupuestaria de </w:t>
      </w:r>
      <w:r>
        <w:t>Q</w:t>
      </w:r>
      <w:r w:rsidR="00925918">
        <w:t>.</w:t>
      </w:r>
      <w:r>
        <w:t>87.2</w:t>
      </w:r>
      <w:r w:rsidRPr="00D108FD">
        <w:t xml:space="preserve"> millones equivalente</w:t>
      </w:r>
      <w:r w:rsidR="00925918">
        <w:t>s</w:t>
      </w:r>
      <w:r w:rsidRPr="00D108FD">
        <w:t xml:space="preserve"> al </w:t>
      </w:r>
      <w:r>
        <w:t>86.8</w:t>
      </w:r>
      <w:r w:rsidRPr="00D108FD">
        <w:t>%</w:t>
      </w:r>
      <w:r w:rsidR="00925918">
        <w:t>.</w:t>
      </w:r>
    </w:p>
    <w:p w:rsidR="00694E7F" w:rsidRPr="00AB2D0A" w:rsidRDefault="00694E7F" w:rsidP="00694E7F">
      <w:pPr>
        <w:jc w:val="both"/>
        <w:rPr>
          <w:sz w:val="20"/>
        </w:rPr>
      </w:pPr>
    </w:p>
    <w:p w:rsidR="00694E7F" w:rsidRDefault="00694E7F" w:rsidP="00694E7F">
      <w:pPr>
        <w:jc w:val="both"/>
        <w:rPr>
          <w:rFonts w:ascii="Calibri" w:eastAsia="Calibri" w:hAnsi="Calibri"/>
          <w:sz w:val="20"/>
          <w:szCs w:val="20"/>
          <w:lang w:val="es-GT" w:eastAsia="es-GT"/>
        </w:rPr>
      </w:pPr>
      <w:r>
        <w:t xml:space="preserve">Dentro de la ejecución presupuestaria de este </w:t>
      </w:r>
      <w:r w:rsidR="00925918">
        <w:t>M</w:t>
      </w:r>
      <w:r>
        <w:t xml:space="preserve">inisterio, resalta el programa de </w:t>
      </w:r>
      <w:r w:rsidR="00925918">
        <w:t>“</w:t>
      </w:r>
      <w:r w:rsidRPr="00557291">
        <w:rPr>
          <w:i/>
        </w:rPr>
        <w:t>Atención por Desastres Naturales y Calamidades Públicas</w:t>
      </w:r>
      <w:r w:rsidR="00925918">
        <w:rPr>
          <w:i/>
        </w:rPr>
        <w:t>”</w:t>
      </w:r>
      <w:r>
        <w:t xml:space="preserve">, sub programa </w:t>
      </w:r>
      <w:r w:rsidR="00925918">
        <w:t>“</w:t>
      </w:r>
      <w:r w:rsidRPr="00557291">
        <w:rPr>
          <w:i/>
        </w:rPr>
        <w:t>Estado de Calamidad Pública por Emergencia COVID-19 (DG 5-2020)</w:t>
      </w:r>
      <w:r w:rsidR="00925918">
        <w:rPr>
          <w:i/>
        </w:rPr>
        <w:t>”</w:t>
      </w:r>
      <w:r>
        <w:rPr>
          <w:i/>
        </w:rPr>
        <w:t xml:space="preserve"> </w:t>
      </w:r>
      <w:r>
        <w:t>con una ejecución presupuestaria de Q</w:t>
      </w:r>
      <w:r w:rsidR="00925918">
        <w:t>.</w:t>
      </w:r>
      <w:r>
        <w:t>6,412.5 millones, como consecuencia de las crisis provocadas por la pandemia del COVID-19 y los desastres provocados por los huracanes.</w:t>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Programa!F197C2:F206C6"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fldChar w:fldCharType="end"/>
      </w:r>
    </w:p>
    <w:tbl>
      <w:tblPr>
        <w:tblW w:w="9568" w:type="dxa"/>
        <w:tblCellMar>
          <w:left w:w="70" w:type="dxa"/>
          <w:right w:w="70" w:type="dxa"/>
        </w:tblCellMar>
        <w:tblLook w:val="04A0" w:firstRow="1" w:lastRow="0" w:firstColumn="1" w:lastColumn="0" w:noHBand="0" w:noVBand="1"/>
      </w:tblPr>
      <w:tblGrid>
        <w:gridCol w:w="5740"/>
        <w:gridCol w:w="1033"/>
        <w:gridCol w:w="967"/>
        <w:gridCol w:w="914"/>
        <w:gridCol w:w="914"/>
      </w:tblGrid>
      <w:tr w:rsidR="00694E7F" w:rsidRPr="001D7C1A" w:rsidTr="00BC2EC7">
        <w:trPr>
          <w:trHeight w:val="255"/>
        </w:trPr>
        <w:tc>
          <w:tcPr>
            <w:tcW w:w="5740"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527E4F" w:rsidRDefault="00694E7F" w:rsidP="00527E4F">
            <w:pPr>
              <w:jc w:val="center"/>
              <w:rPr>
                <w:b/>
                <w:bCs/>
                <w:color w:val="000000"/>
                <w:sz w:val="16"/>
                <w:szCs w:val="16"/>
                <w:lang w:val="es-GT" w:eastAsia="es-GT"/>
              </w:rPr>
            </w:pPr>
            <w:r w:rsidRPr="00527E4F">
              <w:rPr>
                <w:b/>
                <w:bCs/>
                <w:color w:val="000000"/>
                <w:sz w:val="16"/>
                <w:szCs w:val="16"/>
                <w:lang w:val="es-GT" w:eastAsia="es-GT"/>
              </w:rPr>
              <w:t>DESCRIPCION</w:t>
            </w:r>
          </w:p>
        </w:tc>
        <w:tc>
          <w:tcPr>
            <w:tcW w:w="1033"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27E4F" w:rsidRDefault="00694E7F" w:rsidP="00527E4F">
            <w:pPr>
              <w:jc w:val="center"/>
              <w:rPr>
                <w:b/>
                <w:bCs/>
                <w:color w:val="000000"/>
                <w:sz w:val="16"/>
                <w:szCs w:val="16"/>
                <w:lang w:val="es-GT" w:eastAsia="es-GT"/>
              </w:rPr>
            </w:pPr>
            <w:r w:rsidRPr="00527E4F">
              <w:rPr>
                <w:b/>
                <w:bCs/>
                <w:color w:val="000000"/>
                <w:sz w:val="16"/>
                <w:szCs w:val="16"/>
                <w:lang w:val="es-GT" w:eastAsia="es-GT"/>
              </w:rPr>
              <w:t>Asignado</w:t>
            </w:r>
          </w:p>
        </w:tc>
        <w:tc>
          <w:tcPr>
            <w:tcW w:w="967"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27E4F" w:rsidRDefault="00694E7F" w:rsidP="00527E4F">
            <w:pPr>
              <w:jc w:val="center"/>
              <w:rPr>
                <w:b/>
                <w:bCs/>
                <w:color w:val="000000"/>
                <w:sz w:val="16"/>
                <w:szCs w:val="16"/>
                <w:lang w:val="es-GT" w:eastAsia="es-GT"/>
              </w:rPr>
            </w:pPr>
            <w:r w:rsidRPr="00527E4F">
              <w:rPr>
                <w:b/>
                <w:bCs/>
                <w:color w:val="000000"/>
                <w:sz w:val="16"/>
                <w:szCs w:val="16"/>
                <w:lang w:val="es-GT" w:eastAsia="es-GT"/>
              </w:rPr>
              <w:t>Ejecución</w:t>
            </w:r>
          </w:p>
        </w:tc>
        <w:tc>
          <w:tcPr>
            <w:tcW w:w="91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27E4F" w:rsidRDefault="00694E7F" w:rsidP="00527E4F">
            <w:pPr>
              <w:jc w:val="center"/>
              <w:rPr>
                <w:b/>
                <w:bCs/>
                <w:color w:val="000000"/>
                <w:sz w:val="16"/>
                <w:szCs w:val="16"/>
                <w:lang w:val="es-GT" w:eastAsia="es-GT"/>
              </w:rPr>
            </w:pPr>
            <w:r w:rsidRPr="00527E4F">
              <w:rPr>
                <w:b/>
                <w:bCs/>
                <w:color w:val="000000"/>
                <w:sz w:val="16"/>
                <w:szCs w:val="16"/>
                <w:lang w:val="es-GT" w:eastAsia="es-GT"/>
              </w:rPr>
              <w:t>Diferencias</w:t>
            </w:r>
          </w:p>
        </w:tc>
        <w:tc>
          <w:tcPr>
            <w:tcW w:w="914"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527E4F" w:rsidRDefault="00694E7F" w:rsidP="00527E4F">
            <w:pPr>
              <w:jc w:val="center"/>
              <w:rPr>
                <w:b/>
                <w:bCs/>
                <w:color w:val="000000"/>
                <w:sz w:val="16"/>
                <w:szCs w:val="16"/>
                <w:lang w:val="es-GT" w:eastAsia="es-GT"/>
              </w:rPr>
            </w:pPr>
            <w:r w:rsidRPr="00527E4F">
              <w:rPr>
                <w:b/>
                <w:bCs/>
                <w:color w:val="000000"/>
                <w:sz w:val="16"/>
                <w:szCs w:val="16"/>
                <w:lang w:val="es-GT" w:eastAsia="es-GT"/>
              </w:rPr>
              <w:t>% Ejec</w:t>
            </w:r>
          </w:p>
        </w:tc>
      </w:tr>
      <w:tr w:rsidR="00694E7F" w:rsidRPr="001D7C1A" w:rsidTr="00BC2EC7">
        <w:trPr>
          <w:trHeight w:val="255"/>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1D7C1A" w:rsidRDefault="00694E7F" w:rsidP="00694E7F">
            <w:pPr>
              <w:rPr>
                <w:b/>
                <w:bCs/>
                <w:color w:val="333333"/>
                <w:sz w:val="14"/>
                <w:szCs w:val="16"/>
                <w:lang w:val="es-GT" w:eastAsia="es-GT"/>
              </w:rPr>
            </w:pPr>
            <w:r w:rsidRPr="001D7C1A">
              <w:rPr>
                <w:b/>
                <w:bCs/>
                <w:color w:val="333333"/>
                <w:sz w:val="14"/>
                <w:szCs w:val="16"/>
                <w:lang w:val="es-GT" w:eastAsia="es-GT"/>
              </w:rPr>
              <w:t>MINISTERIO DE DESARROLLO SOCIAL</w:t>
            </w:r>
          </w:p>
        </w:tc>
        <w:tc>
          <w:tcPr>
            <w:tcW w:w="1033"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b/>
                <w:bCs/>
                <w:color w:val="333333"/>
                <w:sz w:val="14"/>
                <w:szCs w:val="16"/>
                <w:lang w:val="es-GT" w:eastAsia="es-GT"/>
              </w:rPr>
            </w:pPr>
            <w:r w:rsidRPr="001D7C1A">
              <w:rPr>
                <w:b/>
                <w:bCs/>
                <w:color w:val="333333"/>
                <w:sz w:val="14"/>
                <w:szCs w:val="16"/>
                <w:lang w:val="es-GT" w:eastAsia="es-GT"/>
              </w:rPr>
              <w:t>1,159.1</w:t>
            </w:r>
          </w:p>
        </w:tc>
        <w:tc>
          <w:tcPr>
            <w:tcW w:w="967"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b/>
                <w:bCs/>
                <w:color w:val="333333"/>
                <w:sz w:val="14"/>
                <w:szCs w:val="16"/>
                <w:lang w:val="es-GT" w:eastAsia="es-GT"/>
              </w:rPr>
            </w:pPr>
            <w:r w:rsidRPr="001D7C1A">
              <w:rPr>
                <w:b/>
                <w:bCs/>
                <w:color w:val="333333"/>
                <w:sz w:val="14"/>
                <w:szCs w:val="16"/>
                <w:lang w:val="es-GT" w:eastAsia="es-GT"/>
              </w:rPr>
              <w:t>7,152.7</w:t>
            </w:r>
          </w:p>
        </w:tc>
        <w:tc>
          <w:tcPr>
            <w:tcW w:w="914"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b/>
                <w:bCs/>
                <w:color w:val="333333"/>
                <w:sz w:val="14"/>
                <w:szCs w:val="16"/>
                <w:lang w:val="es-GT" w:eastAsia="es-GT"/>
              </w:rPr>
            </w:pPr>
            <w:r w:rsidRPr="001D7C1A">
              <w:rPr>
                <w:b/>
                <w:bCs/>
                <w:color w:val="333333"/>
                <w:sz w:val="14"/>
                <w:szCs w:val="16"/>
                <w:lang w:val="es-GT" w:eastAsia="es-GT"/>
              </w:rPr>
              <w:t>-5,993.6</w:t>
            </w:r>
          </w:p>
        </w:tc>
        <w:tc>
          <w:tcPr>
            <w:tcW w:w="914" w:type="dxa"/>
            <w:tcBorders>
              <w:top w:val="nil"/>
              <w:left w:val="nil"/>
              <w:bottom w:val="nil"/>
              <w:right w:val="single" w:sz="8" w:space="0" w:color="auto"/>
            </w:tcBorders>
            <w:shd w:val="clear" w:color="FFFFFF" w:fill="FFFFFF"/>
            <w:noWrap/>
            <w:vAlign w:val="center"/>
            <w:hideMark/>
          </w:tcPr>
          <w:p w:rsidR="00694E7F" w:rsidRPr="001D7C1A" w:rsidRDefault="00694E7F" w:rsidP="00694E7F">
            <w:pPr>
              <w:jc w:val="right"/>
              <w:rPr>
                <w:b/>
                <w:bCs/>
                <w:color w:val="333333"/>
                <w:sz w:val="14"/>
                <w:szCs w:val="16"/>
                <w:lang w:val="es-GT" w:eastAsia="es-GT"/>
              </w:rPr>
            </w:pPr>
            <w:r w:rsidRPr="001D7C1A">
              <w:rPr>
                <w:b/>
                <w:bCs/>
                <w:color w:val="333333"/>
                <w:sz w:val="14"/>
                <w:szCs w:val="16"/>
                <w:lang w:val="es-GT" w:eastAsia="es-GT"/>
              </w:rPr>
              <w:t>617.1%</w:t>
            </w:r>
          </w:p>
        </w:tc>
      </w:tr>
      <w:tr w:rsidR="00694E7F" w:rsidRPr="001D7C1A" w:rsidTr="00BC2EC7">
        <w:trPr>
          <w:trHeight w:val="255"/>
        </w:trPr>
        <w:tc>
          <w:tcPr>
            <w:tcW w:w="5740" w:type="dxa"/>
            <w:tcBorders>
              <w:top w:val="nil"/>
              <w:left w:val="single" w:sz="8" w:space="0" w:color="auto"/>
              <w:bottom w:val="nil"/>
              <w:right w:val="single" w:sz="4" w:space="0" w:color="auto"/>
            </w:tcBorders>
            <w:shd w:val="clear" w:color="FFFFFF" w:fill="FFFFFF"/>
            <w:vAlign w:val="bottom"/>
            <w:hideMark/>
          </w:tcPr>
          <w:p w:rsidR="00694E7F" w:rsidRPr="001D7C1A" w:rsidRDefault="00694E7F" w:rsidP="00694E7F">
            <w:pPr>
              <w:ind w:firstLineChars="200" w:firstLine="280"/>
              <w:rPr>
                <w:color w:val="333333"/>
                <w:sz w:val="14"/>
                <w:szCs w:val="16"/>
                <w:lang w:val="es-GT" w:eastAsia="es-GT"/>
              </w:rPr>
            </w:pPr>
            <w:r w:rsidRPr="001D7C1A">
              <w:rPr>
                <w:color w:val="333333"/>
                <w:sz w:val="14"/>
                <w:szCs w:val="16"/>
                <w:lang w:val="es-GT" w:eastAsia="es-GT"/>
              </w:rPr>
              <w:t>DOTACIONES, SERVICIOS E INFRAESTRUCTURA PARA EL DESARROLLO SOCIAL</w:t>
            </w:r>
          </w:p>
        </w:tc>
        <w:tc>
          <w:tcPr>
            <w:tcW w:w="1033"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467.6</w:t>
            </w:r>
          </w:p>
        </w:tc>
        <w:tc>
          <w:tcPr>
            <w:tcW w:w="967"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86.0</w:t>
            </w:r>
          </w:p>
        </w:tc>
        <w:tc>
          <w:tcPr>
            <w:tcW w:w="914"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381.5</w:t>
            </w:r>
          </w:p>
        </w:tc>
        <w:tc>
          <w:tcPr>
            <w:tcW w:w="914" w:type="dxa"/>
            <w:tcBorders>
              <w:top w:val="nil"/>
              <w:left w:val="nil"/>
              <w:bottom w:val="nil"/>
              <w:right w:val="single" w:sz="8"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18.4%</w:t>
            </w:r>
          </w:p>
        </w:tc>
      </w:tr>
      <w:tr w:rsidR="00694E7F" w:rsidRPr="001D7C1A" w:rsidTr="00BC2EC7">
        <w:trPr>
          <w:trHeight w:val="255"/>
        </w:trPr>
        <w:tc>
          <w:tcPr>
            <w:tcW w:w="5740" w:type="dxa"/>
            <w:tcBorders>
              <w:top w:val="nil"/>
              <w:left w:val="single" w:sz="8" w:space="0" w:color="auto"/>
              <w:bottom w:val="nil"/>
              <w:right w:val="single" w:sz="4" w:space="0" w:color="auto"/>
            </w:tcBorders>
            <w:shd w:val="clear" w:color="FFFFFF" w:fill="FFFFFF"/>
            <w:vAlign w:val="bottom"/>
            <w:hideMark/>
          </w:tcPr>
          <w:p w:rsidR="00694E7F" w:rsidRPr="001D7C1A" w:rsidRDefault="00694E7F" w:rsidP="00694E7F">
            <w:pPr>
              <w:ind w:firstLineChars="200" w:firstLine="280"/>
              <w:rPr>
                <w:color w:val="333333"/>
                <w:sz w:val="14"/>
                <w:szCs w:val="16"/>
                <w:lang w:val="es-GT" w:eastAsia="es-GT"/>
              </w:rPr>
            </w:pPr>
            <w:r w:rsidRPr="001D7C1A">
              <w:rPr>
                <w:color w:val="333333"/>
                <w:sz w:val="14"/>
                <w:szCs w:val="16"/>
                <w:lang w:val="es-GT" w:eastAsia="es-GT"/>
              </w:rPr>
              <w:t>TRANSFERENCIAS MONETARIAS CONDICIONADAS EN SALUD Y EDUCACIÓN</w:t>
            </w:r>
          </w:p>
        </w:tc>
        <w:tc>
          <w:tcPr>
            <w:tcW w:w="1033"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352.9</w:t>
            </w:r>
          </w:p>
        </w:tc>
        <w:tc>
          <w:tcPr>
            <w:tcW w:w="967"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384.4</w:t>
            </w:r>
          </w:p>
        </w:tc>
        <w:tc>
          <w:tcPr>
            <w:tcW w:w="914"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-31.6</w:t>
            </w:r>
          </w:p>
        </w:tc>
        <w:tc>
          <w:tcPr>
            <w:tcW w:w="914" w:type="dxa"/>
            <w:tcBorders>
              <w:top w:val="nil"/>
              <w:left w:val="nil"/>
              <w:bottom w:val="nil"/>
              <w:right w:val="single" w:sz="8"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108.9%</w:t>
            </w:r>
          </w:p>
        </w:tc>
      </w:tr>
      <w:tr w:rsidR="00694E7F" w:rsidRPr="001D7C1A" w:rsidTr="00BC2EC7">
        <w:trPr>
          <w:trHeight w:val="255"/>
        </w:trPr>
        <w:tc>
          <w:tcPr>
            <w:tcW w:w="5740" w:type="dxa"/>
            <w:tcBorders>
              <w:top w:val="nil"/>
              <w:left w:val="single" w:sz="8" w:space="0" w:color="auto"/>
              <w:bottom w:val="nil"/>
              <w:right w:val="single" w:sz="4" w:space="0" w:color="auto"/>
            </w:tcBorders>
            <w:shd w:val="clear" w:color="FFFFFF" w:fill="FFFFFF"/>
            <w:vAlign w:val="bottom"/>
            <w:hideMark/>
          </w:tcPr>
          <w:p w:rsidR="00694E7F" w:rsidRPr="001D7C1A" w:rsidRDefault="00694E7F" w:rsidP="00694E7F">
            <w:pPr>
              <w:ind w:firstLineChars="200" w:firstLine="280"/>
              <w:rPr>
                <w:color w:val="333333"/>
                <w:sz w:val="14"/>
                <w:szCs w:val="16"/>
                <w:lang w:val="es-GT" w:eastAsia="es-GT"/>
              </w:rPr>
            </w:pPr>
            <w:r w:rsidRPr="001D7C1A">
              <w:rPr>
                <w:color w:val="333333"/>
                <w:sz w:val="14"/>
                <w:szCs w:val="16"/>
                <w:lang w:val="es-GT" w:eastAsia="es-GT"/>
              </w:rPr>
              <w:t xml:space="preserve">SERVICIOS DE APOYO A LOS PROGRAMAS SOCIALES </w:t>
            </w:r>
          </w:p>
        </w:tc>
        <w:tc>
          <w:tcPr>
            <w:tcW w:w="1033"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100.5</w:t>
            </w:r>
          </w:p>
        </w:tc>
        <w:tc>
          <w:tcPr>
            <w:tcW w:w="967"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87.2</w:t>
            </w:r>
          </w:p>
        </w:tc>
        <w:tc>
          <w:tcPr>
            <w:tcW w:w="914"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13.3</w:t>
            </w:r>
          </w:p>
        </w:tc>
        <w:tc>
          <w:tcPr>
            <w:tcW w:w="914" w:type="dxa"/>
            <w:tcBorders>
              <w:top w:val="nil"/>
              <w:left w:val="nil"/>
              <w:bottom w:val="nil"/>
              <w:right w:val="single" w:sz="8"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86.8%</w:t>
            </w:r>
          </w:p>
        </w:tc>
      </w:tr>
      <w:tr w:rsidR="00694E7F" w:rsidRPr="001D7C1A" w:rsidTr="00BC2EC7">
        <w:trPr>
          <w:trHeight w:val="255"/>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1D7C1A" w:rsidRDefault="00694E7F" w:rsidP="00694E7F">
            <w:pPr>
              <w:ind w:firstLineChars="200" w:firstLine="280"/>
              <w:rPr>
                <w:color w:val="333333"/>
                <w:sz w:val="14"/>
                <w:szCs w:val="16"/>
                <w:lang w:val="es-GT" w:eastAsia="es-GT"/>
              </w:rPr>
            </w:pPr>
            <w:r w:rsidRPr="001D7C1A">
              <w:rPr>
                <w:color w:val="333333"/>
                <w:sz w:val="14"/>
                <w:szCs w:val="16"/>
                <w:lang w:val="es-GT" w:eastAsia="es-GT"/>
              </w:rPr>
              <w:t>APOYO PARA EL CONSUMO ADECUADO DE ALIMENTOS</w:t>
            </w:r>
          </w:p>
        </w:tc>
        <w:tc>
          <w:tcPr>
            <w:tcW w:w="1033"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87.7</w:t>
            </w:r>
          </w:p>
        </w:tc>
        <w:tc>
          <w:tcPr>
            <w:tcW w:w="967"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86.0</w:t>
            </w:r>
          </w:p>
        </w:tc>
        <w:tc>
          <w:tcPr>
            <w:tcW w:w="914"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1.7</w:t>
            </w:r>
          </w:p>
        </w:tc>
        <w:tc>
          <w:tcPr>
            <w:tcW w:w="914" w:type="dxa"/>
            <w:tcBorders>
              <w:top w:val="nil"/>
              <w:left w:val="nil"/>
              <w:bottom w:val="nil"/>
              <w:right w:val="single" w:sz="8"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98.1%</w:t>
            </w:r>
          </w:p>
        </w:tc>
      </w:tr>
      <w:tr w:rsidR="00694E7F" w:rsidRPr="001D7C1A" w:rsidTr="00BC2EC7">
        <w:trPr>
          <w:trHeight w:val="255"/>
        </w:trPr>
        <w:tc>
          <w:tcPr>
            <w:tcW w:w="5740" w:type="dxa"/>
            <w:tcBorders>
              <w:top w:val="nil"/>
              <w:left w:val="single" w:sz="8" w:space="0" w:color="auto"/>
              <w:bottom w:val="nil"/>
              <w:right w:val="single" w:sz="4" w:space="0" w:color="auto"/>
            </w:tcBorders>
            <w:shd w:val="clear" w:color="FFFFFF" w:fill="FFFFFF"/>
            <w:vAlign w:val="bottom"/>
            <w:hideMark/>
          </w:tcPr>
          <w:p w:rsidR="00694E7F" w:rsidRPr="001D7C1A" w:rsidRDefault="00694E7F" w:rsidP="00694E7F">
            <w:pPr>
              <w:ind w:firstLineChars="200" w:firstLine="280"/>
              <w:rPr>
                <w:color w:val="333333"/>
                <w:sz w:val="14"/>
                <w:szCs w:val="16"/>
                <w:lang w:val="es-GT" w:eastAsia="es-GT"/>
              </w:rPr>
            </w:pPr>
            <w:r w:rsidRPr="001D7C1A">
              <w:rPr>
                <w:color w:val="333333"/>
                <w:sz w:val="14"/>
                <w:szCs w:val="16"/>
                <w:lang w:val="es-GT" w:eastAsia="es-GT"/>
              </w:rPr>
              <w:t>ADMINISTRACIÓN INSTITUCIONAL</w:t>
            </w:r>
          </w:p>
        </w:tc>
        <w:tc>
          <w:tcPr>
            <w:tcW w:w="1033"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68.1</w:t>
            </w:r>
          </w:p>
        </w:tc>
        <w:tc>
          <w:tcPr>
            <w:tcW w:w="967"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69.9</w:t>
            </w:r>
          </w:p>
        </w:tc>
        <w:tc>
          <w:tcPr>
            <w:tcW w:w="914"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-1.9</w:t>
            </w:r>
          </w:p>
        </w:tc>
        <w:tc>
          <w:tcPr>
            <w:tcW w:w="914" w:type="dxa"/>
            <w:tcBorders>
              <w:top w:val="nil"/>
              <w:left w:val="nil"/>
              <w:bottom w:val="nil"/>
              <w:right w:val="single" w:sz="8"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102.7%</w:t>
            </w:r>
          </w:p>
        </w:tc>
      </w:tr>
      <w:tr w:rsidR="00694E7F" w:rsidRPr="001D7C1A" w:rsidTr="00BC2EC7">
        <w:trPr>
          <w:trHeight w:val="255"/>
        </w:trPr>
        <w:tc>
          <w:tcPr>
            <w:tcW w:w="5740" w:type="dxa"/>
            <w:tcBorders>
              <w:top w:val="nil"/>
              <w:left w:val="single" w:sz="8" w:space="0" w:color="auto"/>
              <w:bottom w:val="nil"/>
              <w:right w:val="single" w:sz="4" w:space="0" w:color="auto"/>
            </w:tcBorders>
            <w:shd w:val="clear" w:color="FFFFFF" w:fill="FFFFFF"/>
            <w:vAlign w:val="bottom"/>
            <w:hideMark/>
          </w:tcPr>
          <w:p w:rsidR="00694E7F" w:rsidRPr="001D7C1A" w:rsidRDefault="00694E7F" w:rsidP="00694E7F">
            <w:pPr>
              <w:ind w:firstLineChars="200" w:firstLine="280"/>
              <w:rPr>
                <w:color w:val="333333"/>
                <w:sz w:val="14"/>
                <w:szCs w:val="16"/>
                <w:lang w:val="es-GT" w:eastAsia="es-GT"/>
              </w:rPr>
            </w:pPr>
            <w:r w:rsidRPr="001D7C1A">
              <w:rPr>
                <w:color w:val="333333"/>
                <w:sz w:val="14"/>
                <w:szCs w:val="16"/>
                <w:lang w:val="es-GT" w:eastAsia="es-GT"/>
              </w:rPr>
              <w:t>PREVENCIÓN DE LA DELINCUENCIA EN ADOLESCENTES Y JÓVENES</w:t>
            </w:r>
          </w:p>
        </w:tc>
        <w:tc>
          <w:tcPr>
            <w:tcW w:w="1033"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57.2</w:t>
            </w:r>
          </w:p>
        </w:tc>
        <w:tc>
          <w:tcPr>
            <w:tcW w:w="967"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26.4</w:t>
            </w:r>
          </w:p>
        </w:tc>
        <w:tc>
          <w:tcPr>
            <w:tcW w:w="914"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30.8</w:t>
            </w:r>
          </w:p>
        </w:tc>
        <w:tc>
          <w:tcPr>
            <w:tcW w:w="914" w:type="dxa"/>
            <w:tcBorders>
              <w:top w:val="nil"/>
              <w:left w:val="nil"/>
              <w:bottom w:val="nil"/>
              <w:right w:val="single" w:sz="8"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46.1%</w:t>
            </w:r>
          </w:p>
        </w:tc>
      </w:tr>
      <w:tr w:rsidR="00694E7F" w:rsidRPr="001D7C1A" w:rsidTr="00BC2EC7">
        <w:trPr>
          <w:trHeight w:val="255"/>
        </w:trPr>
        <w:tc>
          <w:tcPr>
            <w:tcW w:w="5740" w:type="dxa"/>
            <w:tcBorders>
              <w:top w:val="nil"/>
              <w:left w:val="single" w:sz="8" w:space="0" w:color="auto"/>
              <w:bottom w:val="nil"/>
              <w:right w:val="single" w:sz="4" w:space="0" w:color="auto"/>
            </w:tcBorders>
            <w:shd w:val="clear" w:color="FFFFFF" w:fill="FFFFFF"/>
            <w:noWrap/>
            <w:vAlign w:val="bottom"/>
            <w:hideMark/>
          </w:tcPr>
          <w:p w:rsidR="00694E7F" w:rsidRPr="001D7C1A" w:rsidRDefault="00694E7F" w:rsidP="00694E7F">
            <w:pPr>
              <w:ind w:firstLineChars="200" w:firstLine="280"/>
              <w:rPr>
                <w:color w:val="333333"/>
                <w:sz w:val="14"/>
                <w:szCs w:val="16"/>
                <w:lang w:val="es-GT" w:eastAsia="es-GT"/>
              </w:rPr>
            </w:pPr>
            <w:r w:rsidRPr="001D7C1A">
              <w:rPr>
                <w:color w:val="333333"/>
                <w:sz w:val="14"/>
                <w:szCs w:val="16"/>
                <w:lang w:val="es-GT" w:eastAsia="es-GT"/>
              </w:rPr>
              <w:t>PARTIDAS NO ASIGNABLES A PROGRAMAS</w:t>
            </w:r>
          </w:p>
        </w:tc>
        <w:tc>
          <w:tcPr>
            <w:tcW w:w="1033"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25.2</w:t>
            </w:r>
          </w:p>
        </w:tc>
        <w:tc>
          <w:tcPr>
            <w:tcW w:w="967"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0.2</w:t>
            </w:r>
          </w:p>
        </w:tc>
        <w:tc>
          <w:tcPr>
            <w:tcW w:w="914" w:type="dxa"/>
            <w:tcBorders>
              <w:top w:val="nil"/>
              <w:left w:val="nil"/>
              <w:bottom w:val="nil"/>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25.0</w:t>
            </w:r>
          </w:p>
        </w:tc>
        <w:tc>
          <w:tcPr>
            <w:tcW w:w="914" w:type="dxa"/>
            <w:tcBorders>
              <w:top w:val="nil"/>
              <w:left w:val="nil"/>
              <w:bottom w:val="nil"/>
              <w:right w:val="single" w:sz="8"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0.8%</w:t>
            </w:r>
          </w:p>
        </w:tc>
      </w:tr>
      <w:tr w:rsidR="00694E7F" w:rsidRPr="001D7C1A" w:rsidTr="00BC2EC7">
        <w:trPr>
          <w:trHeight w:val="255"/>
        </w:trPr>
        <w:tc>
          <w:tcPr>
            <w:tcW w:w="5740" w:type="dxa"/>
            <w:tcBorders>
              <w:top w:val="nil"/>
              <w:left w:val="single" w:sz="8" w:space="0" w:color="auto"/>
              <w:bottom w:val="single" w:sz="8" w:space="0" w:color="auto"/>
              <w:right w:val="single" w:sz="4" w:space="0" w:color="auto"/>
            </w:tcBorders>
            <w:shd w:val="clear" w:color="FFFFFF" w:fill="FFFFFF"/>
            <w:vAlign w:val="bottom"/>
            <w:hideMark/>
          </w:tcPr>
          <w:p w:rsidR="00694E7F" w:rsidRPr="001D7C1A" w:rsidRDefault="00694E7F" w:rsidP="00694E7F">
            <w:pPr>
              <w:ind w:firstLineChars="200" w:firstLine="280"/>
              <w:rPr>
                <w:color w:val="333333"/>
                <w:sz w:val="14"/>
                <w:szCs w:val="16"/>
                <w:lang w:val="es-GT" w:eastAsia="es-GT"/>
              </w:rPr>
            </w:pPr>
            <w:r w:rsidRPr="001D7C1A">
              <w:rPr>
                <w:color w:val="333333"/>
                <w:sz w:val="14"/>
                <w:szCs w:val="16"/>
                <w:lang w:val="es-GT" w:eastAsia="es-GT"/>
              </w:rPr>
              <w:t>ATENCIÓN POR DESASTRES NATURALES Y CALAMIDADES PÚBLICAS</w:t>
            </w:r>
          </w:p>
        </w:tc>
        <w:tc>
          <w:tcPr>
            <w:tcW w:w="1033" w:type="dxa"/>
            <w:tcBorders>
              <w:top w:val="nil"/>
              <w:left w:val="nil"/>
              <w:bottom w:val="single" w:sz="8" w:space="0" w:color="auto"/>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0.0</w:t>
            </w:r>
          </w:p>
        </w:tc>
        <w:tc>
          <w:tcPr>
            <w:tcW w:w="967" w:type="dxa"/>
            <w:tcBorders>
              <w:top w:val="nil"/>
              <w:left w:val="nil"/>
              <w:bottom w:val="single" w:sz="8" w:space="0" w:color="auto"/>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6,412.5</w:t>
            </w:r>
          </w:p>
        </w:tc>
        <w:tc>
          <w:tcPr>
            <w:tcW w:w="914" w:type="dxa"/>
            <w:tcBorders>
              <w:top w:val="nil"/>
              <w:left w:val="nil"/>
              <w:bottom w:val="single" w:sz="8" w:space="0" w:color="auto"/>
              <w:right w:val="single" w:sz="4" w:space="0" w:color="auto"/>
            </w:tcBorders>
            <w:shd w:val="clear" w:color="FFFFFF" w:fill="FFFFFF"/>
            <w:noWrap/>
            <w:vAlign w:val="center"/>
            <w:hideMark/>
          </w:tcPr>
          <w:p w:rsidR="00694E7F" w:rsidRPr="001D7C1A" w:rsidRDefault="00694E7F" w:rsidP="00694E7F">
            <w:pPr>
              <w:jc w:val="right"/>
              <w:rPr>
                <w:color w:val="333333"/>
                <w:sz w:val="14"/>
                <w:szCs w:val="16"/>
                <w:lang w:val="es-GT" w:eastAsia="es-GT"/>
              </w:rPr>
            </w:pPr>
            <w:r w:rsidRPr="001D7C1A">
              <w:rPr>
                <w:color w:val="333333"/>
                <w:sz w:val="14"/>
                <w:szCs w:val="16"/>
                <w:lang w:val="es-GT" w:eastAsia="es-GT"/>
              </w:rPr>
              <w:t>-6,412.5</w:t>
            </w:r>
          </w:p>
        </w:tc>
        <w:tc>
          <w:tcPr>
            <w:tcW w:w="914" w:type="dxa"/>
            <w:tcBorders>
              <w:top w:val="nil"/>
              <w:left w:val="single" w:sz="4" w:space="0" w:color="auto"/>
              <w:bottom w:val="single" w:sz="8" w:space="0" w:color="auto"/>
              <w:right w:val="single" w:sz="8" w:space="0" w:color="auto"/>
            </w:tcBorders>
            <w:shd w:val="clear" w:color="FFFFFF" w:fill="FFFFFF"/>
            <w:noWrap/>
            <w:vAlign w:val="center"/>
            <w:hideMark/>
          </w:tcPr>
          <w:p w:rsidR="00694E7F" w:rsidRPr="001D7C1A" w:rsidRDefault="00694E7F" w:rsidP="00694E7F">
            <w:pPr>
              <w:jc w:val="right"/>
              <w:rPr>
                <w:color w:val="FFFFFF"/>
                <w:sz w:val="14"/>
                <w:szCs w:val="16"/>
                <w:lang w:val="es-GT" w:eastAsia="es-GT"/>
              </w:rPr>
            </w:pPr>
            <w:r w:rsidRPr="001D7C1A">
              <w:rPr>
                <w:color w:val="FFFFFF"/>
                <w:sz w:val="14"/>
                <w:szCs w:val="16"/>
                <w:lang w:val="es-GT" w:eastAsia="es-GT"/>
              </w:rPr>
              <w:t>#¡DIV/0!</w:t>
            </w: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Pr="00D108FD" w:rsidRDefault="00694E7F" w:rsidP="00694E7F">
      <w:pPr>
        <w:jc w:val="both"/>
      </w:pPr>
    </w:p>
    <w:p w:rsidR="00694E7F" w:rsidRDefault="00694E7F" w:rsidP="00694E7F">
      <w:pPr>
        <w:jc w:val="both"/>
        <w:rPr>
          <w:b/>
        </w:rPr>
      </w:pPr>
      <w:r w:rsidRPr="00D108FD">
        <w:rPr>
          <w:b/>
        </w:rPr>
        <w:t>Procuraduría General de la Nación</w:t>
      </w:r>
      <w:r>
        <w:rPr>
          <w:b/>
        </w:rPr>
        <w:t>:</w:t>
      </w:r>
    </w:p>
    <w:p w:rsidR="00694E7F" w:rsidRPr="00D108FD" w:rsidRDefault="00694E7F" w:rsidP="00694E7F">
      <w:pPr>
        <w:jc w:val="both"/>
        <w:rPr>
          <w:b/>
        </w:rPr>
      </w:pPr>
    </w:p>
    <w:p w:rsidR="00694E7F" w:rsidRDefault="00694E7F" w:rsidP="00694E7F">
      <w:pPr>
        <w:jc w:val="both"/>
      </w:pPr>
      <w:r w:rsidRPr="00D108FD">
        <w:t xml:space="preserve">Esta entidad </w:t>
      </w:r>
      <w:r>
        <w:t>tuvo</w:t>
      </w:r>
      <w:r w:rsidRPr="00D108FD">
        <w:t xml:space="preserve"> un presupuesto</w:t>
      </w:r>
      <w:r>
        <w:t xml:space="preserve"> aprobado</w:t>
      </w:r>
      <w:r w:rsidRPr="00D108FD">
        <w:t xml:space="preserve"> de </w:t>
      </w:r>
      <w:r>
        <w:t>Q</w:t>
      </w:r>
      <w:r w:rsidR="00925918">
        <w:t>.</w:t>
      </w:r>
      <w:r w:rsidRPr="00D108FD">
        <w:t>1</w:t>
      </w:r>
      <w:r>
        <w:t>17.3</w:t>
      </w:r>
      <w:r w:rsidRPr="00D108FD">
        <w:t xml:space="preserve"> millones y una ejecución presupuestaria de </w:t>
      </w:r>
      <w:r>
        <w:t>Q</w:t>
      </w:r>
      <w:r w:rsidR="00925918">
        <w:t>.</w:t>
      </w:r>
      <w:r w:rsidRPr="00D108FD">
        <w:t>1</w:t>
      </w:r>
      <w:r>
        <w:t>25.1</w:t>
      </w:r>
      <w:r w:rsidRPr="00D108FD">
        <w:t xml:space="preserve"> millones equivalente</w:t>
      </w:r>
      <w:r w:rsidR="00925918">
        <w:t>s</w:t>
      </w:r>
      <w:r w:rsidRPr="00D108FD">
        <w:t xml:space="preserve"> al </w:t>
      </w:r>
      <w:r w:rsidR="00925918">
        <w:t>106.7%.</w:t>
      </w:r>
    </w:p>
    <w:p w:rsidR="00694E7F" w:rsidRDefault="00694E7F" w:rsidP="00694E7F">
      <w:pPr>
        <w:jc w:val="both"/>
      </w:pPr>
    </w:p>
    <w:p w:rsidR="00694E7F" w:rsidRDefault="00694E7F" w:rsidP="00694E7F">
      <w:pPr>
        <w:jc w:val="both"/>
      </w:pPr>
      <w:r w:rsidRPr="00D108FD">
        <w:t>El programa con mayor cantidad de recursos ejecutados fue “Protección de los Derechos de la Familia” con un presupuesto</w:t>
      </w:r>
      <w:r>
        <w:t xml:space="preserve"> inicial</w:t>
      </w:r>
      <w:r w:rsidRPr="00D108FD">
        <w:t xml:space="preserve"> de </w:t>
      </w:r>
      <w:r>
        <w:t>Q</w:t>
      </w:r>
      <w:r w:rsidR="00925918">
        <w:t>.</w:t>
      </w:r>
      <w:r>
        <w:t>40</w:t>
      </w:r>
      <w:r w:rsidRPr="00D108FD">
        <w:t xml:space="preserve">.0 millones y una ejecución presupuestaria de </w:t>
      </w:r>
      <w:r>
        <w:t>Q</w:t>
      </w:r>
      <w:r w:rsidR="00925918">
        <w:t>.</w:t>
      </w:r>
      <w:r>
        <w:t>46.8</w:t>
      </w:r>
      <w:r w:rsidRPr="00D108FD">
        <w:t xml:space="preserve"> millones equivalente</w:t>
      </w:r>
      <w:r w:rsidR="00925918">
        <w:t>s</w:t>
      </w:r>
      <w:r w:rsidRPr="00D108FD">
        <w:t xml:space="preserve"> al 1</w:t>
      </w:r>
      <w:r>
        <w:t>17.2</w:t>
      </w:r>
      <w:r w:rsidRPr="00D108FD">
        <w:t>%</w:t>
      </w:r>
      <w:r>
        <w:t>.</w:t>
      </w:r>
    </w:p>
    <w:p w:rsidR="00694E7F" w:rsidRPr="00D108FD" w:rsidRDefault="00694E7F" w:rsidP="00694E7F">
      <w:pPr>
        <w:jc w:val="both"/>
      </w:pPr>
    </w:p>
    <w:p w:rsidR="00694E7F" w:rsidRDefault="00694E7F" w:rsidP="00694E7F">
      <w:pPr>
        <w:jc w:val="both"/>
      </w:pPr>
      <w:r w:rsidRPr="00D108FD">
        <w:t xml:space="preserve">El programa “Representación y Defensa de los Intereses del Estado” </w:t>
      </w:r>
      <w:r>
        <w:t>reporta un presupuesto aprobado de Q</w:t>
      </w:r>
      <w:r w:rsidR="00925918">
        <w:t>.</w:t>
      </w:r>
      <w:r w:rsidRPr="00D108FD">
        <w:t>34.</w:t>
      </w:r>
      <w:r>
        <w:t>4</w:t>
      </w:r>
      <w:r w:rsidRPr="00D108FD">
        <w:t xml:space="preserve"> millones y una ejecución presupuestaria de </w:t>
      </w:r>
      <w:r>
        <w:t>Q</w:t>
      </w:r>
      <w:r w:rsidR="00925918">
        <w:t>.</w:t>
      </w:r>
      <w:r w:rsidRPr="00D108FD">
        <w:t>3</w:t>
      </w:r>
      <w:r>
        <w:t>8.4</w:t>
      </w:r>
      <w:r w:rsidRPr="00D108FD">
        <w:t xml:space="preserve"> millones equivalente</w:t>
      </w:r>
      <w:r w:rsidR="00925918">
        <w:t>s</w:t>
      </w:r>
      <w:r w:rsidRPr="00D108FD">
        <w:t xml:space="preserve"> al </w:t>
      </w:r>
      <w:r>
        <w:t>111.6</w:t>
      </w:r>
      <w:r w:rsidRPr="00D108FD">
        <w:t>%</w:t>
      </w:r>
      <w:r>
        <w:t>.</w:t>
      </w:r>
    </w:p>
    <w:p w:rsidR="00694E7F" w:rsidRPr="00D108FD" w:rsidRDefault="00694E7F" w:rsidP="00694E7F">
      <w:pPr>
        <w:jc w:val="both"/>
      </w:pPr>
    </w:p>
    <w:p w:rsidR="00694E7F" w:rsidRDefault="00694E7F" w:rsidP="00694E7F">
      <w:pPr>
        <w:jc w:val="both"/>
      </w:pPr>
      <w:r w:rsidRPr="00D108FD">
        <w:t xml:space="preserve">Las Actividades Centrales </w:t>
      </w:r>
      <w:r>
        <w:t>se ubican con un presupuesto asignado de Q</w:t>
      </w:r>
      <w:r w:rsidR="00925918">
        <w:t>.</w:t>
      </w:r>
      <w:r w:rsidRPr="00D108FD">
        <w:t>3</w:t>
      </w:r>
      <w:r>
        <w:t>8.6</w:t>
      </w:r>
      <w:r w:rsidRPr="00D108FD">
        <w:t xml:space="preserve"> millones y una ejecución presupuestaria de </w:t>
      </w:r>
      <w:r>
        <w:t>Q</w:t>
      </w:r>
      <w:r w:rsidR="00925918">
        <w:t>.</w:t>
      </w:r>
      <w:r>
        <w:t>35.4</w:t>
      </w:r>
      <w:r w:rsidRPr="00D108FD">
        <w:t xml:space="preserve"> millones equivalente</w:t>
      </w:r>
      <w:r w:rsidR="00925918">
        <w:t>s</w:t>
      </w:r>
      <w:r w:rsidRPr="00D108FD">
        <w:t xml:space="preserve"> al 9</w:t>
      </w:r>
      <w:r>
        <w:t>1.7</w:t>
      </w:r>
      <w:r w:rsidRPr="00D108FD">
        <w:t>%.</w:t>
      </w:r>
    </w:p>
    <w:p w:rsidR="00694E7F" w:rsidRPr="00D108FD" w:rsidRDefault="00694E7F" w:rsidP="00694E7F">
      <w:pPr>
        <w:jc w:val="both"/>
      </w:pPr>
    </w:p>
    <w:p w:rsidR="00694E7F" w:rsidRDefault="00694E7F" w:rsidP="00694E7F">
      <w:pPr>
        <w:jc w:val="both"/>
      </w:pPr>
      <w:r>
        <w:t>Finalmente aparece el programa de “Consultoría y Asesoría del Estado” con un presupuesto aprobado Q</w:t>
      </w:r>
      <w:r w:rsidR="00925918">
        <w:t>.</w:t>
      </w:r>
      <w:r>
        <w:t>4.3 millones y una ejecución presupuestaria de Q</w:t>
      </w:r>
      <w:r w:rsidR="00925918">
        <w:t>.</w:t>
      </w:r>
      <w:r>
        <w:t>4.6 millones, equivalente</w:t>
      </w:r>
      <w:r w:rsidR="00925918">
        <w:t>s</w:t>
      </w:r>
      <w:r>
        <w:t xml:space="preserve"> al 105.3%</w:t>
      </w:r>
      <w:r w:rsidRPr="00D108FD">
        <w:t>.</w:t>
      </w:r>
    </w:p>
    <w:p w:rsidR="00694E7F" w:rsidRDefault="00694E7F" w:rsidP="00694E7F">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Programa!F208C2:F213C6" \a \f 4 \h  \* MERGEFORMAT </w:instrText>
      </w:r>
      <w:r>
        <w:rPr>
          <w:noProof/>
          <w:lang w:val="es-GT" w:eastAsia="es-GT"/>
        </w:rPr>
        <w:fldChar w:fldCharType="separate"/>
      </w:r>
    </w:p>
    <w:p w:rsidR="00694E7F" w:rsidRPr="004E678D" w:rsidRDefault="00694E7F" w:rsidP="00694E7F">
      <w:pPr>
        <w:jc w:val="both"/>
        <w:rPr>
          <w:sz w:val="18"/>
        </w:rPr>
      </w:pPr>
      <w:r>
        <w:rPr>
          <w:noProof/>
          <w:lang w:val="es-GT" w:eastAsia="es-GT"/>
        </w:rPr>
        <w:fldChar w:fldCharType="end"/>
      </w:r>
    </w:p>
    <w:tbl>
      <w:tblPr>
        <w:tblW w:w="9426" w:type="dxa"/>
        <w:tblCellMar>
          <w:left w:w="70" w:type="dxa"/>
          <w:right w:w="70" w:type="dxa"/>
        </w:tblCellMar>
        <w:tblLook w:val="04A0" w:firstRow="1" w:lastRow="0" w:firstColumn="1" w:lastColumn="0" w:noHBand="0" w:noVBand="1"/>
      </w:tblPr>
      <w:tblGrid>
        <w:gridCol w:w="5173"/>
        <w:gridCol w:w="1089"/>
        <w:gridCol w:w="1179"/>
        <w:gridCol w:w="993"/>
        <w:gridCol w:w="992"/>
      </w:tblGrid>
      <w:tr w:rsidR="00694E7F" w:rsidRPr="000636DD" w:rsidTr="00527E4F">
        <w:trPr>
          <w:trHeight w:val="255"/>
        </w:trPr>
        <w:tc>
          <w:tcPr>
            <w:tcW w:w="5173"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527E4F" w:rsidRDefault="00694E7F" w:rsidP="00527E4F">
            <w:pPr>
              <w:jc w:val="center"/>
              <w:rPr>
                <w:b/>
                <w:bCs/>
                <w:color w:val="000000"/>
                <w:sz w:val="16"/>
                <w:szCs w:val="16"/>
                <w:lang w:val="es-GT" w:eastAsia="es-GT"/>
              </w:rPr>
            </w:pPr>
            <w:r w:rsidRPr="00527E4F">
              <w:rPr>
                <w:b/>
                <w:bCs/>
                <w:color w:val="000000"/>
                <w:sz w:val="16"/>
                <w:szCs w:val="16"/>
                <w:lang w:val="es-GT" w:eastAsia="es-GT"/>
              </w:rPr>
              <w:t>DESCRIPCION</w:t>
            </w:r>
          </w:p>
        </w:tc>
        <w:tc>
          <w:tcPr>
            <w:tcW w:w="1089"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27E4F" w:rsidRDefault="00694E7F" w:rsidP="00527E4F">
            <w:pPr>
              <w:jc w:val="center"/>
              <w:rPr>
                <w:b/>
                <w:bCs/>
                <w:color w:val="000000"/>
                <w:sz w:val="16"/>
                <w:szCs w:val="16"/>
                <w:lang w:val="es-GT" w:eastAsia="es-GT"/>
              </w:rPr>
            </w:pPr>
            <w:r w:rsidRPr="00527E4F">
              <w:rPr>
                <w:b/>
                <w:bCs/>
                <w:color w:val="000000"/>
                <w:sz w:val="16"/>
                <w:szCs w:val="16"/>
                <w:lang w:val="es-GT" w:eastAsia="es-GT"/>
              </w:rPr>
              <w:t>Asignado</w:t>
            </w:r>
          </w:p>
        </w:tc>
        <w:tc>
          <w:tcPr>
            <w:tcW w:w="1179"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27E4F" w:rsidRDefault="00694E7F" w:rsidP="00527E4F">
            <w:pPr>
              <w:jc w:val="center"/>
              <w:rPr>
                <w:b/>
                <w:bCs/>
                <w:color w:val="000000"/>
                <w:sz w:val="16"/>
                <w:szCs w:val="16"/>
                <w:lang w:val="es-GT" w:eastAsia="es-GT"/>
              </w:rPr>
            </w:pPr>
            <w:r w:rsidRPr="00527E4F">
              <w:rPr>
                <w:b/>
                <w:bCs/>
                <w:color w:val="000000"/>
                <w:sz w:val="16"/>
                <w:szCs w:val="16"/>
                <w:lang w:val="es-GT" w:eastAsia="es-GT"/>
              </w:rPr>
              <w:t>Ejecución</w:t>
            </w:r>
          </w:p>
        </w:tc>
        <w:tc>
          <w:tcPr>
            <w:tcW w:w="993"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27E4F" w:rsidRDefault="00694E7F" w:rsidP="00527E4F">
            <w:pPr>
              <w:jc w:val="center"/>
              <w:rPr>
                <w:b/>
                <w:bCs/>
                <w:color w:val="000000"/>
                <w:sz w:val="16"/>
                <w:szCs w:val="16"/>
                <w:lang w:val="es-GT" w:eastAsia="es-GT"/>
              </w:rPr>
            </w:pPr>
            <w:r w:rsidRPr="00527E4F">
              <w:rPr>
                <w:b/>
                <w:bCs/>
                <w:color w:val="000000"/>
                <w:sz w:val="16"/>
                <w:szCs w:val="16"/>
                <w:lang w:val="es-GT" w:eastAsia="es-GT"/>
              </w:rPr>
              <w:t>Diferencias</w:t>
            </w:r>
          </w:p>
        </w:tc>
        <w:tc>
          <w:tcPr>
            <w:tcW w:w="992"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527E4F" w:rsidRDefault="00694E7F" w:rsidP="00527E4F">
            <w:pPr>
              <w:jc w:val="center"/>
              <w:rPr>
                <w:b/>
                <w:bCs/>
                <w:color w:val="000000"/>
                <w:sz w:val="16"/>
                <w:szCs w:val="16"/>
                <w:lang w:val="es-GT" w:eastAsia="es-GT"/>
              </w:rPr>
            </w:pPr>
            <w:r w:rsidRPr="00527E4F">
              <w:rPr>
                <w:b/>
                <w:bCs/>
                <w:color w:val="000000"/>
                <w:sz w:val="16"/>
                <w:szCs w:val="16"/>
                <w:lang w:val="es-GT" w:eastAsia="es-GT"/>
              </w:rPr>
              <w:t>% Ejec</w:t>
            </w:r>
          </w:p>
        </w:tc>
      </w:tr>
      <w:tr w:rsidR="00694E7F" w:rsidRPr="000636DD" w:rsidTr="00527E4F">
        <w:trPr>
          <w:trHeight w:val="255"/>
        </w:trPr>
        <w:tc>
          <w:tcPr>
            <w:tcW w:w="5173" w:type="dxa"/>
            <w:tcBorders>
              <w:top w:val="nil"/>
              <w:left w:val="single" w:sz="8" w:space="0" w:color="auto"/>
              <w:bottom w:val="nil"/>
              <w:right w:val="single" w:sz="4" w:space="0" w:color="auto"/>
            </w:tcBorders>
            <w:shd w:val="clear" w:color="FFFFFF" w:fill="FFFFFF"/>
            <w:noWrap/>
            <w:vAlign w:val="bottom"/>
            <w:hideMark/>
          </w:tcPr>
          <w:p w:rsidR="00694E7F" w:rsidRPr="000636DD" w:rsidRDefault="00694E7F" w:rsidP="00694E7F">
            <w:pPr>
              <w:rPr>
                <w:b/>
                <w:bCs/>
                <w:color w:val="333333"/>
                <w:sz w:val="14"/>
                <w:szCs w:val="16"/>
                <w:lang w:val="es-GT" w:eastAsia="es-GT"/>
              </w:rPr>
            </w:pPr>
            <w:r w:rsidRPr="000636DD">
              <w:rPr>
                <w:b/>
                <w:bCs/>
                <w:color w:val="333333"/>
                <w:sz w:val="14"/>
                <w:szCs w:val="16"/>
                <w:lang w:val="es-GT" w:eastAsia="es-GT"/>
              </w:rPr>
              <w:t>PROCURADURÍA GENERAL DE LA NACIÓN</w:t>
            </w:r>
          </w:p>
        </w:tc>
        <w:tc>
          <w:tcPr>
            <w:tcW w:w="1089"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b/>
                <w:bCs/>
                <w:color w:val="333333"/>
                <w:sz w:val="14"/>
                <w:szCs w:val="16"/>
                <w:lang w:val="es-GT" w:eastAsia="es-GT"/>
              </w:rPr>
            </w:pPr>
            <w:r w:rsidRPr="000636DD">
              <w:rPr>
                <w:b/>
                <w:bCs/>
                <w:color w:val="333333"/>
                <w:sz w:val="14"/>
                <w:szCs w:val="16"/>
                <w:lang w:val="es-GT" w:eastAsia="es-GT"/>
              </w:rPr>
              <w:t>117.3</w:t>
            </w:r>
          </w:p>
        </w:tc>
        <w:tc>
          <w:tcPr>
            <w:tcW w:w="1179"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b/>
                <w:bCs/>
                <w:color w:val="333333"/>
                <w:sz w:val="14"/>
                <w:szCs w:val="16"/>
                <w:lang w:val="es-GT" w:eastAsia="es-GT"/>
              </w:rPr>
            </w:pPr>
            <w:r w:rsidRPr="000636DD">
              <w:rPr>
                <w:b/>
                <w:bCs/>
                <w:color w:val="333333"/>
                <w:sz w:val="14"/>
                <w:szCs w:val="16"/>
                <w:lang w:val="es-GT" w:eastAsia="es-GT"/>
              </w:rPr>
              <w:t>125.1</w:t>
            </w:r>
          </w:p>
        </w:tc>
        <w:tc>
          <w:tcPr>
            <w:tcW w:w="993"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b/>
                <w:bCs/>
                <w:color w:val="333333"/>
                <w:sz w:val="14"/>
                <w:szCs w:val="16"/>
                <w:lang w:val="es-GT" w:eastAsia="es-GT"/>
              </w:rPr>
            </w:pPr>
            <w:r w:rsidRPr="000636DD">
              <w:rPr>
                <w:b/>
                <w:bCs/>
                <w:color w:val="333333"/>
                <w:sz w:val="14"/>
                <w:szCs w:val="16"/>
                <w:lang w:val="es-GT" w:eastAsia="es-GT"/>
              </w:rPr>
              <w:t>-7.9</w:t>
            </w:r>
          </w:p>
        </w:tc>
        <w:tc>
          <w:tcPr>
            <w:tcW w:w="992" w:type="dxa"/>
            <w:tcBorders>
              <w:top w:val="nil"/>
              <w:left w:val="nil"/>
              <w:bottom w:val="nil"/>
              <w:right w:val="single" w:sz="8" w:space="0" w:color="auto"/>
            </w:tcBorders>
            <w:shd w:val="clear" w:color="FFFFFF" w:fill="FFFFFF"/>
            <w:noWrap/>
            <w:vAlign w:val="bottom"/>
            <w:hideMark/>
          </w:tcPr>
          <w:p w:rsidR="00694E7F" w:rsidRPr="000636DD" w:rsidRDefault="00694E7F" w:rsidP="00694E7F">
            <w:pPr>
              <w:jc w:val="right"/>
              <w:rPr>
                <w:b/>
                <w:bCs/>
                <w:color w:val="333333"/>
                <w:sz w:val="14"/>
                <w:szCs w:val="16"/>
                <w:lang w:val="es-GT" w:eastAsia="es-GT"/>
              </w:rPr>
            </w:pPr>
            <w:r w:rsidRPr="000636DD">
              <w:rPr>
                <w:b/>
                <w:bCs/>
                <w:color w:val="333333"/>
                <w:sz w:val="14"/>
                <w:szCs w:val="16"/>
                <w:lang w:val="es-GT" w:eastAsia="es-GT"/>
              </w:rPr>
              <w:t>106.7%</w:t>
            </w:r>
          </w:p>
        </w:tc>
      </w:tr>
      <w:tr w:rsidR="00694E7F" w:rsidRPr="000636DD" w:rsidTr="00527E4F">
        <w:trPr>
          <w:trHeight w:val="255"/>
        </w:trPr>
        <w:tc>
          <w:tcPr>
            <w:tcW w:w="5173" w:type="dxa"/>
            <w:tcBorders>
              <w:top w:val="nil"/>
              <w:left w:val="single" w:sz="8" w:space="0" w:color="auto"/>
              <w:bottom w:val="nil"/>
              <w:right w:val="single" w:sz="4" w:space="0" w:color="auto"/>
            </w:tcBorders>
            <w:shd w:val="clear" w:color="FFFFFF" w:fill="FFFFFF"/>
            <w:noWrap/>
            <w:vAlign w:val="bottom"/>
            <w:hideMark/>
          </w:tcPr>
          <w:p w:rsidR="00694E7F" w:rsidRPr="000636DD" w:rsidRDefault="00694E7F" w:rsidP="00694E7F">
            <w:pPr>
              <w:ind w:firstLineChars="200" w:firstLine="280"/>
              <w:rPr>
                <w:color w:val="333333"/>
                <w:sz w:val="14"/>
                <w:szCs w:val="16"/>
                <w:lang w:val="es-GT" w:eastAsia="es-GT"/>
              </w:rPr>
            </w:pPr>
            <w:r w:rsidRPr="000636DD">
              <w:rPr>
                <w:color w:val="333333"/>
                <w:sz w:val="14"/>
                <w:szCs w:val="16"/>
                <w:lang w:val="es-GT" w:eastAsia="es-GT"/>
              </w:rPr>
              <w:t>PROTECCIÓN DE LOS DERECHOS DE LA FAMILIA</w:t>
            </w:r>
          </w:p>
        </w:tc>
        <w:tc>
          <w:tcPr>
            <w:tcW w:w="1089"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40.0</w:t>
            </w:r>
          </w:p>
        </w:tc>
        <w:tc>
          <w:tcPr>
            <w:tcW w:w="1179"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46.8</w:t>
            </w:r>
          </w:p>
        </w:tc>
        <w:tc>
          <w:tcPr>
            <w:tcW w:w="993"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-6.9</w:t>
            </w:r>
          </w:p>
        </w:tc>
        <w:tc>
          <w:tcPr>
            <w:tcW w:w="992" w:type="dxa"/>
            <w:tcBorders>
              <w:top w:val="nil"/>
              <w:left w:val="nil"/>
              <w:bottom w:val="nil"/>
              <w:right w:val="single" w:sz="8"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117.2%</w:t>
            </w:r>
          </w:p>
        </w:tc>
      </w:tr>
      <w:tr w:rsidR="00694E7F" w:rsidRPr="000636DD" w:rsidTr="00527E4F">
        <w:trPr>
          <w:trHeight w:val="255"/>
        </w:trPr>
        <w:tc>
          <w:tcPr>
            <w:tcW w:w="5173" w:type="dxa"/>
            <w:tcBorders>
              <w:top w:val="nil"/>
              <w:left w:val="single" w:sz="8" w:space="0" w:color="auto"/>
              <w:bottom w:val="nil"/>
              <w:right w:val="single" w:sz="4" w:space="0" w:color="auto"/>
            </w:tcBorders>
            <w:shd w:val="clear" w:color="FFFFFF" w:fill="FFFFFF"/>
            <w:noWrap/>
            <w:vAlign w:val="bottom"/>
            <w:hideMark/>
          </w:tcPr>
          <w:p w:rsidR="00694E7F" w:rsidRPr="000636DD" w:rsidRDefault="00694E7F" w:rsidP="00694E7F">
            <w:pPr>
              <w:ind w:firstLineChars="200" w:firstLine="280"/>
              <w:rPr>
                <w:color w:val="333333"/>
                <w:sz w:val="14"/>
                <w:szCs w:val="16"/>
                <w:lang w:val="es-GT" w:eastAsia="es-GT"/>
              </w:rPr>
            </w:pPr>
            <w:r w:rsidRPr="000636DD">
              <w:rPr>
                <w:color w:val="333333"/>
                <w:sz w:val="14"/>
                <w:szCs w:val="16"/>
                <w:lang w:val="es-GT" w:eastAsia="es-GT"/>
              </w:rPr>
              <w:t>ACTIVIDADES CENTRALES</w:t>
            </w:r>
          </w:p>
        </w:tc>
        <w:tc>
          <w:tcPr>
            <w:tcW w:w="1089"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38.6</w:t>
            </w:r>
          </w:p>
        </w:tc>
        <w:tc>
          <w:tcPr>
            <w:tcW w:w="1179"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35.4</w:t>
            </w:r>
          </w:p>
        </w:tc>
        <w:tc>
          <w:tcPr>
            <w:tcW w:w="993"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3.2</w:t>
            </w:r>
          </w:p>
        </w:tc>
        <w:tc>
          <w:tcPr>
            <w:tcW w:w="992" w:type="dxa"/>
            <w:tcBorders>
              <w:top w:val="nil"/>
              <w:left w:val="nil"/>
              <w:bottom w:val="nil"/>
              <w:right w:val="single" w:sz="8"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91.7%</w:t>
            </w:r>
          </w:p>
        </w:tc>
      </w:tr>
      <w:tr w:rsidR="00694E7F" w:rsidRPr="000636DD" w:rsidTr="00527E4F">
        <w:trPr>
          <w:trHeight w:val="255"/>
        </w:trPr>
        <w:tc>
          <w:tcPr>
            <w:tcW w:w="5173" w:type="dxa"/>
            <w:tcBorders>
              <w:top w:val="nil"/>
              <w:left w:val="single" w:sz="8" w:space="0" w:color="auto"/>
              <w:bottom w:val="nil"/>
              <w:right w:val="single" w:sz="4" w:space="0" w:color="auto"/>
            </w:tcBorders>
            <w:shd w:val="clear" w:color="FFFFFF" w:fill="FFFFFF"/>
            <w:noWrap/>
            <w:vAlign w:val="bottom"/>
            <w:hideMark/>
          </w:tcPr>
          <w:p w:rsidR="00694E7F" w:rsidRPr="000636DD" w:rsidRDefault="00694E7F" w:rsidP="00694E7F">
            <w:pPr>
              <w:ind w:firstLineChars="200" w:firstLine="280"/>
              <w:rPr>
                <w:color w:val="333333"/>
                <w:sz w:val="14"/>
                <w:szCs w:val="16"/>
                <w:lang w:val="es-GT" w:eastAsia="es-GT"/>
              </w:rPr>
            </w:pPr>
            <w:r w:rsidRPr="000636DD">
              <w:rPr>
                <w:color w:val="333333"/>
                <w:sz w:val="14"/>
                <w:szCs w:val="16"/>
                <w:lang w:val="es-GT" w:eastAsia="es-GT"/>
              </w:rPr>
              <w:t>REPRESENTACIÓN Y DEFENSA DE LOS INTERESES DEL ESTADO</w:t>
            </w:r>
          </w:p>
        </w:tc>
        <w:tc>
          <w:tcPr>
            <w:tcW w:w="1089"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34.4</w:t>
            </w:r>
          </w:p>
        </w:tc>
        <w:tc>
          <w:tcPr>
            <w:tcW w:w="1179"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38.4</w:t>
            </w:r>
          </w:p>
        </w:tc>
        <w:tc>
          <w:tcPr>
            <w:tcW w:w="993" w:type="dxa"/>
            <w:tcBorders>
              <w:top w:val="nil"/>
              <w:left w:val="nil"/>
              <w:bottom w:val="nil"/>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-4.0</w:t>
            </w:r>
          </w:p>
        </w:tc>
        <w:tc>
          <w:tcPr>
            <w:tcW w:w="992" w:type="dxa"/>
            <w:tcBorders>
              <w:top w:val="nil"/>
              <w:left w:val="nil"/>
              <w:bottom w:val="nil"/>
              <w:right w:val="single" w:sz="8"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111.6%</w:t>
            </w:r>
          </w:p>
        </w:tc>
      </w:tr>
      <w:tr w:rsidR="00694E7F" w:rsidRPr="000636DD" w:rsidTr="00527E4F">
        <w:trPr>
          <w:trHeight w:val="255"/>
        </w:trPr>
        <w:tc>
          <w:tcPr>
            <w:tcW w:w="5173" w:type="dxa"/>
            <w:tcBorders>
              <w:top w:val="nil"/>
              <w:left w:val="single" w:sz="8" w:space="0" w:color="auto"/>
              <w:bottom w:val="single" w:sz="8" w:space="0" w:color="auto"/>
              <w:right w:val="single" w:sz="4" w:space="0" w:color="auto"/>
            </w:tcBorders>
            <w:shd w:val="clear" w:color="FFFFFF" w:fill="FFFFFF"/>
            <w:noWrap/>
            <w:vAlign w:val="bottom"/>
            <w:hideMark/>
          </w:tcPr>
          <w:p w:rsidR="00694E7F" w:rsidRPr="000636DD" w:rsidRDefault="00694E7F" w:rsidP="00694E7F">
            <w:pPr>
              <w:ind w:firstLineChars="200" w:firstLine="280"/>
              <w:rPr>
                <w:color w:val="333333"/>
                <w:sz w:val="14"/>
                <w:szCs w:val="16"/>
                <w:lang w:val="es-GT" w:eastAsia="es-GT"/>
              </w:rPr>
            </w:pPr>
            <w:r w:rsidRPr="000636DD">
              <w:rPr>
                <w:color w:val="333333"/>
                <w:sz w:val="14"/>
                <w:szCs w:val="16"/>
                <w:lang w:val="es-GT" w:eastAsia="es-GT"/>
              </w:rPr>
              <w:t>CONSULTORÍA Y ASESORÍA DEL ESTADO</w:t>
            </w:r>
          </w:p>
        </w:tc>
        <w:tc>
          <w:tcPr>
            <w:tcW w:w="1089" w:type="dxa"/>
            <w:tcBorders>
              <w:top w:val="nil"/>
              <w:left w:val="nil"/>
              <w:bottom w:val="single" w:sz="8" w:space="0" w:color="auto"/>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4.3</w:t>
            </w:r>
          </w:p>
        </w:tc>
        <w:tc>
          <w:tcPr>
            <w:tcW w:w="1179" w:type="dxa"/>
            <w:tcBorders>
              <w:top w:val="nil"/>
              <w:left w:val="nil"/>
              <w:bottom w:val="single" w:sz="8" w:space="0" w:color="auto"/>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4.6</w:t>
            </w:r>
          </w:p>
        </w:tc>
        <w:tc>
          <w:tcPr>
            <w:tcW w:w="993" w:type="dxa"/>
            <w:tcBorders>
              <w:top w:val="nil"/>
              <w:left w:val="nil"/>
              <w:bottom w:val="single" w:sz="8" w:space="0" w:color="auto"/>
              <w:right w:val="single" w:sz="4"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-0.2</w:t>
            </w:r>
          </w:p>
        </w:tc>
        <w:tc>
          <w:tcPr>
            <w:tcW w:w="992" w:type="dxa"/>
            <w:tcBorders>
              <w:top w:val="nil"/>
              <w:left w:val="single" w:sz="4" w:space="0" w:color="auto"/>
              <w:bottom w:val="single" w:sz="8" w:space="0" w:color="auto"/>
              <w:right w:val="single" w:sz="8" w:space="0" w:color="auto"/>
            </w:tcBorders>
            <w:shd w:val="clear" w:color="FFFFFF" w:fill="FFFFFF"/>
            <w:noWrap/>
            <w:vAlign w:val="bottom"/>
            <w:hideMark/>
          </w:tcPr>
          <w:p w:rsidR="00694E7F" w:rsidRPr="000636DD" w:rsidRDefault="00694E7F" w:rsidP="00694E7F">
            <w:pPr>
              <w:jc w:val="right"/>
              <w:rPr>
                <w:color w:val="333333"/>
                <w:sz w:val="14"/>
                <w:szCs w:val="16"/>
                <w:lang w:val="es-GT" w:eastAsia="es-GT"/>
              </w:rPr>
            </w:pPr>
            <w:r w:rsidRPr="000636DD">
              <w:rPr>
                <w:color w:val="333333"/>
                <w:sz w:val="14"/>
                <w:szCs w:val="16"/>
                <w:lang w:val="es-GT" w:eastAsia="es-GT"/>
              </w:rPr>
              <w:t>105.3%</w:t>
            </w: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Default="00694E7F" w:rsidP="00694E7F">
      <w:pPr>
        <w:jc w:val="both"/>
      </w:pPr>
    </w:p>
    <w:p w:rsidR="00694E7F" w:rsidRPr="00D108FD" w:rsidRDefault="00694E7F" w:rsidP="00694E7F">
      <w:pPr>
        <w:jc w:val="both"/>
      </w:pPr>
    </w:p>
    <w:p w:rsidR="00694E7F" w:rsidRDefault="00694E7F" w:rsidP="00694E7F">
      <w:pPr>
        <w:jc w:val="both"/>
        <w:rPr>
          <w:b/>
        </w:rPr>
      </w:pPr>
      <w:r w:rsidRPr="0049429F">
        <w:rPr>
          <w:b/>
        </w:rPr>
        <w:t>Secretarías y Otras Dependencias del Ejecutivo</w:t>
      </w:r>
      <w:r>
        <w:rPr>
          <w:b/>
        </w:rPr>
        <w:t>:</w:t>
      </w:r>
    </w:p>
    <w:p w:rsidR="00694E7F" w:rsidRPr="0049429F" w:rsidRDefault="00694E7F" w:rsidP="00694E7F">
      <w:pPr>
        <w:jc w:val="both"/>
        <w:rPr>
          <w:b/>
        </w:rPr>
      </w:pPr>
    </w:p>
    <w:p w:rsidR="00694E7F" w:rsidRDefault="00694E7F" w:rsidP="00694E7F">
      <w:pPr>
        <w:jc w:val="both"/>
      </w:pPr>
      <w:r>
        <w:t>Las Secretarías en su conjunto tuvieron un presupuesto aprobado de Q</w:t>
      </w:r>
      <w:r w:rsidR="00925918">
        <w:t>.</w:t>
      </w:r>
      <w:r>
        <w:t>1,526.7 millones, de los cuales ejecutaron Q</w:t>
      </w:r>
      <w:r w:rsidR="00925918">
        <w:t>.</w:t>
      </w:r>
      <w:r>
        <w:t>1,145.5 millones, equivalentes al 75.0%.</w:t>
      </w:r>
    </w:p>
    <w:p w:rsidR="00694E7F" w:rsidRDefault="00694E7F" w:rsidP="00694E7F">
      <w:pPr>
        <w:jc w:val="both"/>
      </w:pPr>
    </w:p>
    <w:p w:rsidR="00694E7F" w:rsidRDefault="00694E7F" w:rsidP="00694E7F">
      <w:pPr>
        <w:jc w:val="both"/>
      </w:pPr>
      <w:r w:rsidRPr="00D108FD">
        <w:t>Dentro de las Secretarías</w:t>
      </w:r>
      <w:r>
        <w:t>,</w:t>
      </w:r>
      <w:r w:rsidRPr="00D108FD">
        <w:t xml:space="preserve"> por el nivel de recursos ejecutados, resalta como primer punto la Secretaría de Bienestar Social de la Presidencia de la República que contó con </w:t>
      </w:r>
      <w:r>
        <w:t>Q</w:t>
      </w:r>
      <w:r w:rsidR="00925918">
        <w:t>.</w:t>
      </w:r>
      <w:r w:rsidRPr="00D108FD">
        <w:t>2</w:t>
      </w:r>
      <w:r>
        <w:t>95.3</w:t>
      </w:r>
      <w:r w:rsidRPr="00D108FD">
        <w:t xml:space="preserve"> millones de presupuesto</w:t>
      </w:r>
      <w:r>
        <w:t xml:space="preserve"> aprobado</w:t>
      </w:r>
      <w:r w:rsidRPr="00D108FD">
        <w:t xml:space="preserve"> y una ejecución de </w:t>
      </w:r>
      <w:r>
        <w:t>Q</w:t>
      </w:r>
      <w:r w:rsidR="00925918">
        <w:t>.</w:t>
      </w:r>
      <w:r w:rsidRPr="00D108FD">
        <w:t>2</w:t>
      </w:r>
      <w:r>
        <w:t>81.1</w:t>
      </w:r>
      <w:r w:rsidRPr="00D108FD">
        <w:t xml:space="preserve"> millones equivalente</w:t>
      </w:r>
      <w:r w:rsidR="00925918">
        <w:t>s</w:t>
      </w:r>
      <w:r w:rsidRPr="00D108FD">
        <w:t xml:space="preserve"> al </w:t>
      </w:r>
      <w:r>
        <w:t>95.2</w:t>
      </w:r>
      <w:r w:rsidRPr="00D108FD">
        <w:t>%</w:t>
      </w:r>
      <w:r>
        <w:t>.</w:t>
      </w:r>
      <w:r w:rsidRPr="00D108FD">
        <w:t xml:space="preserve"> </w:t>
      </w:r>
      <w:r>
        <w:t>B</w:t>
      </w:r>
      <w:r w:rsidRPr="00D108FD">
        <w:t xml:space="preserve">ajo el programa </w:t>
      </w:r>
      <w:r>
        <w:t>“</w:t>
      </w:r>
      <w:r w:rsidRPr="00D108FD">
        <w:t>Actividades de Bienes</w:t>
      </w:r>
      <w:r>
        <w:t>tar</w:t>
      </w:r>
      <w:r w:rsidRPr="00D108FD">
        <w:t xml:space="preserve"> Social</w:t>
      </w:r>
      <w:r>
        <w:t>”</w:t>
      </w:r>
      <w:r w:rsidRPr="00D108FD">
        <w:t>.</w:t>
      </w:r>
    </w:p>
    <w:p w:rsidR="00694E7F" w:rsidRPr="00D108FD" w:rsidRDefault="00694E7F" w:rsidP="00694E7F">
      <w:pPr>
        <w:jc w:val="both"/>
      </w:pPr>
    </w:p>
    <w:p w:rsidR="00694E7F" w:rsidRDefault="00694E7F" w:rsidP="00694E7F">
      <w:pPr>
        <w:jc w:val="both"/>
      </w:pPr>
      <w:r w:rsidRPr="00D108FD">
        <w:t xml:space="preserve">Seguidamente se puede observar que, dentro de los montos importantes de ejecución, se ubica la Secretaría de Obras Sociales de la Esposa del </w:t>
      </w:r>
      <w:r>
        <w:t>presidente</w:t>
      </w:r>
      <w:r w:rsidRPr="00D108FD">
        <w:t>, que alcanzó un presupuesto</w:t>
      </w:r>
      <w:r>
        <w:t xml:space="preserve"> aprobado</w:t>
      </w:r>
      <w:r w:rsidRPr="00D108FD">
        <w:t xml:space="preserve"> de </w:t>
      </w:r>
      <w:r>
        <w:t>Q</w:t>
      </w:r>
      <w:r w:rsidR="00925918">
        <w:t>.</w:t>
      </w:r>
      <w:r>
        <w:t>200.4</w:t>
      </w:r>
      <w:r w:rsidRPr="00D108FD">
        <w:t xml:space="preserve"> millones y una ejecución presupuestaria de </w:t>
      </w:r>
      <w:r>
        <w:t>Q</w:t>
      </w:r>
      <w:r w:rsidR="00925918">
        <w:t>.</w:t>
      </w:r>
      <w:r w:rsidRPr="00D108FD">
        <w:t>1</w:t>
      </w:r>
      <w:r>
        <w:t>42.5</w:t>
      </w:r>
      <w:r w:rsidRPr="00D108FD">
        <w:t xml:space="preserve"> millones equivalente</w:t>
      </w:r>
      <w:r w:rsidR="00925918">
        <w:t>s</w:t>
      </w:r>
      <w:r w:rsidRPr="00D108FD">
        <w:t xml:space="preserve"> al </w:t>
      </w:r>
      <w:r>
        <w:t xml:space="preserve">71.1%, </w:t>
      </w:r>
      <w:r w:rsidRPr="00D108FD">
        <w:t xml:space="preserve">bajo el programa de </w:t>
      </w:r>
      <w:r w:rsidR="00925918">
        <w:t>“</w:t>
      </w:r>
      <w:r w:rsidRPr="00D108FD">
        <w:t>Ob</w:t>
      </w:r>
      <w:r>
        <w:t>r</w:t>
      </w:r>
      <w:r w:rsidRPr="00D108FD">
        <w:t>as Sociales</w:t>
      </w:r>
      <w:r w:rsidR="00925918">
        <w:t>”</w:t>
      </w:r>
      <w:r w:rsidRPr="00D108FD">
        <w:t>.</w:t>
      </w:r>
    </w:p>
    <w:p w:rsidR="00694E7F" w:rsidRDefault="00694E7F" w:rsidP="00694E7F">
      <w:pPr>
        <w:jc w:val="both"/>
      </w:pPr>
    </w:p>
    <w:p w:rsidR="00006FBB" w:rsidRPr="00D108FD" w:rsidRDefault="00006FBB" w:rsidP="00694E7F">
      <w:pPr>
        <w:jc w:val="both"/>
      </w:pPr>
    </w:p>
    <w:p w:rsidR="00694E7F" w:rsidRDefault="00694E7F" w:rsidP="00694E7F">
      <w:pPr>
        <w:jc w:val="both"/>
      </w:pPr>
      <w:r w:rsidRPr="00D108FD">
        <w:t xml:space="preserve">También resalta el Consejo Nacional de Áreas Protegidas con un presupuesto de </w:t>
      </w:r>
      <w:r>
        <w:t>Q</w:t>
      </w:r>
      <w:r w:rsidR="00925918">
        <w:t>.</w:t>
      </w:r>
      <w:r w:rsidRPr="00D108FD">
        <w:t>1</w:t>
      </w:r>
      <w:r>
        <w:t>23.0</w:t>
      </w:r>
      <w:r w:rsidRPr="00D108FD">
        <w:t xml:space="preserve"> millones y una ejecución de </w:t>
      </w:r>
      <w:r>
        <w:t>Q</w:t>
      </w:r>
      <w:r w:rsidR="00925918">
        <w:t>.</w:t>
      </w:r>
      <w:r>
        <w:t>93.9</w:t>
      </w:r>
      <w:r w:rsidRPr="00D108FD">
        <w:t xml:space="preserve"> millones equivalente</w:t>
      </w:r>
      <w:r w:rsidR="00925918">
        <w:t>s</w:t>
      </w:r>
      <w:r w:rsidRPr="00D108FD">
        <w:t xml:space="preserve"> al </w:t>
      </w:r>
      <w:r>
        <w:t>76.3</w:t>
      </w:r>
      <w:r w:rsidRPr="00D108FD">
        <w:t xml:space="preserve">% bajo el programa </w:t>
      </w:r>
      <w:r w:rsidR="00925918">
        <w:t>“</w:t>
      </w:r>
      <w:r>
        <w:t>Restauración, Protección, Conservación de Áreas Protegidas y Diversidad Biológica</w:t>
      </w:r>
      <w:r w:rsidR="00925918">
        <w:t>”</w:t>
      </w:r>
      <w:r w:rsidRPr="00D108FD">
        <w:t>.</w:t>
      </w:r>
    </w:p>
    <w:p w:rsidR="00694E7F" w:rsidRPr="00AB2D0A" w:rsidRDefault="00694E7F" w:rsidP="00694E7F">
      <w:pPr>
        <w:jc w:val="both"/>
        <w:rPr>
          <w:sz w:val="32"/>
        </w:rPr>
      </w:pPr>
    </w:p>
    <w:p w:rsidR="00694E7F" w:rsidRDefault="00694E7F" w:rsidP="00694E7F">
      <w:pPr>
        <w:jc w:val="both"/>
      </w:pPr>
      <w:r w:rsidRPr="00D108FD">
        <w:t xml:space="preserve">Otra </w:t>
      </w:r>
      <w:r>
        <w:t xml:space="preserve">entidad </w:t>
      </w:r>
      <w:r w:rsidRPr="00D108FD">
        <w:t>que destin</w:t>
      </w:r>
      <w:r>
        <w:t>ó</w:t>
      </w:r>
      <w:r w:rsidRPr="00D108FD">
        <w:t xml:space="preserve"> un monto considerable en su ejecución durante 20</w:t>
      </w:r>
      <w:r>
        <w:t xml:space="preserve">20 </w:t>
      </w:r>
      <w:r w:rsidRPr="00D108FD">
        <w:t xml:space="preserve">fue la Secretaría de Planificación y Programación de la Presidencia con un presupuesto de </w:t>
      </w:r>
      <w:r>
        <w:t>Q</w:t>
      </w:r>
      <w:r w:rsidR="00925918">
        <w:t>.</w:t>
      </w:r>
      <w:r>
        <w:t>102.</w:t>
      </w:r>
      <w:r w:rsidRPr="00D108FD">
        <w:t xml:space="preserve">9 millones y una ejecución presupuestaria de </w:t>
      </w:r>
      <w:r>
        <w:t>Q</w:t>
      </w:r>
      <w:r w:rsidR="00925918">
        <w:t>.</w:t>
      </w:r>
      <w:r>
        <w:t>91.2</w:t>
      </w:r>
      <w:r w:rsidRPr="00D108FD">
        <w:t xml:space="preserve"> millones equivalentes al </w:t>
      </w:r>
      <w:r>
        <w:t>88.7</w:t>
      </w:r>
      <w:r w:rsidRPr="00D108FD">
        <w:t>%, bajo el programa Planificación, Monitoreo y Evaluación de la Gestión Pública.</w:t>
      </w:r>
    </w:p>
    <w:p w:rsidR="00694E7F" w:rsidRPr="00AB2D0A" w:rsidRDefault="00694E7F" w:rsidP="00694E7F">
      <w:pPr>
        <w:jc w:val="both"/>
        <w:rPr>
          <w:sz w:val="32"/>
        </w:rPr>
      </w:pPr>
    </w:p>
    <w:p w:rsidR="00694E7F" w:rsidRDefault="00694E7F" w:rsidP="00694E7F">
      <w:pPr>
        <w:jc w:val="both"/>
      </w:pPr>
      <w:r>
        <w:t>La</w:t>
      </w:r>
      <w:r w:rsidRPr="00D108FD">
        <w:t xml:space="preserve"> Comisión Presidencial Coordinadora en Materia de Derechos Humanos, </w:t>
      </w:r>
      <w:r>
        <w:t xml:space="preserve">tuvo un presupuesto aprobado </w:t>
      </w:r>
      <w:r w:rsidRPr="00D108FD">
        <w:t xml:space="preserve">de </w:t>
      </w:r>
      <w:r>
        <w:t>Q</w:t>
      </w:r>
      <w:r w:rsidR="00925918">
        <w:t>.</w:t>
      </w:r>
      <w:r>
        <w:t>182.7</w:t>
      </w:r>
      <w:r w:rsidRPr="00D108FD">
        <w:t xml:space="preserve"> millones y una ejecución presupuestaria de </w:t>
      </w:r>
      <w:r>
        <w:t>Q</w:t>
      </w:r>
      <w:r w:rsidR="00925918">
        <w:t>.</w:t>
      </w:r>
      <w:r>
        <w:t>25.0</w:t>
      </w:r>
      <w:r w:rsidRPr="00D108FD">
        <w:t xml:space="preserve"> millones equivalentes al </w:t>
      </w:r>
      <w:r>
        <w:t>13.7</w:t>
      </w:r>
      <w:r w:rsidRPr="00D108FD">
        <w:t>% bajo el programa Coordinación de Acciones Sobre Derechos Humanos.</w:t>
      </w:r>
    </w:p>
    <w:p w:rsidR="00694E7F" w:rsidRPr="00AB2D0A" w:rsidRDefault="00694E7F" w:rsidP="00694E7F">
      <w:pPr>
        <w:jc w:val="both"/>
        <w:rPr>
          <w:sz w:val="32"/>
        </w:rPr>
      </w:pPr>
    </w:p>
    <w:p w:rsidR="00694E7F" w:rsidRDefault="00694E7F" w:rsidP="00694E7F">
      <w:pPr>
        <w:jc w:val="both"/>
      </w:pPr>
      <w:r w:rsidRPr="00D108FD">
        <w:t xml:space="preserve">Por su parte la Secretaría de Coordinación Ejecutiva de la Presidencia </w:t>
      </w:r>
      <w:r>
        <w:t>con</w:t>
      </w:r>
      <w:r w:rsidRPr="00D108FD">
        <w:t xml:space="preserve"> presupuesto</w:t>
      </w:r>
      <w:r>
        <w:t xml:space="preserve"> aprobado</w:t>
      </w:r>
      <w:r w:rsidRPr="00D108FD">
        <w:t xml:space="preserve"> de </w:t>
      </w:r>
      <w:r>
        <w:t>Q</w:t>
      </w:r>
      <w:r w:rsidR="00925918">
        <w:t>.</w:t>
      </w:r>
      <w:r w:rsidRPr="00D108FD">
        <w:t>6</w:t>
      </w:r>
      <w:r>
        <w:t>3.0</w:t>
      </w:r>
      <w:r w:rsidRPr="00D108FD">
        <w:t xml:space="preserve"> millones, en tanto que su ejecución presupuestaria fue de </w:t>
      </w:r>
      <w:r>
        <w:t>Q</w:t>
      </w:r>
      <w:r w:rsidR="00925918">
        <w:t>.</w:t>
      </w:r>
      <w:r w:rsidRPr="00D108FD">
        <w:t>6</w:t>
      </w:r>
      <w:r>
        <w:t>3.8</w:t>
      </w:r>
      <w:r w:rsidRPr="00D108FD">
        <w:t xml:space="preserve"> millones equivalente</w:t>
      </w:r>
      <w:r w:rsidR="00925918">
        <w:t>s</w:t>
      </w:r>
      <w:r w:rsidRPr="00D108FD">
        <w:t xml:space="preserve"> al </w:t>
      </w:r>
      <w:r>
        <w:t>101.2</w:t>
      </w:r>
      <w:r w:rsidRPr="00D108FD">
        <w:t>%</w:t>
      </w:r>
      <w:r>
        <w:t>.</w:t>
      </w:r>
      <w:r w:rsidRPr="00D108FD">
        <w:t xml:space="preserve"> </w:t>
      </w:r>
      <w:r>
        <w:t>B</w:t>
      </w:r>
      <w:r w:rsidRPr="00D108FD">
        <w:t>ajo el programa Coordinación de Políticas y Proyectos de Desarrollo.</w:t>
      </w:r>
    </w:p>
    <w:p w:rsidR="00694E7F" w:rsidRPr="00AB2D0A" w:rsidRDefault="00694E7F" w:rsidP="00694E7F">
      <w:pPr>
        <w:jc w:val="both"/>
        <w:rPr>
          <w:sz w:val="32"/>
        </w:rPr>
      </w:pPr>
    </w:p>
    <w:p w:rsidR="00694E7F" w:rsidRDefault="00694E7F" w:rsidP="00694E7F">
      <w:pPr>
        <w:jc w:val="both"/>
      </w:pPr>
      <w:r w:rsidRPr="00D108FD">
        <w:t>La Secretaría de la Paz alcanzó un presupuesto</w:t>
      </w:r>
      <w:r>
        <w:t xml:space="preserve"> aprobado</w:t>
      </w:r>
      <w:r w:rsidRPr="00D108FD">
        <w:t xml:space="preserve"> de </w:t>
      </w:r>
      <w:r>
        <w:t>Q</w:t>
      </w:r>
      <w:r w:rsidR="00925918">
        <w:t>.</w:t>
      </w:r>
      <w:r w:rsidRPr="00D108FD">
        <w:t>6</w:t>
      </w:r>
      <w:r>
        <w:t>8.6</w:t>
      </w:r>
      <w:r w:rsidR="002D213E">
        <w:t xml:space="preserve"> millones</w:t>
      </w:r>
      <w:r w:rsidRPr="00D108FD">
        <w:t xml:space="preserve"> y una ejecución presupuestaria de </w:t>
      </w:r>
      <w:r>
        <w:t>Q</w:t>
      </w:r>
      <w:r w:rsidR="00925918">
        <w:t>.</w:t>
      </w:r>
      <w:r>
        <w:t>24.8</w:t>
      </w:r>
      <w:r w:rsidRPr="00D108FD">
        <w:t xml:space="preserve"> millones equivalente</w:t>
      </w:r>
      <w:r w:rsidR="00925918">
        <w:t>s</w:t>
      </w:r>
      <w:r w:rsidRPr="00D108FD">
        <w:t xml:space="preserve"> al </w:t>
      </w:r>
      <w:r>
        <w:t>36.1</w:t>
      </w:r>
      <w:r w:rsidRPr="00D108FD">
        <w:t xml:space="preserve">%, bajo </w:t>
      </w:r>
      <w:r>
        <w:t>e</w:t>
      </w:r>
      <w:r w:rsidRPr="00D108FD">
        <w:t xml:space="preserve">l </w:t>
      </w:r>
      <w:r>
        <w:t>Programa</w:t>
      </w:r>
      <w:r w:rsidRPr="00D108FD">
        <w:t xml:space="preserve"> Nacional de Resarcimiento</w:t>
      </w:r>
      <w:r>
        <w:t xml:space="preserve"> y </w:t>
      </w:r>
      <w:r w:rsidRPr="00D108FD">
        <w:t>el programa Seguimiento del Cumplimiento de los Acuerdos Paz.</w:t>
      </w:r>
    </w:p>
    <w:p w:rsidR="00694E7F" w:rsidRPr="00AB2D0A" w:rsidRDefault="00694E7F" w:rsidP="00694E7F">
      <w:pPr>
        <w:jc w:val="both"/>
        <w:rPr>
          <w:sz w:val="32"/>
        </w:rPr>
      </w:pPr>
      <w:bookmarkStart w:id="52" w:name="_GoBack"/>
      <w:bookmarkEnd w:id="52"/>
    </w:p>
    <w:p w:rsidR="00694E7F" w:rsidRDefault="00694E7F" w:rsidP="00694E7F">
      <w:pPr>
        <w:jc w:val="both"/>
      </w:pPr>
      <w:r w:rsidRPr="00D108FD">
        <w:t>La Oficina Nacional de Servicio Civil tuvo un presupuesto</w:t>
      </w:r>
      <w:r>
        <w:t xml:space="preserve"> inicial</w:t>
      </w:r>
      <w:r w:rsidRPr="00D108FD">
        <w:t xml:space="preserve"> de </w:t>
      </w:r>
      <w:r>
        <w:t>Q</w:t>
      </w:r>
      <w:r w:rsidR="00925918">
        <w:t>.</w:t>
      </w:r>
      <w:r w:rsidRPr="00D108FD">
        <w:t>5</w:t>
      </w:r>
      <w:r>
        <w:t>2.</w:t>
      </w:r>
      <w:r w:rsidRPr="00D108FD">
        <w:t xml:space="preserve">1 millones, y alcanzó una ejecución de </w:t>
      </w:r>
      <w:r>
        <w:t>Q</w:t>
      </w:r>
      <w:r w:rsidR="00925918">
        <w:t>.</w:t>
      </w:r>
      <w:r w:rsidRPr="00D108FD">
        <w:t>5</w:t>
      </w:r>
      <w:r>
        <w:t>1.4</w:t>
      </w:r>
      <w:r w:rsidRPr="00D108FD">
        <w:t xml:space="preserve"> millones equivalente</w:t>
      </w:r>
      <w:r w:rsidR="00925918">
        <w:t>s</w:t>
      </w:r>
      <w:r w:rsidRPr="00D108FD">
        <w:t xml:space="preserve"> al 9</w:t>
      </w:r>
      <w:r>
        <w:t>8.7</w:t>
      </w:r>
      <w:r w:rsidRPr="00D108FD">
        <w:t>% bajo el programa Administración de Recursos Humanos de la Administración Pública y del Régimen de Clases Pasivas Civiles y del Estado.</w:t>
      </w:r>
    </w:p>
    <w:p w:rsidR="00694E7F" w:rsidRPr="00AB2D0A" w:rsidRDefault="00694E7F" w:rsidP="00694E7F">
      <w:pPr>
        <w:jc w:val="both"/>
        <w:rPr>
          <w:sz w:val="32"/>
        </w:rPr>
      </w:pPr>
    </w:p>
    <w:p w:rsidR="00694E7F" w:rsidRDefault="00694E7F" w:rsidP="00694E7F">
      <w:pPr>
        <w:jc w:val="both"/>
      </w:pPr>
      <w:r w:rsidRPr="00D108FD">
        <w:t xml:space="preserve">Por su parte la Secretaría de Seguridad Alimentaria y Nutricional de la Presidencia de la República tuvo un </w:t>
      </w:r>
      <w:r>
        <w:t xml:space="preserve">presupuesto aprobado </w:t>
      </w:r>
      <w:r w:rsidRPr="00D108FD">
        <w:t xml:space="preserve">de </w:t>
      </w:r>
      <w:r>
        <w:t>Q</w:t>
      </w:r>
      <w:r w:rsidR="00925918">
        <w:t>.</w:t>
      </w:r>
      <w:r>
        <w:t>50.2</w:t>
      </w:r>
      <w:r w:rsidRPr="00D108FD">
        <w:t xml:space="preserve"> millones y una ejecución presupuestaria de </w:t>
      </w:r>
      <w:r>
        <w:t>Q</w:t>
      </w:r>
      <w:r w:rsidR="00925918">
        <w:t>.</w:t>
      </w:r>
      <w:r>
        <w:t>43.2</w:t>
      </w:r>
      <w:r w:rsidRPr="00D108FD">
        <w:t xml:space="preserve"> millones equivalente</w:t>
      </w:r>
      <w:r w:rsidR="00925918">
        <w:t>s</w:t>
      </w:r>
      <w:r w:rsidRPr="00D108FD">
        <w:t xml:space="preserve"> al </w:t>
      </w:r>
      <w:r>
        <w:t>86.1</w:t>
      </w:r>
      <w:r w:rsidRPr="00D108FD">
        <w:t>% bajo el programa Asuntos de Seguridad Alimentaria y Nutricional.</w:t>
      </w:r>
    </w:p>
    <w:p w:rsidR="00694E7F" w:rsidRPr="00AB2D0A" w:rsidRDefault="00694E7F" w:rsidP="00694E7F">
      <w:pPr>
        <w:jc w:val="both"/>
        <w:rPr>
          <w:sz w:val="32"/>
        </w:rPr>
      </w:pPr>
    </w:p>
    <w:p w:rsidR="00694E7F" w:rsidRDefault="00694E7F" w:rsidP="00694E7F">
      <w:pPr>
        <w:jc w:val="both"/>
      </w:pPr>
      <w:r w:rsidRPr="00BC2EC7">
        <w:t>El resto de las entidades que conforman las Secretarías, ejecutaron por debajo de los Q</w:t>
      </w:r>
      <w:r w:rsidR="00925918" w:rsidRPr="00BC2EC7">
        <w:t>.</w:t>
      </w:r>
      <w:r w:rsidRPr="00BC2EC7">
        <w:t>40.0 millones, tal como se puede observar en el siguiente cuadro.</w:t>
      </w:r>
    </w:p>
    <w:p w:rsidR="00006FBB" w:rsidRDefault="00006FBB" w:rsidP="00694E7F">
      <w:pPr>
        <w:jc w:val="both"/>
      </w:pPr>
    </w:p>
    <w:p w:rsidR="00006FBB" w:rsidRDefault="00006FBB" w:rsidP="00694E7F">
      <w:pPr>
        <w:jc w:val="both"/>
      </w:pPr>
    </w:p>
    <w:p w:rsidR="00006FBB" w:rsidRDefault="00006FBB" w:rsidP="00694E7F">
      <w:pPr>
        <w:jc w:val="both"/>
      </w:pPr>
    </w:p>
    <w:p w:rsidR="00006FBB" w:rsidRDefault="00006FBB" w:rsidP="00694E7F">
      <w:pPr>
        <w:jc w:val="both"/>
      </w:pPr>
    </w:p>
    <w:p w:rsidR="00006FBB" w:rsidRDefault="00006FBB" w:rsidP="00694E7F">
      <w:pPr>
        <w:jc w:val="both"/>
      </w:pPr>
    </w:p>
    <w:p w:rsidR="00006FBB" w:rsidRPr="00D108FD" w:rsidRDefault="00006FBB" w:rsidP="00694E7F">
      <w:pPr>
        <w:jc w:val="both"/>
      </w:pPr>
    </w:p>
    <w:p w:rsidR="00006FBB" w:rsidRDefault="00006FBB" w:rsidP="00694E7F">
      <w:pPr>
        <w:jc w:val="both"/>
        <w:rPr>
          <w:noProof/>
          <w:lang w:val="es-GT" w:eastAsia="es-GT"/>
        </w:rPr>
      </w:pPr>
    </w:p>
    <w:p w:rsidR="00694E7F" w:rsidRDefault="00694E7F" w:rsidP="00694E7F">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Secretarías!F6C2:F83C6 \a \f 4 \h  \* MERGEFORMAT </w:instrText>
      </w:r>
      <w:r>
        <w:rPr>
          <w:noProof/>
          <w:lang w:val="es-GT" w:eastAsia="es-GT"/>
        </w:rPr>
        <w:fldChar w:fldCharType="separate"/>
      </w:r>
    </w:p>
    <w:p w:rsidR="00694E7F" w:rsidRPr="00D108FD" w:rsidRDefault="00694E7F" w:rsidP="00694E7F">
      <w:pPr>
        <w:jc w:val="both"/>
      </w:pPr>
      <w:r>
        <w:rPr>
          <w:noProof/>
          <w:lang w:val="es-GT" w:eastAsia="es-GT"/>
        </w:rPr>
        <w:fldChar w:fldCharType="end"/>
      </w:r>
    </w:p>
    <w:tbl>
      <w:tblPr>
        <w:tblW w:w="9709" w:type="dxa"/>
        <w:tblCellMar>
          <w:left w:w="70" w:type="dxa"/>
          <w:right w:w="70" w:type="dxa"/>
        </w:tblCellMar>
        <w:tblLook w:val="04A0" w:firstRow="1" w:lastRow="0" w:firstColumn="1" w:lastColumn="0" w:noHBand="0" w:noVBand="1"/>
      </w:tblPr>
      <w:tblGrid>
        <w:gridCol w:w="6449"/>
        <w:gridCol w:w="813"/>
        <w:gridCol w:w="888"/>
        <w:gridCol w:w="762"/>
        <w:gridCol w:w="797"/>
      </w:tblGrid>
      <w:tr w:rsidR="00694E7F" w:rsidRPr="00760CAB" w:rsidTr="00BC2EC7">
        <w:trPr>
          <w:trHeight w:val="206"/>
        </w:trPr>
        <w:tc>
          <w:tcPr>
            <w:tcW w:w="6449"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527E4F" w:rsidRDefault="00694E7F" w:rsidP="00527E4F">
            <w:pPr>
              <w:jc w:val="center"/>
              <w:rPr>
                <w:b/>
                <w:bCs/>
                <w:color w:val="000000"/>
                <w:sz w:val="14"/>
                <w:szCs w:val="14"/>
                <w:lang w:val="es-GT" w:eastAsia="es-GT"/>
              </w:rPr>
            </w:pPr>
            <w:r w:rsidRPr="00527E4F">
              <w:rPr>
                <w:b/>
                <w:bCs/>
                <w:color w:val="000000"/>
                <w:sz w:val="14"/>
                <w:szCs w:val="14"/>
                <w:lang w:val="es-GT" w:eastAsia="es-GT"/>
              </w:rPr>
              <w:lastRenderedPageBreak/>
              <w:t>DESCRIPCION</w:t>
            </w:r>
          </w:p>
        </w:tc>
        <w:tc>
          <w:tcPr>
            <w:tcW w:w="813"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27E4F" w:rsidRDefault="00694E7F" w:rsidP="00694E7F">
            <w:pPr>
              <w:jc w:val="center"/>
              <w:rPr>
                <w:b/>
                <w:bCs/>
                <w:color w:val="000000"/>
                <w:sz w:val="14"/>
                <w:szCs w:val="14"/>
                <w:lang w:val="es-GT" w:eastAsia="es-GT"/>
              </w:rPr>
            </w:pPr>
            <w:r w:rsidRPr="00527E4F">
              <w:rPr>
                <w:b/>
                <w:bCs/>
                <w:color w:val="000000"/>
                <w:sz w:val="14"/>
                <w:szCs w:val="14"/>
                <w:lang w:val="es-GT" w:eastAsia="es-GT"/>
              </w:rPr>
              <w:t>Asignado</w:t>
            </w:r>
          </w:p>
        </w:tc>
        <w:tc>
          <w:tcPr>
            <w:tcW w:w="888"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27E4F" w:rsidRDefault="00694E7F" w:rsidP="00694E7F">
            <w:pPr>
              <w:jc w:val="center"/>
              <w:rPr>
                <w:b/>
                <w:bCs/>
                <w:color w:val="000000"/>
                <w:sz w:val="14"/>
                <w:szCs w:val="14"/>
                <w:lang w:val="es-GT" w:eastAsia="es-GT"/>
              </w:rPr>
            </w:pPr>
            <w:r w:rsidRPr="00527E4F">
              <w:rPr>
                <w:b/>
                <w:bCs/>
                <w:color w:val="000000"/>
                <w:sz w:val="14"/>
                <w:szCs w:val="14"/>
                <w:lang w:val="es-GT" w:eastAsia="es-GT"/>
              </w:rPr>
              <w:t>Ejecución</w:t>
            </w:r>
          </w:p>
        </w:tc>
        <w:tc>
          <w:tcPr>
            <w:tcW w:w="762"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527E4F" w:rsidRDefault="00694E7F" w:rsidP="00694E7F">
            <w:pPr>
              <w:jc w:val="center"/>
              <w:rPr>
                <w:b/>
                <w:bCs/>
                <w:color w:val="000000"/>
                <w:sz w:val="14"/>
                <w:szCs w:val="14"/>
                <w:lang w:val="es-GT" w:eastAsia="es-GT"/>
              </w:rPr>
            </w:pPr>
            <w:r w:rsidRPr="00527E4F">
              <w:rPr>
                <w:b/>
                <w:bCs/>
                <w:color w:val="000000"/>
                <w:sz w:val="14"/>
                <w:szCs w:val="14"/>
                <w:lang w:val="es-GT" w:eastAsia="es-GT"/>
              </w:rPr>
              <w:t>Diferencia</w:t>
            </w:r>
          </w:p>
        </w:tc>
        <w:tc>
          <w:tcPr>
            <w:tcW w:w="797"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527E4F" w:rsidRDefault="00694E7F" w:rsidP="00694E7F">
            <w:pPr>
              <w:jc w:val="center"/>
              <w:rPr>
                <w:b/>
                <w:bCs/>
                <w:color w:val="000000"/>
                <w:sz w:val="14"/>
                <w:szCs w:val="14"/>
                <w:lang w:val="es-GT" w:eastAsia="es-GT"/>
              </w:rPr>
            </w:pPr>
            <w:r w:rsidRPr="00527E4F">
              <w:rPr>
                <w:b/>
                <w:bCs/>
                <w:color w:val="000000"/>
                <w:sz w:val="14"/>
                <w:szCs w:val="14"/>
                <w:lang w:val="es-GT" w:eastAsia="es-GT"/>
              </w:rPr>
              <w:t>% Ejec</w:t>
            </w:r>
          </w:p>
        </w:tc>
      </w:tr>
      <w:tr w:rsidR="00694E7F" w:rsidRPr="00760CAB" w:rsidTr="00BC2EC7">
        <w:trPr>
          <w:trHeight w:val="206"/>
        </w:trPr>
        <w:tc>
          <w:tcPr>
            <w:tcW w:w="6449" w:type="dxa"/>
            <w:tcBorders>
              <w:top w:val="nil"/>
              <w:left w:val="single" w:sz="8" w:space="0" w:color="auto"/>
              <w:bottom w:val="nil"/>
              <w:right w:val="nil"/>
            </w:tcBorders>
            <w:shd w:val="clear" w:color="auto" w:fill="auto"/>
            <w:noWrap/>
            <w:vAlign w:val="center"/>
            <w:hideMark/>
          </w:tcPr>
          <w:p w:rsidR="00694E7F" w:rsidRPr="00527E4F" w:rsidRDefault="00694E7F" w:rsidP="00694E7F">
            <w:pPr>
              <w:jc w:val="center"/>
              <w:rPr>
                <w:b/>
                <w:bCs/>
                <w:color w:val="000000"/>
                <w:sz w:val="14"/>
                <w:szCs w:val="14"/>
                <w:lang w:val="es-GT" w:eastAsia="es-GT"/>
              </w:rPr>
            </w:pPr>
            <w:r w:rsidRPr="00527E4F">
              <w:rPr>
                <w:b/>
                <w:bCs/>
                <w:color w:val="000000"/>
                <w:sz w:val="14"/>
                <w:szCs w:val="14"/>
                <w:lang w:val="es-GT" w:eastAsia="es-GT"/>
              </w:rPr>
              <w:t>Totales</w:t>
            </w:r>
          </w:p>
        </w:tc>
        <w:tc>
          <w:tcPr>
            <w:tcW w:w="813" w:type="dxa"/>
            <w:tcBorders>
              <w:top w:val="nil"/>
              <w:left w:val="single" w:sz="4" w:space="0" w:color="auto"/>
              <w:bottom w:val="nil"/>
              <w:right w:val="single" w:sz="4" w:space="0" w:color="auto"/>
            </w:tcBorders>
            <w:shd w:val="clear" w:color="auto" w:fill="auto"/>
            <w:noWrap/>
            <w:vAlign w:val="center"/>
            <w:hideMark/>
          </w:tcPr>
          <w:p w:rsidR="00694E7F" w:rsidRPr="00527E4F" w:rsidRDefault="00694E7F" w:rsidP="00694E7F">
            <w:pPr>
              <w:jc w:val="right"/>
              <w:rPr>
                <w:b/>
                <w:bCs/>
                <w:color w:val="000000"/>
                <w:sz w:val="14"/>
                <w:szCs w:val="14"/>
                <w:lang w:val="es-GT" w:eastAsia="es-GT"/>
              </w:rPr>
            </w:pPr>
            <w:r w:rsidRPr="00527E4F">
              <w:rPr>
                <w:b/>
                <w:bCs/>
                <w:color w:val="000000"/>
                <w:sz w:val="14"/>
                <w:szCs w:val="14"/>
                <w:lang w:val="es-GT" w:eastAsia="es-GT"/>
              </w:rPr>
              <w:t>1,526.7</w:t>
            </w:r>
          </w:p>
        </w:tc>
        <w:tc>
          <w:tcPr>
            <w:tcW w:w="888" w:type="dxa"/>
            <w:tcBorders>
              <w:top w:val="nil"/>
              <w:left w:val="nil"/>
              <w:bottom w:val="nil"/>
              <w:right w:val="single" w:sz="4" w:space="0" w:color="auto"/>
            </w:tcBorders>
            <w:shd w:val="clear" w:color="auto" w:fill="auto"/>
            <w:noWrap/>
            <w:vAlign w:val="center"/>
            <w:hideMark/>
          </w:tcPr>
          <w:p w:rsidR="00694E7F" w:rsidRPr="00527E4F" w:rsidRDefault="00694E7F" w:rsidP="00694E7F">
            <w:pPr>
              <w:jc w:val="right"/>
              <w:rPr>
                <w:b/>
                <w:bCs/>
                <w:color w:val="000000"/>
                <w:sz w:val="14"/>
                <w:szCs w:val="14"/>
                <w:lang w:val="es-GT" w:eastAsia="es-GT"/>
              </w:rPr>
            </w:pPr>
            <w:r w:rsidRPr="00527E4F">
              <w:rPr>
                <w:b/>
                <w:bCs/>
                <w:color w:val="000000"/>
                <w:sz w:val="14"/>
                <w:szCs w:val="14"/>
                <w:lang w:val="es-GT" w:eastAsia="es-GT"/>
              </w:rPr>
              <w:t>1,145.5</w:t>
            </w:r>
          </w:p>
        </w:tc>
        <w:tc>
          <w:tcPr>
            <w:tcW w:w="762" w:type="dxa"/>
            <w:tcBorders>
              <w:top w:val="nil"/>
              <w:left w:val="nil"/>
              <w:bottom w:val="nil"/>
              <w:right w:val="single" w:sz="4" w:space="0" w:color="auto"/>
            </w:tcBorders>
            <w:shd w:val="clear" w:color="auto" w:fill="auto"/>
            <w:noWrap/>
            <w:vAlign w:val="center"/>
            <w:hideMark/>
          </w:tcPr>
          <w:p w:rsidR="00694E7F" w:rsidRPr="00527E4F" w:rsidRDefault="00694E7F" w:rsidP="00694E7F">
            <w:pPr>
              <w:jc w:val="right"/>
              <w:rPr>
                <w:b/>
                <w:bCs/>
                <w:color w:val="000000"/>
                <w:sz w:val="14"/>
                <w:szCs w:val="14"/>
                <w:lang w:val="es-GT" w:eastAsia="es-GT"/>
              </w:rPr>
            </w:pPr>
            <w:r w:rsidRPr="00527E4F">
              <w:rPr>
                <w:b/>
                <w:bCs/>
                <w:color w:val="000000"/>
                <w:sz w:val="14"/>
                <w:szCs w:val="14"/>
                <w:lang w:val="es-GT" w:eastAsia="es-GT"/>
              </w:rPr>
              <w:t>381.3</w:t>
            </w:r>
          </w:p>
        </w:tc>
        <w:tc>
          <w:tcPr>
            <w:tcW w:w="797" w:type="dxa"/>
            <w:tcBorders>
              <w:top w:val="nil"/>
              <w:left w:val="nil"/>
              <w:bottom w:val="nil"/>
              <w:right w:val="single" w:sz="8" w:space="0" w:color="auto"/>
            </w:tcBorders>
            <w:shd w:val="clear" w:color="auto" w:fill="auto"/>
            <w:noWrap/>
            <w:vAlign w:val="center"/>
            <w:hideMark/>
          </w:tcPr>
          <w:p w:rsidR="00694E7F" w:rsidRPr="00527E4F" w:rsidRDefault="00694E7F" w:rsidP="00694E7F">
            <w:pPr>
              <w:jc w:val="right"/>
              <w:rPr>
                <w:b/>
                <w:bCs/>
                <w:color w:val="000000"/>
                <w:sz w:val="14"/>
                <w:szCs w:val="14"/>
                <w:lang w:val="es-GT" w:eastAsia="es-GT"/>
              </w:rPr>
            </w:pPr>
            <w:r w:rsidRPr="00527E4F">
              <w:rPr>
                <w:b/>
                <w:bCs/>
                <w:color w:val="000000"/>
                <w:sz w:val="14"/>
                <w:szCs w:val="14"/>
                <w:lang w:val="es-GT" w:eastAsia="es-GT"/>
              </w:rPr>
              <w:t>75.0</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GENERAL DE LA PRESIDENCIA DE LA REPÚBLICA</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19.0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34.3</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-15.3</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180.7</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COMISIÓN PRESIDENCIAL COORDINADORA DE DERECHOS HUMANOS</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182.7</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25.0</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157.7</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13.7</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PRIVADA DE LA PRESIDENCIA</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15.5</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12.0</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3.5</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77.2</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DE COORDINACIÓN EJECUTIVA DE LA PRESIDENCIA</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63.0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63.8</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-0.8</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101.2</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FONDO DE DESARROLLO INDÍGENA GUATEMALTECO</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36.0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19.8</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16.2</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55.0</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DE COMUNICACIÓN SOCIAL DE LA PRESIDENCIA</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40.0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52.4</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-12.4</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130.9</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DE BIENESTAR SOCIAL DE LA PRESIDENCIA DE LA REPÚBLICA</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295.3</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281.1</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14.1</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95.2</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DE LA PAZ</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68.6</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24.8</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43.8</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36.1</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OFICINA NACIONAL DE SERVICIO CIVIL</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52.1</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51.4</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0.7</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98.7</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CONSEJO NACIONAL DE ÁREAS PROTEGIDAS</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123.0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93.9</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29.1</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76.3</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AUTORIDAD PARA EL MANEJO SUSTENTABLE DE LA CUENCA LAGO DE AMATITLÁN</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29.3</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22.6</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6.7</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77.2</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DE PLANIFICACIÓN Y PROGRAMACIÓN DE LA PRESIDENCIA</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102.9</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91.2</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11.7</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88.7</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CONSEJO NACIONAL DE LA JUVENTUD</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13.0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11.9</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1.1</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91.4</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EJECUTIVA COMISIÓN CONTRA EL TRÁFICO ILÍCITO DE DROGAS</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8.0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6.3</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1.7</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78.7</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NACIONAL DE CIENCIA Y TECNOLOGÍA</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34.8</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18.6</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16.2</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53.5</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DE OBRAS SOCIALES DE LA ESPOSA DEL PRESIDENTE</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200.4</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142.5</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57.9</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71.1</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PRESIDENCIAL DE LA MUJER</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28.6</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20.5</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8.1</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71.6</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DE ASUNTOS AGRARIOS DE LA PRESIDENCIA DE LA REPÚBLICA</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38.0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27.0</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11.0</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71.0</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COMISIÓN PRESIDENCIAL CONTRA LA DISCRIMINACIÓN Y EL RACISMO PUEBLOS INDÍGENAS</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10.5</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5.1</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5.4</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48.7</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SEGURIDAD ALIMENTARIA Y NUTRICIONAL DE LA PRESIDENCIA DE LA REPÚBLICA</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50.2</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43.2</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7.0</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86.1</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AUTORIDAD PARA EL MANEJO SUSTENTABLE DE LA CUENCA LAGO DE ATITLÁN</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13.0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8.4</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4.6</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64.2</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DEFENSORÍA DE LA MUJER INDÍGENA</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19.0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14.4</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4.6</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75.7</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DE INTELIGENCIA ESTRATÉGICA DEL ESTADO</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35.0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31.0</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4.0</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88.7</w:t>
            </w:r>
          </w:p>
        </w:tc>
      </w:tr>
      <w:tr w:rsidR="00694E7F" w:rsidRPr="00760CAB" w:rsidTr="00BC2EC7">
        <w:trPr>
          <w:trHeight w:val="206"/>
        </w:trPr>
        <w:tc>
          <w:tcPr>
            <w:tcW w:w="6449" w:type="dxa"/>
            <w:tcBorders>
              <w:top w:val="nil"/>
              <w:left w:val="single" w:sz="8" w:space="0" w:color="auto"/>
              <w:bottom w:val="nil"/>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TÉCNICA DEL CONSEJO NACIONAL DE SEGURIDAD</w:t>
            </w:r>
          </w:p>
        </w:tc>
        <w:tc>
          <w:tcPr>
            <w:tcW w:w="813" w:type="dxa"/>
            <w:tcBorders>
              <w:top w:val="nil"/>
              <w:left w:val="single" w:sz="4" w:space="0" w:color="auto"/>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28.0</w:t>
            </w:r>
          </w:p>
        </w:tc>
        <w:tc>
          <w:tcPr>
            <w:tcW w:w="888"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27.9</w:t>
            </w:r>
          </w:p>
        </w:tc>
        <w:tc>
          <w:tcPr>
            <w:tcW w:w="762" w:type="dxa"/>
            <w:tcBorders>
              <w:top w:val="nil"/>
              <w:left w:val="nil"/>
              <w:bottom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0.1</w:t>
            </w:r>
          </w:p>
        </w:tc>
        <w:tc>
          <w:tcPr>
            <w:tcW w:w="797" w:type="dxa"/>
            <w:tcBorders>
              <w:top w:val="nil"/>
              <w:left w:val="nil"/>
              <w:bottom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99.5</w:t>
            </w:r>
          </w:p>
        </w:tc>
      </w:tr>
      <w:tr w:rsidR="00694E7F" w:rsidRPr="00760CAB" w:rsidTr="00BC2EC7">
        <w:trPr>
          <w:trHeight w:val="206"/>
        </w:trPr>
        <w:tc>
          <w:tcPr>
            <w:tcW w:w="6449" w:type="dxa"/>
            <w:tcBorders>
              <w:top w:val="nil"/>
              <w:left w:val="single" w:sz="8" w:space="0" w:color="auto"/>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SECRETARÍA CONTRA LA VIOLENCIA SEXUAL, EXPLOTACIÓN Y TRATA DE PERSONAS</w:t>
            </w:r>
          </w:p>
        </w:tc>
        <w:tc>
          <w:tcPr>
            <w:tcW w:w="813" w:type="dxa"/>
            <w:tcBorders>
              <w:top w:val="nil"/>
              <w:left w:val="single" w:sz="4" w:space="0" w:color="auto"/>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21.0</w:t>
            </w:r>
          </w:p>
        </w:tc>
        <w:tc>
          <w:tcPr>
            <w:tcW w:w="888" w:type="dxa"/>
            <w:tcBorders>
              <w:top w:val="nil"/>
              <w:left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16.4</w:t>
            </w:r>
          </w:p>
        </w:tc>
        <w:tc>
          <w:tcPr>
            <w:tcW w:w="762" w:type="dxa"/>
            <w:tcBorders>
              <w:top w:val="nil"/>
              <w:left w:val="nil"/>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4.6</w:t>
            </w:r>
          </w:p>
        </w:tc>
        <w:tc>
          <w:tcPr>
            <w:tcW w:w="797" w:type="dxa"/>
            <w:tcBorders>
              <w:top w:val="nil"/>
              <w:left w:val="nil"/>
              <w:right w:val="single" w:sz="8"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78.1</w:t>
            </w:r>
          </w:p>
        </w:tc>
      </w:tr>
      <w:tr w:rsidR="00694E7F" w:rsidRPr="00760CAB" w:rsidTr="00BC2EC7">
        <w:trPr>
          <w:trHeight w:val="206"/>
        </w:trPr>
        <w:tc>
          <w:tcPr>
            <w:tcW w:w="6449" w:type="dxa"/>
            <w:tcBorders>
              <w:top w:val="nil"/>
              <w:left w:val="single" w:sz="8" w:space="0" w:color="auto"/>
              <w:bottom w:val="single" w:sz="4" w:space="0" w:color="auto"/>
              <w:right w:val="nil"/>
            </w:tcBorders>
            <w:shd w:val="clear" w:color="000000" w:fill="FFFFFF"/>
            <w:noWrap/>
            <w:vAlign w:val="bottom"/>
            <w:hideMark/>
          </w:tcPr>
          <w:p w:rsidR="00694E7F" w:rsidRPr="00527E4F" w:rsidRDefault="00694E7F" w:rsidP="00694E7F">
            <w:pPr>
              <w:rPr>
                <w:bCs/>
                <w:color w:val="000000"/>
                <w:sz w:val="14"/>
                <w:szCs w:val="14"/>
                <w:lang w:val="es-GT" w:eastAsia="es-GT"/>
              </w:rPr>
            </w:pPr>
            <w:r w:rsidRPr="00527E4F">
              <w:rPr>
                <w:bCs/>
                <w:color w:val="000000"/>
                <w:sz w:val="14"/>
                <w:szCs w:val="14"/>
                <w:lang w:val="es-GT" w:eastAsia="es-GT"/>
              </w:rPr>
              <w:t>COMISIÓN PRESIDENCIAL POR LA PAZ Y LOS DERECHOS HUMANOS</w:t>
            </w:r>
          </w:p>
        </w:tc>
        <w:tc>
          <w:tcPr>
            <w:tcW w:w="813" w:type="dxa"/>
            <w:tcBorders>
              <w:top w:val="nil"/>
              <w:left w:val="single" w:sz="4" w:space="0" w:color="auto"/>
              <w:bottom w:val="single" w:sz="4" w:space="0" w:color="auto"/>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0.0</w:t>
            </w:r>
          </w:p>
        </w:tc>
        <w:tc>
          <w:tcPr>
            <w:tcW w:w="888" w:type="dxa"/>
            <w:tcBorders>
              <w:top w:val="nil"/>
              <w:left w:val="nil"/>
              <w:bottom w:val="single" w:sz="4" w:space="0" w:color="auto"/>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0.1</w:t>
            </w:r>
          </w:p>
        </w:tc>
        <w:tc>
          <w:tcPr>
            <w:tcW w:w="762" w:type="dxa"/>
            <w:tcBorders>
              <w:top w:val="nil"/>
              <w:left w:val="nil"/>
              <w:bottom w:val="single" w:sz="4" w:space="0" w:color="auto"/>
              <w:right w:val="single" w:sz="4" w:space="0" w:color="auto"/>
            </w:tcBorders>
            <w:shd w:val="clear" w:color="000000" w:fill="FFFFFF"/>
            <w:noWrap/>
            <w:vAlign w:val="bottom"/>
            <w:hideMark/>
          </w:tcPr>
          <w:p w:rsidR="00694E7F" w:rsidRPr="00527E4F" w:rsidRDefault="00694E7F" w:rsidP="00694E7F">
            <w:pPr>
              <w:jc w:val="right"/>
              <w:rPr>
                <w:bCs/>
                <w:color w:val="000000"/>
                <w:sz w:val="14"/>
                <w:szCs w:val="14"/>
                <w:lang w:val="es-GT" w:eastAsia="es-GT"/>
              </w:rPr>
            </w:pPr>
            <w:r w:rsidRPr="00527E4F">
              <w:rPr>
                <w:bCs/>
                <w:color w:val="000000"/>
                <w:sz w:val="14"/>
                <w:szCs w:val="14"/>
                <w:lang w:val="es-GT" w:eastAsia="es-GT"/>
              </w:rPr>
              <w:t>-0.1</w:t>
            </w:r>
          </w:p>
        </w:tc>
        <w:tc>
          <w:tcPr>
            <w:tcW w:w="797" w:type="dxa"/>
            <w:tcBorders>
              <w:top w:val="nil"/>
              <w:left w:val="nil"/>
              <w:bottom w:val="single" w:sz="4" w:space="0" w:color="auto"/>
              <w:right w:val="single" w:sz="8" w:space="0" w:color="auto"/>
            </w:tcBorders>
            <w:shd w:val="clear" w:color="000000" w:fill="FFFFFF"/>
            <w:noWrap/>
            <w:vAlign w:val="bottom"/>
            <w:hideMark/>
          </w:tcPr>
          <w:p w:rsidR="00694E7F" w:rsidRPr="00527E4F" w:rsidRDefault="00694E7F" w:rsidP="00694E7F">
            <w:pPr>
              <w:jc w:val="right"/>
              <w:rPr>
                <w:color w:val="FFFFFF"/>
                <w:sz w:val="14"/>
                <w:szCs w:val="14"/>
                <w:lang w:val="es-GT" w:eastAsia="es-GT"/>
              </w:rPr>
            </w:pPr>
            <w:r w:rsidRPr="00527E4F">
              <w:rPr>
                <w:color w:val="FFFFFF"/>
                <w:sz w:val="14"/>
                <w:szCs w:val="14"/>
                <w:lang w:val="es-GT" w:eastAsia="es-GT"/>
              </w:rPr>
              <w:t>#/0!</w:t>
            </w: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Default="00694E7F" w:rsidP="00694E7F">
      <w:pPr>
        <w:jc w:val="both"/>
        <w:rPr>
          <w:b/>
        </w:rPr>
      </w:pPr>
    </w:p>
    <w:p w:rsidR="00694E7F" w:rsidRDefault="00694E7F" w:rsidP="00694E7F">
      <w:pPr>
        <w:jc w:val="both"/>
        <w:rPr>
          <w:b/>
        </w:rPr>
      </w:pPr>
    </w:p>
    <w:p w:rsidR="00694E7F" w:rsidRPr="006469FA" w:rsidRDefault="00694E7F" w:rsidP="00694E7F">
      <w:pPr>
        <w:jc w:val="both"/>
        <w:rPr>
          <w:b/>
          <w:sz w:val="12"/>
        </w:rPr>
      </w:pPr>
    </w:p>
    <w:p w:rsidR="00694E7F" w:rsidRDefault="00694E7F" w:rsidP="00694E7F">
      <w:pPr>
        <w:jc w:val="both"/>
        <w:rPr>
          <w:b/>
        </w:rPr>
      </w:pPr>
      <w:r w:rsidRPr="0049429F">
        <w:rPr>
          <w:b/>
        </w:rPr>
        <w:t>Obligaciones del Estado a Cargo del Tesoro</w:t>
      </w:r>
      <w:r>
        <w:rPr>
          <w:b/>
        </w:rPr>
        <w:t>:</w:t>
      </w:r>
    </w:p>
    <w:p w:rsidR="00694E7F" w:rsidRPr="0049429F" w:rsidRDefault="00694E7F" w:rsidP="00694E7F">
      <w:pPr>
        <w:jc w:val="both"/>
        <w:rPr>
          <w:b/>
        </w:rPr>
      </w:pPr>
    </w:p>
    <w:p w:rsidR="00694E7F" w:rsidRDefault="00694E7F" w:rsidP="00694E7F">
      <w:pPr>
        <w:jc w:val="both"/>
      </w:pPr>
      <w:r w:rsidRPr="00D108FD">
        <w:t xml:space="preserve">Las Obligaciones </w:t>
      </w:r>
      <w:r>
        <w:t xml:space="preserve">del Estado a Cargo del Tesoro </w:t>
      </w:r>
      <w:r w:rsidRPr="00D108FD">
        <w:t xml:space="preserve">es una entidad virtual a través de la cual se ejecuta el presupuesto </w:t>
      </w:r>
      <w:r>
        <w:t>en</w:t>
      </w:r>
      <w:r w:rsidRPr="00D108FD">
        <w:t xml:space="preserve"> </w:t>
      </w:r>
      <w:r>
        <w:t>diferentes conceptos y</w:t>
      </w:r>
      <w:r w:rsidRPr="00D108FD">
        <w:t xml:space="preserve"> en su totalidad tuvieron un presupuesto </w:t>
      </w:r>
      <w:r>
        <w:t xml:space="preserve">aprobado </w:t>
      </w:r>
      <w:r w:rsidRPr="00D108FD">
        <w:t xml:space="preserve">de </w:t>
      </w:r>
      <w:r>
        <w:t>Q</w:t>
      </w:r>
      <w:r w:rsidR="00925918">
        <w:t>.</w:t>
      </w:r>
      <w:r w:rsidRPr="00D108FD">
        <w:t>2</w:t>
      </w:r>
      <w:r>
        <w:t>8</w:t>
      </w:r>
      <w:r w:rsidRPr="00D108FD">
        <w:t>,</w:t>
      </w:r>
      <w:r>
        <w:t>205.2</w:t>
      </w:r>
      <w:r w:rsidRPr="00D108FD">
        <w:t xml:space="preserve"> millones y una ejecución presupuestaria de </w:t>
      </w:r>
      <w:r>
        <w:t>Q</w:t>
      </w:r>
      <w:r w:rsidR="00925918">
        <w:t>.</w:t>
      </w:r>
      <w:r>
        <w:t>30</w:t>
      </w:r>
      <w:r w:rsidRPr="00D108FD">
        <w:t>,</w:t>
      </w:r>
      <w:r>
        <w:t>237.6</w:t>
      </w:r>
      <w:r w:rsidRPr="00D108FD">
        <w:t xml:space="preserve"> millones equivalentes al </w:t>
      </w:r>
      <w:r>
        <w:t>107.2</w:t>
      </w:r>
      <w:r w:rsidRPr="00D108FD">
        <w:t>%, para lo cual a continuación se detallan l</w:t>
      </w:r>
      <w:r>
        <w:t>a</w:t>
      </w:r>
      <w:r w:rsidRPr="00D108FD">
        <w:t>s diferentes</w:t>
      </w:r>
      <w:r>
        <w:t xml:space="preserve"> formas de ejecución</w:t>
      </w:r>
      <w:r w:rsidRPr="00D108FD">
        <w:t>.</w:t>
      </w:r>
    </w:p>
    <w:p w:rsidR="00694E7F" w:rsidRDefault="00694E7F" w:rsidP="00694E7F">
      <w:pPr>
        <w:jc w:val="both"/>
      </w:pPr>
    </w:p>
    <w:p w:rsidR="00694E7F" w:rsidRDefault="00694E7F" w:rsidP="00694E7F">
      <w:pPr>
        <w:jc w:val="both"/>
      </w:pPr>
    </w:p>
    <w:p w:rsidR="00694E7F" w:rsidRDefault="00694E7F" w:rsidP="00694E7F">
      <w:pPr>
        <w:jc w:val="both"/>
        <w:rPr>
          <w:b/>
        </w:rPr>
      </w:pPr>
      <w:r w:rsidRPr="00D108FD">
        <w:rPr>
          <w:b/>
        </w:rPr>
        <w:t>Aportes Institucionales</w:t>
      </w:r>
    </w:p>
    <w:p w:rsidR="00694E7F" w:rsidRPr="00ED01F4" w:rsidRDefault="00694E7F" w:rsidP="00694E7F">
      <w:pPr>
        <w:jc w:val="both"/>
        <w:rPr>
          <w:b/>
          <w:lang w:val="es-GT"/>
        </w:rPr>
      </w:pPr>
    </w:p>
    <w:p w:rsidR="00694E7F" w:rsidRPr="00D108FD" w:rsidRDefault="00694E7F" w:rsidP="00694E7F">
      <w:pPr>
        <w:jc w:val="both"/>
      </w:pPr>
      <w:r w:rsidRPr="00D108FD">
        <w:t>Este subprograma tuvo un presupuesto</w:t>
      </w:r>
      <w:r>
        <w:t xml:space="preserve"> aprobado</w:t>
      </w:r>
      <w:r w:rsidRPr="00D108FD">
        <w:t xml:space="preserve"> de </w:t>
      </w:r>
      <w:r>
        <w:t>Q</w:t>
      </w:r>
      <w:r w:rsidR="00925918">
        <w:t>.</w:t>
      </w:r>
      <w:r w:rsidRPr="00D108FD">
        <w:t>12,</w:t>
      </w:r>
      <w:r>
        <w:t>267.5</w:t>
      </w:r>
      <w:r w:rsidRPr="00D108FD">
        <w:t xml:space="preserve"> millones y una ejecución de </w:t>
      </w:r>
      <w:r>
        <w:t>Q</w:t>
      </w:r>
      <w:r w:rsidR="00925918">
        <w:t>.</w:t>
      </w:r>
      <w:r w:rsidRPr="00D108FD">
        <w:t>11,</w:t>
      </w:r>
      <w:r>
        <w:t>529.6</w:t>
      </w:r>
      <w:r w:rsidRPr="00D108FD">
        <w:t xml:space="preserve"> millones equivalente</w:t>
      </w:r>
      <w:r w:rsidR="00925918">
        <w:t>s</w:t>
      </w:r>
      <w:r w:rsidRPr="00D108FD">
        <w:t xml:space="preserve"> al 9</w:t>
      </w:r>
      <w:r>
        <w:t>4.0</w:t>
      </w:r>
      <w:r w:rsidRPr="00D108FD">
        <w:t xml:space="preserve">%, </w:t>
      </w:r>
      <w:r>
        <w:t xml:space="preserve">ejecutados </w:t>
      </w:r>
      <w:r w:rsidRPr="00D108FD">
        <w:t xml:space="preserve">bajo las </w:t>
      </w:r>
      <w:r>
        <w:t>siguiente funciones:</w:t>
      </w:r>
      <w:r w:rsidRPr="00D108FD">
        <w:t xml:space="preserve"> </w:t>
      </w:r>
      <w:r>
        <w:t xml:space="preserve">Administración </w:t>
      </w:r>
      <w:r w:rsidRPr="00D108FD">
        <w:t xml:space="preserve">de </w:t>
      </w:r>
      <w:r>
        <w:t>J</w:t>
      </w:r>
      <w:r w:rsidRPr="00D108FD">
        <w:t xml:space="preserve">usticia con </w:t>
      </w:r>
      <w:r>
        <w:t>Q</w:t>
      </w:r>
      <w:r w:rsidR="00925918">
        <w:t>.</w:t>
      </w:r>
      <w:r w:rsidRPr="00D108FD">
        <w:t>4,</w:t>
      </w:r>
      <w:r>
        <w:t>3</w:t>
      </w:r>
      <w:r w:rsidR="009374CC">
        <w:t>0</w:t>
      </w:r>
      <w:r>
        <w:t>1.9</w:t>
      </w:r>
      <w:r w:rsidRPr="00D108FD">
        <w:t xml:space="preserve"> millones, Educación</w:t>
      </w:r>
      <w:r>
        <w:t xml:space="preserve"> con</w:t>
      </w:r>
      <w:r w:rsidRPr="00D108FD">
        <w:t xml:space="preserve"> </w:t>
      </w:r>
      <w:r>
        <w:t>Q</w:t>
      </w:r>
      <w:r w:rsidR="00925918">
        <w:t>.</w:t>
      </w:r>
      <w:r>
        <w:t>1</w:t>
      </w:r>
      <w:r w:rsidRPr="00D108FD">
        <w:t>,</w:t>
      </w:r>
      <w:r>
        <w:t>925.8</w:t>
      </w:r>
      <w:r w:rsidRPr="00D108FD">
        <w:t xml:space="preserve"> millones, Administración Fiscal </w:t>
      </w:r>
      <w:r>
        <w:t>con</w:t>
      </w:r>
      <w:r w:rsidRPr="00D108FD">
        <w:t xml:space="preserve"> </w:t>
      </w:r>
      <w:r>
        <w:t>Q</w:t>
      </w:r>
      <w:r w:rsidR="00925918">
        <w:t>.</w:t>
      </w:r>
      <w:r>
        <w:t>976.3</w:t>
      </w:r>
      <w:r w:rsidRPr="00D108FD">
        <w:t xml:space="preserve"> millones, </w:t>
      </w:r>
      <w:r>
        <w:t>Servicios Electorales con Q</w:t>
      </w:r>
      <w:r w:rsidR="00925918">
        <w:t>.</w:t>
      </w:r>
      <w:r>
        <w:t>165.3</w:t>
      </w:r>
      <w:r w:rsidR="009374CC">
        <w:t xml:space="preserve"> millones</w:t>
      </w:r>
      <w:r>
        <w:t>, Protección Social con Q</w:t>
      </w:r>
      <w:r w:rsidR="00925918">
        <w:t>.</w:t>
      </w:r>
      <w:r>
        <w:t>775.9 millones, Administración Legislativa con Q</w:t>
      </w:r>
      <w:r w:rsidR="00925918">
        <w:t>.</w:t>
      </w:r>
      <w:r>
        <w:t>602.7</w:t>
      </w:r>
      <w:r w:rsidR="009374CC">
        <w:t xml:space="preserve"> millones</w:t>
      </w:r>
      <w:r>
        <w:t>, Servicios de Fiscalización con una ejecución de Q</w:t>
      </w:r>
      <w:r w:rsidR="00925918">
        <w:t>.</w:t>
      </w:r>
      <w:r>
        <w:t>473.0 millones, Fomento y Promoción del Deporte con Q</w:t>
      </w:r>
      <w:r w:rsidR="00925918">
        <w:t>.</w:t>
      </w:r>
      <w:r>
        <w:t>426.6 millones, Servicios de Electricidad con Q</w:t>
      </w:r>
      <w:r w:rsidR="00925918">
        <w:t>.</w:t>
      </w:r>
      <w:r>
        <w:t>360.0 millones, el cual no estaba contemplado en el presupuesto asignado, Apoyo al Sistema de Justicia con Q</w:t>
      </w:r>
      <w:r w:rsidR="00925918">
        <w:t>.</w:t>
      </w:r>
      <w:r>
        <w:t>266.4 millones, en tanto que el resto de funciones reportan una ejecución menor a los Q</w:t>
      </w:r>
      <w:r w:rsidR="00925918">
        <w:t>.</w:t>
      </w:r>
      <w:r>
        <w:t>253.6 millones de Atención a Desastres y Gestión de Riesgos</w:t>
      </w:r>
      <w:r w:rsidRPr="00D108FD">
        <w:t>, tal y como se muestra en el cuadro siguiente</w:t>
      </w:r>
      <w:r>
        <w:t>:</w:t>
      </w:r>
    </w:p>
    <w:tbl>
      <w:tblPr>
        <w:tblW w:w="9426" w:type="dxa"/>
        <w:tblCellMar>
          <w:left w:w="70" w:type="dxa"/>
          <w:right w:w="70" w:type="dxa"/>
        </w:tblCellMar>
        <w:tblLook w:val="04A0" w:firstRow="1" w:lastRow="0" w:firstColumn="1" w:lastColumn="0" w:noHBand="0" w:noVBand="1"/>
      </w:tblPr>
      <w:tblGrid>
        <w:gridCol w:w="4748"/>
        <w:gridCol w:w="1276"/>
        <w:gridCol w:w="1276"/>
        <w:gridCol w:w="1134"/>
        <w:gridCol w:w="992"/>
      </w:tblGrid>
      <w:tr w:rsidR="00694E7F" w:rsidRPr="00090415" w:rsidTr="00BC2EC7">
        <w:trPr>
          <w:trHeight w:val="187"/>
        </w:trPr>
        <w:tc>
          <w:tcPr>
            <w:tcW w:w="4748"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090415" w:rsidRDefault="00694E7F" w:rsidP="00AF5890">
            <w:pPr>
              <w:jc w:val="center"/>
              <w:rPr>
                <w:b/>
                <w:bCs/>
                <w:color w:val="000000"/>
                <w:sz w:val="16"/>
                <w:szCs w:val="16"/>
                <w:lang w:val="es-GT" w:eastAsia="es-GT"/>
              </w:rPr>
            </w:pPr>
            <w:r w:rsidRPr="00090415">
              <w:rPr>
                <w:b/>
                <w:bCs/>
                <w:color w:val="000000"/>
                <w:sz w:val="16"/>
                <w:szCs w:val="16"/>
                <w:lang w:val="es-GT" w:eastAsia="es-GT"/>
              </w:rPr>
              <w:lastRenderedPageBreak/>
              <w:t>DESCRIPCION</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090415" w:rsidRDefault="00694E7F" w:rsidP="00AF5890">
            <w:pPr>
              <w:jc w:val="center"/>
              <w:rPr>
                <w:b/>
                <w:bCs/>
                <w:color w:val="000000"/>
                <w:sz w:val="16"/>
                <w:szCs w:val="16"/>
                <w:lang w:val="es-GT" w:eastAsia="es-GT"/>
              </w:rPr>
            </w:pPr>
            <w:r w:rsidRPr="00090415">
              <w:rPr>
                <w:b/>
                <w:bCs/>
                <w:color w:val="000000"/>
                <w:sz w:val="16"/>
                <w:szCs w:val="16"/>
                <w:lang w:val="es-GT" w:eastAsia="es-GT"/>
              </w:rPr>
              <w:t>Asignado</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090415" w:rsidRDefault="00694E7F" w:rsidP="00AF5890">
            <w:pPr>
              <w:jc w:val="center"/>
              <w:rPr>
                <w:b/>
                <w:bCs/>
                <w:color w:val="000000"/>
                <w:sz w:val="16"/>
                <w:szCs w:val="16"/>
                <w:lang w:val="es-GT" w:eastAsia="es-GT"/>
              </w:rPr>
            </w:pPr>
            <w:r w:rsidRPr="00090415">
              <w:rPr>
                <w:b/>
                <w:bCs/>
                <w:color w:val="000000"/>
                <w:sz w:val="16"/>
                <w:szCs w:val="16"/>
                <w:lang w:val="es-GT" w:eastAsia="es-GT"/>
              </w:rPr>
              <w:t>Ejecución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090415" w:rsidRDefault="00694E7F" w:rsidP="00AF5890">
            <w:pPr>
              <w:jc w:val="center"/>
              <w:rPr>
                <w:b/>
                <w:bCs/>
                <w:color w:val="000000"/>
                <w:sz w:val="16"/>
                <w:szCs w:val="16"/>
                <w:lang w:val="es-GT" w:eastAsia="es-GT"/>
              </w:rPr>
            </w:pPr>
            <w:r w:rsidRPr="00090415">
              <w:rPr>
                <w:b/>
                <w:bCs/>
                <w:color w:val="000000"/>
                <w:sz w:val="16"/>
                <w:szCs w:val="16"/>
                <w:lang w:val="es-GT" w:eastAsia="es-GT"/>
              </w:rPr>
              <w:t>Diferencia</w:t>
            </w:r>
          </w:p>
        </w:tc>
        <w:tc>
          <w:tcPr>
            <w:tcW w:w="992"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090415" w:rsidRDefault="00694E7F" w:rsidP="00AF5890">
            <w:pPr>
              <w:jc w:val="center"/>
              <w:rPr>
                <w:b/>
                <w:bCs/>
                <w:color w:val="000000"/>
                <w:sz w:val="16"/>
                <w:szCs w:val="16"/>
                <w:lang w:val="es-GT" w:eastAsia="es-GT"/>
              </w:rPr>
            </w:pPr>
            <w:r w:rsidRPr="00090415">
              <w:rPr>
                <w:b/>
                <w:bCs/>
                <w:color w:val="000000"/>
                <w:sz w:val="16"/>
                <w:szCs w:val="16"/>
                <w:lang w:val="es-GT" w:eastAsia="es-GT"/>
              </w:rPr>
              <w:t>% Ejec</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694E7F">
            <w:pPr>
              <w:rPr>
                <w:b/>
                <w:bCs/>
                <w:color w:val="000000"/>
                <w:sz w:val="14"/>
                <w:szCs w:val="14"/>
                <w:lang w:val="es-GT" w:eastAsia="es-GT"/>
              </w:rPr>
            </w:pPr>
            <w:r w:rsidRPr="00AF5890">
              <w:rPr>
                <w:b/>
                <w:bCs/>
                <w:color w:val="000000"/>
                <w:sz w:val="14"/>
                <w:szCs w:val="14"/>
                <w:lang w:val="es-GT" w:eastAsia="es-GT"/>
              </w:rPr>
              <w:t>APORTES INSTITUCIONALES</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b/>
                <w:bCs/>
                <w:color w:val="000000"/>
                <w:sz w:val="14"/>
                <w:szCs w:val="14"/>
                <w:lang w:val="es-GT" w:eastAsia="es-GT"/>
              </w:rPr>
            </w:pPr>
            <w:r w:rsidRPr="00AF5890">
              <w:rPr>
                <w:b/>
                <w:bCs/>
                <w:color w:val="000000"/>
                <w:sz w:val="14"/>
                <w:szCs w:val="14"/>
                <w:lang w:val="es-GT" w:eastAsia="es-GT"/>
              </w:rPr>
              <w:t>12,267.5</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b/>
                <w:bCs/>
                <w:color w:val="000000"/>
                <w:sz w:val="14"/>
                <w:szCs w:val="14"/>
                <w:lang w:val="es-GT" w:eastAsia="es-GT"/>
              </w:rPr>
            </w:pPr>
            <w:r w:rsidRPr="00AF5890">
              <w:rPr>
                <w:b/>
                <w:bCs/>
                <w:color w:val="000000"/>
                <w:sz w:val="14"/>
                <w:szCs w:val="14"/>
                <w:lang w:val="es-GT" w:eastAsia="es-GT"/>
              </w:rPr>
              <w:t>11,529.6</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b/>
                <w:bCs/>
                <w:color w:val="000000"/>
                <w:sz w:val="14"/>
                <w:szCs w:val="14"/>
                <w:lang w:val="es-GT" w:eastAsia="es-GT"/>
              </w:rPr>
            </w:pPr>
            <w:r w:rsidRPr="00AF5890">
              <w:rPr>
                <w:b/>
                <w:bCs/>
                <w:color w:val="000000"/>
                <w:sz w:val="14"/>
                <w:szCs w:val="14"/>
                <w:lang w:val="es-GT" w:eastAsia="es-GT"/>
              </w:rPr>
              <w:t>737.9</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b/>
                <w:bCs/>
                <w:color w:val="000000"/>
                <w:sz w:val="14"/>
                <w:szCs w:val="14"/>
                <w:lang w:val="es-GT" w:eastAsia="es-GT"/>
              </w:rPr>
            </w:pPr>
            <w:r w:rsidRPr="00AF5890">
              <w:rPr>
                <w:b/>
                <w:bCs/>
                <w:color w:val="000000"/>
                <w:sz w:val="14"/>
                <w:szCs w:val="14"/>
                <w:lang w:val="es-GT" w:eastAsia="es-GT"/>
              </w:rPr>
              <w:t>94.0%</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SISTEMA DE JUSTICIA</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3,952.2</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4,301.9</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-349.64</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108.8%</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EDUCACIÓN</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1,952.0</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1,925.8</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26.14</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98.7%</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ADMINISTRACIÓN FISCAL</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1,393.3</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976.3</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416.91</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70.1%</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PROTECCIÓN SOCIAL</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818.0</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775.9</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42.06</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94.9%</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ADMINISTRACIÓN LEGISLATIVA</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715.4</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602.7</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112.69</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84.2%</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SERVICIOS DE FISCALIZACIÓN</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357.5</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473.0</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-115.58</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132.3%</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FOMENTO Y PROMOCIÓN DEL DEPORTE</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468.7</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426.6</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42.04</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91.0%</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SERVICIOS DE ELECTRICIDAD</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0.0</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360.0</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-360.00</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center"/>
              <w:rPr>
                <w:color w:val="FFFFFF"/>
                <w:sz w:val="14"/>
                <w:szCs w:val="14"/>
                <w:lang w:val="es-GT" w:eastAsia="es-GT"/>
              </w:rPr>
            </w:pPr>
            <w:r w:rsidRPr="00AF5890">
              <w:rPr>
                <w:color w:val="FFFFFF"/>
                <w:sz w:val="14"/>
                <w:szCs w:val="14"/>
                <w:lang w:val="es-GT" w:eastAsia="es-GT"/>
              </w:rPr>
              <w:t>######</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APOYO AL SISTEMA DE JUSTICIA</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296.9</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266.4</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30.56</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89.7%</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ATENCIÓN A DESASTRES Y GESTIÓN DE RIESGOS</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518.5</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253.6</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264.91</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48.9%</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DEFENSORÍA PÚBLICA PENAL</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243.1</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229.5</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13.60</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94.4%</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DEFENSORÍA DE LOS DERECHOS HUMANOS</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28.0</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180.4</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-152.36</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644.2%</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TRANSPORTE</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190.0</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167.0</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23.00</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87.9%</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SERVICIOS ELECTORALES</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676.2</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165.3</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510.91</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24.4%</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SERVICIOS PÚBLICOS GENERALES</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178.0</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153.3</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24.71</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86.1%</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DESARROLLO COMUNITARIO</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160.7</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76.0</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84.77</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47.3%</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INFORMACIÓN CATASTRAL</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85.0</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72.6</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12.41</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85.4%</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FOMENTO Y DESARROLLO DEL TURISMO</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110.1</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48.5</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61.64</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44.0%</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ASUNTOS ECONÓMICOS Y COMERCIALES</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47.0</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42.0</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5.00</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89.4%</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ACTIVIDADES CULTURALES</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32.0</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28.8</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3.20</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90.0%</w:t>
            </w:r>
          </w:p>
        </w:tc>
      </w:tr>
      <w:tr w:rsidR="00694E7F" w:rsidRPr="00090415" w:rsidTr="00BC2EC7">
        <w:trPr>
          <w:trHeight w:val="187"/>
        </w:trPr>
        <w:tc>
          <w:tcPr>
            <w:tcW w:w="4748" w:type="dxa"/>
            <w:tcBorders>
              <w:top w:val="nil"/>
              <w:left w:val="single" w:sz="8" w:space="0" w:color="auto"/>
              <w:bottom w:val="nil"/>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SEGURO PARAMÉTRICO PARA EVENTOS CLIMÁTICOS</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20.0</w:t>
            </w:r>
          </w:p>
        </w:tc>
        <w:tc>
          <w:tcPr>
            <w:tcW w:w="1276"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4.0</w:t>
            </w:r>
          </w:p>
        </w:tc>
        <w:tc>
          <w:tcPr>
            <w:tcW w:w="1134" w:type="dxa"/>
            <w:tcBorders>
              <w:top w:val="nil"/>
              <w:left w:val="nil"/>
              <w:bottom w:val="nil"/>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15.96</w:t>
            </w:r>
          </w:p>
        </w:tc>
        <w:tc>
          <w:tcPr>
            <w:tcW w:w="992" w:type="dxa"/>
            <w:tcBorders>
              <w:top w:val="nil"/>
              <w:left w:val="nil"/>
              <w:bottom w:val="nil"/>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20.2%</w:t>
            </w:r>
          </w:p>
        </w:tc>
      </w:tr>
      <w:tr w:rsidR="00694E7F" w:rsidRPr="00090415" w:rsidTr="00BC2EC7">
        <w:trPr>
          <w:trHeight w:val="187"/>
        </w:trPr>
        <w:tc>
          <w:tcPr>
            <w:tcW w:w="4748" w:type="dxa"/>
            <w:tcBorders>
              <w:top w:val="nil"/>
              <w:left w:val="single" w:sz="8" w:space="0" w:color="auto"/>
              <w:bottom w:val="single" w:sz="8" w:space="0" w:color="auto"/>
              <w:right w:val="single" w:sz="4" w:space="0" w:color="auto"/>
            </w:tcBorders>
            <w:shd w:val="clear" w:color="000000" w:fill="FFFFFF"/>
            <w:noWrap/>
            <w:hideMark/>
          </w:tcPr>
          <w:p w:rsidR="00694E7F" w:rsidRPr="00AF5890" w:rsidRDefault="00694E7F" w:rsidP="00AF5890">
            <w:pPr>
              <w:ind w:firstLineChars="200" w:firstLine="280"/>
              <w:rPr>
                <w:color w:val="000000"/>
                <w:sz w:val="14"/>
                <w:szCs w:val="14"/>
                <w:lang w:val="es-GT" w:eastAsia="es-GT"/>
              </w:rPr>
            </w:pPr>
            <w:r w:rsidRPr="00AF5890">
              <w:rPr>
                <w:color w:val="000000"/>
                <w:sz w:val="14"/>
                <w:szCs w:val="14"/>
                <w:lang w:val="es-GT" w:eastAsia="es-GT"/>
              </w:rPr>
              <w:t>TRIBUNAL SUPREMO ELECTORAL</w:t>
            </w:r>
          </w:p>
        </w:tc>
        <w:tc>
          <w:tcPr>
            <w:tcW w:w="1276" w:type="dxa"/>
            <w:tcBorders>
              <w:top w:val="nil"/>
              <w:left w:val="nil"/>
              <w:bottom w:val="single" w:sz="8" w:space="0" w:color="auto"/>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25.0</w:t>
            </w:r>
          </w:p>
        </w:tc>
        <w:tc>
          <w:tcPr>
            <w:tcW w:w="1276" w:type="dxa"/>
            <w:tcBorders>
              <w:top w:val="nil"/>
              <w:left w:val="nil"/>
              <w:bottom w:val="single" w:sz="8" w:space="0" w:color="auto"/>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0.0</w:t>
            </w:r>
          </w:p>
        </w:tc>
        <w:tc>
          <w:tcPr>
            <w:tcW w:w="1134" w:type="dxa"/>
            <w:tcBorders>
              <w:top w:val="nil"/>
              <w:left w:val="nil"/>
              <w:bottom w:val="single" w:sz="8" w:space="0" w:color="auto"/>
              <w:right w:val="single" w:sz="4"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25.00</w:t>
            </w:r>
          </w:p>
        </w:tc>
        <w:tc>
          <w:tcPr>
            <w:tcW w:w="992" w:type="dxa"/>
            <w:tcBorders>
              <w:top w:val="nil"/>
              <w:left w:val="single" w:sz="4" w:space="0" w:color="auto"/>
              <w:bottom w:val="single" w:sz="8" w:space="0" w:color="auto"/>
              <w:right w:val="single" w:sz="8" w:space="0" w:color="auto"/>
            </w:tcBorders>
            <w:shd w:val="clear" w:color="000000" w:fill="FFFFFF"/>
            <w:noWrap/>
            <w:vAlign w:val="center"/>
            <w:hideMark/>
          </w:tcPr>
          <w:p w:rsidR="00694E7F" w:rsidRPr="00AF5890" w:rsidRDefault="00694E7F" w:rsidP="00694E7F">
            <w:pPr>
              <w:jc w:val="right"/>
              <w:rPr>
                <w:color w:val="000000"/>
                <w:sz w:val="14"/>
                <w:szCs w:val="14"/>
                <w:lang w:val="es-GT" w:eastAsia="es-GT"/>
              </w:rPr>
            </w:pPr>
            <w:r w:rsidRPr="00AF5890">
              <w:rPr>
                <w:color w:val="000000"/>
                <w:sz w:val="14"/>
                <w:szCs w:val="14"/>
                <w:lang w:val="es-GT" w:eastAsia="es-GT"/>
              </w:rPr>
              <w:t>0.0%</w:t>
            </w: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Pr="00D108FD" w:rsidRDefault="00694E7F" w:rsidP="00694E7F">
      <w:pPr>
        <w:jc w:val="both"/>
      </w:pPr>
    </w:p>
    <w:p w:rsidR="00694E7F" w:rsidRDefault="00694E7F" w:rsidP="00694E7F">
      <w:pPr>
        <w:jc w:val="both"/>
        <w:rPr>
          <w:b/>
        </w:rPr>
      </w:pPr>
      <w:r w:rsidRPr="0049429F">
        <w:rPr>
          <w:b/>
        </w:rPr>
        <w:t>Aportes a Consejos Departamentales de Desarrollo</w:t>
      </w:r>
    </w:p>
    <w:p w:rsidR="00694E7F" w:rsidRPr="00913BD9" w:rsidRDefault="00694E7F" w:rsidP="00694E7F">
      <w:pPr>
        <w:jc w:val="both"/>
        <w:rPr>
          <w:b/>
          <w:sz w:val="16"/>
        </w:rPr>
      </w:pPr>
    </w:p>
    <w:p w:rsidR="00694E7F" w:rsidRDefault="00694E7F" w:rsidP="00694E7F">
      <w:pPr>
        <w:jc w:val="both"/>
      </w:pPr>
      <w:r>
        <w:t>Los aportes tuvieron un presupuesto aprobado de Q</w:t>
      </w:r>
      <w:r w:rsidR="00925918">
        <w:t>.</w:t>
      </w:r>
      <w:r>
        <w:t>2,637.1 millones y se ejecutaron Q</w:t>
      </w:r>
      <w:r w:rsidR="00925918">
        <w:t>.</w:t>
      </w:r>
      <w:r>
        <w:t xml:space="preserve">2,702.0 millones, equivalentes al 102.5%.  </w:t>
      </w:r>
      <w:r w:rsidRPr="00D108FD">
        <w:t xml:space="preserve">Estos se ejecutaron </w:t>
      </w:r>
      <w:r w:rsidR="00913BD9">
        <w:t xml:space="preserve">de la manera </w:t>
      </w:r>
      <w:r w:rsidRPr="00D108FD">
        <w:t>siguiente:</w:t>
      </w:r>
      <w:r>
        <w:t xml:space="preserve"> Transporte por Carretera Q</w:t>
      </w:r>
      <w:r w:rsidR="00925918">
        <w:t>.</w:t>
      </w:r>
      <w:r>
        <w:t xml:space="preserve">900.2 millones, </w:t>
      </w:r>
      <w:r w:rsidRPr="00D108FD">
        <w:t xml:space="preserve">Abastecimiento de Agua </w:t>
      </w:r>
      <w:r>
        <w:t>con</w:t>
      </w:r>
      <w:r w:rsidRPr="00D108FD">
        <w:t xml:space="preserve"> </w:t>
      </w:r>
      <w:r>
        <w:t>Q</w:t>
      </w:r>
      <w:r w:rsidR="00925918">
        <w:t>.</w:t>
      </w:r>
      <w:r>
        <w:t>540.9</w:t>
      </w:r>
      <w:r w:rsidRPr="00D108FD">
        <w:t xml:space="preserve"> millones, Ordenación de Aguas Residuales </w:t>
      </w:r>
      <w:r>
        <w:t>con Q</w:t>
      </w:r>
      <w:r w:rsidR="00925918">
        <w:t>.</w:t>
      </w:r>
      <w:r>
        <w:t>434.3</w:t>
      </w:r>
      <w:r w:rsidRPr="00D108FD">
        <w:t xml:space="preserve"> millones, Educación Primaria </w:t>
      </w:r>
      <w:r>
        <w:t>con</w:t>
      </w:r>
      <w:r w:rsidRPr="00D108FD">
        <w:t xml:space="preserve"> </w:t>
      </w:r>
      <w:r>
        <w:t>Q</w:t>
      </w:r>
      <w:r w:rsidR="00925918">
        <w:t>.</w:t>
      </w:r>
      <w:r w:rsidRPr="00D108FD">
        <w:t>4</w:t>
      </w:r>
      <w:r>
        <w:t>07.1</w:t>
      </w:r>
      <w:r w:rsidRPr="00D108FD">
        <w:t xml:space="preserve"> millones,</w:t>
      </w:r>
      <w:r>
        <w:t xml:space="preserve"> Servicios Hospitalarios Generales con Q</w:t>
      </w:r>
      <w:r w:rsidR="00925918">
        <w:t>.</w:t>
      </w:r>
      <w:r>
        <w:t xml:space="preserve">124.5 millones, </w:t>
      </w:r>
      <w:r w:rsidRPr="00D108FD">
        <w:t>Educación</w:t>
      </w:r>
      <w:r>
        <w:t xml:space="preserve"> Básica con</w:t>
      </w:r>
      <w:r w:rsidRPr="00D108FD">
        <w:t xml:space="preserve"> </w:t>
      </w:r>
      <w:r>
        <w:t>Q</w:t>
      </w:r>
      <w:r w:rsidR="00925918">
        <w:t>.</w:t>
      </w:r>
      <w:r w:rsidRPr="00D108FD">
        <w:t>1</w:t>
      </w:r>
      <w:r>
        <w:t>21.8</w:t>
      </w:r>
      <w:r w:rsidRPr="00D108FD">
        <w:t xml:space="preserve"> millones,</w:t>
      </w:r>
      <w:r>
        <w:t xml:space="preserve"> mientras que el resto de aportes se ubicó por debajo de Q</w:t>
      </w:r>
      <w:r w:rsidR="00925918">
        <w:t>.</w:t>
      </w:r>
      <w:r>
        <w:t>43.0 millones asignados a la Educación Preprimaria</w:t>
      </w:r>
      <w:r w:rsidRPr="00D108FD">
        <w:t>, lo cual se puede observar en el cuadro que se presenta a continuación</w:t>
      </w:r>
      <w:r>
        <w:t>:</w:t>
      </w:r>
    </w:p>
    <w:p w:rsidR="00694E7F" w:rsidRPr="00913BD9" w:rsidRDefault="00694E7F" w:rsidP="00694E7F">
      <w:pPr>
        <w:jc w:val="both"/>
        <w:rPr>
          <w:sz w:val="18"/>
        </w:rPr>
      </w:pPr>
    </w:p>
    <w:tbl>
      <w:tblPr>
        <w:tblW w:w="9426" w:type="dxa"/>
        <w:tblCellMar>
          <w:left w:w="70" w:type="dxa"/>
          <w:right w:w="70" w:type="dxa"/>
        </w:tblCellMar>
        <w:tblLook w:val="04A0" w:firstRow="1" w:lastRow="0" w:firstColumn="1" w:lastColumn="0" w:noHBand="0" w:noVBand="1"/>
      </w:tblPr>
      <w:tblGrid>
        <w:gridCol w:w="5173"/>
        <w:gridCol w:w="1134"/>
        <w:gridCol w:w="1134"/>
        <w:gridCol w:w="993"/>
        <w:gridCol w:w="992"/>
      </w:tblGrid>
      <w:tr w:rsidR="00694E7F" w:rsidRPr="000E0EB9" w:rsidTr="00BC2EC7">
        <w:trPr>
          <w:trHeight w:val="257"/>
        </w:trPr>
        <w:tc>
          <w:tcPr>
            <w:tcW w:w="5173"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0E0EB9" w:rsidRDefault="00694E7F" w:rsidP="00694E7F">
            <w:pPr>
              <w:jc w:val="center"/>
              <w:rPr>
                <w:b/>
                <w:bCs/>
                <w:color w:val="000000"/>
                <w:sz w:val="16"/>
                <w:szCs w:val="16"/>
                <w:lang w:val="es-GT" w:eastAsia="es-GT"/>
              </w:rPr>
            </w:pPr>
            <w:r w:rsidRPr="000E0EB9">
              <w:rPr>
                <w:b/>
                <w:bCs/>
                <w:color w:val="000000"/>
                <w:sz w:val="16"/>
                <w:szCs w:val="16"/>
                <w:lang w:val="es-GT" w:eastAsia="es-GT"/>
              </w:rPr>
              <w:t>DESCRIPCION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0E0EB9" w:rsidRDefault="00694E7F" w:rsidP="00694E7F">
            <w:pPr>
              <w:jc w:val="center"/>
              <w:rPr>
                <w:b/>
                <w:bCs/>
                <w:color w:val="000000"/>
                <w:sz w:val="16"/>
                <w:szCs w:val="16"/>
                <w:lang w:val="es-GT" w:eastAsia="es-GT"/>
              </w:rPr>
            </w:pPr>
            <w:r w:rsidRPr="000E0EB9">
              <w:rPr>
                <w:b/>
                <w:bCs/>
                <w:color w:val="000000"/>
                <w:sz w:val="16"/>
                <w:szCs w:val="16"/>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0E0EB9" w:rsidRDefault="00694E7F" w:rsidP="00694E7F">
            <w:pPr>
              <w:jc w:val="center"/>
              <w:rPr>
                <w:b/>
                <w:bCs/>
                <w:color w:val="000000"/>
                <w:sz w:val="16"/>
                <w:szCs w:val="16"/>
                <w:lang w:val="es-GT" w:eastAsia="es-GT"/>
              </w:rPr>
            </w:pPr>
            <w:r w:rsidRPr="000E0EB9">
              <w:rPr>
                <w:b/>
                <w:bCs/>
                <w:color w:val="000000"/>
                <w:sz w:val="16"/>
                <w:szCs w:val="16"/>
                <w:lang w:val="es-GT" w:eastAsia="es-GT"/>
              </w:rPr>
              <w:t>Ejecución</w:t>
            </w:r>
          </w:p>
        </w:tc>
        <w:tc>
          <w:tcPr>
            <w:tcW w:w="993"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0E0EB9" w:rsidRDefault="00694E7F" w:rsidP="00694E7F">
            <w:pPr>
              <w:jc w:val="center"/>
              <w:rPr>
                <w:b/>
                <w:bCs/>
                <w:color w:val="000000"/>
                <w:sz w:val="16"/>
                <w:szCs w:val="16"/>
                <w:lang w:val="es-GT" w:eastAsia="es-GT"/>
              </w:rPr>
            </w:pPr>
            <w:r w:rsidRPr="000E0EB9">
              <w:rPr>
                <w:b/>
                <w:bCs/>
                <w:color w:val="000000"/>
                <w:sz w:val="16"/>
                <w:szCs w:val="16"/>
                <w:lang w:val="es-GT" w:eastAsia="es-GT"/>
              </w:rPr>
              <w:t>Diferencia</w:t>
            </w:r>
          </w:p>
        </w:tc>
        <w:tc>
          <w:tcPr>
            <w:tcW w:w="992"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0E0EB9" w:rsidRDefault="00694E7F" w:rsidP="00694E7F">
            <w:pPr>
              <w:jc w:val="center"/>
              <w:rPr>
                <w:b/>
                <w:bCs/>
                <w:color w:val="000000"/>
                <w:sz w:val="16"/>
                <w:szCs w:val="16"/>
                <w:lang w:val="es-GT" w:eastAsia="es-GT"/>
              </w:rPr>
            </w:pPr>
            <w:r w:rsidRPr="000E0EB9">
              <w:rPr>
                <w:b/>
                <w:bCs/>
                <w:color w:val="000000"/>
                <w:sz w:val="16"/>
                <w:szCs w:val="16"/>
                <w:lang w:val="es-GT" w:eastAsia="es-GT"/>
              </w:rPr>
              <w:t>% Ejec</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694E7F">
            <w:pPr>
              <w:rPr>
                <w:b/>
                <w:bCs/>
                <w:color w:val="000000"/>
                <w:sz w:val="14"/>
                <w:szCs w:val="14"/>
                <w:lang w:val="es-GT" w:eastAsia="es-GT"/>
              </w:rPr>
            </w:pPr>
            <w:r w:rsidRPr="00913BD9">
              <w:rPr>
                <w:b/>
                <w:bCs/>
                <w:color w:val="000000"/>
                <w:sz w:val="14"/>
                <w:szCs w:val="14"/>
                <w:lang w:val="es-GT" w:eastAsia="es-GT"/>
              </w:rPr>
              <w:t>APORTE A CONSEJOS DEPARTAMENTALES DE DESARROLLO</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4"/>
                <w:szCs w:val="14"/>
                <w:lang w:val="es-GT" w:eastAsia="es-GT"/>
              </w:rPr>
            </w:pPr>
            <w:r w:rsidRPr="00913BD9">
              <w:rPr>
                <w:b/>
                <w:bCs/>
                <w:color w:val="000000"/>
                <w:sz w:val="14"/>
                <w:szCs w:val="14"/>
                <w:lang w:val="es-GT" w:eastAsia="es-GT"/>
              </w:rPr>
              <w:t>2,637.1</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4"/>
                <w:szCs w:val="14"/>
                <w:lang w:val="es-GT" w:eastAsia="es-GT"/>
              </w:rPr>
            </w:pPr>
            <w:r w:rsidRPr="00913BD9">
              <w:rPr>
                <w:b/>
                <w:bCs/>
                <w:color w:val="000000"/>
                <w:sz w:val="14"/>
                <w:szCs w:val="14"/>
                <w:lang w:val="es-GT" w:eastAsia="es-GT"/>
              </w:rPr>
              <w:t>2,702.0</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4"/>
                <w:szCs w:val="14"/>
                <w:lang w:val="es-GT" w:eastAsia="es-GT"/>
              </w:rPr>
            </w:pPr>
            <w:r w:rsidRPr="00913BD9">
              <w:rPr>
                <w:b/>
                <w:bCs/>
                <w:color w:val="000000"/>
                <w:sz w:val="14"/>
                <w:szCs w:val="14"/>
                <w:lang w:val="es-GT" w:eastAsia="es-GT"/>
              </w:rPr>
              <w:t>-65.0</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b/>
                <w:bCs/>
                <w:color w:val="000000"/>
                <w:sz w:val="14"/>
                <w:szCs w:val="14"/>
                <w:lang w:val="es-GT" w:eastAsia="es-GT"/>
              </w:rPr>
            </w:pPr>
            <w:r w:rsidRPr="00913BD9">
              <w:rPr>
                <w:b/>
                <w:bCs/>
                <w:color w:val="000000"/>
                <w:sz w:val="14"/>
                <w:szCs w:val="14"/>
                <w:lang w:val="es-GT" w:eastAsia="es-GT"/>
              </w:rPr>
              <w:t>102.5%</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TRANSPORTE POR CARRETERA</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24.5</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900.2</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-875.70</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3672.3%</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ABASTECIMIENTO DE AGUA</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689.2</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540.9</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148.31</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78.5%</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ORDENACIÓN DE AGUAS RESIDUALES</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756.7</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434.3</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322.38</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57.4%</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EDUCACIÓN PRIMARIA</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531.3</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407.1</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124.15</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76.6%</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SERVICIOS HOSPITALARIOS GENERALES</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187.4</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124.5</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62.98</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66.4%</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EDUCACIÓN BÁSICA</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188.4</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121.8</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66.62</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64.6%</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EDUCACIÓN PREPRIMARIA</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65.8</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43.0</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22.87</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65.3%</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EDUCACIÓN DIVERSIFICADA</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43.1</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36.0</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7.15</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83.4%</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FONDO DESARROLLO ECONÓMICO (FONPETROL)</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47.9</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27.2</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20.65</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56.9%</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PRIMERA ETAPA DE LA EDUCACIÓN UNIVERSITARIA O SUPERIOR</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18.3</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14.9</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3.46</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81.2%</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EDUCACIÓN NO ATRIBUIBLE A NINGÚN NIVEL ESCOLARIZADO</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38.7</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14.7</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24.00</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38.1%</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ORDENACIÓN DE DESECHOS</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31.2</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14.6</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16.62</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46.8%</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OTROS SERVICIOS GENERALES</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7.6</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11.8</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-4.20</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155.0%</w:t>
            </w:r>
          </w:p>
        </w:tc>
      </w:tr>
      <w:tr w:rsidR="00694E7F" w:rsidRPr="000E0EB9" w:rsidTr="00BC2EC7">
        <w:trPr>
          <w:trHeight w:val="257"/>
        </w:trPr>
        <w:tc>
          <w:tcPr>
            <w:tcW w:w="5173"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GESTIÓN COMPENSATORIA DE DESASTRES</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3.1</w:t>
            </w:r>
          </w:p>
        </w:tc>
        <w:tc>
          <w:tcPr>
            <w:tcW w:w="1134"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7.5</w:t>
            </w:r>
          </w:p>
        </w:tc>
        <w:tc>
          <w:tcPr>
            <w:tcW w:w="993"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-4.38</w:t>
            </w:r>
          </w:p>
        </w:tc>
        <w:tc>
          <w:tcPr>
            <w:tcW w:w="992"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240.4%</w:t>
            </w:r>
          </w:p>
        </w:tc>
      </w:tr>
      <w:tr w:rsidR="00694E7F" w:rsidRPr="000E0EB9" w:rsidTr="00BC2EC7">
        <w:trPr>
          <w:trHeight w:val="257"/>
        </w:trPr>
        <w:tc>
          <w:tcPr>
            <w:tcW w:w="5173" w:type="dxa"/>
            <w:tcBorders>
              <w:top w:val="nil"/>
              <w:left w:val="single" w:sz="8" w:space="0" w:color="auto"/>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AGRICULTURA</w:t>
            </w:r>
          </w:p>
        </w:tc>
        <w:tc>
          <w:tcPr>
            <w:tcW w:w="1134" w:type="dxa"/>
            <w:tcBorders>
              <w:top w:val="nil"/>
              <w:left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1.9</w:t>
            </w:r>
          </w:p>
        </w:tc>
        <w:tc>
          <w:tcPr>
            <w:tcW w:w="1134" w:type="dxa"/>
            <w:tcBorders>
              <w:top w:val="nil"/>
              <w:left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3.2</w:t>
            </w:r>
          </w:p>
        </w:tc>
        <w:tc>
          <w:tcPr>
            <w:tcW w:w="993" w:type="dxa"/>
            <w:tcBorders>
              <w:top w:val="nil"/>
              <w:left w:val="nil"/>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-1.29</w:t>
            </w:r>
          </w:p>
        </w:tc>
        <w:tc>
          <w:tcPr>
            <w:tcW w:w="992" w:type="dxa"/>
            <w:tcBorders>
              <w:top w:val="nil"/>
              <w:left w:val="nil"/>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168.7%</w:t>
            </w:r>
          </w:p>
        </w:tc>
      </w:tr>
      <w:tr w:rsidR="00694E7F" w:rsidRPr="000E0EB9" w:rsidTr="00BC2EC7">
        <w:trPr>
          <w:trHeight w:val="257"/>
        </w:trPr>
        <w:tc>
          <w:tcPr>
            <w:tcW w:w="5173" w:type="dxa"/>
            <w:tcBorders>
              <w:top w:val="nil"/>
              <w:left w:val="single" w:sz="8" w:space="0" w:color="auto"/>
              <w:bottom w:val="single" w:sz="4" w:space="0" w:color="auto"/>
              <w:right w:val="single" w:sz="4" w:space="0" w:color="auto"/>
            </w:tcBorders>
            <w:shd w:val="clear" w:color="000000" w:fill="FFFFFF"/>
            <w:noWrap/>
            <w:vAlign w:val="center"/>
            <w:hideMark/>
          </w:tcPr>
          <w:p w:rsidR="00694E7F" w:rsidRPr="00913BD9" w:rsidRDefault="00694E7F" w:rsidP="00913BD9">
            <w:pPr>
              <w:ind w:firstLineChars="100" w:firstLine="140"/>
              <w:rPr>
                <w:color w:val="000000"/>
                <w:sz w:val="14"/>
                <w:szCs w:val="14"/>
                <w:lang w:val="es-GT" w:eastAsia="es-GT"/>
              </w:rPr>
            </w:pPr>
            <w:r w:rsidRPr="00913BD9">
              <w:rPr>
                <w:color w:val="000000"/>
                <w:sz w:val="14"/>
                <w:szCs w:val="14"/>
                <w:lang w:val="es-GT" w:eastAsia="es-GT"/>
              </w:rPr>
              <w:t>DESARROLLO COMUNITARIO</w:t>
            </w:r>
          </w:p>
        </w:tc>
        <w:tc>
          <w:tcPr>
            <w:tcW w:w="1134" w:type="dxa"/>
            <w:tcBorders>
              <w:top w:val="nil"/>
              <w:left w:val="nil"/>
              <w:bottom w:val="single" w:sz="4" w:space="0" w:color="auto"/>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1.7</w:t>
            </w:r>
          </w:p>
        </w:tc>
        <w:tc>
          <w:tcPr>
            <w:tcW w:w="1134" w:type="dxa"/>
            <w:tcBorders>
              <w:top w:val="nil"/>
              <w:left w:val="nil"/>
              <w:bottom w:val="single" w:sz="4" w:space="0" w:color="auto"/>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0.3</w:t>
            </w:r>
          </w:p>
        </w:tc>
        <w:tc>
          <w:tcPr>
            <w:tcW w:w="993" w:type="dxa"/>
            <w:tcBorders>
              <w:top w:val="nil"/>
              <w:left w:val="nil"/>
              <w:bottom w:val="single" w:sz="4" w:space="0" w:color="auto"/>
              <w:right w:val="single" w:sz="4"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1.40</w:t>
            </w:r>
          </w:p>
        </w:tc>
        <w:tc>
          <w:tcPr>
            <w:tcW w:w="992" w:type="dxa"/>
            <w:tcBorders>
              <w:top w:val="nil"/>
              <w:left w:val="nil"/>
              <w:bottom w:val="single" w:sz="4" w:space="0" w:color="auto"/>
              <w:right w:val="single" w:sz="8" w:space="0" w:color="auto"/>
            </w:tcBorders>
            <w:shd w:val="clear" w:color="000000" w:fill="FFFFFF"/>
            <w:noWrap/>
            <w:vAlign w:val="center"/>
            <w:hideMark/>
          </w:tcPr>
          <w:p w:rsidR="00694E7F" w:rsidRPr="00913BD9" w:rsidRDefault="00694E7F" w:rsidP="00694E7F">
            <w:pPr>
              <w:jc w:val="right"/>
              <w:rPr>
                <w:color w:val="000000"/>
                <w:sz w:val="14"/>
                <w:szCs w:val="14"/>
                <w:lang w:val="es-GT" w:eastAsia="es-GT"/>
              </w:rPr>
            </w:pPr>
            <w:r w:rsidRPr="00913BD9">
              <w:rPr>
                <w:color w:val="000000"/>
                <w:sz w:val="14"/>
                <w:szCs w:val="14"/>
                <w:lang w:val="es-GT" w:eastAsia="es-GT"/>
              </w:rPr>
              <w:t>15.9%</w:t>
            </w: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Default="00694E7F" w:rsidP="00694E7F">
      <w:pPr>
        <w:jc w:val="both"/>
      </w:pPr>
    </w:p>
    <w:p w:rsidR="00694E7F" w:rsidRDefault="00694E7F" w:rsidP="00694E7F">
      <w:pPr>
        <w:jc w:val="both"/>
      </w:pPr>
      <w:r w:rsidRPr="00D108FD">
        <w:t xml:space="preserve">En cuanto al sub programa Aporte a las Municipalidades, la actividad es la misma en la que el presupuesto asignado </w:t>
      </w:r>
      <w:r>
        <w:t>fue</w:t>
      </w:r>
      <w:r w:rsidRPr="00D108FD">
        <w:t xml:space="preserve"> de </w:t>
      </w:r>
      <w:r>
        <w:t>Q</w:t>
      </w:r>
      <w:r w:rsidR="00925918">
        <w:t>.</w:t>
      </w:r>
      <w:r>
        <w:t>7</w:t>
      </w:r>
      <w:r w:rsidRPr="00D108FD">
        <w:t>,</w:t>
      </w:r>
      <w:r>
        <w:t>619.9</w:t>
      </w:r>
      <w:r w:rsidRPr="00D108FD">
        <w:t xml:space="preserve"> millones y una ejecución presupuestaria por</w:t>
      </w:r>
      <w:r>
        <w:t xml:space="preserve"> </w:t>
      </w:r>
      <w:r w:rsidRPr="00D108FD">
        <w:t>valor</w:t>
      </w:r>
      <w:r>
        <w:t xml:space="preserve"> de Q</w:t>
      </w:r>
      <w:r w:rsidR="00925918">
        <w:t>.</w:t>
      </w:r>
      <w:r>
        <w:t>7,409.5 millones</w:t>
      </w:r>
      <w:r w:rsidRPr="00D108FD">
        <w:t xml:space="preserve">, dando como resultado un </w:t>
      </w:r>
      <w:r>
        <w:t>97.2</w:t>
      </w:r>
      <w:r w:rsidRPr="00D108FD">
        <w:t>%.</w:t>
      </w:r>
    </w:p>
    <w:p w:rsidR="00694E7F" w:rsidRDefault="00694E7F" w:rsidP="00694E7F">
      <w:pPr>
        <w:jc w:val="both"/>
      </w:pPr>
    </w:p>
    <w:p w:rsidR="00694E7F" w:rsidRDefault="00694E7F" w:rsidP="00694E7F">
      <w:pPr>
        <w:jc w:val="both"/>
      </w:pPr>
      <w:r w:rsidRPr="00D108FD">
        <w:t>Por otro lado, están l</w:t>
      </w:r>
      <w:r>
        <w:t>o</w:t>
      </w:r>
      <w:r w:rsidRPr="00D108FD">
        <w:t xml:space="preserve">s recursos destinados a las Clases Pasivas </w:t>
      </w:r>
      <w:r>
        <w:t xml:space="preserve">Civiles </w:t>
      </w:r>
      <w:r w:rsidRPr="00D108FD">
        <w:t xml:space="preserve">del Estado, las cuales tuvieron un presupuesto </w:t>
      </w:r>
      <w:r>
        <w:t xml:space="preserve">aprobado </w:t>
      </w:r>
      <w:r w:rsidRPr="00D108FD">
        <w:t xml:space="preserve">de </w:t>
      </w:r>
      <w:r>
        <w:t>Q</w:t>
      </w:r>
      <w:r w:rsidR="00925918">
        <w:t>.</w:t>
      </w:r>
      <w:r w:rsidRPr="00D108FD">
        <w:t>5,</w:t>
      </w:r>
      <w:r>
        <w:t>195.7</w:t>
      </w:r>
      <w:r w:rsidRPr="00D108FD">
        <w:t xml:space="preserve"> millones y una ejecución presupuestaria de </w:t>
      </w:r>
      <w:r>
        <w:t>Q</w:t>
      </w:r>
      <w:r w:rsidR="00925918">
        <w:t>.</w:t>
      </w:r>
      <w:r w:rsidRPr="00D108FD">
        <w:t>5,</w:t>
      </w:r>
      <w:r>
        <w:t>142.7</w:t>
      </w:r>
      <w:r w:rsidRPr="00D108FD">
        <w:t xml:space="preserve"> millones equivalente</w:t>
      </w:r>
      <w:r w:rsidR="00925918">
        <w:t>s</w:t>
      </w:r>
      <w:r w:rsidRPr="00D108FD">
        <w:t xml:space="preserve"> al 99</w:t>
      </w:r>
      <w:r>
        <w:t>.0</w:t>
      </w:r>
      <w:r w:rsidRPr="00D108FD">
        <w:t>%</w:t>
      </w:r>
      <w:r>
        <w:t>.</w:t>
      </w:r>
    </w:p>
    <w:p w:rsidR="00694E7F" w:rsidRDefault="00694E7F" w:rsidP="00694E7F">
      <w:pPr>
        <w:jc w:val="both"/>
        <w:rPr>
          <w:b/>
        </w:rPr>
      </w:pPr>
    </w:p>
    <w:p w:rsidR="00694E7F" w:rsidRDefault="00694E7F" w:rsidP="00694E7F">
      <w:pPr>
        <w:jc w:val="both"/>
      </w:pPr>
      <w:r>
        <w:t>El sub programa denominado Otras Obligaciones reporta un presupuesto aprobado de Q</w:t>
      </w:r>
      <w:r w:rsidR="00925918">
        <w:t>.</w:t>
      </w:r>
      <w:r>
        <w:t>485.1 millones, este se ejecutó a través de las funciones</w:t>
      </w:r>
      <w:r w:rsidRPr="00D108FD">
        <w:t xml:space="preserve"> Protección</w:t>
      </w:r>
      <w:r>
        <w:t xml:space="preserve"> de la Diversidad Biológica y del Paisaje con</w:t>
      </w:r>
      <w:r w:rsidRPr="00D108FD">
        <w:t xml:space="preserve"> </w:t>
      </w:r>
      <w:r>
        <w:t>Q</w:t>
      </w:r>
      <w:r w:rsidR="00925918">
        <w:t>.</w:t>
      </w:r>
      <w:r>
        <w:t>272.2</w:t>
      </w:r>
      <w:r w:rsidRPr="00D108FD">
        <w:t xml:space="preserve"> </w:t>
      </w:r>
      <w:r>
        <w:t>millones (85.1%) la de Incentivos Forestales PINPEP la cantidad de Q</w:t>
      </w:r>
      <w:r w:rsidR="00925918">
        <w:t>.</w:t>
      </w:r>
      <w:r>
        <w:t>340.7</w:t>
      </w:r>
      <w:r w:rsidR="009374CC">
        <w:t xml:space="preserve"> millones</w:t>
      </w:r>
      <w:r>
        <w:t xml:space="preserve"> (214.1%)</w:t>
      </w:r>
      <w:r w:rsidRPr="00D108FD">
        <w:t xml:space="preserve"> y </w:t>
      </w:r>
      <w:r>
        <w:t>en Otras Obligaciones del Estado Q</w:t>
      </w:r>
      <w:r w:rsidR="00925918">
        <w:t>.</w:t>
      </w:r>
      <w:r>
        <w:t>0.9 millones.</w:t>
      </w:r>
    </w:p>
    <w:p w:rsidR="00694E7F" w:rsidRDefault="00694E7F" w:rsidP="00694E7F">
      <w:pPr>
        <w:jc w:val="both"/>
      </w:pPr>
    </w:p>
    <w:p w:rsidR="00694E7F" w:rsidRDefault="00694E7F" w:rsidP="00694E7F">
      <w:pPr>
        <w:jc w:val="both"/>
      </w:pPr>
    </w:p>
    <w:tbl>
      <w:tblPr>
        <w:tblW w:w="9426" w:type="dxa"/>
        <w:tblCellMar>
          <w:left w:w="70" w:type="dxa"/>
          <w:right w:w="70" w:type="dxa"/>
        </w:tblCellMar>
        <w:tblLook w:val="04A0" w:firstRow="1" w:lastRow="0" w:firstColumn="1" w:lastColumn="0" w:noHBand="0" w:noVBand="1"/>
      </w:tblPr>
      <w:tblGrid>
        <w:gridCol w:w="3996"/>
        <w:gridCol w:w="1319"/>
        <w:gridCol w:w="1418"/>
        <w:gridCol w:w="1417"/>
        <w:gridCol w:w="1276"/>
      </w:tblGrid>
      <w:tr w:rsidR="00694E7F" w:rsidRPr="00834ABF" w:rsidTr="00913BD9">
        <w:trPr>
          <w:trHeight w:val="300"/>
        </w:trPr>
        <w:tc>
          <w:tcPr>
            <w:tcW w:w="3996"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913BD9" w:rsidRDefault="00694E7F" w:rsidP="00694E7F">
            <w:pPr>
              <w:jc w:val="center"/>
              <w:rPr>
                <w:b/>
                <w:bCs/>
                <w:color w:val="000000"/>
                <w:sz w:val="18"/>
                <w:szCs w:val="22"/>
                <w:lang w:val="es-GT" w:eastAsia="es-GT"/>
              </w:rPr>
            </w:pPr>
            <w:r w:rsidRPr="00913BD9">
              <w:rPr>
                <w:b/>
                <w:bCs/>
                <w:color w:val="000000"/>
                <w:sz w:val="18"/>
                <w:szCs w:val="22"/>
                <w:lang w:val="es-GT" w:eastAsia="es-GT"/>
              </w:rPr>
              <w:t>DESCRIPCION</w:t>
            </w:r>
          </w:p>
        </w:tc>
        <w:tc>
          <w:tcPr>
            <w:tcW w:w="1319"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913BD9" w:rsidRDefault="00694E7F" w:rsidP="00694E7F">
            <w:pPr>
              <w:jc w:val="center"/>
              <w:rPr>
                <w:b/>
                <w:bCs/>
                <w:color w:val="000000"/>
                <w:sz w:val="18"/>
                <w:szCs w:val="22"/>
                <w:lang w:val="es-GT" w:eastAsia="es-GT"/>
              </w:rPr>
            </w:pPr>
            <w:r w:rsidRPr="00913BD9">
              <w:rPr>
                <w:b/>
                <w:bCs/>
                <w:color w:val="000000"/>
                <w:sz w:val="18"/>
                <w:szCs w:val="22"/>
                <w:lang w:val="es-GT" w:eastAsia="es-GT"/>
              </w:rPr>
              <w:t>Asignado</w:t>
            </w:r>
          </w:p>
        </w:tc>
        <w:tc>
          <w:tcPr>
            <w:tcW w:w="1418"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913BD9" w:rsidRDefault="00694E7F" w:rsidP="00694E7F">
            <w:pPr>
              <w:jc w:val="center"/>
              <w:rPr>
                <w:b/>
                <w:bCs/>
                <w:color w:val="000000"/>
                <w:sz w:val="18"/>
                <w:szCs w:val="22"/>
                <w:lang w:val="es-GT" w:eastAsia="es-GT"/>
              </w:rPr>
            </w:pPr>
            <w:r w:rsidRPr="00913BD9">
              <w:rPr>
                <w:b/>
                <w:bCs/>
                <w:color w:val="000000"/>
                <w:sz w:val="18"/>
                <w:szCs w:val="22"/>
                <w:lang w:val="es-GT" w:eastAsia="es-GT"/>
              </w:rPr>
              <w:t>Ejecución</w:t>
            </w:r>
          </w:p>
        </w:tc>
        <w:tc>
          <w:tcPr>
            <w:tcW w:w="1417"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913BD9" w:rsidRDefault="00694E7F" w:rsidP="00694E7F">
            <w:pPr>
              <w:jc w:val="center"/>
              <w:rPr>
                <w:b/>
                <w:bCs/>
                <w:color w:val="000000"/>
                <w:sz w:val="18"/>
                <w:szCs w:val="22"/>
                <w:lang w:val="es-GT" w:eastAsia="es-GT"/>
              </w:rPr>
            </w:pPr>
            <w:r w:rsidRPr="00913BD9">
              <w:rPr>
                <w:b/>
                <w:bCs/>
                <w:color w:val="000000"/>
                <w:sz w:val="18"/>
                <w:szCs w:val="22"/>
                <w:lang w:val="es-GT" w:eastAsia="es-GT"/>
              </w:rPr>
              <w:t>Diferencia</w:t>
            </w:r>
          </w:p>
        </w:tc>
        <w:tc>
          <w:tcPr>
            <w:tcW w:w="1276" w:type="dxa"/>
            <w:tcBorders>
              <w:top w:val="single" w:sz="8" w:space="0" w:color="auto"/>
              <w:left w:val="nil"/>
              <w:bottom w:val="single" w:sz="4" w:space="0" w:color="auto"/>
              <w:right w:val="single" w:sz="8" w:space="0" w:color="auto"/>
            </w:tcBorders>
            <w:shd w:val="clear" w:color="000000" w:fill="8DB4E2"/>
            <w:noWrap/>
            <w:vAlign w:val="center"/>
            <w:hideMark/>
          </w:tcPr>
          <w:p w:rsidR="00694E7F" w:rsidRPr="00913BD9" w:rsidRDefault="00694E7F" w:rsidP="00694E7F">
            <w:pPr>
              <w:jc w:val="center"/>
              <w:rPr>
                <w:b/>
                <w:bCs/>
                <w:color w:val="000000"/>
                <w:sz w:val="18"/>
                <w:szCs w:val="22"/>
                <w:lang w:val="es-GT" w:eastAsia="es-GT"/>
              </w:rPr>
            </w:pPr>
            <w:r w:rsidRPr="00913BD9">
              <w:rPr>
                <w:b/>
                <w:bCs/>
                <w:color w:val="000000"/>
                <w:sz w:val="18"/>
                <w:szCs w:val="22"/>
                <w:lang w:val="es-GT" w:eastAsia="es-GT"/>
              </w:rPr>
              <w:t>% Ejec</w:t>
            </w:r>
          </w:p>
        </w:tc>
      </w:tr>
      <w:tr w:rsidR="00694E7F" w:rsidRPr="00834ABF" w:rsidTr="00913BD9">
        <w:trPr>
          <w:trHeight w:val="300"/>
        </w:trPr>
        <w:tc>
          <w:tcPr>
            <w:tcW w:w="3996"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694E7F">
            <w:pPr>
              <w:rPr>
                <w:b/>
                <w:bCs/>
                <w:color w:val="000000"/>
                <w:sz w:val="16"/>
                <w:szCs w:val="18"/>
                <w:lang w:val="es-GT" w:eastAsia="es-GT"/>
              </w:rPr>
            </w:pPr>
            <w:r w:rsidRPr="00913BD9">
              <w:rPr>
                <w:b/>
                <w:bCs/>
                <w:color w:val="000000"/>
                <w:sz w:val="16"/>
                <w:szCs w:val="18"/>
                <w:lang w:val="es-GT" w:eastAsia="es-GT"/>
              </w:rPr>
              <w:t>APORTE A MUNICIPALIDADES</w:t>
            </w:r>
          </w:p>
        </w:tc>
        <w:tc>
          <w:tcPr>
            <w:tcW w:w="1319"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7,619.9</w:t>
            </w:r>
          </w:p>
        </w:tc>
        <w:tc>
          <w:tcPr>
            <w:tcW w:w="1418"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7,409.5</w:t>
            </w:r>
          </w:p>
        </w:tc>
        <w:tc>
          <w:tcPr>
            <w:tcW w:w="1417"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210.35</w:t>
            </w:r>
          </w:p>
        </w:tc>
        <w:tc>
          <w:tcPr>
            <w:tcW w:w="1276"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97.2%</w:t>
            </w:r>
          </w:p>
        </w:tc>
      </w:tr>
      <w:tr w:rsidR="00694E7F" w:rsidRPr="00834ABF" w:rsidTr="00913BD9">
        <w:trPr>
          <w:trHeight w:val="300"/>
        </w:trPr>
        <w:tc>
          <w:tcPr>
            <w:tcW w:w="3996"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200" w:firstLine="320"/>
              <w:rPr>
                <w:color w:val="000000"/>
                <w:sz w:val="16"/>
                <w:szCs w:val="18"/>
                <w:lang w:val="es-GT" w:eastAsia="es-GT"/>
              </w:rPr>
            </w:pPr>
            <w:r w:rsidRPr="00913BD9">
              <w:rPr>
                <w:color w:val="000000"/>
                <w:sz w:val="16"/>
                <w:szCs w:val="18"/>
                <w:lang w:val="es-GT" w:eastAsia="es-GT"/>
              </w:rPr>
              <w:t>APORTE A MUNICIPALIDADES</w:t>
            </w:r>
          </w:p>
        </w:tc>
        <w:tc>
          <w:tcPr>
            <w:tcW w:w="1319"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7,619.9</w:t>
            </w:r>
          </w:p>
        </w:tc>
        <w:tc>
          <w:tcPr>
            <w:tcW w:w="1418"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7,409.5</w:t>
            </w:r>
          </w:p>
        </w:tc>
        <w:tc>
          <w:tcPr>
            <w:tcW w:w="1417"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210.35</w:t>
            </w:r>
          </w:p>
        </w:tc>
        <w:tc>
          <w:tcPr>
            <w:tcW w:w="1276"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97.2%</w:t>
            </w:r>
          </w:p>
        </w:tc>
      </w:tr>
      <w:tr w:rsidR="00694E7F" w:rsidRPr="00834ABF" w:rsidTr="00913BD9">
        <w:trPr>
          <w:trHeight w:val="300"/>
        </w:trPr>
        <w:tc>
          <w:tcPr>
            <w:tcW w:w="3996"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694E7F">
            <w:pPr>
              <w:rPr>
                <w:b/>
                <w:bCs/>
                <w:color w:val="000000"/>
                <w:sz w:val="16"/>
                <w:szCs w:val="18"/>
                <w:lang w:val="es-GT" w:eastAsia="es-GT"/>
              </w:rPr>
            </w:pPr>
            <w:r w:rsidRPr="00913BD9">
              <w:rPr>
                <w:b/>
                <w:bCs/>
                <w:color w:val="000000"/>
                <w:sz w:val="16"/>
                <w:szCs w:val="18"/>
                <w:lang w:val="es-GT" w:eastAsia="es-GT"/>
              </w:rPr>
              <w:t>CLASES PASIVAS CIVILES DEL ESTADO</w:t>
            </w:r>
          </w:p>
        </w:tc>
        <w:tc>
          <w:tcPr>
            <w:tcW w:w="1319"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5,195.7</w:t>
            </w:r>
          </w:p>
        </w:tc>
        <w:tc>
          <w:tcPr>
            <w:tcW w:w="1418"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5,142.7</w:t>
            </w:r>
          </w:p>
        </w:tc>
        <w:tc>
          <w:tcPr>
            <w:tcW w:w="1417"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52.97</w:t>
            </w:r>
          </w:p>
        </w:tc>
        <w:tc>
          <w:tcPr>
            <w:tcW w:w="1276"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99.0%</w:t>
            </w:r>
          </w:p>
        </w:tc>
      </w:tr>
      <w:tr w:rsidR="00694E7F" w:rsidRPr="00834ABF" w:rsidTr="00913BD9">
        <w:trPr>
          <w:trHeight w:val="300"/>
        </w:trPr>
        <w:tc>
          <w:tcPr>
            <w:tcW w:w="3996"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200" w:firstLine="320"/>
              <w:rPr>
                <w:color w:val="000000"/>
                <w:sz w:val="16"/>
                <w:szCs w:val="18"/>
                <w:lang w:val="es-GT" w:eastAsia="es-GT"/>
              </w:rPr>
            </w:pPr>
            <w:r w:rsidRPr="00913BD9">
              <w:rPr>
                <w:color w:val="000000"/>
                <w:sz w:val="16"/>
                <w:szCs w:val="18"/>
                <w:lang w:val="es-GT" w:eastAsia="es-GT"/>
              </w:rPr>
              <w:t>CLASES PASIVAS CIVILES DEL ESTADO</w:t>
            </w:r>
          </w:p>
        </w:tc>
        <w:tc>
          <w:tcPr>
            <w:tcW w:w="1319"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5,195.7</w:t>
            </w:r>
          </w:p>
        </w:tc>
        <w:tc>
          <w:tcPr>
            <w:tcW w:w="1418"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5,142.7</w:t>
            </w:r>
          </w:p>
        </w:tc>
        <w:tc>
          <w:tcPr>
            <w:tcW w:w="1417"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52.97</w:t>
            </w:r>
          </w:p>
        </w:tc>
        <w:tc>
          <w:tcPr>
            <w:tcW w:w="1276"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99.0%</w:t>
            </w:r>
          </w:p>
        </w:tc>
      </w:tr>
      <w:tr w:rsidR="00694E7F" w:rsidRPr="00834ABF" w:rsidTr="00913BD9">
        <w:trPr>
          <w:trHeight w:val="300"/>
        </w:trPr>
        <w:tc>
          <w:tcPr>
            <w:tcW w:w="3996"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694E7F">
            <w:pPr>
              <w:rPr>
                <w:b/>
                <w:bCs/>
                <w:color w:val="000000"/>
                <w:sz w:val="16"/>
                <w:szCs w:val="18"/>
                <w:lang w:val="es-GT" w:eastAsia="es-GT"/>
              </w:rPr>
            </w:pPr>
            <w:r w:rsidRPr="00913BD9">
              <w:rPr>
                <w:b/>
                <w:bCs/>
                <w:color w:val="000000"/>
                <w:sz w:val="16"/>
                <w:szCs w:val="18"/>
                <w:lang w:val="es-GT" w:eastAsia="es-GT"/>
              </w:rPr>
              <w:t>OTRAS OBLIGACIONES DEL ESTADO</w:t>
            </w:r>
          </w:p>
        </w:tc>
        <w:tc>
          <w:tcPr>
            <w:tcW w:w="1319"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485.1</w:t>
            </w:r>
          </w:p>
        </w:tc>
        <w:tc>
          <w:tcPr>
            <w:tcW w:w="1418"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613.7</w:t>
            </w:r>
          </w:p>
        </w:tc>
        <w:tc>
          <w:tcPr>
            <w:tcW w:w="1417"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-128.67</w:t>
            </w:r>
          </w:p>
        </w:tc>
        <w:tc>
          <w:tcPr>
            <w:tcW w:w="1276"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b/>
                <w:bCs/>
                <w:color w:val="000000"/>
                <w:sz w:val="16"/>
                <w:szCs w:val="18"/>
                <w:lang w:val="es-GT" w:eastAsia="es-GT"/>
              </w:rPr>
            </w:pPr>
            <w:r w:rsidRPr="00913BD9">
              <w:rPr>
                <w:b/>
                <w:bCs/>
                <w:color w:val="000000"/>
                <w:sz w:val="16"/>
                <w:szCs w:val="18"/>
                <w:lang w:val="es-GT" w:eastAsia="es-GT"/>
              </w:rPr>
              <w:t>126.5%</w:t>
            </w:r>
          </w:p>
        </w:tc>
      </w:tr>
      <w:tr w:rsidR="00694E7F" w:rsidRPr="00834ABF" w:rsidTr="00913BD9">
        <w:trPr>
          <w:trHeight w:val="300"/>
        </w:trPr>
        <w:tc>
          <w:tcPr>
            <w:tcW w:w="3996"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200" w:firstLine="320"/>
              <w:rPr>
                <w:color w:val="000000"/>
                <w:sz w:val="16"/>
                <w:szCs w:val="18"/>
                <w:lang w:val="es-GT" w:eastAsia="es-GT"/>
              </w:rPr>
            </w:pPr>
            <w:r w:rsidRPr="00913BD9">
              <w:rPr>
                <w:color w:val="000000"/>
                <w:sz w:val="16"/>
                <w:szCs w:val="18"/>
                <w:lang w:val="es-GT" w:eastAsia="es-GT"/>
              </w:rPr>
              <w:t>PROTECCIÓN AMBIENTAL</w:t>
            </w:r>
          </w:p>
        </w:tc>
        <w:tc>
          <w:tcPr>
            <w:tcW w:w="1319"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319.9</w:t>
            </w:r>
          </w:p>
        </w:tc>
        <w:tc>
          <w:tcPr>
            <w:tcW w:w="1418"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272.2</w:t>
            </w:r>
          </w:p>
        </w:tc>
        <w:tc>
          <w:tcPr>
            <w:tcW w:w="1417"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47.76</w:t>
            </w:r>
          </w:p>
        </w:tc>
        <w:tc>
          <w:tcPr>
            <w:tcW w:w="1276"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85.1%</w:t>
            </w:r>
          </w:p>
        </w:tc>
      </w:tr>
      <w:tr w:rsidR="00694E7F" w:rsidRPr="00834ABF" w:rsidTr="00913BD9">
        <w:trPr>
          <w:trHeight w:val="300"/>
        </w:trPr>
        <w:tc>
          <w:tcPr>
            <w:tcW w:w="3996" w:type="dxa"/>
            <w:tcBorders>
              <w:top w:val="nil"/>
              <w:left w:val="single" w:sz="8" w:space="0" w:color="auto"/>
              <w:bottom w:val="nil"/>
              <w:right w:val="single" w:sz="4" w:space="0" w:color="auto"/>
            </w:tcBorders>
            <w:shd w:val="clear" w:color="000000" w:fill="FFFFFF"/>
            <w:noWrap/>
            <w:vAlign w:val="center"/>
            <w:hideMark/>
          </w:tcPr>
          <w:p w:rsidR="00694E7F" w:rsidRPr="00913BD9" w:rsidRDefault="00694E7F" w:rsidP="00913BD9">
            <w:pPr>
              <w:ind w:firstLineChars="200" w:firstLine="320"/>
              <w:rPr>
                <w:color w:val="000000"/>
                <w:sz w:val="16"/>
                <w:szCs w:val="18"/>
                <w:lang w:val="es-GT" w:eastAsia="es-GT"/>
              </w:rPr>
            </w:pPr>
            <w:r w:rsidRPr="00913BD9">
              <w:rPr>
                <w:color w:val="000000"/>
                <w:sz w:val="16"/>
                <w:szCs w:val="18"/>
                <w:lang w:val="es-GT" w:eastAsia="es-GT"/>
              </w:rPr>
              <w:t>INCENTIVOS FORESTALES PINPEP</w:t>
            </w:r>
          </w:p>
        </w:tc>
        <w:tc>
          <w:tcPr>
            <w:tcW w:w="1319"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159.1</w:t>
            </w:r>
          </w:p>
        </w:tc>
        <w:tc>
          <w:tcPr>
            <w:tcW w:w="1418"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340.7</w:t>
            </w:r>
          </w:p>
        </w:tc>
        <w:tc>
          <w:tcPr>
            <w:tcW w:w="1417"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-181.52</w:t>
            </w:r>
          </w:p>
        </w:tc>
        <w:tc>
          <w:tcPr>
            <w:tcW w:w="1276" w:type="dxa"/>
            <w:tcBorders>
              <w:top w:val="nil"/>
              <w:left w:val="nil"/>
              <w:bottom w:val="nil"/>
              <w:right w:val="single" w:sz="8"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214.1%</w:t>
            </w:r>
          </w:p>
        </w:tc>
      </w:tr>
      <w:tr w:rsidR="00694E7F" w:rsidRPr="00834ABF" w:rsidTr="00913BD9">
        <w:trPr>
          <w:trHeight w:val="315"/>
        </w:trPr>
        <w:tc>
          <w:tcPr>
            <w:tcW w:w="3996" w:type="dxa"/>
            <w:tcBorders>
              <w:top w:val="nil"/>
              <w:left w:val="single" w:sz="8" w:space="0" w:color="auto"/>
              <w:bottom w:val="single" w:sz="8" w:space="0" w:color="auto"/>
              <w:right w:val="single" w:sz="4" w:space="0" w:color="auto"/>
            </w:tcBorders>
            <w:shd w:val="clear" w:color="000000" w:fill="FFFFFF"/>
            <w:noWrap/>
            <w:vAlign w:val="center"/>
            <w:hideMark/>
          </w:tcPr>
          <w:p w:rsidR="00694E7F" w:rsidRPr="00913BD9" w:rsidRDefault="00694E7F" w:rsidP="00913BD9">
            <w:pPr>
              <w:ind w:firstLineChars="200" w:firstLine="320"/>
              <w:rPr>
                <w:color w:val="000000"/>
                <w:sz w:val="16"/>
                <w:szCs w:val="18"/>
                <w:lang w:val="es-GT" w:eastAsia="es-GT"/>
              </w:rPr>
            </w:pPr>
            <w:r w:rsidRPr="00913BD9">
              <w:rPr>
                <w:color w:val="000000"/>
                <w:sz w:val="16"/>
                <w:szCs w:val="18"/>
                <w:lang w:val="es-GT" w:eastAsia="es-GT"/>
              </w:rPr>
              <w:t>OTRAS OBLIGACIONES DEL ESTADO</w:t>
            </w:r>
          </w:p>
        </w:tc>
        <w:tc>
          <w:tcPr>
            <w:tcW w:w="1319" w:type="dxa"/>
            <w:tcBorders>
              <w:top w:val="nil"/>
              <w:left w:val="nil"/>
              <w:bottom w:val="single" w:sz="8" w:space="0" w:color="auto"/>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6.0</w:t>
            </w:r>
          </w:p>
        </w:tc>
        <w:tc>
          <w:tcPr>
            <w:tcW w:w="1418" w:type="dxa"/>
            <w:tcBorders>
              <w:top w:val="nil"/>
              <w:left w:val="nil"/>
              <w:bottom w:val="single" w:sz="8" w:space="0" w:color="auto"/>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0.9</w:t>
            </w:r>
          </w:p>
        </w:tc>
        <w:tc>
          <w:tcPr>
            <w:tcW w:w="1417" w:type="dxa"/>
            <w:tcBorders>
              <w:top w:val="nil"/>
              <w:left w:val="nil"/>
              <w:bottom w:val="single" w:sz="8" w:space="0" w:color="auto"/>
              <w:right w:val="single" w:sz="4"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5.10</w:t>
            </w:r>
          </w:p>
        </w:tc>
        <w:tc>
          <w:tcPr>
            <w:tcW w:w="1276" w:type="dxa"/>
            <w:tcBorders>
              <w:top w:val="nil"/>
              <w:left w:val="single" w:sz="4" w:space="0" w:color="auto"/>
              <w:bottom w:val="single" w:sz="8" w:space="0" w:color="auto"/>
              <w:right w:val="single" w:sz="8" w:space="0" w:color="auto"/>
            </w:tcBorders>
            <w:shd w:val="clear" w:color="000000" w:fill="FFFFFF"/>
            <w:noWrap/>
            <w:vAlign w:val="center"/>
            <w:hideMark/>
          </w:tcPr>
          <w:p w:rsidR="00694E7F" w:rsidRPr="00913BD9" w:rsidRDefault="00694E7F" w:rsidP="00694E7F">
            <w:pPr>
              <w:jc w:val="right"/>
              <w:rPr>
                <w:color w:val="000000"/>
                <w:sz w:val="16"/>
                <w:szCs w:val="18"/>
                <w:lang w:val="es-GT" w:eastAsia="es-GT"/>
              </w:rPr>
            </w:pPr>
            <w:r w:rsidRPr="00913BD9">
              <w:rPr>
                <w:color w:val="000000"/>
                <w:sz w:val="16"/>
                <w:szCs w:val="18"/>
                <w:lang w:val="es-GT" w:eastAsia="es-GT"/>
              </w:rPr>
              <w:t>15.0%</w:t>
            </w:r>
          </w:p>
        </w:tc>
      </w:tr>
    </w:tbl>
    <w:p w:rsidR="00694E7F" w:rsidRPr="004E678D" w:rsidRDefault="00694E7F" w:rsidP="00694E7F">
      <w:pPr>
        <w:jc w:val="both"/>
        <w:rPr>
          <w:sz w:val="18"/>
        </w:rPr>
      </w:pPr>
      <w:r w:rsidRPr="004E678D">
        <w:rPr>
          <w:sz w:val="18"/>
        </w:rPr>
        <w:t>Fuente: Ministerio de Finanzas Públicas</w:t>
      </w:r>
      <w:r>
        <w:rPr>
          <w:sz w:val="18"/>
        </w:rPr>
        <w:t>.</w:t>
      </w:r>
    </w:p>
    <w:p w:rsidR="00694E7F" w:rsidRPr="00D108FD" w:rsidRDefault="00694E7F" w:rsidP="00694E7F">
      <w:pPr>
        <w:jc w:val="both"/>
      </w:pPr>
    </w:p>
    <w:p w:rsidR="00694E7F" w:rsidRDefault="00694E7F" w:rsidP="00694E7F">
      <w:pPr>
        <w:rPr>
          <w:b/>
        </w:rPr>
      </w:pPr>
    </w:p>
    <w:p w:rsidR="00694E7F" w:rsidRDefault="00694E7F" w:rsidP="00925918">
      <w:pPr>
        <w:jc w:val="both"/>
      </w:pPr>
      <w:r>
        <w:t>Dentro de las Obligaciones también se ejecutaron recursos para hacer frente a los desastres provocados por los fenómenos naturales de</w:t>
      </w:r>
      <w:r w:rsidR="00925918">
        <w:t xml:space="preserve"> </w:t>
      </w:r>
      <w:r>
        <w:t>l</w:t>
      </w:r>
      <w:r w:rsidR="00925918">
        <w:t>os</w:t>
      </w:r>
      <w:r>
        <w:t xml:space="preserve"> hurac</w:t>
      </w:r>
      <w:r w:rsidR="00925918">
        <w:t>anes</w:t>
      </w:r>
      <w:r>
        <w:t xml:space="preserve"> </w:t>
      </w:r>
      <w:r w:rsidR="00925918">
        <w:t>Eta e Iota</w:t>
      </w:r>
      <w:r>
        <w:t>, así mismo, por la crisis generada por la pandemia del C</w:t>
      </w:r>
      <w:r w:rsidR="00925918">
        <w:t>ovid</w:t>
      </w:r>
      <w:r>
        <w:t>-19, por la cantidad de Q</w:t>
      </w:r>
      <w:r w:rsidR="00925918">
        <w:t>.</w:t>
      </w:r>
      <w:r>
        <w:t>2,840.0 millones, monto que no estaba incluido en el presupuesto aprobado, así:</w:t>
      </w:r>
    </w:p>
    <w:p w:rsidR="00694E7F" w:rsidRDefault="00694E7F" w:rsidP="00694E7F"/>
    <w:tbl>
      <w:tblPr>
        <w:tblW w:w="9530" w:type="dxa"/>
        <w:tblCellMar>
          <w:left w:w="70" w:type="dxa"/>
          <w:right w:w="70" w:type="dxa"/>
        </w:tblCellMar>
        <w:tblLook w:val="04A0" w:firstRow="1" w:lastRow="0" w:firstColumn="1" w:lastColumn="0" w:noHBand="0" w:noVBand="1"/>
      </w:tblPr>
      <w:tblGrid>
        <w:gridCol w:w="8150"/>
        <w:gridCol w:w="1380"/>
      </w:tblGrid>
      <w:tr w:rsidR="00694E7F" w:rsidRPr="00913BD9" w:rsidTr="00913BD9">
        <w:trPr>
          <w:trHeight w:val="309"/>
        </w:trPr>
        <w:tc>
          <w:tcPr>
            <w:tcW w:w="8150"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94E7F" w:rsidRPr="00913BD9" w:rsidRDefault="00694E7F" w:rsidP="00913BD9">
            <w:pPr>
              <w:jc w:val="center"/>
              <w:rPr>
                <w:b/>
                <w:bCs/>
                <w:color w:val="000000"/>
                <w:sz w:val="16"/>
                <w:szCs w:val="16"/>
                <w:lang w:val="es-GT" w:eastAsia="es-GT"/>
              </w:rPr>
            </w:pPr>
            <w:r w:rsidRPr="00913BD9">
              <w:rPr>
                <w:b/>
                <w:bCs/>
                <w:color w:val="000000"/>
                <w:sz w:val="16"/>
                <w:szCs w:val="16"/>
                <w:lang w:val="es-GT" w:eastAsia="es-GT"/>
              </w:rPr>
              <w:t>DESCRIPCION</w:t>
            </w:r>
          </w:p>
        </w:tc>
        <w:tc>
          <w:tcPr>
            <w:tcW w:w="1380" w:type="dxa"/>
            <w:tcBorders>
              <w:top w:val="single" w:sz="8" w:space="0" w:color="auto"/>
              <w:left w:val="nil"/>
              <w:bottom w:val="single" w:sz="4" w:space="0" w:color="auto"/>
              <w:right w:val="single" w:sz="4" w:space="0" w:color="auto"/>
            </w:tcBorders>
            <w:shd w:val="clear" w:color="000000" w:fill="8DB4E2"/>
            <w:noWrap/>
            <w:vAlign w:val="center"/>
            <w:hideMark/>
          </w:tcPr>
          <w:p w:rsidR="00694E7F" w:rsidRPr="00913BD9" w:rsidRDefault="00694E7F" w:rsidP="00913BD9">
            <w:pPr>
              <w:jc w:val="center"/>
              <w:rPr>
                <w:b/>
                <w:bCs/>
                <w:color w:val="000000"/>
                <w:sz w:val="16"/>
                <w:szCs w:val="16"/>
                <w:lang w:val="es-GT" w:eastAsia="es-GT"/>
              </w:rPr>
            </w:pPr>
            <w:r w:rsidRPr="00913BD9">
              <w:rPr>
                <w:b/>
                <w:bCs/>
                <w:color w:val="000000"/>
                <w:sz w:val="16"/>
                <w:szCs w:val="16"/>
                <w:lang w:val="es-GT" w:eastAsia="es-GT"/>
              </w:rPr>
              <w:t>Ejecución</w:t>
            </w:r>
          </w:p>
        </w:tc>
      </w:tr>
      <w:tr w:rsidR="00694E7F" w:rsidRPr="00913BD9" w:rsidTr="00913BD9">
        <w:trPr>
          <w:trHeight w:val="309"/>
        </w:trPr>
        <w:tc>
          <w:tcPr>
            <w:tcW w:w="8150" w:type="dxa"/>
            <w:tcBorders>
              <w:top w:val="nil"/>
              <w:left w:val="single" w:sz="8" w:space="0" w:color="auto"/>
              <w:bottom w:val="nil"/>
              <w:right w:val="single" w:sz="4" w:space="0" w:color="auto"/>
            </w:tcBorders>
            <w:shd w:val="clear" w:color="000000" w:fill="FFFFFF"/>
            <w:noWrap/>
            <w:hideMark/>
          </w:tcPr>
          <w:p w:rsidR="00694E7F" w:rsidRPr="00913BD9" w:rsidRDefault="00694E7F" w:rsidP="00694E7F">
            <w:pPr>
              <w:rPr>
                <w:b/>
                <w:bCs/>
                <w:color w:val="000000"/>
                <w:sz w:val="16"/>
                <w:szCs w:val="16"/>
                <w:lang w:val="es-GT" w:eastAsia="es-GT"/>
              </w:rPr>
            </w:pPr>
            <w:r w:rsidRPr="00913BD9">
              <w:rPr>
                <w:b/>
                <w:bCs/>
                <w:color w:val="000000"/>
                <w:sz w:val="16"/>
                <w:szCs w:val="16"/>
                <w:lang w:val="es-GT" w:eastAsia="es-GT"/>
              </w:rPr>
              <w:t>Estados de calamidad y Desastres Naturales</w:t>
            </w:r>
          </w:p>
        </w:tc>
        <w:tc>
          <w:tcPr>
            <w:tcW w:w="1380"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b/>
                <w:bCs/>
                <w:color w:val="000000"/>
                <w:sz w:val="16"/>
                <w:szCs w:val="16"/>
                <w:lang w:val="es-GT" w:eastAsia="es-GT"/>
              </w:rPr>
            </w:pPr>
            <w:r w:rsidRPr="00913BD9">
              <w:rPr>
                <w:b/>
                <w:bCs/>
                <w:color w:val="000000"/>
                <w:sz w:val="16"/>
                <w:szCs w:val="16"/>
                <w:lang w:val="es-GT" w:eastAsia="es-GT"/>
              </w:rPr>
              <w:t>2,840.0</w:t>
            </w:r>
          </w:p>
        </w:tc>
      </w:tr>
      <w:tr w:rsidR="00694E7F" w:rsidRPr="00913BD9" w:rsidTr="00913BD9">
        <w:trPr>
          <w:trHeight w:val="309"/>
        </w:trPr>
        <w:tc>
          <w:tcPr>
            <w:tcW w:w="8150" w:type="dxa"/>
            <w:tcBorders>
              <w:top w:val="nil"/>
              <w:left w:val="single" w:sz="8" w:space="0" w:color="auto"/>
              <w:bottom w:val="nil"/>
              <w:right w:val="single" w:sz="4" w:space="0" w:color="auto"/>
            </w:tcBorders>
            <w:shd w:val="clear" w:color="000000" w:fill="FFFFFF"/>
            <w:noWrap/>
            <w:hideMark/>
          </w:tcPr>
          <w:p w:rsidR="00694E7F" w:rsidRPr="00913BD9" w:rsidRDefault="00694E7F" w:rsidP="00913BD9">
            <w:pPr>
              <w:ind w:firstLineChars="200" w:firstLine="320"/>
              <w:rPr>
                <w:color w:val="000000"/>
                <w:sz w:val="16"/>
                <w:szCs w:val="16"/>
                <w:lang w:val="es-GT" w:eastAsia="es-GT"/>
              </w:rPr>
            </w:pPr>
            <w:r w:rsidRPr="00913BD9">
              <w:rPr>
                <w:color w:val="000000"/>
                <w:sz w:val="16"/>
                <w:szCs w:val="16"/>
                <w:lang w:val="es-GT" w:eastAsia="es-GT"/>
              </w:rPr>
              <w:t>Estado de Calamidad Pública por Emergencia COVID-19 (DG 5-2020)</w:t>
            </w:r>
          </w:p>
        </w:tc>
        <w:tc>
          <w:tcPr>
            <w:tcW w:w="1380"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6"/>
                <w:lang w:val="es-GT" w:eastAsia="es-GT"/>
              </w:rPr>
            </w:pPr>
            <w:r w:rsidRPr="00913BD9">
              <w:rPr>
                <w:color w:val="000000"/>
                <w:sz w:val="16"/>
                <w:szCs w:val="16"/>
                <w:lang w:val="es-GT" w:eastAsia="es-GT"/>
              </w:rPr>
              <w:t>2,830.0</w:t>
            </w:r>
          </w:p>
        </w:tc>
      </w:tr>
      <w:tr w:rsidR="00694E7F" w:rsidRPr="00913BD9" w:rsidTr="00913BD9">
        <w:trPr>
          <w:trHeight w:val="309"/>
        </w:trPr>
        <w:tc>
          <w:tcPr>
            <w:tcW w:w="8150" w:type="dxa"/>
            <w:tcBorders>
              <w:top w:val="nil"/>
              <w:left w:val="single" w:sz="8" w:space="0" w:color="auto"/>
              <w:bottom w:val="nil"/>
              <w:right w:val="single" w:sz="4" w:space="0" w:color="auto"/>
            </w:tcBorders>
            <w:shd w:val="clear" w:color="000000" w:fill="FFFFFF"/>
            <w:noWrap/>
            <w:hideMark/>
          </w:tcPr>
          <w:p w:rsidR="00694E7F" w:rsidRPr="00913BD9" w:rsidRDefault="00694E7F" w:rsidP="00913BD9">
            <w:pPr>
              <w:ind w:firstLineChars="400" w:firstLine="640"/>
              <w:rPr>
                <w:color w:val="000000"/>
                <w:sz w:val="16"/>
                <w:szCs w:val="16"/>
                <w:lang w:val="es-GT" w:eastAsia="es-GT"/>
              </w:rPr>
            </w:pPr>
            <w:r w:rsidRPr="00913BD9">
              <w:rPr>
                <w:color w:val="000000"/>
                <w:sz w:val="16"/>
                <w:szCs w:val="16"/>
                <w:lang w:val="es-GT" w:eastAsia="es-GT"/>
              </w:rPr>
              <w:t>Intervenciones realizadas para la atención de la emergencia COVID-19</w:t>
            </w:r>
          </w:p>
        </w:tc>
        <w:tc>
          <w:tcPr>
            <w:tcW w:w="1380"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6"/>
                <w:lang w:val="es-GT" w:eastAsia="es-GT"/>
              </w:rPr>
            </w:pPr>
            <w:r w:rsidRPr="00913BD9">
              <w:rPr>
                <w:color w:val="000000"/>
                <w:sz w:val="16"/>
                <w:szCs w:val="16"/>
                <w:lang w:val="es-GT" w:eastAsia="es-GT"/>
              </w:rPr>
              <w:t>2,830.0</w:t>
            </w:r>
          </w:p>
        </w:tc>
      </w:tr>
      <w:tr w:rsidR="00694E7F" w:rsidRPr="00913BD9" w:rsidTr="00913BD9">
        <w:trPr>
          <w:trHeight w:val="309"/>
        </w:trPr>
        <w:tc>
          <w:tcPr>
            <w:tcW w:w="8150" w:type="dxa"/>
            <w:tcBorders>
              <w:top w:val="nil"/>
              <w:left w:val="single" w:sz="8" w:space="0" w:color="auto"/>
              <w:bottom w:val="nil"/>
              <w:right w:val="single" w:sz="4" w:space="0" w:color="auto"/>
            </w:tcBorders>
            <w:shd w:val="clear" w:color="000000" w:fill="FFFFFF"/>
            <w:noWrap/>
            <w:hideMark/>
          </w:tcPr>
          <w:p w:rsidR="00694E7F" w:rsidRPr="00913BD9" w:rsidRDefault="00694E7F" w:rsidP="00913BD9">
            <w:pPr>
              <w:ind w:firstLineChars="200" w:firstLine="320"/>
              <w:rPr>
                <w:color w:val="000000"/>
                <w:sz w:val="16"/>
                <w:szCs w:val="16"/>
                <w:lang w:val="es-GT" w:eastAsia="es-GT"/>
              </w:rPr>
            </w:pPr>
            <w:r w:rsidRPr="00913BD9">
              <w:rPr>
                <w:color w:val="000000"/>
                <w:sz w:val="16"/>
                <w:szCs w:val="16"/>
                <w:lang w:val="es-GT" w:eastAsia="es-GT"/>
              </w:rPr>
              <w:t>ESTADO DE CALAMIDAD PÚBLICA POR DEPRESIÓN TROPICAL ETA (DG 20-2020 Y 21-2020)</w:t>
            </w:r>
          </w:p>
        </w:tc>
        <w:tc>
          <w:tcPr>
            <w:tcW w:w="1380" w:type="dxa"/>
            <w:tcBorders>
              <w:top w:val="nil"/>
              <w:left w:val="nil"/>
              <w:bottom w:val="nil"/>
              <w:right w:val="single" w:sz="4" w:space="0" w:color="auto"/>
            </w:tcBorders>
            <w:shd w:val="clear" w:color="000000" w:fill="FFFFFF"/>
            <w:noWrap/>
            <w:vAlign w:val="center"/>
            <w:hideMark/>
          </w:tcPr>
          <w:p w:rsidR="00694E7F" w:rsidRPr="00913BD9" w:rsidRDefault="00694E7F" w:rsidP="00694E7F">
            <w:pPr>
              <w:jc w:val="right"/>
              <w:rPr>
                <w:color w:val="000000"/>
                <w:sz w:val="16"/>
                <w:szCs w:val="16"/>
                <w:lang w:val="es-GT" w:eastAsia="es-GT"/>
              </w:rPr>
            </w:pPr>
            <w:r w:rsidRPr="00913BD9">
              <w:rPr>
                <w:color w:val="000000"/>
                <w:sz w:val="16"/>
                <w:szCs w:val="16"/>
                <w:lang w:val="es-GT" w:eastAsia="es-GT"/>
              </w:rPr>
              <w:t>10.0</w:t>
            </w:r>
          </w:p>
        </w:tc>
      </w:tr>
      <w:tr w:rsidR="00694E7F" w:rsidRPr="00913BD9" w:rsidTr="00913BD9">
        <w:trPr>
          <w:trHeight w:val="325"/>
        </w:trPr>
        <w:tc>
          <w:tcPr>
            <w:tcW w:w="8150" w:type="dxa"/>
            <w:tcBorders>
              <w:top w:val="nil"/>
              <w:left w:val="single" w:sz="8" w:space="0" w:color="auto"/>
              <w:bottom w:val="single" w:sz="8" w:space="0" w:color="auto"/>
              <w:right w:val="single" w:sz="4" w:space="0" w:color="auto"/>
            </w:tcBorders>
            <w:shd w:val="clear" w:color="000000" w:fill="FFFFFF"/>
            <w:noWrap/>
            <w:hideMark/>
          </w:tcPr>
          <w:p w:rsidR="00694E7F" w:rsidRPr="00913BD9" w:rsidRDefault="00694E7F" w:rsidP="00913BD9">
            <w:pPr>
              <w:ind w:firstLineChars="400" w:firstLine="640"/>
              <w:rPr>
                <w:color w:val="000000"/>
                <w:sz w:val="16"/>
                <w:szCs w:val="16"/>
                <w:lang w:val="es-GT" w:eastAsia="es-GT"/>
              </w:rPr>
            </w:pPr>
            <w:r w:rsidRPr="00913BD9">
              <w:rPr>
                <w:color w:val="000000"/>
                <w:sz w:val="16"/>
                <w:szCs w:val="16"/>
                <w:lang w:val="es-GT" w:eastAsia="es-GT"/>
              </w:rPr>
              <w:t>INTERVENCIONES REALIZADAS PARA LA ATENCIÓN DE DAÑOS PROVOCADOS POR DEPRESIÓN TROPICAL ETA</w:t>
            </w:r>
          </w:p>
        </w:tc>
        <w:tc>
          <w:tcPr>
            <w:tcW w:w="1380" w:type="dxa"/>
            <w:tcBorders>
              <w:top w:val="nil"/>
              <w:left w:val="nil"/>
              <w:bottom w:val="single" w:sz="8" w:space="0" w:color="auto"/>
              <w:right w:val="single" w:sz="4" w:space="0" w:color="auto"/>
            </w:tcBorders>
            <w:shd w:val="clear" w:color="000000" w:fill="FFFFFF"/>
            <w:noWrap/>
            <w:vAlign w:val="center"/>
            <w:hideMark/>
          </w:tcPr>
          <w:p w:rsidR="00694E7F" w:rsidRPr="00913BD9" w:rsidRDefault="00694E7F" w:rsidP="00694E7F">
            <w:pPr>
              <w:jc w:val="right"/>
              <w:rPr>
                <w:color w:val="000000"/>
                <w:sz w:val="16"/>
                <w:szCs w:val="16"/>
                <w:lang w:val="es-GT" w:eastAsia="es-GT"/>
              </w:rPr>
            </w:pPr>
            <w:r w:rsidRPr="00913BD9">
              <w:rPr>
                <w:color w:val="000000"/>
                <w:sz w:val="16"/>
                <w:szCs w:val="16"/>
                <w:lang w:val="es-GT" w:eastAsia="es-GT"/>
              </w:rPr>
              <w:t>10.0</w:t>
            </w:r>
          </w:p>
        </w:tc>
      </w:tr>
    </w:tbl>
    <w:p w:rsidR="008C5ECD" w:rsidRPr="004E678D" w:rsidRDefault="008C5ECD" w:rsidP="008C5ECD">
      <w:pPr>
        <w:jc w:val="both"/>
        <w:rPr>
          <w:sz w:val="18"/>
        </w:rPr>
      </w:pPr>
      <w:r w:rsidRPr="004E678D">
        <w:rPr>
          <w:sz w:val="18"/>
        </w:rPr>
        <w:t>Fuente: Ministerio de Finanzas Públicas</w:t>
      </w:r>
      <w:r>
        <w:rPr>
          <w:sz w:val="18"/>
        </w:rPr>
        <w:t>.</w:t>
      </w:r>
    </w:p>
    <w:p w:rsidR="00694E7F" w:rsidRPr="00834ABF" w:rsidRDefault="00694E7F" w:rsidP="00694E7F"/>
    <w:p w:rsidR="00ED5EFF" w:rsidRDefault="00ED5EFF" w:rsidP="00EC6694">
      <w:pPr>
        <w:jc w:val="center"/>
        <w:rPr>
          <w:b/>
        </w:rPr>
      </w:pPr>
    </w:p>
    <w:p w:rsidR="00ED5EFF" w:rsidRDefault="00ED5EFF" w:rsidP="00EC6694">
      <w:pPr>
        <w:jc w:val="center"/>
        <w:rPr>
          <w:b/>
        </w:rPr>
      </w:pPr>
    </w:p>
    <w:p w:rsidR="00ED5EFF" w:rsidRDefault="00ED5EFF" w:rsidP="00EC6694">
      <w:pPr>
        <w:jc w:val="center"/>
        <w:rPr>
          <w:b/>
        </w:rPr>
      </w:pPr>
    </w:p>
    <w:sectPr w:rsidR="00ED5EFF" w:rsidSect="00D02BEC">
      <w:headerReference w:type="default" r:id="rId42"/>
      <w:footerReference w:type="default" r:id="rId43"/>
      <w:pgSz w:w="12240" w:h="15840"/>
      <w:pgMar w:top="1417" w:right="1183"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3E35" w:rsidRDefault="005D3E35" w:rsidP="000E01E0">
      <w:r>
        <w:separator/>
      </w:r>
    </w:p>
  </w:endnote>
  <w:endnote w:type="continuationSeparator" w:id="0">
    <w:p w:rsidR="005D3E35" w:rsidRDefault="005D3E35" w:rsidP="000E0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elix Titling">
    <w:panose1 w:val="04060505060202020A04"/>
    <w:charset w:val="00"/>
    <w:family w:val="decorative"/>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OptimaLTStd">
    <w:altName w:val="Yu Gothic"/>
    <w:panose1 w:val="00000000000000000000"/>
    <w:charset w:val="80"/>
    <w:family w:val="swiss"/>
    <w:notTrueType/>
    <w:pitch w:val="default"/>
    <w:sig w:usb0="00000001" w:usb1="08070000" w:usb2="00000010" w:usb3="00000000" w:csb0="00020000"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9361723"/>
      <w:docPartObj>
        <w:docPartGallery w:val="Page Numbers (Bottom of Page)"/>
        <w:docPartUnique/>
      </w:docPartObj>
    </w:sdtPr>
    <w:sdtContent>
      <w:p w:rsidR="00657B89" w:rsidRDefault="00657B89">
        <w:pPr>
          <w:pStyle w:val="Piedepgina"/>
          <w:jc w:val="right"/>
        </w:pPr>
        <w:r>
          <w:fldChar w:fldCharType="begin"/>
        </w:r>
        <w:r>
          <w:instrText>PAGE   \* MERGEFORMAT</w:instrText>
        </w:r>
        <w:r>
          <w:fldChar w:fldCharType="separate"/>
        </w:r>
        <w:r w:rsidR="002D213E">
          <w:rPr>
            <w:noProof/>
          </w:rPr>
          <w:t>81</w:t>
        </w:r>
        <w:r>
          <w:fldChar w:fldCharType="end"/>
        </w:r>
      </w:p>
    </w:sdtContent>
  </w:sdt>
  <w:p w:rsidR="00657B89" w:rsidRDefault="00657B8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3E35" w:rsidRDefault="005D3E35" w:rsidP="000E01E0">
      <w:r>
        <w:separator/>
      </w:r>
    </w:p>
  </w:footnote>
  <w:footnote w:type="continuationSeparator" w:id="0">
    <w:p w:rsidR="005D3E35" w:rsidRDefault="005D3E35" w:rsidP="000E01E0">
      <w:r>
        <w:continuationSeparator/>
      </w:r>
    </w:p>
  </w:footnote>
  <w:footnote w:id="1">
    <w:p w:rsidR="00657B89" w:rsidRDefault="00657B89" w:rsidP="00C61CA7">
      <w:pPr>
        <w:pStyle w:val="Textonotapie"/>
      </w:pPr>
      <w:r>
        <w:rPr>
          <w:rStyle w:val="Refdenotaalpie"/>
        </w:rPr>
        <w:footnoteRef/>
      </w:r>
      <w:r>
        <w:t xml:space="preserve"> </w:t>
      </w:r>
      <w:r w:rsidRPr="00B72FFF">
        <w:rPr>
          <w:sz w:val="18"/>
        </w:rPr>
        <w:t>Banco de Guatemala</w:t>
      </w:r>
      <w:r>
        <w:rPr>
          <w:sz w:val="18"/>
        </w:rPr>
        <w:t>:</w:t>
      </w:r>
      <w:r w:rsidRPr="00B72FFF">
        <w:rPr>
          <w:sz w:val="18"/>
        </w:rPr>
        <w:t xml:space="preserve"> Informe del Presidente del Banco de Guatemala ante </w:t>
      </w:r>
      <w:r>
        <w:rPr>
          <w:sz w:val="18"/>
        </w:rPr>
        <w:t>el</w:t>
      </w:r>
      <w:r w:rsidRPr="00B72FFF">
        <w:rPr>
          <w:sz w:val="18"/>
        </w:rPr>
        <w:t xml:space="preserve"> Congreso de </w:t>
      </w:r>
      <w:r>
        <w:rPr>
          <w:sz w:val="18"/>
        </w:rPr>
        <w:t>l</w:t>
      </w:r>
      <w:r w:rsidRPr="00B72FFF">
        <w:rPr>
          <w:sz w:val="18"/>
        </w:rPr>
        <w:t>a República</w:t>
      </w:r>
      <w:r>
        <w:rPr>
          <w:sz w:val="18"/>
        </w:rPr>
        <w:t>;</w:t>
      </w:r>
      <w:r w:rsidRPr="00B72FFF">
        <w:rPr>
          <w:sz w:val="18"/>
        </w:rPr>
        <w:t xml:space="preserve"> </w:t>
      </w:r>
      <w:r>
        <w:rPr>
          <w:sz w:val="18"/>
        </w:rPr>
        <w:t>e</w:t>
      </w:r>
      <w:r w:rsidRPr="00B72FFF">
        <w:rPr>
          <w:sz w:val="18"/>
        </w:rPr>
        <w:t xml:space="preserve">nero </w:t>
      </w:r>
      <w:r>
        <w:rPr>
          <w:sz w:val="18"/>
        </w:rPr>
        <w:t xml:space="preserve">de </w:t>
      </w:r>
      <w:r w:rsidRPr="00B72FFF">
        <w:rPr>
          <w:sz w:val="18"/>
        </w:rPr>
        <w:t>2021.</w:t>
      </w:r>
    </w:p>
  </w:footnote>
  <w:footnote w:id="2">
    <w:p w:rsidR="00657B89" w:rsidRDefault="00657B89" w:rsidP="00C61CA7">
      <w:pPr>
        <w:pStyle w:val="Textonotapie"/>
      </w:pPr>
      <w:r>
        <w:rPr>
          <w:rStyle w:val="Refdenotaalpie"/>
        </w:rPr>
        <w:footnoteRef/>
      </w:r>
      <w:r>
        <w:t xml:space="preserve"> Véase: </w:t>
      </w:r>
      <w:r w:rsidRPr="00063A89">
        <w:t>https://www.minfin.gob.gt/images/archivos/riesgos/Informe-sobre-Riesgos-Fiscales.pdf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ítulo"/>
      <w:id w:val="1442269643"/>
      <w:dataBinding w:prefixMappings="xmlns:ns0='http://schemas.openxmlformats.org/package/2006/metadata/core-properties' xmlns:ns1='http://purl.org/dc/elements/1.1/'" w:xpath="/ns0:coreProperties[1]/ns1:title[1]" w:storeItemID="{6C3C8BC8-F283-45AE-878A-BAB7291924A1}"/>
      <w:text/>
    </w:sdtPr>
    <w:sdtContent>
      <w:p w:rsidR="00657B89" w:rsidRDefault="00657B89">
        <w:pPr>
          <w:pStyle w:val="Encabezado"/>
          <w:pBdr>
            <w:bottom w:val="thickThinSmallGap" w:sz="24" w:space="1" w:color="585858"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lang w:val="es-MX"/>
          </w:rPr>
          <w:t>Índice de Presupuesto Abierto                                                   Informe de Fin de Año</w:t>
        </w:r>
        <w:r>
          <w:rPr>
            <w:rFonts w:asciiTheme="majorHAnsi" w:eastAsiaTheme="majorEastAsia" w:hAnsiTheme="majorHAnsi" w:cstheme="majorBidi"/>
            <w:sz w:val="32"/>
            <w:szCs w:val="32"/>
            <w:lang w:val="es-GT"/>
          </w:rPr>
          <w:t xml:space="preserve"> al 31 de diciembre de 2020</w:t>
        </w:r>
      </w:p>
    </w:sdtContent>
  </w:sdt>
  <w:p w:rsidR="00657B89" w:rsidRDefault="00657B8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9968E8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00001A"/>
    <w:multiLevelType w:val="singleLevel"/>
    <w:tmpl w:val="0000001A"/>
    <w:name w:val="WW8Num26"/>
    <w:lvl w:ilvl="0">
      <w:start w:val="1"/>
      <w:numFmt w:val="decimal"/>
      <w:lvlText w:val="%1."/>
      <w:lvlJc w:val="left"/>
      <w:pPr>
        <w:tabs>
          <w:tab w:val="num" w:pos="0"/>
        </w:tabs>
        <w:ind w:left="720" w:hanging="360"/>
      </w:pPr>
      <w:rPr>
        <w:b/>
      </w:rPr>
    </w:lvl>
  </w:abstractNum>
  <w:abstractNum w:abstractNumId="2">
    <w:nsid w:val="01F121CE"/>
    <w:multiLevelType w:val="hybridMultilevel"/>
    <w:tmpl w:val="3C7A96BC"/>
    <w:lvl w:ilvl="0" w:tplc="7C567F54">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3">
    <w:nsid w:val="069835AE"/>
    <w:multiLevelType w:val="hybridMultilevel"/>
    <w:tmpl w:val="9E0479E8"/>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nsid w:val="101F2AAA"/>
    <w:multiLevelType w:val="hybridMultilevel"/>
    <w:tmpl w:val="63E26C26"/>
    <w:lvl w:ilvl="0" w:tplc="036C9A70">
      <w:start w:val="5"/>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nsid w:val="17252480"/>
    <w:multiLevelType w:val="hybridMultilevel"/>
    <w:tmpl w:val="0C3829B2"/>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nsid w:val="1D532081"/>
    <w:multiLevelType w:val="hybridMultilevel"/>
    <w:tmpl w:val="5DAA9A3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nsid w:val="2082437F"/>
    <w:multiLevelType w:val="hybridMultilevel"/>
    <w:tmpl w:val="10C4AE48"/>
    <w:lvl w:ilvl="0" w:tplc="A9ACAEBC">
      <w:start w:val="1"/>
      <w:numFmt w:val="decimal"/>
      <w:lvlText w:val="%1."/>
      <w:lvlJc w:val="left"/>
      <w:pPr>
        <w:ind w:left="720" w:hanging="360"/>
      </w:pPr>
      <w:rPr>
        <w:rFonts w:ascii="Times New Roman" w:hAnsi="Times New Roman" w:hint="default"/>
        <w:color w:val="000000" w:themeColor="text1"/>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nsid w:val="26A716D7"/>
    <w:multiLevelType w:val="hybridMultilevel"/>
    <w:tmpl w:val="D79E76F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nsid w:val="30323BC6"/>
    <w:multiLevelType w:val="hybridMultilevel"/>
    <w:tmpl w:val="917CDEA8"/>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nsid w:val="491279C1"/>
    <w:multiLevelType w:val="hybridMultilevel"/>
    <w:tmpl w:val="1E8C631E"/>
    <w:lvl w:ilvl="0" w:tplc="100A0019">
      <w:start w:val="1"/>
      <w:numFmt w:val="lowerLetter"/>
      <w:lvlText w:val="%1."/>
      <w:lvlJc w:val="left"/>
      <w:pPr>
        <w:ind w:left="144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4B5256E6"/>
    <w:multiLevelType w:val="hybridMultilevel"/>
    <w:tmpl w:val="B582D2AA"/>
    <w:lvl w:ilvl="0" w:tplc="100A0001">
      <w:start w:val="1"/>
      <w:numFmt w:val="bullet"/>
      <w:lvlText w:val=""/>
      <w:lvlJc w:val="left"/>
      <w:pPr>
        <w:ind w:left="1485" w:hanging="360"/>
      </w:pPr>
      <w:rPr>
        <w:rFonts w:ascii="Symbol" w:hAnsi="Symbol" w:hint="default"/>
      </w:rPr>
    </w:lvl>
    <w:lvl w:ilvl="1" w:tplc="100A0003" w:tentative="1">
      <w:start w:val="1"/>
      <w:numFmt w:val="bullet"/>
      <w:lvlText w:val="o"/>
      <w:lvlJc w:val="left"/>
      <w:pPr>
        <w:ind w:left="2205" w:hanging="360"/>
      </w:pPr>
      <w:rPr>
        <w:rFonts w:ascii="Courier New" w:hAnsi="Courier New" w:cs="Courier New" w:hint="default"/>
      </w:rPr>
    </w:lvl>
    <w:lvl w:ilvl="2" w:tplc="100A0005" w:tentative="1">
      <w:start w:val="1"/>
      <w:numFmt w:val="bullet"/>
      <w:lvlText w:val=""/>
      <w:lvlJc w:val="left"/>
      <w:pPr>
        <w:ind w:left="2925" w:hanging="360"/>
      </w:pPr>
      <w:rPr>
        <w:rFonts w:ascii="Wingdings" w:hAnsi="Wingdings" w:hint="default"/>
      </w:rPr>
    </w:lvl>
    <w:lvl w:ilvl="3" w:tplc="100A0001" w:tentative="1">
      <w:start w:val="1"/>
      <w:numFmt w:val="bullet"/>
      <w:lvlText w:val=""/>
      <w:lvlJc w:val="left"/>
      <w:pPr>
        <w:ind w:left="3645" w:hanging="360"/>
      </w:pPr>
      <w:rPr>
        <w:rFonts w:ascii="Symbol" w:hAnsi="Symbol" w:hint="default"/>
      </w:rPr>
    </w:lvl>
    <w:lvl w:ilvl="4" w:tplc="100A0003" w:tentative="1">
      <w:start w:val="1"/>
      <w:numFmt w:val="bullet"/>
      <w:lvlText w:val="o"/>
      <w:lvlJc w:val="left"/>
      <w:pPr>
        <w:ind w:left="4365" w:hanging="360"/>
      </w:pPr>
      <w:rPr>
        <w:rFonts w:ascii="Courier New" w:hAnsi="Courier New" w:cs="Courier New" w:hint="default"/>
      </w:rPr>
    </w:lvl>
    <w:lvl w:ilvl="5" w:tplc="100A0005" w:tentative="1">
      <w:start w:val="1"/>
      <w:numFmt w:val="bullet"/>
      <w:lvlText w:val=""/>
      <w:lvlJc w:val="left"/>
      <w:pPr>
        <w:ind w:left="5085" w:hanging="360"/>
      </w:pPr>
      <w:rPr>
        <w:rFonts w:ascii="Wingdings" w:hAnsi="Wingdings" w:hint="default"/>
      </w:rPr>
    </w:lvl>
    <w:lvl w:ilvl="6" w:tplc="100A0001" w:tentative="1">
      <w:start w:val="1"/>
      <w:numFmt w:val="bullet"/>
      <w:lvlText w:val=""/>
      <w:lvlJc w:val="left"/>
      <w:pPr>
        <w:ind w:left="5805" w:hanging="360"/>
      </w:pPr>
      <w:rPr>
        <w:rFonts w:ascii="Symbol" w:hAnsi="Symbol" w:hint="default"/>
      </w:rPr>
    </w:lvl>
    <w:lvl w:ilvl="7" w:tplc="100A0003" w:tentative="1">
      <w:start w:val="1"/>
      <w:numFmt w:val="bullet"/>
      <w:lvlText w:val="o"/>
      <w:lvlJc w:val="left"/>
      <w:pPr>
        <w:ind w:left="6525" w:hanging="360"/>
      </w:pPr>
      <w:rPr>
        <w:rFonts w:ascii="Courier New" w:hAnsi="Courier New" w:cs="Courier New" w:hint="default"/>
      </w:rPr>
    </w:lvl>
    <w:lvl w:ilvl="8" w:tplc="100A0005" w:tentative="1">
      <w:start w:val="1"/>
      <w:numFmt w:val="bullet"/>
      <w:lvlText w:val=""/>
      <w:lvlJc w:val="left"/>
      <w:pPr>
        <w:ind w:left="7245" w:hanging="360"/>
      </w:pPr>
      <w:rPr>
        <w:rFonts w:ascii="Wingdings" w:hAnsi="Wingdings" w:hint="default"/>
      </w:rPr>
    </w:lvl>
  </w:abstractNum>
  <w:abstractNum w:abstractNumId="12">
    <w:nsid w:val="63394AB9"/>
    <w:multiLevelType w:val="multilevel"/>
    <w:tmpl w:val="9A3093B6"/>
    <w:lvl w:ilvl="0">
      <w:start w:val="1"/>
      <w:numFmt w:val="upperRoman"/>
      <w:pStyle w:val="Ttulo1"/>
      <w:lvlText w:val="%1."/>
      <w:lvlJc w:val="left"/>
      <w:pPr>
        <w:tabs>
          <w:tab w:val="num" w:pos="0"/>
        </w:tabs>
        <w:ind w:left="432" w:hanging="432"/>
      </w:pPr>
      <w:rPr>
        <w:rFonts w:hint="default"/>
      </w:rPr>
    </w:lvl>
    <w:lvl w:ilvl="1">
      <w:start w:val="1"/>
      <w:numFmt w:val="upperLetter"/>
      <w:pStyle w:val="Ttulo2"/>
      <w:lvlText w:val="%2."/>
      <w:lvlJc w:val="left"/>
      <w:pPr>
        <w:tabs>
          <w:tab w:val="num" w:pos="0"/>
        </w:tabs>
        <w:ind w:left="576" w:hanging="576"/>
      </w:pPr>
      <w:rPr>
        <w:rFonts w:ascii="Times New Roman" w:hAnsi="Times New Roman" w:cs="Times New Roman" w:hint="default"/>
        <w:b/>
        <w:i w:val="0"/>
        <w:color w:val="auto"/>
      </w:rPr>
    </w:lvl>
    <w:lvl w:ilvl="2">
      <w:start w:val="1"/>
      <w:numFmt w:val="decimal"/>
      <w:pStyle w:val="Ttulo3"/>
      <w:lvlText w:val="%1.%2.%3"/>
      <w:lvlJc w:val="left"/>
      <w:pPr>
        <w:tabs>
          <w:tab w:val="num" w:pos="0"/>
        </w:tabs>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13">
    <w:nsid w:val="64677D39"/>
    <w:multiLevelType w:val="hybridMultilevel"/>
    <w:tmpl w:val="91A292A2"/>
    <w:lvl w:ilvl="0" w:tplc="734499C8">
      <w:start w:val="1"/>
      <w:numFmt w:val="upperRoman"/>
      <w:lvlText w:val="%1."/>
      <w:lvlJc w:val="left"/>
      <w:pPr>
        <w:ind w:left="765" w:hanging="720"/>
      </w:pPr>
      <w:rPr>
        <w:rFonts w:hint="default"/>
      </w:r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nsid w:val="65084258"/>
    <w:multiLevelType w:val="hybridMultilevel"/>
    <w:tmpl w:val="18C6CA22"/>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nsid w:val="66D831D0"/>
    <w:multiLevelType w:val="hybridMultilevel"/>
    <w:tmpl w:val="1E8C631E"/>
    <w:lvl w:ilvl="0" w:tplc="100A0019">
      <w:start w:val="1"/>
      <w:numFmt w:val="lowerLetter"/>
      <w:lvlText w:val="%1."/>
      <w:lvlJc w:val="left"/>
      <w:pPr>
        <w:ind w:left="144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70C3446F"/>
    <w:multiLevelType w:val="hybridMultilevel"/>
    <w:tmpl w:val="C38088CC"/>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nsid w:val="72F04162"/>
    <w:multiLevelType w:val="hybridMultilevel"/>
    <w:tmpl w:val="15AE0BD4"/>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nsid w:val="73793373"/>
    <w:multiLevelType w:val="hybridMultilevel"/>
    <w:tmpl w:val="C84CB78C"/>
    <w:lvl w:ilvl="0" w:tplc="100A0015">
      <w:start w:val="1"/>
      <w:numFmt w:val="upperLetter"/>
      <w:lvlText w:val="%1."/>
      <w:lvlJc w:val="left"/>
      <w:pPr>
        <w:ind w:left="720" w:hanging="36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12"/>
  </w:num>
  <w:num w:numId="2">
    <w:abstractNumId w:val="2"/>
  </w:num>
  <w:num w:numId="3">
    <w:abstractNumId w:val="18"/>
  </w:num>
  <w:num w:numId="4">
    <w:abstractNumId w:val="16"/>
  </w:num>
  <w:num w:numId="5">
    <w:abstractNumId w:val="3"/>
  </w:num>
  <w:num w:numId="6">
    <w:abstractNumId w:val="7"/>
  </w:num>
  <w:num w:numId="7">
    <w:abstractNumId w:val="8"/>
  </w:num>
  <w:num w:numId="8">
    <w:abstractNumId w:val="13"/>
  </w:num>
  <w:num w:numId="9">
    <w:abstractNumId w:val="11"/>
  </w:num>
  <w:num w:numId="10">
    <w:abstractNumId w:val="10"/>
  </w:num>
  <w:num w:numId="11">
    <w:abstractNumId w:val="15"/>
  </w:num>
  <w:num w:numId="12">
    <w:abstractNumId w:val="0"/>
  </w:num>
  <w:num w:numId="13">
    <w:abstractNumId w:val="5"/>
  </w:num>
  <w:num w:numId="14">
    <w:abstractNumId w:val="9"/>
  </w:num>
  <w:num w:numId="15">
    <w:abstractNumId w:val="14"/>
  </w:num>
  <w:num w:numId="16">
    <w:abstractNumId w:val="17"/>
  </w:num>
  <w:num w:numId="17">
    <w:abstractNumId w:val="4"/>
  </w:num>
  <w:num w:numId="18">
    <w:abstractNumId w:val="12"/>
  </w:num>
  <w:num w:numId="19">
    <w:abstractNumId w:val="12"/>
  </w:num>
  <w:num w:numId="20">
    <w:abstractNumId w:val="12"/>
  </w:num>
  <w:num w:numId="21">
    <w:abstractNumId w:val="12"/>
  </w:num>
  <w:num w:numId="22">
    <w:abstractNumId w:val="12"/>
  </w:num>
  <w:num w:numId="23">
    <w:abstractNumId w:val="12"/>
  </w:num>
  <w:num w:numId="24">
    <w:abstractNumId w:val="12"/>
  </w:num>
  <w:num w:numId="25">
    <w:abstractNumId w:val="12"/>
  </w:num>
  <w:num w:numId="26">
    <w:abstractNumId w:val="6"/>
  </w:num>
  <w:num w:numId="27">
    <w:abstractNumId w:val="12"/>
  </w:num>
  <w:num w:numId="28">
    <w:abstractNumId w:val="12"/>
  </w:num>
  <w:num w:numId="29">
    <w:abstractNumId w:val="12"/>
  </w:num>
  <w:num w:numId="30">
    <w:abstractNumId w:val="12"/>
  </w:num>
  <w:num w:numId="31">
    <w:abstractNumId w:val="12"/>
  </w:num>
  <w:num w:numId="32">
    <w:abstractNumId w:val="12"/>
  </w:num>
  <w:num w:numId="33">
    <w:abstractNumId w:val="12"/>
  </w:num>
  <w:num w:numId="34">
    <w:abstractNumId w:val="12"/>
  </w:num>
  <w:num w:numId="35">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28F6"/>
    <w:rsid w:val="00000271"/>
    <w:rsid w:val="00001941"/>
    <w:rsid w:val="00001FCE"/>
    <w:rsid w:val="000026A6"/>
    <w:rsid w:val="00002C71"/>
    <w:rsid w:val="00002F20"/>
    <w:rsid w:val="00006BC5"/>
    <w:rsid w:val="00006C7E"/>
    <w:rsid w:val="00006DD0"/>
    <w:rsid w:val="00006E08"/>
    <w:rsid w:val="00006FBB"/>
    <w:rsid w:val="0000712C"/>
    <w:rsid w:val="00007971"/>
    <w:rsid w:val="00007CE2"/>
    <w:rsid w:val="00011502"/>
    <w:rsid w:val="00011C9C"/>
    <w:rsid w:val="00013358"/>
    <w:rsid w:val="00013E0C"/>
    <w:rsid w:val="000143C2"/>
    <w:rsid w:val="000166C1"/>
    <w:rsid w:val="00017B3B"/>
    <w:rsid w:val="00017B82"/>
    <w:rsid w:val="000214EB"/>
    <w:rsid w:val="00021DF4"/>
    <w:rsid w:val="00022538"/>
    <w:rsid w:val="000249ED"/>
    <w:rsid w:val="00025229"/>
    <w:rsid w:val="00025284"/>
    <w:rsid w:val="00025E2C"/>
    <w:rsid w:val="0002656E"/>
    <w:rsid w:val="000270F6"/>
    <w:rsid w:val="000277A1"/>
    <w:rsid w:val="0003099A"/>
    <w:rsid w:val="00030AE6"/>
    <w:rsid w:val="00031261"/>
    <w:rsid w:val="00032094"/>
    <w:rsid w:val="0003319E"/>
    <w:rsid w:val="00033469"/>
    <w:rsid w:val="000335A6"/>
    <w:rsid w:val="000339BE"/>
    <w:rsid w:val="0003552B"/>
    <w:rsid w:val="000356E9"/>
    <w:rsid w:val="00036623"/>
    <w:rsid w:val="00037093"/>
    <w:rsid w:val="0003764E"/>
    <w:rsid w:val="00040BDD"/>
    <w:rsid w:val="00040E5B"/>
    <w:rsid w:val="00041492"/>
    <w:rsid w:val="000417AF"/>
    <w:rsid w:val="000462D9"/>
    <w:rsid w:val="000463B8"/>
    <w:rsid w:val="00047128"/>
    <w:rsid w:val="0005000D"/>
    <w:rsid w:val="00050464"/>
    <w:rsid w:val="00050A01"/>
    <w:rsid w:val="00050D2F"/>
    <w:rsid w:val="000514DA"/>
    <w:rsid w:val="000520A7"/>
    <w:rsid w:val="00052BF0"/>
    <w:rsid w:val="00053842"/>
    <w:rsid w:val="00053D26"/>
    <w:rsid w:val="000548B6"/>
    <w:rsid w:val="00054D29"/>
    <w:rsid w:val="0005699A"/>
    <w:rsid w:val="00057F62"/>
    <w:rsid w:val="00060431"/>
    <w:rsid w:val="00062367"/>
    <w:rsid w:val="00065510"/>
    <w:rsid w:val="00065527"/>
    <w:rsid w:val="00065D4A"/>
    <w:rsid w:val="00065E12"/>
    <w:rsid w:val="00066682"/>
    <w:rsid w:val="00066921"/>
    <w:rsid w:val="00067496"/>
    <w:rsid w:val="00067C62"/>
    <w:rsid w:val="00071A03"/>
    <w:rsid w:val="00072145"/>
    <w:rsid w:val="00072F75"/>
    <w:rsid w:val="00073C9A"/>
    <w:rsid w:val="00074713"/>
    <w:rsid w:val="00075770"/>
    <w:rsid w:val="000763E5"/>
    <w:rsid w:val="000771C4"/>
    <w:rsid w:val="000775C1"/>
    <w:rsid w:val="00080461"/>
    <w:rsid w:val="00080562"/>
    <w:rsid w:val="00080C7D"/>
    <w:rsid w:val="00080D50"/>
    <w:rsid w:val="000817A9"/>
    <w:rsid w:val="00081B1C"/>
    <w:rsid w:val="00082035"/>
    <w:rsid w:val="000830DF"/>
    <w:rsid w:val="00084505"/>
    <w:rsid w:val="0008463A"/>
    <w:rsid w:val="00084D8F"/>
    <w:rsid w:val="00085734"/>
    <w:rsid w:val="00085B6E"/>
    <w:rsid w:val="00085EBA"/>
    <w:rsid w:val="00085F77"/>
    <w:rsid w:val="0008753F"/>
    <w:rsid w:val="00087634"/>
    <w:rsid w:val="00087866"/>
    <w:rsid w:val="00087D08"/>
    <w:rsid w:val="000912DD"/>
    <w:rsid w:val="00091DAD"/>
    <w:rsid w:val="0009220D"/>
    <w:rsid w:val="00092468"/>
    <w:rsid w:val="00093790"/>
    <w:rsid w:val="00095237"/>
    <w:rsid w:val="000956A5"/>
    <w:rsid w:val="000967ED"/>
    <w:rsid w:val="000A01E7"/>
    <w:rsid w:val="000A0AA2"/>
    <w:rsid w:val="000A15FF"/>
    <w:rsid w:val="000A2FB2"/>
    <w:rsid w:val="000A36B5"/>
    <w:rsid w:val="000A4D61"/>
    <w:rsid w:val="000A4F25"/>
    <w:rsid w:val="000A54A7"/>
    <w:rsid w:val="000A698B"/>
    <w:rsid w:val="000A71A1"/>
    <w:rsid w:val="000A77DC"/>
    <w:rsid w:val="000B006C"/>
    <w:rsid w:val="000B0E01"/>
    <w:rsid w:val="000B2527"/>
    <w:rsid w:val="000B3701"/>
    <w:rsid w:val="000B4F22"/>
    <w:rsid w:val="000B5414"/>
    <w:rsid w:val="000B5888"/>
    <w:rsid w:val="000B60B9"/>
    <w:rsid w:val="000B62C6"/>
    <w:rsid w:val="000B7AA2"/>
    <w:rsid w:val="000C0344"/>
    <w:rsid w:val="000C0DC4"/>
    <w:rsid w:val="000C0ECD"/>
    <w:rsid w:val="000C11C4"/>
    <w:rsid w:val="000C1A25"/>
    <w:rsid w:val="000C1A68"/>
    <w:rsid w:val="000C279B"/>
    <w:rsid w:val="000C2A92"/>
    <w:rsid w:val="000C36B4"/>
    <w:rsid w:val="000C3C34"/>
    <w:rsid w:val="000C4AD7"/>
    <w:rsid w:val="000C4D67"/>
    <w:rsid w:val="000C53BE"/>
    <w:rsid w:val="000C6E8D"/>
    <w:rsid w:val="000C75FE"/>
    <w:rsid w:val="000D0A1C"/>
    <w:rsid w:val="000D10F4"/>
    <w:rsid w:val="000D3BEF"/>
    <w:rsid w:val="000D3CE8"/>
    <w:rsid w:val="000D4A27"/>
    <w:rsid w:val="000D5D6E"/>
    <w:rsid w:val="000D777E"/>
    <w:rsid w:val="000D786F"/>
    <w:rsid w:val="000D7E66"/>
    <w:rsid w:val="000E01E0"/>
    <w:rsid w:val="000E0C87"/>
    <w:rsid w:val="000E1F0E"/>
    <w:rsid w:val="000E2D2C"/>
    <w:rsid w:val="000E34DD"/>
    <w:rsid w:val="000E35D4"/>
    <w:rsid w:val="000E43D0"/>
    <w:rsid w:val="000E448D"/>
    <w:rsid w:val="000E4B70"/>
    <w:rsid w:val="000E7D80"/>
    <w:rsid w:val="000F0CC7"/>
    <w:rsid w:val="000F0F53"/>
    <w:rsid w:val="000F1550"/>
    <w:rsid w:val="000F1D24"/>
    <w:rsid w:val="000F304B"/>
    <w:rsid w:val="000F31D3"/>
    <w:rsid w:val="000F4303"/>
    <w:rsid w:val="000F6870"/>
    <w:rsid w:val="000F7C84"/>
    <w:rsid w:val="001009A6"/>
    <w:rsid w:val="00100C95"/>
    <w:rsid w:val="00102201"/>
    <w:rsid w:val="00102469"/>
    <w:rsid w:val="0010274A"/>
    <w:rsid w:val="001032FE"/>
    <w:rsid w:val="001038B1"/>
    <w:rsid w:val="0010443F"/>
    <w:rsid w:val="001060A5"/>
    <w:rsid w:val="00107E6D"/>
    <w:rsid w:val="001106C1"/>
    <w:rsid w:val="00111E81"/>
    <w:rsid w:val="0011363F"/>
    <w:rsid w:val="0011402D"/>
    <w:rsid w:val="0011418E"/>
    <w:rsid w:val="0011469F"/>
    <w:rsid w:val="0011619F"/>
    <w:rsid w:val="0011651D"/>
    <w:rsid w:val="00116540"/>
    <w:rsid w:val="00117403"/>
    <w:rsid w:val="00117A88"/>
    <w:rsid w:val="00117FC2"/>
    <w:rsid w:val="00121013"/>
    <w:rsid w:val="0012373F"/>
    <w:rsid w:val="00124AD6"/>
    <w:rsid w:val="00124E70"/>
    <w:rsid w:val="00125647"/>
    <w:rsid w:val="00126FB8"/>
    <w:rsid w:val="00131670"/>
    <w:rsid w:val="00131980"/>
    <w:rsid w:val="00131BC0"/>
    <w:rsid w:val="001339AA"/>
    <w:rsid w:val="00134C27"/>
    <w:rsid w:val="0013520D"/>
    <w:rsid w:val="00135F8A"/>
    <w:rsid w:val="00136F4B"/>
    <w:rsid w:val="00137470"/>
    <w:rsid w:val="001422F2"/>
    <w:rsid w:val="00142A1E"/>
    <w:rsid w:val="001432F1"/>
    <w:rsid w:val="0014364E"/>
    <w:rsid w:val="00144479"/>
    <w:rsid w:val="001457E7"/>
    <w:rsid w:val="00146383"/>
    <w:rsid w:val="00146C7F"/>
    <w:rsid w:val="00150099"/>
    <w:rsid w:val="00150901"/>
    <w:rsid w:val="00152A09"/>
    <w:rsid w:val="00153337"/>
    <w:rsid w:val="001541E7"/>
    <w:rsid w:val="00154855"/>
    <w:rsid w:val="00160059"/>
    <w:rsid w:val="00160835"/>
    <w:rsid w:val="00160A89"/>
    <w:rsid w:val="001611FC"/>
    <w:rsid w:val="00163055"/>
    <w:rsid w:val="00164C3E"/>
    <w:rsid w:val="0016665C"/>
    <w:rsid w:val="00166AB2"/>
    <w:rsid w:val="00167975"/>
    <w:rsid w:val="001706A9"/>
    <w:rsid w:val="00170963"/>
    <w:rsid w:val="00170E9E"/>
    <w:rsid w:val="00171AA8"/>
    <w:rsid w:val="00171DBC"/>
    <w:rsid w:val="00172283"/>
    <w:rsid w:val="00173649"/>
    <w:rsid w:val="00174075"/>
    <w:rsid w:val="001749CE"/>
    <w:rsid w:val="00174DDC"/>
    <w:rsid w:val="0017542C"/>
    <w:rsid w:val="001756B5"/>
    <w:rsid w:val="00175C23"/>
    <w:rsid w:val="00180854"/>
    <w:rsid w:val="00180A0E"/>
    <w:rsid w:val="00181D3E"/>
    <w:rsid w:val="001867FE"/>
    <w:rsid w:val="0019039C"/>
    <w:rsid w:val="00190F0E"/>
    <w:rsid w:val="00191216"/>
    <w:rsid w:val="00191950"/>
    <w:rsid w:val="00191AE8"/>
    <w:rsid w:val="00191C70"/>
    <w:rsid w:val="00194D4C"/>
    <w:rsid w:val="00195D8B"/>
    <w:rsid w:val="001960E2"/>
    <w:rsid w:val="001966ED"/>
    <w:rsid w:val="001A0DE9"/>
    <w:rsid w:val="001A137C"/>
    <w:rsid w:val="001A28AD"/>
    <w:rsid w:val="001A2D5E"/>
    <w:rsid w:val="001A41CD"/>
    <w:rsid w:val="001A4D17"/>
    <w:rsid w:val="001A50D4"/>
    <w:rsid w:val="001A5C6B"/>
    <w:rsid w:val="001A613A"/>
    <w:rsid w:val="001B07B2"/>
    <w:rsid w:val="001B2234"/>
    <w:rsid w:val="001B2E57"/>
    <w:rsid w:val="001B3D8A"/>
    <w:rsid w:val="001B3DDB"/>
    <w:rsid w:val="001B4259"/>
    <w:rsid w:val="001B4C14"/>
    <w:rsid w:val="001B5A69"/>
    <w:rsid w:val="001B656E"/>
    <w:rsid w:val="001B65CE"/>
    <w:rsid w:val="001B69BD"/>
    <w:rsid w:val="001B7DD0"/>
    <w:rsid w:val="001C1168"/>
    <w:rsid w:val="001C2713"/>
    <w:rsid w:val="001C2DAF"/>
    <w:rsid w:val="001C4C02"/>
    <w:rsid w:val="001C5216"/>
    <w:rsid w:val="001C5775"/>
    <w:rsid w:val="001C6241"/>
    <w:rsid w:val="001C6400"/>
    <w:rsid w:val="001C6FB1"/>
    <w:rsid w:val="001C7CA7"/>
    <w:rsid w:val="001C7CDF"/>
    <w:rsid w:val="001C7D2A"/>
    <w:rsid w:val="001C7DC2"/>
    <w:rsid w:val="001D07B2"/>
    <w:rsid w:val="001D0D64"/>
    <w:rsid w:val="001D2E72"/>
    <w:rsid w:val="001D57B1"/>
    <w:rsid w:val="001D5D2B"/>
    <w:rsid w:val="001D69A2"/>
    <w:rsid w:val="001D7553"/>
    <w:rsid w:val="001D785F"/>
    <w:rsid w:val="001E02BB"/>
    <w:rsid w:val="001E12CD"/>
    <w:rsid w:val="001E1E63"/>
    <w:rsid w:val="001E2B73"/>
    <w:rsid w:val="001E2EF8"/>
    <w:rsid w:val="001E3DB7"/>
    <w:rsid w:val="001E6DEE"/>
    <w:rsid w:val="001E6F40"/>
    <w:rsid w:val="001F078C"/>
    <w:rsid w:val="001F0BC8"/>
    <w:rsid w:val="001F0CDD"/>
    <w:rsid w:val="001F13DC"/>
    <w:rsid w:val="001F15A4"/>
    <w:rsid w:val="001F24BD"/>
    <w:rsid w:val="001F2A2B"/>
    <w:rsid w:val="001F43C8"/>
    <w:rsid w:val="001F5849"/>
    <w:rsid w:val="001F58C5"/>
    <w:rsid w:val="001F74FB"/>
    <w:rsid w:val="00200269"/>
    <w:rsid w:val="00201D05"/>
    <w:rsid w:val="00203C19"/>
    <w:rsid w:val="00203DB9"/>
    <w:rsid w:val="002041A8"/>
    <w:rsid w:val="00204263"/>
    <w:rsid w:val="002042CC"/>
    <w:rsid w:val="00204AEC"/>
    <w:rsid w:val="00204CE1"/>
    <w:rsid w:val="00204E00"/>
    <w:rsid w:val="00205BBD"/>
    <w:rsid w:val="0020645A"/>
    <w:rsid w:val="00206BE7"/>
    <w:rsid w:val="00211FAE"/>
    <w:rsid w:val="002126FE"/>
    <w:rsid w:val="002139A8"/>
    <w:rsid w:val="00215585"/>
    <w:rsid w:val="00215592"/>
    <w:rsid w:val="00215753"/>
    <w:rsid w:val="00215D20"/>
    <w:rsid w:val="0021606F"/>
    <w:rsid w:val="002163DC"/>
    <w:rsid w:val="0021669B"/>
    <w:rsid w:val="002213F6"/>
    <w:rsid w:val="002215DA"/>
    <w:rsid w:val="00221D8E"/>
    <w:rsid w:val="00221DC9"/>
    <w:rsid w:val="002221D0"/>
    <w:rsid w:val="00222913"/>
    <w:rsid w:val="00222E74"/>
    <w:rsid w:val="002239F6"/>
    <w:rsid w:val="0022647B"/>
    <w:rsid w:val="00227D1F"/>
    <w:rsid w:val="0023230B"/>
    <w:rsid w:val="002403F9"/>
    <w:rsid w:val="00243EA4"/>
    <w:rsid w:val="00244244"/>
    <w:rsid w:val="00244B7A"/>
    <w:rsid w:val="00245DF7"/>
    <w:rsid w:val="00246614"/>
    <w:rsid w:val="00246B8D"/>
    <w:rsid w:val="00250229"/>
    <w:rsid w:val="002504EA"/>
    <w:rsid w:val="0025088D"/>
    <w:rsid w:val="0025124D"/>
    <w:rsid w:val="00251E1C"/>
    <w:rsid w:val="00252FE7"/>
    <w:rsid w:val="00253236"/>
    <w:rsid w:val="0025344F"/>
    <w:rsid w:val="00253E46"/>
    <w:rsid w:val="00255AF8"/>
    <w:rsid w:val="00255B7C"/>
    <w:rsid w:val="00256FA8"/>
    <w:rsid w:val="00257A94"/>
    <w:rsid w:val="00260546"/>
    <w:rsid w:val="00260C73"/>
    <w:rsid w:val="002610D3"/>
    <w:rsid w:val="00261602"/>
    <w:rsid w:val="00263C1E"/>
    <w:rsid w:val="00264910"/>
    <w:rsid w:val="00264FBA"/>
    <w:rsid w:val="00265DA8"/>
    <w:rsid w:val="00266D17"/>
    <w:rsid w:val="00267603"/>
    <w:rsid w:val="0027470A"/>
    <w:rsid w:val="00274AF0"/>
    <w:rsid w:val="00274F39"/>
    <w:rsid w:val="00277526"/>
    <w:rsid w:val="00280A6A"/>
    <w:rsid w:val="00280E60"/>
    <w:rsid w:val="00281298"/>
    <w:rsid w:val="0028148E"/>
    <w:rsid w:val="00281FCD"/>
    <w:rsid w:val="00284088"/>
    <w:rsid w:val="0028530C"/>
    <w:rsid w:val="002861B8"/>
    <w:rsid w:val="00286A67"/>
    <w:rsid w:val="00287473"/>
    <w:rsid w:val="00287F49"/>
    <w:rsid w:val="0029018C"/>
    <w:rsid w:val="002906B2"/>
    <w:rsid w:val="00290FF6"/>
    <w:rsid w:val="0029118F"/>
    <w:rsid w:val="00292D4F"/>
    <w:rsid w:val="00292F2F"/>
    <w:rsid w:val="00294F1B"/>
    <w:rsid w:val="00295098"/>
    <w:rsid w:val="002956B8"/>
    <w:rsid w:val="002957D7"/>
    <w:rsid w:val="002958FB"/>
    <w:rsid w:val="0029692B"/>
    <w:rsid w:val="002A0B27"/>
    <w:rsid w:val="002A332E"/>
    <w:rsid w:val="002A55A1"/>
    <w:rsid w:val="002A5624"/>
    <w:rsid w:val="002A615C"/>
    <w:rsid w:val="002A6BC2"/>
    <w:rsid w:val="002A6F3B"/>
    <w:rsid w:val="002A6FBF"/>
    <w:rsid w:val="002A7078"/>
    <w:rsid w:val="002B0831"/>
    <w:rsid w:val="002B0A77"/>
    <w:rsid w:val="002B0EEB"/>
    <w:rsid w:val="002B0FB0"/>
    <w:rsid w:val="002B2882"/>
    <w:rsid w:val="002B44C0"/>
    <w:rsid w:val="002B62DF"/>
    <w:rsid w:val="002B634A"/>
    <w:rsid w:val="002B7181"/>
    <w:rsid w:val="002B7208"/>
    <w:rsid w:val="002B76AA"/>
    <w:rsid w:val="002C0DBF"/>
    <w:rsid w:val="002C13CC"/>
    <w:rsid w:val="002C169B"/>
    <w:rsid w:val="002C1AE9"/>
    <w:rsid w:val="002C3219"/>
    <w:rsid w:val="002C3A6A"/>
    <w:rsid w:val="002C3D99"/>
    <w:rsid w:val="002C4C3D"/>
    <w:rsid w:val="002C6B76"/>
    <w:rsid w:val="002C7DD6"/>
    <w:rsid w:val="002D00D7"/>
    <w:rsid w:val="002D1DDF"/>
    <w:rsid w:val="002D213E"/>
    <w:rsid w:val="002D311B"/>
    <w:rsid w:val="002D3BBB"/>
    <w:rsid w:val="002D786C"/>
    <w:rsid w:val="002D7EED"/>
    <w:rsid w:val="002E073E"/>
    <w:rsid w:val="002E0BC8"/>
    <w:rsid w:val="002E0D7D"/>
    <w:rsid w:val="002E0FD6"/>
    <w:rsid w:val="002E1458"/>
    <w:rsid w:val="002E31F9"/>
    <w:rsid w:val="002E3253"/>
    <w:rsid w:val="002E3A88"/>
    <w:rsid w:val="002E5B6B"/>
    <w:rsid w:val="002F0F87"/>
    <w:rsid w:val="002F1135"/>
    <w:rsid w:val="002F1F2B"/>
    <w:rsid w:val="002F3A71"/>
    <w:rsid w:val="002F3B68"/>
    <w:rsid w:val="002F4543"/>
    <w:rsid w:val="002F4E2F"/>
    <w:rsid w:val="002F59F1"/>
    <w:rsid w:val="002F6E1E"/>
    <w:rsid w:val="002F747D"/>
    <w:rsid w:val="00300FD8"/>
    <w:rsid w:val="0030204D"/>
    <w:rsid w:val="00302458"/>
    <w:rsid w:val="00302A70"/>
    <w:rsid w:val="003031DB"/>
    <w:rsid w:val="003031E1"/>
    <w:rsid w:val="003034E7"/>
    <w:rsid w:val="00303A11"/>
    <w:rsid w:val="003048DC"/>
    <w:rsid w:val="00304DFD"/>
    <w:rsid w:val="003058C4"/>
    <w:rsid w:val="00306A29"/>
    <w:rsid w:val="00307213"/>
    <w:rsid w:val="003075D1"/>
    <w:rsid w:val="00310004"/>
    <w:rsid w:val="003115D1"/>
    <w:rsid w:val="00313019"/>
    <w:rsid w:val="00313872"/>
    <w:rsid w:val="00314041"/>
    <w:rsid w:val="003163CB"/>
    <w:rsid w:val="00316541"/>
    <w:rsid w:val="0031796F"/>
    <w:rsid w:val="0032032E"/>
    <w:rsid w:val="003211CD"/>
    <w:rsid w:val="00321356"/>
    <w:rsid w:val="00321F48"/>
    <w:rsid w:val="00324198"/>
    <w:rsid w:val="00324A91"/>
    <w:rsid w:val="00325386"/>
    <w:rsid w:val="00327305"/>
    <w:rsid w:val="003274F7"/>
    <w:rsid w:val="0033026A"/>
    <w:rsid w:val="0033237C"/>
    <w:rsid w:val="003360AD"/>
    <w:rsid w:val="003365B1"/>
    <w:rsid w:val="00340155"/>
    <w:rsid w:val="003403AF"/>
    <w:rsid w:val="00341191"/>
    <w:rsid w:val="003417DC"/>
    <w:rsid w:val="00341E49"/>
    <w:rsid w:val="00342AAF"/>
    <w:rsid w:val="0034304B"/>
    <w:rsid w:val="00343CFB"/>
    <w:rsid w:val="0034463A"/>
    <w:rsid w:val="00345F54"/>
    <w:rsid w:val="00347C7E"/>
    <w:rsid w:val="00347FB7"/>
    <w:rsid w:val="00352B41"/>
    <w:rsid w:val="00352DE7"/>
    <w:rsid w:val="003543EF"/>
    <w:rsid w:val="00355326"/>
    <w:rsid w:val="003563D1"/>
    <w:rsid w:val="00356BF7"/>
    <w:rsid w:val="00356E86"/>
    <w:rsid w:val="0035762A"/>
    <w:rsid w:val="003577EE"/>
    <w:rsid w:val="00360612"/>
    <w:rsid w:val="003609E0"/>
    <w:rsid w:val="00361AE8"/>
    <w:rsid w:val="003637E9"/>
    <w:rsid w:val="00363B6B"/>
    <w:rsid w:val="00363F31"/>
    <w:rsid w:val="00364A3A"/>
    <w:rsid w:val="003653CD"/>
    <w:rsid w:val="00365791"/>
    <w:rsid w:val="00365D39"/>
    <w:rsid w:val="0036693C"/>
    <w:rsid w:val="003679D2"/>
    <w:rsid w:val="003708ED"/>
    <w:rsid w:val="00373668"/>
    <w:rsid w:val="00375355"/>
    <w:rsid w:val="00375966"/>
    <w:rsid w:val="00375F88"/>
    <w:rsid w:val="00376563"/>
    <w:rsid w:val="00376DEE"/>
    <w:rsid w:val="00377E43"/>
    <w:rsid w:val="00380647"/>
    <w:rsid w:val="00382593"/>
    <w:rsid w:val="00382AD3"/>
    <w:rsid w:val="00384199"/>
    <w:rsid w:val="00387CCA"/>
    <w:rsid w:val="003902FF"/>
    <w:rsid w:val="00391CED"/>
    <w:rsid w:val="003937AC"/>
    <w:rsid w:val="00397BDB"/>
    <w:rsid w:val="003A1052"/>
    <w:rsid w:val="003A1DD3"/>
    <w:rsid w:val="003A2487"/>
    <w:rsid w:val="003A289D"/>
    <w:rsid w:val="003A3DE7"/>
    <w:rsid w:val="003A4595"/>
    <w:rsid w:val="003A5ECB"/>
    <w:rsid w:val="003A7822"/>
    <w:rsid w:val="003B014D"/>
    <w:rsid w:val="003B0A7E"/>
    <w:rsid w:val="003B0D27"/>
    <w:rsid w:val="003B0DF7"/>
    <w:rsid w:val="003B2C58"/>
    <w:rsid w:val="003B2D1B"/>
    <w:rsid w:val="003B3299"/>
    <w:rsid w:val="003B647D"/>
    <w:rsid w:val="003B686B"/>
    <w:rsid w:val="003C033C"/>
    <w:rsid w:val="003C0489"/>
    <w:rsid w:val="003C0613"/>
    <w:rsid w:val="003C088A"/>
    <w:rsid w:val="003C0AC8"/>
    <w:rsid w:val="003C1260"/>
    <w:rsid w:val="003C1B74"/>
    <w:rsid w:val="003C37FA"/>
    <w:rsid w:val="003C69AA"/>
    <w:rsid w:val="003C72A7"/>
    <w:rsid w:val="003C7D41"/>
    <w:rsid w:val="003D02B4"/>
    <w:rsid w:val="003D1187"/>
    <w:rsid w:val="003D195F"/>
    <w:rsid w:val="003D2115"/>
    <w:rsid w:val="003D2AF4"/>
    <w:rsid w:val="003D3143"/>
    <w:rsid w:val="003D3435"/>
    <w:rsid w:val="003E005F"/>
    <w:rsid w:val="003E0412"/>
    <w:rsid w:val="003E15D6"/>
    <w:rsid w:val="003E2769"/>
    <w:rsid w:val="003E5087"/>
    <w:rsid w:val="003E5088"/>
    <w:rsid w:val="003E5764"/>
    <w:rsid w:val="003E59DE"/>
    <w:rsid w:val="003E59EE"/>
    <w:rsid w:val="003E6882"/>
    <w:rsid w:val="003E7770"/>
    <w:rsid w:val="003F022C"/>
    <w:rsid w:val="003F2AC5"/>
    <w:rsid w:val="003F2CBA"/>
    <w:rsid w:val="003F4BAA"/>
    <w:rsid w:val="003F669A"/>
    <w:rsid w:val="003F75FE"/>
    <w:rsid w:val="003F76FF"/>
    <w:rsid w:val="004015E2"/>
    <w:rsid w:val="004016A4"/>
    <w:rsid w:val="004019DF"/>
    <w:rsid w:val="004020FA"/>
    <w:rsid w:val="00403BEF"/>
    <w:rsid w:val="00404906"/>
    <w:rsid w:val="00404D10"/>
    <w:rsid w:val="00404E7B"/>
    <w:rsid w:val="00406C70"/>
    <w:rsid w:val="00410274"/>
    <w:rsid w:val="00410C60"/>
    <w:rsid w:val="0041158A"/>
    <w:rsid w:val="00415127"/>
    <w:rsid w:val="0041662A"/>
    <w:rsid w:val="00417899"/>
    <w:rsid w:val="00420DCC"/>
    <w:rsid w:val="00422CBB"/>
    <w:rsid w:val="00422D9F"/>
    <w:rsid w:val="0042330B"/>
    <w:rsid w:val="0042346E"/>
    <w:rsid w:val="00424044"/>
    <w:rsid w:val="0042416B"/>
    <w:rsid w:val="004247FA"/>
    <w:rsid w:val="00427BC4"/>
    <w:rsid w:val="00427DA1"/>
    <w:rsid w:val="00430779"/>
    <w:rsid w:val="00430CB0"/>
    <w:rsid w:val="004337DE"/>
    <w:rsid w:val="0043392F"/>
    <w:rsid w:val="00433ED8"/>
    <w:rsid w:val="00434642"/>
    <w:rsid w:val="00434E29"/>
    <w:rsid w:val="004359F2"/>
    <w:rsid w:val="00435DAF"/>
    <w:rsid w:val="004372F7"/>
    <w:rsid w:val="0043775E"/>
    <w:rsid w:val="00441836"/>
    <w:rsid w:val="00442314"/>
    <w:rsid w:val="00442774"/>
    <w:rsid w:val="0044314A"/>
    <w:rsid w:val="004451F6"/>
    <w:rsid w:val="00445A16"/>
    <w:rsid w:val="00445E78"/>
    <w:rsid w:val="0045067B"/>
    <w:rsid w:val="004506BE"/>
    <w:rsid w:val="00450EB8"/>
    <w:rsid w:val="004521FC"/>
    <w:rsid w:val="00452D65"/>
    <w:rsid w:val="00454B60"/>
    <w:rsid w:val="00455AA7"/>
    <w:rsid w:val="00455FF3"/>
    <w:rsid w:val="00457178"/>
    <w:rsid w:val="0045761B"/>
    <w:rsid w:val="00457A70"/>
    <w:rsid w:val="00460764"/>
    <w:rsid w:val="00460B46"/>
    <w:rsid w:val="004617E0"/>
    <w:rsid w:val="00461936"/>
    <w:rsid w:val="00461F46"/>
    <w:rsid w:val="004620FA"/>
    <w:rsid w:val="00463827"/>
    <w:rsid w:val="0046447D"/>
    <w:rsid w:val="004648D4"/>
    <w:rsid w:val="00465859"/>
    <w:rsid w:val="0046669C"/>
    <w:rsid w:val="004669E3"/>
    <w:rsid w:val="004671A3"/>
    <w:rsid w:val="0046725D"/>
    <w:rsid w:val="00470395"/>
    <w:rsid w:val="0047254C"/>
    <w:rsid w:val="00472614"/>
    <w:rsid w:val="00472764"/>
    <w:rsid w:val="004734B2"/>
    <w:rsid w:val="004734DA"/>
    <w:rsid w:val="00473543"/>
    <w:rsid w:val="00473CFE"/>
    <w:rsid w:val="00474AC5"/>
    <w:rsid w:val="00475D90"/>
    <w:rsid w:val="00476016"/>
    <w:rsid w:val="00480617"/>
    <w:rsid w:val="00481687"/>
    <w:rsid w:val="00482A22"/>
    <w:rsid w:val="00483CD5"/>
    <w:rsid w:val="00485D75"/>
    <w:rsid w:val="004871C3"/>
    <w:rsid w:val="004874F3"/>
    <w:rsid w:val="0048768D"/>
    <w:rsid w:val="004907E9"/>
    <w:rsid w:val="00490B49"/>
    <w:rsid w:val="0049117B"/>
    <w:rsid w:val="004928EC"/>
    <w:rsid w:val="00494EE3"/>
    <w:rsid w:val="00497B54"/>
    <w:rsid w:val="00497C90"/>
    <w:rsid w:val="004A0C3C"/>
    <w:rsid w:val="004A13A7"/>
    <w:rsid w:val="004A16D8"/>
    <w:rsid w:val="004A215E"/>
    <w:rsid w:val="004A21A2"/>
    <w:rsid w:val="004A2526"/>
    <w:rsid w:val="004A2E81"/>
    <w:rsid w:val="004A2F11"/>
    <w:rsid w:val="004A3F94"/>
    <w:rsid w:val="004A4980"/>
    <w:rsid w:val="004A5793"/>
    <w:rsid w:val="004A689C"/>
    <w:rsid w:val="004B04CC"/>
    <w:rsid w:val="004B1701"/>
    <w:rsid w:val="004B1F3E"/>
    <w:rsid w:val="004B2554"/>
    <w:rsid w:val="004B308C"/>
    <w:rsid w:val="004B5D76"/>
    <w:rsid w:val="004B710F"/>
    <w:rsid w:val="004C0725"/>
    <w:rsid w:val="004C0853"/>
    <w:rsid w:val="004C0B59"/>
    <w:rsid w:val="004C269F"/>
    <w:rsid w:val="004C33CC"/>
    <w:rsid w:val="004C59DC"/>
    <w:rsid w:val="004C5F5E"/>
    <w:rsid w:val="004C787C"/>
    <w:rsid w:val="004C7CD1"/>
    <w:rsid w:val="004D049B"/>
    <w:rsid w:val="004D1597"/>
    <w:rsid w:val="004D1735"/>
    <w:rsid w:val="004D19C8"/>
    <w:rsid w:val="004D2C6F"/>
    <w:rsid w:val="004D38C1"/>
    <w:rsid w:val="004D3EA5"/>
    <w:rsid w:val="004D4920"/>
    <w:rsid w:val="004D5491"/>
    <w:rsid w:val="004D5A33"/>
    <w:rsid w:val="004D5C4A"/>
    <w:rsid w:val="004D60D5"/>
    <w:rsid w:val="004D6175"/>
    <w:rsid w:val="004D6968"/>
    <w:rsid w:val="004E03B3"/>
    <w:rsid w:val="004E1914"/>
    <w:rsid w:val="004E346A"/>
    <w:rsid w:val="004E438A"/>
    <w:rsid w:val="004E678D"/>
    <w:rsid w:val="004E6B51"/>
    <w:rsid w:val="004E7D32"/>
    <w:rsid w:val="004F0A9D"/>
    <w:rsid w:val="004F1887"/>
    <w:rsid w:val="004F1C7A"/>
    <w:rsid w:val="004F2632"/>
    <w:rsid w:val="004F320D"/>
    <w:rsid w:val="004F34F7"/>
    <w:rsid w:val="004F3757"/>
    <w:rsid w:val="004F37CB"/>
    <w:rsid w:val="004F4633"/>
    <w:rsid w:val="004F5108"/>
    <w:rsid w:val="004F52F4"/>
    <w:rsid w:val="004F5766"/>
    <w:rsid w:val="004F596B"/>
    <w:rsid w:val="004F633A"/>
    <w:rsid w:val="004F7F91"/>
    <w:rsid w:val="00500393"/>
    <w:rsid w:val="00501530"/>
    <w:rsid w:val="0050180F"/>
    <w:rsid w:val="00502E9E"/>
    <w:rsid w:val="0050490D"/>
    <w:rsid w:val="00506925"/>
    <w:rsid w:val="00506F0B"/>
    <w:rsid w:val="00510F8D"/>
    <w:rsid w:val="0051210E"/>
    <w:rsid w:val="00512FA6"/>
    <w:rsid w:val="00514715"/>
    <w:rsid w:val="00517564"/>
    <w:rsid w:val="005200C4"/>
    <w:rsid w:val="00521500"/>
    <w:rsid w:val="00521F46"/>
    <w:rsid w:val="00522B3D"/>
    <w:rsid w:val="00523005"/>
    <w:rsid w:val="0052348A"/>
    <w:rsid w:val="00523935"/>
    <w:rsid w:val="0052400C"/>
    <w:rsid w:val="00524611"/>
    <w:rsid w:val="00524B50"/>
    <w:rsid w:val="005260F4"/>
    <w:rsid w:val="00526481"/>
    <w:rsid w:val="00527489"/>
    <w:rsid w:val="0052784F"/>
    <w:rsid w:val="00527CCE"/>
    <w:rsid w:val="00527E4F"/>
    <w:rsid w:val="005303F0"/>
    <w:rsid w:val="0053146F"/>
    <w:rsid w:val="005314D1"/>
    <w:rsid w:val="005321A7"/>
    <w:rsid w:val="0053246B"/>
    <w:rsid w:val="005328F8"/>
    <w:rsid w:val="00532F99"/>
    <w:rsid w:val="005332EC"/>
    <w:rsid w:val="005339DB"/>
    <w:rsid w:val="00533FD2"/>
    <w:rsid w:val="00534E33"/>
    <w:rsid w:val="00536216"/>
    <w:rsid w:val="00536CE7"/>
    <w:rsid w:val="00536D9D"/>
    <w:rsid w:val="0053757E"/>
    <w:rsid w:val="005432D7"/>
    <w:rsid w:val="005457D2"/>
    <w:rsid w:val="005476F5"/>
    <w:rsid w:val="00547D32"/>
    <w:rsid w:val="00547DC9"/>
    <w:rsid w:val="005502BE"/>
    <w:rsid w:val="0055487A"/>
    <w:rsid w:val="00555054"/>
    <w:rsid w:val="00555922"/>
    <w:rsid w:val="005563ED"/>
    <w:rsid w:val="00556474"/>
    <w:rsid w:val="00556830"/>
    <w:rsid w:val="005568FB"/>
    <w:rsid w:val="00557714"/>
    <w:rsid w:val="00557944"/>
    <w:rsid w:val="00557996"/>
    <w:rsid w:val="005601C9"/>
    <w:rsid w:val="00560D51"/>
    <w:rsid w:val="00562301"/>
    <w:rsid w:val="005623C0"/>
    <w:rsid w:val="00563088"/>
    <w:rsid w:val="005644BD"/>
    <w:rsid w:val="00564A01"/>
    <w:rsid w:val="00565E58"/>
    <w:rsid w:val="005678DE"/>
    <w:rsid w:val="00567ADD"/>
    <w:rsid w:val="00570585"/>
    <w:rsid w:val="00571C86"/>
    <w:rsid w:val="00574B3E"/>
    <w:rsid w:val="00575460"/>
    <w:rsid w:val="0057634E"/>
    <w:rsid w:val="00576583"/>
    <w:rsid w:val="00577829"/>
    <w:rsid w:val="0058066B"/>
    <w:rsid w:val="00580926"/>
    <w:rsid w:val="00580C05"/>
    <w:rsid w:val="00581D2B"/>
    <w:rsid w:val="00582B25"/>
    <w:rsid w:val="00582B6B"/>
    <w:rsid w:val="005838C9"/>
    <w:rsid w:val="00583EC1"/>
    <w:rsid w:val="00583FE6"/>
    <w:rsid w:val="00585ABA"/>
    <w:rsid w:val="00586960"/>
    <w:rsid w:val="00591B18"/>
    <w:rsid w:val="005942E8"/>
    <w:rsid w:val="0059430A"/>
    <w:rsid w:val="00594C2F"/>
    <w:rsid w:val="0059533F"/>
    <w:rsid w:val="00596C04"/>
    <w:rsid w:val="005970B7"/>
    <w:rsid w:val="005976C5"/>
    <w:rsid w:val="00597B0E"/>
    <w:rsid w:val="005A01B6"/>
    <w:rsid w:val="005A0331"/>
    <w:rsid w:val="005A05F3"/>
    <w:rsid w:val="005A09EA"/>
    <w:rsid w:val="005A17B0"/>
    <w:rsid w:val="005A3542"/>
    <w:rsid w:val="005A370A"/>
    <w:rsid w:val="005A3FEB"/>
    <w:rsid w:val="005A6D13"/>
    <w:rsid w:val="005A73D6"/>
    <w:rsid w:val="005A7D3A"/>
    <w:rsid w:val="005A7D7C"/>
    <w:rsid w:val="005B1B2E"/>
    <w:rsid w:val="005B26F4"/>
    <w:rsid w:val="005B3355"/>
    <w:rsid w:val="005B358A"/>
    <w:rsid w:val="005B4A2B"/>
    <w:rsid w:val="005B50BA"/>
    <w:rsid w:val="005B541E"/>
    <w:rsid w:val="005B56C5"/>
    <w:rsid w:val="005B5FBA"/>
    <w:rsid w:val="005C0E74"/>
    <w:rsid w:val="005C0EE0"/>
    <w:rsid w:val="005C1637"/>
    <w:rsid w:val="005C3EEB"/>
    <w:rsid w:val="005C45B8"/>
    <w:rsid w:val="005C7CAE"/>
    <w:rsid w:val="005C7CED"/>
    <w:rsid w:val="005D06A8"/>
    <w:rsid w:val="005D39D6"/>
    <w:rsid w:val="005D3E35"/>
    <w:rsid w:val="005D469E"/>
    <w:rsid w:val="005D4DF3"/>
    <w:rsid w:val="005D5407"/>
    <w:rsid w:val="005D60B5"/>
    <w:rsid w:val="005D6E54"/>
    <w:rsid w:val="005E02D0"/>
    <w:rsid w:val="005E07E2"/>
    <w:rsid w:val="005E1512"/>
    <w:rsid w:val="005E1875"/>
    <w:rsid w:val="005E3681"/>
    <w:rsid w:val="005E3C5A"/>
    <w:rsid w:val="005E3EA6"/>
    <w:rsid w:val="005E400E"/>
    <w:rsid w:val="005E42C6"/>
    <w:rsid w:val="005E4E2A"/>
    <w:rsid w:val="005E525A"/>
    <w:rsid w:val="005E5539"/>
    <w:rsid w:val="005E5B9E"/>
    <w:rsid w:val="005E6137"/>
    <w:rsid w:val="005E7C13"/>
    <w:rsid w:val="005F13A0"/>
    <w:rsid w:val="005F3662"/>
    <w:rsid w:val="005F5A0A"/>
    <w:rsid w:val="005F62EB"/>
    <w:rsid w:val="005F75BB"/>
    <w:rsid w:val="00600BF6"/>
    <w:rsid w:val="00601637"/>
    <w:rsid w:val="00601CF4"/>
    <w:rsid w:val="00602377"/>
    <w:rsid w:val="00602B36"/>
    <w:rsid w:val="006030D2"/>
    <w:rsid w:val="00603528"/>
    <w:rsid w:val="006048E5"/>
    <w:rsid w:val="00605361"/>
    <w:rsid w:val="00607375"/>
    <w:rsid w:val="0061008A"/>
    <w:rsid w:val="00610352"/>
    <w:rsid w:val="00610BEC"/>
    <w:rsid w:val="00611FAD"/>
    <w:rsid w:val="00612210"/>
    <w:rsid w:val="0061313E"/>
    <w:rsid w:val="0061317F"/>
    <w:rsid w:val="006140D8"/>
    <w:rsid w:val="00614E1F"/>
    <w:rsid w:val="00615712"/>
    <w:rsid w:val="0061587B"/>
    <w:rsid w:val="0061590C"/>
    <w:rsid w:val="00616B1C"/>
    <w:rsid w:val="0061795D"/>
    <w:rsid w:val="00617AC2"/>
    <w:rsid w:val="00621EAC"/>
    <w:rsid w:val="00624DB0"/>
    <w:rsid w:val="00625719"/>
    <w:rsid w:val="00625BE6"/>
    <w:rsid w:val="00625FE6"/>
    <w:rsid w:val="0062652F"/>
    <w:rsid w:val="00627F81"/>
    <w:rsid w:val="00630029"/>
    <w:rsid w:val="00630446"/>
    <w:rsid w:val="0063194D"/>
    <w:rsid w:val="00631AAA"/>
    <w:rsid w:val="0063283C"/>
    <w:rsid w:val="006349DA"/>
    <w:rsid w:val="00635115"/>
    <w:rsid w:val="006358A6"/>
    <w:rsid w:val="006369BD"/>
    <w:rsid w:val="00637588"/>
    <w:rsid w:val="00641EB4"/>
    <w:rsid w:val="00641F46"/>
    <w:rsid w:val="006424E6"/>
    <w:rsid w:val="00642A60"/>
    <w:rsid w:val="00643DBD"/>
    <w:rsid w:val="006469FA"/>
    <w:rsid w:val="00647022"/>
    <w:rsid w:val="00647E09"/>
    <w:rsid w:val="006501EF"/>
    <w:rsid w:val="00652510"/>
    <w:rsid w:val="00652585"/>
    <w:rsid w:val="00652A97"/>
    <w:rsid w:val="00653E9D"/>
    <w:rsid w:val="006540E0"/>
    <w:rsid w:val="006544BD"/>
    <w:rsid w:val="0065480D"/>
    <w:rsid w:val="0065502C"/>
    <w:rsid w:val="00657A0C"/>
    <w:rsid w:val="00657B89"/>
    <w:rsid w:val="00657EA5"/>
    <w:rsid w:val="0066074B"/>
    <w:rsid w:val="00660B94"/>
    <w:rsid w:val="00661274"/>
    <w:rsid w:val="00661EC7"/>
    <w:rsid w:val="00662800"/>
    <w:rsid w:val="006636C1"/>
    <w:rsid w:val="006636DF"/>
    <w:rsid w:val="006636EE"/>
    <w:rsid w:val="00664C99"/>
    <w:rsid w:val="00665EC9"/>
    <w:rsid w:val="006675C4"/>
    <w:rsid w:val="006718F8"/>
    <w:rsid w:val="00671990"/>
    <w:rsid w:val="00671F1D"/>
    <w:rsid w:val="006729F0"/>
    <w:rsid w:val="00672D68"/>
    <w:rsid w:val="00673DC9"/>
    <w:rsid w:val="00674215"/>
    <w:rsid w:val="0067458F"/>
    <w:rsid w:val="00674CAE"/>
    <w:rsid w:val="00674D03"/>
    <w:rsid w:val="00675209"/>
    <w:rsid w:val="006758F2"/>
    <w:rsid w:val="006759BB"/>
    <w:rsid w:val="006774A6"/>
    <w:rsid w:val="00677BBD"/>
    <w:rsid w:val="00680151"/>
    <w:rsid w:val="00680949"/>
    <w:rsid w:val="00680E4B"/>
    <w:rsid w:val="0068489C"/>
    <w:rsid w:val="00685702"/>
    <w:rsid w:val="00690AA8"/>
    <w:rsid w:val="00691000"/>
    <w:rsid w:val="006919BD"/>
    <w:rsid w:val="00691DA3"/>
    <w:rsid w:val="00692059"/>
    <w:rsid w:val="00694683"/>
    <w:rsid w:val="00694E7F"/>
    <w:rsid w:val="00695F8F"/>
    <w:rsid w:val="00697325"/>
    <w:rsid w:val="00697F7F"/>
    <w:rsid w:val="006A1D24"/>
    <w:rsid w:val="006A2639"/>
    <w:rsid w:val="006A2799"/>
    <w:rsid w:val="006A2EDB"/>
    <w:rsid w:val="006A3A7C"/>
    <w:rsid w:val="006A45C2"/>
    <w:rsid w:val="006A45F3"/>
    <w:rsid w:val="006A4C2A"/>
    <w:rsid w:val="006A518B"/>
    <w:rsid w:val="006A6965"/>
    <w:rsid w:val="006A75DE"/>
    <w:rsid w:val="006A7754"/>
    <w:rsid w:val="006A7F59"/>
    <w:rsid w:val="006B0542"/>
    <w:rsid w:val="006B1557"/>
    <w:rsid w:val="006B1801"/>
    <w:rsid w:val="006B294F"/>
    <w:rsid w:val="006B46E3"/>
    <w:rsid w:val="006B509B"/>
    <w:rsid w:val="006B6329"/>
    <w:rsid w:val="006B7981"/>
    <w:rsid w:val="006B7D52"/>
    <w:rsid w:val="006C07DB"/>
    <w:rsid w:val="006C09E7"/>
    <w:rsid w:val="006C0D2E"/>
    <w:rsid w:val="006C138E"/>
    <w:rsid w:val="006C1510"/>
    <w:rsid w:val="006C1A5F"/>
    <w:rsid w:val="006C3D0B"/>
    <w:rsid w:val="006C4B3A"/>
    <w:rsid w:val="006C5635"/>
    <w:rsid w:val="006C5677"/>
    <w:rsid w:val="006C5B43"/>
    <w:rsid w:val="006C5C76"/>
    <w:rsid w:val="006C708E"/>
    <w:rsid w:val="006C7514"/>
    <w:rsid w:val="006C7AF9"/>
    <w:rsid w:val="006D0879"/>
    <w:rsid w:val="006D0B41"/>
    <w:rsid w:val="006D114D"/>
    <w:rsid w:val="006D1AB1"/>
    <w:rsid w:val="006D1C25"/>
    <w:rsid w:val="006D2A33"/>
    <w:rsid w:val="006D2D15"/>
    <w:rsid w:val="006D3045"/>
    <w:rsid w:val="006D343C"/>
    <w:rsid w:val="006D3E67"/>
    <w:rsid w:val="006D54AB"/>
    <w:rsid w:val="006D5828"/>
    <w:rsid w:val="006D58EE"/>
    <w:rsid w:val="006D6436"/>
    <w:rsid w:val="006D78F0"/>
    <w:rsid w:val="006D7949"/>
    <w:rsid w:val="006E0BB8"/>
    <w:rsid w:val="006E0FC2"/>
    <w:rsid w:val="006E1840"/>
    <w:rsid w:val="006E25C6"/>
    <w:rsid w:val="006E2A25"/>
    <w:rsid w:val="006E4C4F"/>
    <w:rsid w:val="006E5328"/>
    <w:rsid w:val="006E5394"/>
    <w:rsid w:val="006E5F85"/>
    <w:rsid w:val="006E62C1"/>
    <w:rsid w:val="006E6E15"/>
    <w:rsid w:val="006E7B50"/>
    <w:rsid w:val="006F0CA5"/>
    <w:rsid w:val="006F0E42"/>
    <w:rsid w:val="006F0E44"/>
    <w:rsid w:val="006F0E4E"/>
    <w:rsid w:val="006F0EE6"/>
    <w:rsid w:val="006F10AF"/>
    <w:rsid w:val="006F292D"/>
    <w:rsid w:val="006F2F23"/>
    <w:rsid w:val="006F2F40"/>
    <w:rsid w:val="006F3F51"/>
    <w:rsid w:val="006F4390"/>
    <w:rsid w:val="006F4401"/>
    <w:rsid w:val="006F4D73"/>
    <w:rsid w:val="006F4FAE"/>
    <w:rsid w:val="006F51CE"/>
    <w:rsid w:val="006F5527"/>
    <w:rsid w:val="006F6E6E"/>
    <w:rsid w:val="006F70B5"/>
    <w:rsid w:val="006F7BDE"/>
    <w:rsid w:val="00700012"/>
    <w:rsid w:val="00700123"/>
    <w:rsid w:val="00700218"/>
    <w:rsid w:val="0070298D"/>
    <w:rsid w:val="007053D4"/>
    <w:rsid w:val="007067C0"/>
    <w:rsid w:val="007071A3"/>
    <w:rsid w:val="00707D7A"/>
    <w:rsid w:val="007101C4"/>
    <w:rsid w:val="00710A01"/>
    <w:rsid w:val="00710D6D"/>
    <w:rsid w:val="00712997"/>
    <w:rsid w:val="00712AE2"/>
    <w:rsid w:val="0071442C"/>
    <w:rsid w:val="00714472"/>
    <w:rsid w:val="007146F3"/>
    <w:rsid w:val="00714D26"/>
    <w:rsid w:val="00714D3E"/>
    <w:rsid w:val="00715A35"/>
    <w:rsid w:val="0071706B"/>
    <w:rsid w:val="007178B3"/>
    <w:rsid w:val="007204EA"/>
    <w:rsid w:val="0072088F"/>
    <w:rsid w:val="00721E8F"/>
    <w:rsid w:val="00721F8E"/>
    <w:rsid w:val="00722120"/>
    <w:rsid w:val="00723EE3"/>
    <w:rsid w:val="0072600C"/>
    <w:rsid w:val="00726B97"/>
    <w:rsid w:val="007278C2"/>
    <w:rsid w:val="00727C35"/>
    <w:rsid w:val="00730757"/>
    <w:rsid w:val="00731239"/>
    <w:rsid w:val="007335DE"/>
    <w:rsid w:val="0073471D"/>
    <w:rsid w:val="007356DF"/>
    <w:rsid w:val="0073583D"/>
    <w:rsid w:val="007359B3"/>
    <w:rsid w:val="00736753"/>
    <w:rsid w:val="00736D5F"/>
    <w:rsid w:val="007401CA"/>
    <w:rsid w:val="00741373"/>
    <w:rsid w:val="007430BE"/>
    <w:rsid w:val="00743560"/>
    <w:rsid w:val="00743E34"/>
    <w:rsid w:val="00744246"/>
    <w:rsid w:val="007443F9"/>
    <w:rsid w:val="00744433"/>
    <w:rsid w:val="007448F8"/>
    <w:rsid w:val="00744C41"/>
    <w:rsid w:val="0074571E"/>
    <w:rsid w:val="00746FD7"/>
    <w:rsid w:val="00750655"/>
    <w:rsid w:val="0075264A"/>
    <w:rsid w:val="0075298C"/>
    <w:rsid w:val="00754018"/>
    <w:rsid w:val="00754E4D"/>
    <w:rsid w:val="00756B96"/>
    <w:rsid w:val="00756CDE"/>
    <w:rsid w:val="00756E06"/>
    <w:rsid w:val="0075702C"/>
    <w:rsid w:val="0075746F"/>
    <w:rsid w:val="00757D8E"/>
    <w:rsid w:val="0076211D"/>
    <w:rsid w:val="00762149"/>
    <w:rsid w:val="0076317D"/>
    <w:rsid w:val="007637A2"/>
    <w:rsid w:val="00763F29"/>
    <w:rsid w:val="0076425B"/>
    <w:rsid w:val="007652B1"/>
    <w:rsid w:val="00765C17"/>
    <w:rsid w:val="00770D1D"/>
    <w:rsid w:val="00771495"/>
    <w:rsid w:val="00772667"/>
    <w:rsid w:val="007729E8"/>
    <w:rsid w:val="00772C18"/>
    <w:rsid w:val="00773774"/>
    <w:rsid w:val="007769BE"/>
    <w:rsid w:val="00776BF9"/>
    <w:rsid w:val="00776FE6"/>
    <w:rsid w:val="007774ED"/>
    <w:rsid w:val="007777E5"/>
    <w:rsid w:val="00777EC0"/>
    <w:rsid w:val="00777FAB"/>
    <w:rsid w:val="007803FA"/>
    <w:rsid w:val="0078204F"/>
    <w:rsid w:val="00782AE7"/>
    <w:rsid w:val="00783C16"/>
    <w:rsid w:val="0078460F"/>
    <w:rsid w:val="00784896"/>
    <w:rsid w:val="00785338"/>
    <w:rsid w:val="0078601B"/>
    <w:rsid w:val="007872EB"/>
    <w:rsid w:val="0078736F"/>
    <w:rsid w:val="007878B4"/>
    <w:rsid w:val="00787BA4"/>
    <w:rsid w:val="00787C16"/>
    <w:rsid w:val="00791646"/>
    <w:rsid w:val="007916D8"/>
    <w:rsid w:val="007924CE"/>
    <w:rsid w:val="007936D5"/>
    <w:rsid w:val="007948C7"/>
    <w:rsid w:val="00794A59"/>
    <w:rsid w:val="00796204"/>
    <w:rsid w:val="00796B20"/>
    <w:rsid w:val="00797573"/>
    <w:rsid w:val="007A0F3F"/>
    <w:rsid w:val="007A18D9"/>
    <w:rsid w:val="007A2048"/>
    <w:rsid w:val="007A2761"/>
    <w:rsid w:val="007A5EEA"/>
    <w:rsid w:val="007A66B1"/>
    <w:rsid w:val="007A69BB"/>
    <w:rsid w:val="007A6CD2"/>
    <w:rsid w:val="007A7041"/>
    <w:rsid w:val="007A70E2"/>
    <w:rsid w:val="007B0875"/>
    <w:rsid w:val="007B105F"/>
    <w:rsid w:val="007B1559"/>
    <w:rsid w:val="007B162E"/>
    <w:rsid w:val="007B327B"/>
    <w:rsid w:val="007B359F"/>
    <w:rsid w:val="007B5163"/>
    <w:rsid w:val="007B53D8"/>
    <w:rsid w:val="007B5867"/>
    <w:rsid w:val="007B7AC2"/>
    <w:rsid w:val="007C07BC"/>
    <w:rsid w:val="007C30F0"/>
    <w:rsid w:val="007C34A3"/>
    <w:rsid w:val="007C4771"/>
    <w:rsid w:val="007C4B44"/>
    <w:rsid w:val="007C4EBA"/>
    <w:rsid w:val="007C5736"/>
    <w:rsid w:val="007C68FC"/>
    <w:rsid w:val="007C705E"/>
    <w:rsid w:val="007C7E46"/>
    <w:rsid w:val="007D05AE"/>
    <w:rsid w:val="007D0A42"/>
    <w:rsid w:val="007D1301"/>
    <w:rsid w:val="007D29D1"/>
    <w:rsid w:val="007D343A"/>
    <w:rsid w:val="007D38E3"/>
    <w:rsid w:val="007D3D70"/>
    <w:rsid w:val="007D4518"/>
    <w:rsid w:val="007D58D8"/>
    <w:rsid w:val="007D62CD"/>
    <w:rsid w:val="007D6A00"/>
    <w:rsid w:val="007D7130"/>
    <w:rsid w:val="007D7778"/>
    <w:rsid w:val="007E0493"/>
    <w:rsid w:val="007E09F7"/>
    <w:rsid w:val="007E1193"/>
    <w:rsid w:val="007E34DB"/>
    <w:rsid w:val="007E5DCD"/>
    <w:rsid w:val="007E6562"/>
    <w:rsid w:val="007E6801"/>
    <w:rsid w:val="007E7F52"/>
    <w:rsid w:val="007F1410"/>
    <w:rsid w:val="007F3F4E"/>
    <w:rsid w:val="007F5E8C"/>
    <w:rsid w:val="007F6253"/>
    <w:rsid w:val="007F62FE"/>
    <w:rsid w:val="007F6C67"/>
    <w:rsid w:val="007F77D8"/>
    <w:rsid w:val="0080122D"/>
    <w:rsid w:val="00802E32"/>
    <w:rsid w:val="00802E7E"/>
    <w:rsid w:val="008042B8"/>
    <w:rsid w:val="008050B4"/>
    <w:rsid w:val="00805322"/>
    <w:rsid w:val="00805A2B"/>
    <w:rsid w:val="00805ECC"/>
    <w:rsid w:val="008064EB"/>
    <w:rsid w:val="0080656C"/>
    <w:rsid w:val="00806F4D"/>
    <w:rsid w:val="00807118"/>
    <w:rsid w:val="0081070D"/>
    <w:rsid w:val="00811E87"/>
    <w:rsid w:val="0081212B"/>
    <w:rsid w:val="00812B9B"/>
    <w:rsid w:val="008136F3"/>
    <w:rsid w:val="00814027"/>
    <w:rsid w:val="008201B9"/>
    <w:rsid w:val="0082029F"/>
    <w:rsid w:val="008203B9"/>
    <w:rsid w:val="008203ED"/>
    <w:rsid w:val="008213FF"/>
    <w:rsid w:val="00821DF9"/>
    <w:rsid w:val="0082249D"/>
    <w:rsid w:val="008224B6"/>
    <w:rsid w:val="00826DE0"/>
    <w:rsid w:val="0082730D"/>
    <w:rsid w:val="00827718"/>
    <w:rsid w:val="00830C2E"/>
    <w:rsid w:val="00831D1F"/>
    <w:rsid w:val="008332F6"/>
    <w:rsid w:val="00835314"/>
    <w:rsid w:val="008362FA"/>
    <w:rsid w:val="00836E39"/>
    <w:rsid w:val="00837021"/>
    <w:rsid w:val="0083797F"/>
    <w:rsid w:val="00840BA9"/>
    <w:rsid w:val="00840F09"/>
    <w:rsid w:val="00841144"/>
    <w:rsid w:val="00842016"/>
    <w:rsid w:val="00842C99"/>
    <w:rsid w:val="00842E4F"/>
    <w:rsid w:val="00844467"/>
    <w:rsid w:val="008460C6"/>
    <w:rsid w:val="008464AC"/>
    <w:rsid w:val="00847201"/>
    <w:rsid w:val="008477AB"/>
    <w:rsid w:val="00847A5C"/>
    <w:rsid w:val="00850A1D"/>
    <w:rsid w:val="00850A28"/>
    <w:rsid w:val="00850C1B"/>
    <w:rsid w:val="00850C70"/>
    <w:rsid w:val="0085243E"/>
    <w:rsid w:val="00852D19"/>
    <w:rsid w:val="00853309"/>
    <w:rsid w:val="0085363D"/>
    <w:rsid w:val="0085675F"/>
    <w:rsid w:val="00856CE2"/>
    <w:rsid w:val="00857076"/>
    <w:rsid w:val="008570C9"/>
    <w:rsid w:val="00857301"/>
    <w:rsid w:val="008578BF"/>
    <w:rsid w:val="00857CB4"/>
    <w:rsid w:val="00857F2A"/>
    <w:rsid w:val="00860351"/>
    <w:rsid w:val="00860ECF"/>
    <w:rsid w:val="008612F3"/>
    <w:rsid w:val="0086163E"/>
    <w:rsid w:val="0086318B"/>
    <w:rsid w:val="00864363"/>
    <w:rsid w:val="00864D25"/>
    <w:rsid w:val="00871F30"/>
    <w:rsid w:val="00872165"/>
    <w:rsid w:val="008728D7"/>
    <w:rsid w:val="00872E0D"/>
    <w:rsid w:val="00872F20"/>
    <w:rsid w:val="0087390E"/>
    <w:rsid w:val="00873A4F"/>
    <w:rsid w:val="00874BE8"/>
    <w:rsid w:val="00874F6C"/>
    <w:rsid w:val="00875325"/>
    <w:rsid w:val="008753EE"/>
    <w:rsid w:val="008764D5"/>
    <w:rsid w:val="008768CC"/>
    <w:rsid w:val="00881B57"/>
    <w:rsid w:val="00881C1D"/>
    <w:rsid w:val="0088202A"/>
    <w:rsid w:val="00883299"/>
    <w:rsid w:val="0088390C"/>
    <w:rsid w:val="008839AF"/>
    <w:rsid w:val="00883F26"/>
    <w:rsid w:val="00884D4E"/>
    <w:rsid w:val="00884F98"/>
    <w:rsid w:val="0088577C"/>
    <w:rsid w:val="008857E9"/>
    <w:rsid w:val="008858B7"/>
    <w:rsid w:val="008871F8"/>
    <w:rsid w:val="0089062A"/>
    <w:rsid w:val="00891E25"/>
    <w:rsid w:val="008924D0"/>
    <w:rsid w:val="00893D0E"/>
    <w:rsid w:val="00893D73"/>
    <w:rsid w:val="00893F58"/>
    <w:rsid w:val="008948B0"/>
    <w:rsid w:val="00895451"/>
    <w:rsid w:val="00896B8B"/>
    <w:rsid w:val="008A0E22"/>
    <w:rsid w:val="008A1A2E"/>
    <w:rsid w:val="008A23CC"/>
    <w:rsid w:val="008A3A16"/>
    <w:rsid w:val="008A4C4C"/>
    <w:rsid w:val="008A4EC5"/>
    <w:rsid w:val="008A65B9"/>
    <w:rsid w:val="008A6ABA"/>
    <w:rsid w:val="008A6B22"/>
    <w:rsid w:val="008A6BC1"/>
    <w:rsid w:val="008B0C2F"/>
    <w:rsid w:val="008B22F5"/>
    <w:rsid w:val="008B2C6D"/>
    <w:rsid w:val="008B418F"/>
    <w:rsid w:val="008B5887"/>
    <w:rsid w:val="008B6420"/>
    <w:rsid w:val="008C03DC"/>
    <w:rsid w:val="008C04C3"/>
    <w:rsid w:val="008C0550"/>
    <w:rsid w:val="008C10A9"/>
    <w:rsid w:val="008C13D3"/>
    <w:rsid w:val="008C1705"/>
    <w:rsid w:val="008C1784"/>
    <w:rsid w:val="008C2F2C"/>
    <w:rsid w:val="008C3001"/>
    <w:rsid w:val="008C3D8D"/>
    <w:rsid w:val="008C5E1B"/>
    <w:rsid w:val="008C5ECD"/>
    <w:rsid w:val="008C6480"/>
    <w:rsid w:val="008C69DA"/>
    <w:rsid w:val="008C7047"/>
    <w:rsid w:val="008C7AC4"/>
    <w:rsid w:val="008D0017"/>
    <w:rsid w:val="008D0D72"/>
    <w:rsid w:val="008D4D2C"/>
    <w:rsid w:val="008D5392"/>
    <w:rsid w:val="008D5981"/>
    <w:rsid w:val="008D5C84"/>
    <w:rsid w:val="008D5FA4"/>
    <w:rsid w:val="008D6CEB"/>
    <w:rsid w:val="008D7320"/>
    <w:rsid w:val="008D74C9"/>
    <w:rsid w:val="008D7A5F"/>
    <w:rsid w:val="008D7F39"/>
    <w:rsid w:val="008E0156"/>
    <w:rsid w:val="008E0614"/>
    <w:rsid w:val="008E0A28"/>
    <w:rsid w:val="008E102C"/>
    <w:rsid w:val="008E2409"/>
    <w:rsid w:val="008E2694"/>
    <w:rsid w:val="008E342B"/>
    <w:rsid w:val="008E3B15"/>
    <w:rsid w:val="008E3FA2"/>
    <w:rsid w:val="008E4A27"/>
    <w:rsid w:val="008E4AD8"/>
    <w:rsid w:val="008E4CE4"/>
    <w:rsid w:val="008E62B1"/>
    <w:rsid w:val="008E691D"/>
    <w:rsid w:val="008F076A"/>
    <w:rsid w:val="008F08C7"/>
    <w:rsid w:val="008F08E2"/>
    <w:rsid w:val="008F138B"/>
    <w:rsid w:val="008F1D32"/>
    <w:rsid w:val="008F32A9"/>
    <w:rsid w:val="008F465B"/>
    <w:rsid w:val="008F593A"/>
    <w:rsid w:val="008F6A74"/>
    <w:rsid w:val="008F73C4"/>
    <w:rsid w:val="008F7634"/>
    <w:rsid w:val="008F7759"/>
    <w:rsid w:val="008F777A"/>
    <w:rsid w:val="008F79FC"/>
    <w:rsid w:val="008F7C78"/>
    <w:rsid w:val="00902398"/>
    <w:rsid w:val="009026CF"/>
    <w:rsid w:val="009037A2"/>
    <w:rsid w:val="00904B2E"/>
    <w:rsid w:val="00904D9E"/>
    <w:rsid w:val="0090674B"/>
    <w:rsid w:val="00907AEF"/>
    <w:rsid w:val="009104ED"/>
    <w:rsid w:val="009112B4"/>
    <w:rsid w:val="0091167B"/>
    <w:rsid w:val="009117D7"/>
    <w:rsid w:val="009118F0"/>
    <w:rsid w:val="00911913"/>
    <w:rsid w:val="00911D6C"/>
    <w:rsid w:val="00912DE0"/>
    <w:rsid w:val="00912E04"/>
    <w:rsid w:val="00913349"/>
    <w:rsid w:val="009137DA"/>
    <w:rsid w:val="00913BD9"/>
    <w:rsid w:val="009158B3"/>
    <w:rsid w:val="00915B4D"/>
    <w:rsid w:val="00915EB2"/>
    <w:rsid w:val="009162A3"/>
    <w:rsid w:val="00917BF7"/>
    <w:rsid w:val="009203AE"/>
    <w:rsid w:val="00921214"/>
    <w:rsid w:val="0092157A"/>
    <w:rsid w:val="00922575"/>
    <w:rsid w:val="00923DC4"/>
    <w:rsid w:val="009241CC"/>
    <w:rsid w:val="00924981"/>
    <w:rsid w:val="00924A37"/>
    <w:rsid w:val="00925404"/>
    <w:rsid w:val="00925918"/>
    <w:rsid w:val="009276D1"/>
    <w:rsid w:val="00927B21"/>
    <w:rsid w:val="00927E3A"/>
    <w:rsid w:val="0093047E"/>
    <w:rsid w:val="00931E44"/>
    <w:rsid w:val="009329AD"/>
    <w:rsid w:val="00932D31"/>
    <w:rsid w:val="009335BA"/>
    <w:rsid w:val="0093487B"/>
    <w:rsid w:val="009364D3"/>
    <w:rsid w:val="00936510"/>
    <w:rsid w:val="009374CC"/>
    <w:rsid w:val="00940565"/>
    <w:rsid w:val="009408C3"/>
    <w:rsid w:val="00940DDB"/>
    <w:rsid w:val="009411FF"/>
    <w:rsid w:val="00943F1D"/>
    <w:rsid w:val="00944347"/>
    <w:rsid w:val="0094631B"/>
    <w:rsid w:val="009465BE"/>
    <w:rsid w:val="009479BE"/>
    <w:rsid w:val="00950730"/>
    <w:rsid w:val="009519E5"/>
    <w:rsid w:val="00954C0B"/>
    <w:rsid w:val="00955AE0"/>
    <w:rsid w:val="00957B52"/>
    <w:rsid w:val="0096075F"/>
    <w:rsid w:val="00960BB3"/>
    <w:rsid w:val="00960FE5"/>
    <w:rsid w:val="00961245"/>
    <w:rsid w:val="009618D0"/>
    <w:rsid w:val="009638ED"/>
    <w:rsid w:val="009643A9"/>
    <w:rsid w:val="00964C17"/>
    <w:rsid w:val="00965260"/>
    <w:rsid w:val="0096573F"/>
    <w:rsid w:val="00965BD5"/>
    <w:rsid w:val="0096657C"/>
    <w:rsid w:val="00966986"/>
    <w:rsid w:val="0096707D"/>
    <w:rsid w:val="00967920"/>
    <w:rsid w:val="0097080E"/>
    <w:rsid w:val="0097399F"/>
    <w:rsid w:val="00974A44"/>
    <w:rsid w:val="00976CA5"/>
    <w:rsid w:val="0097754B"/>
    <w:rsid w:val="009811A1"/>
    <w:rsid w:val="00981504"/>
    <w:rsid w:val="00981DC6"/>
    <w:rsid w:val="00982BA7"/>
    <w:rsid w:val="00984025"/>
    <w:rsid w:val="00984460"/>
    <w:rsid w:val="00984F5F"/>
    <w:rsid w:val="0099108A"/>
    <w:rsid w:val="00992901"/>
    <w:rsid w:val="00993037"/>
    <w:rsid w:val="00993D0E"/>
    <w:rsid w:val="00993E91"/>
    <w:rsid w:val="00994772"/>
    <w:rsid w:val="00994A20"/>
    <w:rsid w:val="00995E79"/>
    <w:rsid w:val="0099619F"/>
    <w:rsid w:val="0099768A"/>
    <w:rsid w:val="009A0BB6"/>
    <w:rsid w:val="009A0C68"/>
    <w:rsid w:val="009A1186"/>
    <w:rsid w:val="009A132D"/>
    <w:rsid w:val="009A2057"/>
    <w:rsid w:val="009A20B8"/>
    <w:rsid w:val="009A22CF"/>
    <w:rsid w:val="009A2422"/>
    <w:rsid w:val="009A2E49"/>
    <w:rsid w:val="009A303E"/>
    <w:rsid w:val="009A4590"/>
    <w:rsid w:val="009A4D94"/>
    <w:rsid w:val="009A6DD6"/>
    <w:rsid w:val="009A74EE"/>
    <w:rsid w:val="009B1247"/>
    <w:rsid w:val="009B198F"/>
    <w:rsid w:val="009B1CF6"/>
    <w:rsid w:val="009B23AE"/>
    <w:rsid w:val="009B36FB"/>
    <w:rsid w:val="009B3ED8"/>
    <w:rsid w:val="009B3F73"/>
    <w:rsid w:val="009B515C"/>
    <w:rsid w:val="009B6C10"/>
    <w:rsid w:val="009B6DAC"/>
    <w:rsid w:val="009B750C"/>
    <w:rsid w:val="009C0920"/>
    <w:rsid w:val="009C1A55"/>
    <w:rsid w:val="009C2199"/>
    <w:rsid w:val="009C2797"/>
    <w:rsid w:val="009C2D46"/>
    <w:rsid w:val="009C33DF"/>
    <w:rsid w:val="009C51A0"/>
    <w:rsid w:val="009C6A73"/>
    <w:rsid w:val="009C6E2A"/>
    <w:rsid w:val="009C7CB4"/>
    <w:rsid w:val="009C7CBA"/>
    <w:rsid w:val="009C7CEA"/>
    <w:rsid w:val="009D1B6E"/>
    <w:rsid w:val="009D1B7F"/>
    <w:rsid w:val="009D2517"/>
    <w:rsid w:val="009D2C93"/>
    <w:rsid w:val="009D3C80"/>
    <w:rsid w:val="009D4361"/>
    <w:rsid w:val="009D45C1"/>
    <w:rsid w:val="009D4625"/>
    <w:rsid w:val="009D4799"/>
    <w:rsid w:val="009D4D2F"/>
    <w:rsid w:val="009D6339"/>
    <w:rsid w:val="009D79CA"/>
    <w:rsid w:val="009E05C3"/>
    <w:rsid w:val="009E08D9"/>
    <w:rsid w:val="009E165D"/>
    <w:rsid w:val="009E1E5D"/>
    <w:rsid w:val="009E2F0B"/>
    <w:rsid w:val="009E35DD"/>
    <w:rsid w:val="009E47B7"/>
    <w:rsid w:val="009E562A"/>
    <w:rsid w:val="009E5810"/>
    <w:rsid w:val="009E58E3"/>
    <w:rsid w:val="009E5A4E"/>
    <w:rsid w:val="009E6435"/>
    <w:rsid w:val="009E7527"/>
    <w:rsid w:val="009F0532"/>
    <w:rsid w:val="009F2044"/>
    <w:rsid w:val="009F22F8"/>
    <w:rsid w:val="009F26A0"/>
    <w:rsid w:val="009F297A"/>
    <w:rsid w:val="009F2E26"/>
    <w:rsid w:val="009F3F41"/>
    <w:rsid w:val="009F4BF5"/>
    <w:rsid w:val="009F611F"/>
    <w:rsid w:val="009F6340"/>
    <w:rsid w:val="009F6AC2"/>
    <w:rsid w:val="009F7DEF"/>
    <w:rsid w:val="00A00E63"/>
    <w:rsid w:val="00A01292"/>
    <w:rsid w:val="00A017C7"/>
    <w:rsid w:val="00A02716"/>
    <w:rsid w:val="00A030B6"/>
    <w:rsid w:val="00A0375A"/>
    <w:rsid w:val="00A0386D"/>
    <w:rsid w:val="00A04487"/>
    <w:rsid w:val="00A04565"/>
    <w:rsid w:val="00A04A39"/>
    <w:rsid w:val="00A0720E"/>
    <w:rsid w:val="00A07512"/>
    <w:rsid w:val="00A07C18"/>
    <w:rsid w:val="00A07FA4"/>
    <w:rsid w:val="00A11AE2"/>
    <w:rsid w:val="00A13259"/>
    <w:rsid w:val="00A13602"/>
    <w:rsid w:val="00A1570F"/>
    <w:rsid w:val="00A1714A"/>
    <w:rsid w:val="00A17A52"/>
    <w:rsid w:val="00A20182"/>
    <w:rsid w:val="00A21580"/>
    <w:rsid w:val="00A21BDB"/>
    <w:rsid w:val="00A21E4C"/>
    <w:rsid w:val="00A2274E"/>
    <w:rsid w:val="00A22A6F"/>
    <w:rsid w:val="00A243DE"/>
    <w:rsid w:val="00A260E0"/>
    <w:rsid w:val="00A26C0A"/>
    <w:rsid w:val="00A33F37"/>
    <w:rsid w:val="00A3418E"/>
    <w:rsid w:val="00A343B2"/>
    <w:rsid w:val="00A3467F"/>
    <w:rsid w:val="00A34A28"/>
    <w:rsid w:val="00A34BFF"/>
    <w:rsid w:val="00A41077"/>
    <w:rsid w:val="00A428B0"/>
    <w:rsid w:val="00A42901"/>
    <w:rsid w:val="00A43ECC"/>
    <w:rsid w:val="00A453CF"/>
    <w:rsid w:val="00A462EC"/>
    <w:rsid w:val="00A47B4F"/>
    <w:rsid w:val="00A47EC6"/>
    <w:rsid w:val="00A507B2"/>
    <w:rsid w:val="00A532B9"/>
    <w:rsid w:val="00A55394"/>
    <w:rsid w:val="00A57CFD"/>
    <w:rsid w:val="00A600B4"/>
    <w:rsid w:val="00A601D7"/>
    <w:rsid w:val="00A61F17"/>
    <w:rsid w:val="00A635C0"/>
    <w:rsid w:val="00A63B67"/>
    <w:rsid w:val="00A65142"/>
    <w:rsid w:val="00A65493"/>
    <w:rsid w:val="00A67B1C"/>
    <w:rsid w:val="00A705BF"/>
    <w:rsid w:val="00A706D1"/>
    <w:rsid w:val="00A70E1B"/>
    <w:rsid w:val="00A70E89"/>
    <w:rsid w:val="00A71D85"/>
    <w:rsid w:val="00A7285A"/>
    <w:rsid w:val="00A73CE6"/>
    <w:rsid w:val="00A7422A"/>
    <w:rsid w:val="00A74E6A"/>
    <w:rsid w:val="00A75170"/>
    <w:rsid w:val="00A751BF"/>
    <w:rsid w:val="00A75333"/>
    <w:rsid w:val="00A75EAF"/>
    <w:rsid w:val="00A7609B"/>
    <w:rsid w:val="00A770D5"/>
    <w:rsid w:val="00A80FF3"/>
    <w:rsid w:val="00A812F2"/>
    <w:rsid w:val="00A816E4"/>
    <w:rsid w:val="00A81CC7"/>
    <w:rsid w:val="00A82F99"/>
    <w:rsid w:val="00A831CA"/>
    <w:rsid w:val="00A8356B"/>
    <w:rsid w:val="00A85E57"/>
    <w:rsid w:val="00A861C2"/>
    <w:rsid w:val="00A864A7"/>
    <w:rsid w:val="00A870F6"/>
    <w:rsid w:val="00A91867"/>
    <w:rsid w:val="00A92500"/>
    <w:rsid w:val="00A92884"/>
    <w:rsid w:val="00A92BA9"/>
    <w:rsid w:val="00A937E5"/>
    <w:rsid w:val="00A94E98"/>
    <w:rsid w:val="00A94F1A"/>
    <w:rsid w:val="00A9518D"/>
    <w:rsid w:val="00A95DB1"/>
    <w:rsid w:val="00A9614F"/>
    <w:rsid w:val="00A97643"/>
    <w:rsid w:val="00AA095D"/>
    <w:rsid w:val="00AA25EB"/>
    <w:rsid w:val="00AA2749"/>
    <w:rsid w:val="00AA2CFA"/>
    <w:rsid w:val="00AA4F1F"/>
    <w:rsid w:val="00AA50E5"/>
    <w:rsid w:val="00AA5B60"/>
    <w:rsid w:val="00AA5C01"/>
    <w:rsid w:val="00AA666D"/>
    <w:rsid w:val="00AA6EC6"/>
    <w:rsid w:val="00AA7541"/>
    <w:rsid w:val="00AA798B"/>
    <w:rsid w:val="00AA7A93"/>
    <w:rsid w:val="00AB0168"/>
    <w:rsid w:val="00AB214E"/>
    <w:rsid w:val="00AB2B70"/>
    <w:rsid w:val="00AB2D0A"/>
    <w:rsid w:val="00AB3D81"/>
    <w:rsid w:val="00AB414C"/>
    <w:rsid w:val="00AB47B1"/>
    <w:rsid w:val="00AB4C9C"/>
    <w:rsid w:val="00AB69C8"/>
    <w:rsid w:val="00AC10E8"/>
    <w:rsid w:val="00AC11A5"/>
    <w:rsid w:val="00AC1428"/>
    <w:rsid w:val="00AC17B7"/>
    <w:rsid w:val="00AC4875"/>
    <w:rsid w:val="00AC5873"/>
    <w:rsid w:val="00AC5AD2"/>
    <w:rsid w:val="00AC62CE"/>
    <w:rsid w:val="00AC6A88"/>
    <w:rsid w:val="00AC786F"/>
    <w:rsid w:val="00AD070C"/>
    <w:rsid w:val="00AD0892"/>
    <w:rsid w:val="00AD0ACA"/>
    <w:rsid w:val="00AD0F0D"/>
    <w:rsid w:val="00AD1077"/>
    <w:rsid w:val="00AD1854"/>
    <w:rsid w:val="00AD1D7E"/>
    <w:rsid w:val="00AD1ECE"/>
    <w:rsid w:val="00AD28C9"/>
    <w:rsid w:val="00AD2FED"/>
    <w:rsid w:val="00AD3E99"/>
    <w:rsid w:val="00AD3FD4"/>
    <w:rsid w:val="00AD4509"/>
    <w:rsid w:val="00AD46BF"/>
    <w:rsid w:val="00AD4ECF"/>
    <w:rsid w:val="00AD55A4"/>
    <w:rsid w:val="00AD5B21"/>
    <w:rsid w:val="00AD6331"/>
    <w:rsid w:val="00AD655F"/>
    <w:rsid w:val="00AD6D6D"/>
    <w:rsid w:val="00AD7555"/>
    <w:rsid w:val="00AE167E"/>
    <w:rsid w:val="00AE17A4"/>
    <w:rsid w:val="00AE2697"/>
    <w:rsid w:val="00AE28BF"/>
    <w:rsid w:val="00AE2B75"/>
    <w:rsid w:val="00AE2FFB"/>
    <w:rsid w:val="00AE39DA"/>
    <w:rsid w:val="00AE43F2"/>
    <w:rsid w:val="00AE5598"/>
    <w:rsid w:val="00AE6138"/>
    <w:rsid w:val="00AE6611"/>
    <w:rsid w:val="00AE6D04"/>
    <w:rsid w:val="00AE758A"/>
    <w:rsid w:val="00AE79FA"/>
    <w:rsid w:val="00AF0377"/>
    <w:rsid w:val="00AF08CE"/>
    <w:rsid w:val="00AF399C"/>
    <w:rsid w:val="00AF5890"/>
    <w:rsid w:val="00AF5AE7"/>
    <w:rsid w:val="00AF7227"/>
    <w:rsid w:val="00AF7CCF"/>
    <w:rsid w:val="00B02AD6"/>
    <w:rsid w:val="00B040C9"/>
    <w:rsid w:val="00B04559"/>
    <w:rsid w:val="00B046F6"/>
    <w:rsid w:val="00B04CCD"/>
    <w:rsid w:val="00B10D6F"/>
    <w:rsid w:val="00B114E4"/>
    <w:rsid w:val="00B11569"/>
    <w:rsid w:val="00B11E50"/>
    <w:rsid w:val="00B11FF0"/>
    <w:rsid w:val="00B12816"/>
    <w:rsid w:val="00B14218"/>
    <w:rsid w:val="00B14319"/>
    <w:rsid w:val="00B15798"/>
    <w:rsid w:val="00B16696"/>
    <w:rsid w:val="00B17A29"/>
    <w:rsid w:val="00B20B66"/>
    <w:rsid w:val="00B21910"/>
    <w:rsid w:val="00B22073"/>
    <w:rsid w:val="00B22414"/>
    <w:rsid w:val="00B235D0"/>
    <w:rsid w:val="00B241ED"/>
    <w:rsid w:val="00B24A87"/>
    <w:rsid w:val="00B25D87"/>
    <w:rsid w:val="00B268AB"/>
    <w:rsid w:val="00B271C3"/>
    <w:rsid w:val="00B27AEC"/>
    <w:rsid w:val="00B27FB7"/>
    <w:rsid w:val="00B27FE7"/>
    <w:rsid w:val="00B303EC"/>
    <w:rsid w:val="00B3143D"/>
    <w:rsid w:val="00B31B69"/>
    <w:rsid w:val="00B3400A"/>
    <w:rsid w:val="00B343B9"/>
    <w:rsid w:val="00B3539F"/>
    <w:rsid w:val="00B372A0"/>
    <w:rsid w:val="00B41235"/>
    <w:rsid w:val="00B41715"/>
    <w:rsid w:val="00B41F6F"/>
    <w:rsid w:val="00B420D5"/>
    <w:rsid w:val="00B4322A"/>
    <w:rsid w:val="00B45D20"/>
    <w:rsid w:val="00B46044"/>
    <w:rsid w:val="00B473DD"/>
    <w:rsid w:val="00B47FC3"/>
    <w:rsid w:val="00B50386"/>
    <w:rsid w:val="00B5171F"/>
    <w:rsid w:val="00B51CE8"/>
    <w:rsid w:val="00B52919"/>
    <w:rsid w:val="00B52FCD"/>
    <w:rsid w:val="00B533AF"/>
    <w:rsid w:val="00B55C09"/>
    <w:rsid w:val="00B564D1"/>
    <w:rsid w:val="00B56BFA"/>
    <w:rsid w:val="00B5722B"/>
    <w:rsid w:val="00B572E0"/>
    <w:rsid w:val="00B604FA"/>
    <w:rsid w:val="00B61C7B"/>
    <w:rsid w:val="00B627D3"/>
    <w:rsid w:val="00B645FD"/>
    <w:rsid w:val="00B64B08"/>
    <w:rsid w:val="00B650ED"/>
    <w:rsid w:val="00B65FE4"/>
    <w:rsid w:val="00B6668D"/>
    <w:rsid w:val="00B70BA3"/>
    <w:rsid w:val="00B72D83"/>
    <w:rsid w:val="00B72DD4"/>
    <w:rsid w:val="00B74911"/>
    <w:rsid w:val="00B74BAE"/>
    <w:rsid w:val="00B74EDA"/>
    <w:rsid w:val="00B7552C"/>
    <w:rsid w:val="00B75545"/>
    <w:rsid w:val="00B7715E"/>
    <w:rsid w:val="00B775DD"/>
    <w:rsid w:val="00B80C58"/>
    <w:rsid w:val="00B816DE"/>
    <w:rsid w:val="00B82BE9"/>
    <w:rsid w:val="00B83410"/>
    <w:rsid w:val="00B83659"/>
    <w:rsid w:val="00B85BD8"/>
    <w:rsid w:val="00B85E62"/>
    <w:rsid w:val="00B86BEA"/>
    <w:rsid w:val="00B86EBE"/>
    <w:rsid w:val="00B9173F"/>
    <w:rsid w:val="00B91EC6"/>
    <w:rsid w:val="00B92195"/>
    <w:rsid w:val="00B93208"/>
    <w:rsid w:val="00B93549"/>
    <w:rsid w:val="00B93F65"/>
    <w:rsid w:val="00B9456E"/>
    <w:rsid w:val="00B95257"/>
    <w:rsid w:val="00B96C59"/>
    <w:rsid w:val="00B96CE2"/>
    <w:rsid w:val="00B9793D"/>
    <w:rsid w:val="00B97B5A"/>
    <w:rsid w:val="00BA0307"/>
    <w:rsid w:val="00BA1267"/>
    <w:rsid w:val="00BA3896"/>
    <w:rsid w:val="00BA3F74"/>
    <w:rsid w:val="00BA4BE5"/>
    <w:rsid w:val="00BA52BA"/>
    <w:rsid w:val="00BA62B6"/>
    <w:rsid w:val="00BA63BB"/>
    <w:rsid w:val="00BA79F1"/>
    <w:rsid w:val="00BB075E"/>
    <w:rsid w:val="00BB08BA"/>
    <w:rsid w:val="00BB14AE"/>
    <w:rsid w:val="00BB1D2D"/>
    <w:rsid w:val="00BB28D7"/>
    <w:rsid w:val="00BB3C29"/>
    <w:rsid w:val="00BB5576"/>
    <w:rsid w:val="00BB5D66"/>
    <w:rsid w:val="00BC09B1"/>
    <w:rsid w:val="00BC0E4C"/>
    <w:rsid w:val="00BC2EC7"/>
    <w:rsid w:val="00BC3ED9"/>
    <w:rsid w:val="00BC53AB"/>
    <w:rsid w:val="00BC54DC"/>
    <w:rsid w:val="00BC624B"/>
    <w:rsid w:val="00BC6375"/>
    <w:rsid w:val="00BC6820"/>
    <w:rsid w:val="00BC6FF6"/>
    <w:rsid w:val="00BC768D"/>
    <w:rsid w:val="00BD0222"/>
    <w:rsid w:val="00BD084A"/>
    <w:rsid w:val="00BD1962"/>
    <w:rsid w:val="00BD45F1"/>
    <w:rsid w:val="00BD488B"/>
    <w:rsid w:val="00BD7D33"/>
    <w:rsid w:val="00BE0214"/>
    <w:rsid w:val="00BE05E5"/>
    <w:rsid w:val="00BE1B3A"/>
    <w:rsid w:val="00BE1FA9"/>
    <w:rsid w:val="00BE2BD6"/>
    <w:rsid w:val="00BE3523"/>
    <w:rsid w:val="00BE35C7"/>
    <w:rsid w:val="00BE36AE"/>
    <w:rsid w:val="00BE3B73"/>
    <w:rsid w:val="00BE3F06"/>
    <w:rsid w:val="00BE6EA4"/>
    <w:rsid w:val="00BE7FB0"/>
    <w:rsid w:val="00BF239D"/>
    <w:rsid w:val="00BF2EA9"/>
    <w:rsid w:val="00BF318F"/>
    <w:rsid w:val="00BF34AC"/>
    <w:rsid w:val="00BF38C9"/>
    <w:rsid w:val="00BF615B"/>
    <w:rsid w:val="00BF6A65"/>
    <w:rsid w:val="00BF7822"/>
    <w:rsid w:val="00BF7F9A"/>
    <w:rsid w:val="00C0115A"/>
    <w:rsid w:val="00C024AD"/>
    <w:rsid w:val="00C02669"/>
    <w:rsid w:val="00C040A0"/>
    <w:rsid w:val="00C047E6"/>
    <w:rsid w:val="00C05BD6"/>
    <w:rsid w:val="00C06424"/>
    <w:rsid w:val="00C07665"/>
    <w:rsid w:val="00C076F5"/>
    <w:rsid w:val="00C10F98"/>
    <w:rsid w:val="00C1137C"/>
    <w:rsid w:val="00C115A6"/>
    <w:rsid w:val="00C11891"/>
    <w:rsid w:val="00C1255D"/>
    <w:rsid w:val="00C15A52"/>
    <w:rsid w:val="00C16E9E"/>
    <w:rsid w:val="00C17BFB"/>
    <w:rsid w:val="00C20733"/>
    <w:rsid w:val="00C23496"/>
    <w:rsid w:val="00C241B0"/>
    <w:rsid w:val="00C25BC3"/>
    <w:rsid w:val="00C25C9A"/>
    <w:rsid w:val="00C26249"/>
    <w:rsid w:val="00C2642C"/>
    <w:rsid w:val="00C2754F"/>
    <w:rsid w:val="00C320F9"/>
    <w:rsid w:val="00C354A0"/>
    <w:rsid w:val="00C36EFA"/>
    <w:rsid w:val="00C37DAA"/>
    <w:rsid w:val="00C40242"/>
    <w:rsid w:val="00C433A8"/>
    <w:rsid w:val="00C43918"/>
    <w:rsid w:val="00C44012"/>
    <w:rsid w:val="00C4414F"/>
    <w:rsid w:val="00C4419B"/>
    <w:rsid w:val="00C447DF"/>
    <w:rsid w:val="00C44CEF"/>
    <w:rsid w:val="00C44F43"/>
    <w:rsid w:val="00C468D2"/>
    <w:rsid w:val="00C46A0E"/>
    <w:rsid w:val="00C46EE7"/>
    <w:rsid w:val="00C47187"/>
    <w:rsid w:val="00C47F7E"/>
    <w:rsid w:val="00C5175E"/>
    <w:rsid w:val="00C51959"/>
    <w:rsid w:val="00C51B4E"/>
    <w:rsid w:val="00C51DAD"/>
    <w:rsid w:val="00C531E6"/>
    <w:rsid w:val="00C532A9"/>
    <w:rsid w:val="00C53F28"/>
    <w:rsid w:val="00C545EE"/>
    <w:rsid w:val="00C569F2"/>
    <w:rsid w:val="00C613FE"/>
    <w:rsid w:val="00C6181C"/>
    <w:rsid w:val="00C61CA7"/>
    <w:rsid w:val="00C620A4"/>
    <w:rsid w:val="00C627AC"/>
    <w:rsid w:val="00C63149"/>
    <w:rsid w:val="00C63780"/>
    <w:rsid w:val="00C63AF7"/>
    <w:rsid w:val="00C63F9B"/>
    <w:rsid w:val="00C6402E"/>
    <w:rsid w:val="00C6498F"/>
    <w:rsid w:val="00C65038"/>
    <w:rsid w:val="00C65B8C"/>
    <w:rsid w:val="00C67097"/>
    <w:rsid w:val="00C71F39"/>
    <w:rsid w:val="00C7403B"/>
    <w:rsid w:val="00C7413E"/>
    <w:rsid w:val="00C774F3"/>
    <w:rsid w:val="00C77CAF"/>
    <w:rsid w:val="00C77D22"/>
    <w:rsid w:val="00C80D6A"/>
    <w:rsid w:val="00C81277"/>
    <w:rsid w:val="00C829F4"/>
    <w:rsid w:val="00C83023"/>
    <w:rsid w:val="00C8352D"/>
    <w:rsid w:val="00C83DD2"/>
    <w:rsid w:val="00C844A8"/>
    <w:rsid w:val="00C850A5"/>
    <w:rsid w:val="00C8511F"/>
    <w:rsid w:val="00C856DD"/>
    <w:rsid w:val="00C900FB"/>
    <w:rsid w:val="00C905CA"/>
    <w:rsid w:val="00C90FB3"/>
    <w:rsid w:val="00C92FDB"/>
    <w:rsid w:val="00C9328D"/>
    <w:rsid w:val="00C934DB"/>
    <w:rsid w:val="00C93765"/>
    <w:rsid w:val="00C94318"/>
    <w:rsid w:val="00C949F2"/>
    <w:rsid w:val="00C94F94"/>
    <w:rsid w:val="00C960C4"/>
    <w:rsid w:val="00C96124"/>
    <w:rsid w:val="00C9646A"/>
    <w:rsid w:val="00C964C5"/>
    <w:rsid w:val="00CA3054"/>
    <w:rsid w:val="00CA330C"/>
    <w:rsid w:val="00CA3320"/>
    <w:rsid w:val="00CA41B2"/>
    <w:rsid w:val="00CA4619"/>
    <w:rsid w:val="00CA4A3D"/>
    <w:rsid w:val="00CA4B29"/>
    <w:rsid w:val="00CA5005"/>
    <w:rsid w:val="00CA5034"/>
    <w:rsid w:val="00CA51D3"/>
    <w:rsid w:val="00CA6464"/>
    <w:rsid w:val="00CA664D"/>
    <w:rsid w:val="00CA6CE8"/>
    <w:rsid w:val="00CA70BF"/>
    <w:rsid w:val="00CB3A09"/>
    <w:rsid w:val="00CB3D5A"/>
    <w:rsid w:val="00CB3F8B"/>
    <w:rsid w:val="00CB4664"/>
    <w:rsid w:val="00CB486D"/>
    <w:rsid w:val="00CB6203"/>
    <w:rsid w:val="00CB6E46"/>
    <w:rsid w:val="00CB730A"/>
    <w:rsid w:val="00CC00DD"/>
    <w:rsid w:val="00CC3CAE"/>
    <w:rsid w:val="00CC3DCE"/>
    <w:rsid w:val="00CC3F10"/>
    <w:rsid w:val="00CC3F3B"/>
    <w:rsid w:val="00CC441B"/>
    <w:rsid w:val="00CC61CE"/>
    <w:rsid w:val="00CC7348"/>
    <w:rsid w:val="00CC795D"/>
    <w:rsid w:val="00CC7E0D"/>
    <w:rsid w:val="00CC7E2C"/>
    <w:rsid w:val="00CD08F0"/>
    <w:rsid w:val="00CD0F34"/>
    <w:rsid w:val="00CD1F54"/>
    <w:rsid w:val="00CD4A7C"/>
    <w:rsid w:val="00CD4DC7"/>
    <w:rsid w:val="00CD6A45"/>
    <w:rsid w:val="00CD6D6C"/>
    <w:rsid w:val="00CE1CA9"/>
    <w:rsid w:val="00CE34A9"/>
    <w:rsid w:val="00CE432A"/>
    <w:rsid w:val="00CE4A00"/>
    <w:rsid w:val="00CE4B0B"/>
    <w:rsid w:val="00CE6835"/>
    <w:rsid w:val="00CE74BD"/>
    <w:rsid w:val="00CE76C6"/>
    <w:rsid w:val="00CF0AF7"/>
    <w:rsid w:val="00CF14DC"/>
    <w:rsid w:val="00CF194A"/>
    <w:rsid w:val="00CF2AE9"/>
    <w:rsid w:val="00CF2FE5"/>
    <w:rsid w:val="00CF443E"/>
    <w:rsid w:val="00CF56C5"/>
    <w:rsid w:val="00CF68E4"/>
    <w:rsid w:val="00D003E0"/>
    <w:rsid w:val="00D01337"/>
    <w:rsid w:val="00D01527"/>
    <w:rsid w:val="00D022F2"/>
    <w:rsid w:val="00D02BEC"/>
    <w:rsid w:val="00D0383D"/>
    <w:rsid w:val="00D047A3"/>
    <w:rsid w:val="00D04A0B"/>
    <w:rsid w:val="00D06746"/>
    <w:rsid w:val="00D07100"/>
    <w:rsid w:val="00D108C5"/>
    <w:rsid w:val="00D10CE7"/>
    <w:rsid w:val="00D117E4"/>
    <w:rsid w:val="00D119EA"/>
    <w:rsid w:val="00D12482"/>
    <w:rsid w:val="00D1288A"/>
    <w:rsid w:val="00D12BE2"/>
    <w:rsid w:val="00D13C3C"/>
    <w:rsid w:val="00D14202"/>
    <w:rsid w:val="00D14DBC"/>
    <w:rsid w:val="00D158F7"/>
    <w:rsid w:val="00D15DB9"/>
    <w:rsid w:val="00D16F0D"/>
    <w:rsid w:val="00D175EE"/>
    <w:rsid w:val="00D176C5"/>
    <w:rsid w:val="00D177BB"/>
    <w:rsid w:val="00D179CD"/>
    <w:rsid w:val="00D20631"/>
    <w:rsid w:val="00D20B04"/>
    <w:rsid w:val="00D20B55"/>
    <w:rsid w:val="00D22F5B"/>
    <w:rsid w:val="00D23B29"/>
    <w:rsid w:val="00D24050"/>
    <w:rsid w:val="00D24608"/>
    <w:rsid w:val="00D248A7"/>
    <w:rsid w:val="00D2497B"/>
    <w:rsid w:val="00D2518E"/>
    <w:rsid w:val="00D260DC"/>
    <w:rsid w:val="00D2637E"/>
    <w:rsid w:val="00D26AA3"/>
    <w:rsid w:val="00D27931"/>
    <w:rsid w:val="00D30304"/>
    <w:rsid w:val="00D32693"/>
    <w:rsid w:val="00D34A94"/>
    <w:rsid w:val="00D34C36"/>
    <w:rsid w:val="00D34E18"/>
    <w:rsid w:val="00D3511A"/>
    <w:rsid w:val="00D37C58"/>
    <w:rsid w:val="00D37EB6"/>
    <w:rsid w:val="00D41716"/>
    <w:rsid w:val="00D41D38"/>
    <w:rsid w:val="00D4379E"/>
    <w:rsid w:val="00D4642B"/>
    <w:rsid w:val="00D464AB"/>
    <w:rsid w:val="00D479B8"/>
    <w:rsid w:val="00D47CD4"/>
    <w:rsid w:val="00D52CB4"/>
    <w:rsid w:val="00D53663"/>
    <w:rsid w:val="00D548CF"/>
    <w:rsid w:val="00D56CB5"/>
    <w:rsid w:val="00D572EA"/>
    <w:rsid w:val="00D57A7B"/>
    <w:rsid w:val="00D61558"/>
    <w:rsid w:val="00D6165A"/>
    <w:rsid w:val="00D61D40"/>
    <w:rsid w:val="00D62E50"/>
    <w:rsid w:val="00D63FA5"/>
    <w:rsid w:val="00D649EA"/>
    <w:rsid w:val="00D65111"/>
    <w:rsid w:val="00D65DCB"/>
    <w:rsid w:val="00D664C1"/>
    <w:rsid w:val="00D70B33"/>
    <w:rsid w:val="00D714CF"/>
    <w:rsid w:val="00D719BF"/>
    <w:rsid w:val="00D7509A"/>
    <w:rsid w:val="00D77292"/>
    <w:rsid w:val="00D800C8"/>
    <w:rsid w:val="00D8022F"/>
    <w:rsid w:val="00D80B42"/>
    <w:rsid w:val="00D81E74"/>
    <w:rsid w:val="00D825FA"/>
    <w:rsid w:val="00D82B85"/>
    <w:rsid w:val="00D836C7"/>
    <w:rsid w:val="00D83B51"/>
    <w:rsid w:val="00D84086"/>
    <w:rsid w:val="00D85B19"/>
    <w:rsid w:val="00D8680B"/>
    <w:rsid w:val="00D90ADB"/>
    <w:rsid w:val="00D91CAC"/>
    <w:rsid w:val="00D91F78"/>
    <w:rsid w:val="00D91F79"/>
    <w:rsid w:val="00D92F84"/>
    <w:rsid w:val="00D9377E"/>
    <w:rsid w:val="00D93FB4"/>
    <w:rsid w:val="00D94439"/>
    <w:rsid w:val="00D94E99"/>
    <w:rsid w:val="00D9533F"/>
    <w:rsid w:val="00D953A9"/>
    <w:rsid w:val="00D95EC1"/>
    <w:rsid w:val="00D96C1C"/>
    <w:rsid w:val="00D97BDD"/>
    <w:rsid w:val="00D97CCC"/>
    <w:rsid w:val="00D97DF9"/>
    <w:rsid w:val="00DA1634"/>
    <w:rsid w:val="00DA1C41"/>
    <w:rsid w:val="00DA2D45"/>
    <w:rsid w:val="00DA34C5"/>
    <w:rsid w:val="00DA4785"/>
    <w:rsid w:val="00DA5442"/>
    <w:rsid w:val="00DA5C95"/>
    <w:rsid w:val="00DB0F3D"/>
    <w:rsid w:val="00DB1CAE"/>
    <w:rsid w:val="00DB23E7"/>
    <w:rsid w:val="00DB2D4F"/>
    <w:rsid w:val="00DB33B7"/>
    <w:rsid w:val="00DB349E"/>
    <w:rsid w:val="00DB3B22"/>
    <w:rsid w:val="00DB3F8D"/>
    <w:rsid w:val="00DB4E2E"/>
    <w:rsid w:val="00DB4E3D"/>
    <w:rsid w:val="00DB69A8"/>
    <w:rsid w:val="00DB77EC"/>
    <w:rsid w:val="00DB7BC1"/>
    <w:rsid w:val="00DB7C6C"/>
    <w:rsid w:val="00DC162E"/>
    <w:rsid w:val="00DC28F6"/>
    <w:rsid w:val="00DC3D56"/>
    <w:rsid w:val="00DC4C25"/>
    <w:rsid w:val="00DC6B4E"/>
    <w:rsid w:val="00DC78A8"/>
    <w:rsid w:val="00DD0E07"/>
    <w:rsid w:val="00DD0E59"/>
    <w:rsid w:val="00DD101A"/>
    <w:rsid w:val="00DD214C"/>
    <w:rsid w:val="00DD43F0"/>
    <w:rsid w:val="00DD4A16"/>
    <w:rsid w:val="00DD5A28"/>
    <w:rsid w:val="00DD7253"/>
    <w:rsid w:val="00DD74DE"/>
    <w:rsid w:val="00DD7FEC"/>
    <w:rsid w:val="00DE016D"/>
    <w:rsid w:val="00DE06BC"/>
    <w:rsid w:val="00DE0715"/>
    <w:rsid w:val="00DE28F1"/>
    <w:rsid w:val="00DE3C13"/>
    <w:rsid w:val="00DE58C8"/>
    <w:rsid w:val="00DE5DEF"/>
    <w:rsid w:val="00DE6251"/>
    <w:rsid w:val="00DE63EE"/>
    <w:rsid w:val="00DE6DF5"/>
    <w:rsid w:val="00DE6F50"/>
    <w:rsid w:val="00DE6FDE"/>
    <w:rsid w:val="00DE72AC"/>
    <w:rsid w:val="00DE7D98"/>
    <w:rsid w:val="00DF05AD"/>
    <w:rsid w:val="00DF0608"/>
    <w:rsid w:val="00DF1F42"/>
    <w:rsid w:val="00DF58A2"/>
    <w:rsid w:val="00DF67D2"/>
    <w:rsid w:val="00DF6C6E"/>
    <w:rsid w:val="00DF703E"/>
    <w:rsid w:val="00DF70DD"/>
    <w:rsid w:val="00DF7C68"/>
    <w:rsid w:val="00DF7E6B"/>
    <w:rsid w:val="00E00BC8"/>
    <w:rsid w:val="00E02938"/>
    <w:rsid w:val="00E03153"/>
    <w:rsid w:val="00E039D3"/>
    <w:rsid w:val="00E04A5A"/>
    <w:rsid w:val="00E04CFB"/>
    <w:rsid w:val="00E04F7D"/>
    <w:rsid w:val="00E05452"/>
    <w:rsid w:val="00E07254"/>
    <w:rsid w:val="00E103DF"/>
    <w:rsid w:val="00E12FF7"/>
    <w:rsid w:val="00E14C4D"/>
    <w:rsid w:val="00E15484"/>
    <w:rsid w:val="00E16FC2"/>
    <w:rsid w:val="00E21254"/>
    <w:rsid w:val="00E21689"/>
    <w:rsid w:val="00E21B2E"/>
    <w:rsid w:val="00E2245D"/>
    <w:rsid w:val="00E224CC"/>
    <w:rsid w:val="00E23C34"/>
    <w:rsid w:val="00E24197"/>
    <w:rsid w:val="00E241CF"/>
    <w:rsid w:val="00E246F3"/>
    <w:rsid w:val="00E2479D"/>
    <w:rsid w:val="00E24F7B"/>
    <w:rsid w:val="00E25E90"/>
    <w:rsid w:val="00E26561"/>
    <w:rsid w:val="00E277A3"/>
    <w:rsid w:val="00E31881"/>
    <w:rsid w:val="00E318FB"/>
    <w:rsid w:val="00E31EA8"/>
    <w:rsid w:val="00E32382"/>
    <w:rsid w:val="00E3238A"/>
    <w:rsid w:val="00E32AC4"/>
    <w:rsid w:val="00E32FF0"/>
    <w:rsid w:val="00E338F7"/>
    <w:rsid w:val="00E33F4D"/>
    <w:rsid w:val="00E34A9A"/>
    <w:rsid w:val="00E37F35"/>
    <w:rsid w:val="00E4010D"/>
    <w:rsid w:val="00E405A9"/>
    <w:rsid w:val="00E42B6B"/>
    <w:rsid w:val="00E436B5"/>
    <w:rsid w:val="00E44360"/>
    <w:rsid w:val="00E4440A"/>
    <w:rsid w:val="00E447DB"/>
    <w:rsid w:val="00E44DA6"/>
    <w:rsid w:val="00E4682C"/>
    <w:rsid w:val="00E47319"/>
    <w:rsid w:val="00E476D9"/>
    <w:rsid w:val="00E50345"/>
    <w:rsid w:val="00E50A3F"/>
    <w:rsid w:val="00E50DB7"/>
    <w:rsid w:val="00E511F1"/>
    <w:rsid w:val="00E51236"/>
    <w:rsid w:val="00E51F7D"/>
    <w:rsid w:val="00E5291A"/>
    <w:rsid w:val="00E52DF6"/>
    <w:rsid w:val="00E531EC"/>
    <w:rsid w:val="00E53662"/>
    <w:rsid w:val="00E55710"/>
    <w:rsid w:val="00E56016"/>
    <w:rsid w:val="00E572D8"/>
    <w:rsid w:val="00E57AC9"/>
    <w:rsid w:val="00E612FC"/>
    <w:rsid w:val="00E616E4"/>
    <w:rsid w:val="00E6217B"/>
    <w:rsid w:val="00E62AD5"/>
    <w:rsid w:val="00E6439B"/>
    <w:rsid w:val="00E6477E"/>
    <w:rsid w:val="00E6741B"/>
    <w:rsid w:val="00E71913"/>
    <w:rsid w:val="00E72ED9"/>
    <w:rsid w:val="00E739BC"/>
    <w:rsid w:val="00E745D8"/>
    <w:rsid w:val="00E74C3A"/>
    <w:rsid w:val="00E767D7"/>
    <w:rsid w:val="00E76B7D"/>
    <w:rsid w:val="00E8003B"/>
    <w:rsid w:val="00E80AE0"/>
    <w:rsid w:val="00E82193"/>
    <w:rsid w:val="00E82260"/>
    <w:rsid w:val="00E82720"/>
    <w:rsid w:val="00E82889"/>
    <w:rsid w:val="00E830E6"/>
    <w:rsid w:val="00E8431A"/>
    <w:rsid w:val="00E86725"/>
    <w:rsid w:val="00E868EE"/>
    <w:rsid w:val="00E87931"/>
    <w:rsid w:val="00E92AC9"/>
    <w:rsid w:val="00E92C06"/>
    <w:rsid w:val="00E92E1D"/>
    <w:rsid w:val="00E9392B"/>
    <w:rsid w:val="00E93A4D"/>
    <w:rsid w:val="00E94998"/>
    <w:rsid w:val="00E95F9D"/>
    <w:rsid w:val="00EA064B"/>
    <w:rsid w:val="00EA26AF"/>
    <w:rsid w:val="00EA5B00"/>
    <w:rsid w:val="00EA5B37"/>
    <w:rsid w:val="00EA5E59"/>
    <w:rsid w:val="00EA7232"/>
    <w:rsid w:val="00EA79A0"/>
    <w:rsid w:val="00EB05F3"/>
    <w:rsid w:val="00EB181E"/>
    <w:rsid w:val="00EB1F4A"/>
    <w:rsid w:val="00EB2249"/>
    <w:rsid w:val="00EB2290"/>
    <w:rsid w:val="00EB2B74"/>
    <w:rsid w:val="00EB3702"/>
    <w:rsid w:val="00EB3F14"/>
    <w:rsid w:val="00EB4B8D"/>
    <w:rsid w:val="00EB57DC"/>
    <w:rsid w:val="00EB71CC"/>
    <w:rsid w:val="00EB7B92"/>
    <w:rsid w:val="00EB7F24"/>
    <w:rsid w:val="00EC002D"/>
    <w:rsid w:val="00EC0AC7"/>
    <w:rsid w:val="00EC0E05"/>
    <w:rsid w:val="00EC111B"/>
    <w:rsid w:val="00EC1B19"/>
    <w:rsid w:val="00EC4D68"/>
    <w:rsid w:val="00EC58A6"/>
    <w:rsid w:val="00EC6694"/>
    <w:rsid w:val="00EC6EDF"/>
    <w:rsid w:val="00EC7E8C"/>
    <w:rsid w:val="00ED029D"/>
    <w:rsid w:val="00ED0678"/>
    <w:rsid w:val="00ED1454"/>
    <w:rsid w:val="00ED15B2"/>
    <w:rsid w:val="00ED23C4"/>
    <w:rsid w:val="00ED335C"/>
    <w:rsid w:val="00ED39BD"/>
    <w:rsid w:val="00ED3AA2"/>
    <w:rsid w:val="00ED4450"/>
    <w:rsid w:val="00ED452E"/>
    <w:rsid w:val="00ED4905"/>
    <w:rsid w:val="00ED5086"/>
    <w:rsid w:val="00ED57C3"/>
    <w:rsid w:val="00ED5EFF"/>
    <w:rsid w:val="00ED631A"/>
    <w:rsid w:val="00ED6470"/>
    <w:rsid w:val="00ED73BC"/>
    <w:rsid w:val="00EE0CAF"/>
    <w:rsid w:val="00EE353E"/>
    <w:rsid w:val="00EE4BF5"/>
    <w:rsid w:val="00EE5C1B"/>
    <w:rsid w:val="00EE71B1"/>
    <w:rsid w:val="00EE752A"/>
    <w:rsid w:val="00EF167D"/>
    <w:rsid w:val="00EF1C4D"/>
    <w:rsid w:val="00EF2CDF"/>
    <w:rsid w:val="00EF2D14"/>
    <w:rsid w:val="00EF3351"/>
    <w:rsid w:val="00EF5DC4"/>
    <w:rsid w:val="00EF6D71"/>
    <w:rsid w:val="00F00600"/>
    <w:rsid w:val="00F00676"/>
    <w:rsid w:val="00F00EBF"/>
    <w:rsid w:val="00F01634"/>
    <w:rsid w:val="00F01C60"/>
    <w:rsid w:val="00F0222C"/>
    <w:rsid w:val="00F031DD"/>
    <w:rsid w:val="00F0384B"/>
    <w:rsid w:val="00F0447D"/>
    <w:rsid w:val="00F054CD"/>
    <w:rsid w:val="00F05662"/>
    <w:rsid w:val="00F061FE"/>
    <w:rsid w:val="00F06232"/>
    <w:rsid w:val="00F07614"/>
    <w:rsid w:val="00F079F1"/>
    <w:rsid w:val="00F10596"/>
    <w:rsid w:val="00F108DB"/>
    <w:rsid w:val="00F10C5B"/>
    <w:rsid w:val="00F10DDA"/>
    <w:rsid w:val="00F113DF"/>
    <w:rsid w:val="00F16124"/>
    <w:rsid w:val="00F161D7"/>
    <w:rsid w:val="00F167AA"/>
    <w:rsid w:val="00F167FB"/>
    <w:rsid w:val="00F17EE3"/>
    <w:rsid w:val="00F202F1"/>
    <w:rsid w:val="00F20E58"/>
    <w:rsid w:val="00F215EF"/>
    <w:rsid w:val="00F24396"/>
    <w:rsid w:val="00F24479"/>
    <w:rsid w:val="00F24559"/>
    <w:rsid w:val="00F249F2"/>
    <w:rsid w:val="00F2620C"/>
    <w:rsid w:val="00F27DE1"/>
    <w:rsid w:val="00F304C7"/>
    <w:rsid w:val="00F3051E"/>
    <w:rsid w:val="00F30599"/>
    <w:rsid w:val="00F31597"/>
    <w:rsid w:val="00F32E94"/>
    <w:rsid w:val="00F34B8B"/>
    <w:rsid w:val="00F3502B"/>
    <w:rsid w:val="00F35778"/>
    <w:rsid w:val="00F35BCD"/>
    <w:rsid w:val="00F3668D"/>
    <w:rsid w:val="00F36D93"/>
    <w:rsid w:val="00F36F4B"/>
    <w:rsid w:val="00F374C7"/>
    <w:rsid w:val="00F37562"/>
    <w:rsid w:val="00F37A4C"/>
    <w:rsid w:val="00F4074C"/>
    <w:rsid w:val="00F40D09"/>
    <w:rsid w:val="00F419A3"/>
    <w:rsid w:val="00F41F2B"/>
    <w:rsid w:val="00F430BD"/>
    <w:rsid w:val="00F442F9"/>
    <w:rsid w:val="00F4538D"/>
    <w:rsid w:val="00F45786"/>
    <w:rsid w:val="00F46906"/>
    <w:rsid w:val="00F46B8A"/>
    <w:rsid w:val="00F53579"/>
    <w:rsid w:val="00F5374D"/>
    <w:rsid w:val="00F53A5D"/>
    <w:rsid w:val="00F54404"/>
    <w:rsid w:val="00F55431"/>
    <w:rsid w:val="00F5557E"/>
    <w:rsid w:val="00F55FB0"/>
    <w:rsid w:val="00F560C5"/>
    <w:rsid w:val="00F561D7"/>
    <w:rsid w:val="00F5648C"/>
    <w:rsid w:val="00F57226"/>
    <w:rsid w:val="00F57552"/>
    <w:rsid w:val="00F60843"/>
    <w:rsid w:val="00F60E64"/>
    <w:rsid w:val="00F6432D"/>
    <w:rsid w:val="00F64911"/>
    <w:rsid w:val="00F64B16"/>
    <w:rsid w:val="00F650FE"/>
    <w:rsid w:val="00F658C2"/>
    <w:rsid w:val="00F65B94"/>
    <w:rsid w:val="00F67447"/>
    <w:rsid w:val="00F7228B"/>
    <w:rsid w:val="00F732FB"/>
    <w:rsid w:val="00F750A4"/>
    <w:rsid w:val="00F75E4E"/>
    <w:rsid w:val="00F7675B"/>
    <w:rsid w:val="00F76D28"/>
    <w:rsid w:val="00F7753D"/>
    <w:rsid w:val="00F776D4"/>
    <w:rsid w:val="00F778CC"/>
    <w:rsid w:val="00F80755"/>
    <w:rsid w:val="00F80D15"/>
    <w:rsid w:val="00F8151E"/>
    <w:rsid w:val="00F83244"/>
    <w:rsid w:val="00F83D20"/>
    <w:rsid w:val="00F85727"/>
    <w:rsid w:val="00F875FF"/>
    <w:rsid w:val="00F879BF"/>
    <w:rsid w:val="00F87A1A"/>
    <w:rsid w:val="00F87C8B"/>
    <w:rsid w:val="00F87F24"/>
    <w:rsid w:val="00F90A97"/>
    <w:rsid w:val="00F928D6"/>
    <w:rsid w:val="00F92D02"/>
    <w:rsid w:val="00F935BB"/>
    <w:rsid w:val="00F95C09"/>
    <w:rsid w:val="00F95E97"/>
    <w:rsid w:val="00F96FEA"/>
    <w:rsid w:val="00F97A30"/>
    <w:rsid w:val="00FA0926"/>
    <w:rsid w:val="00FA1046"/>
    <w:rsid w:val="00FA1335"/>
    <w:rsid w:val="00FA2B8D"/>
    <w:rsid w:val="00FA3BE6"/>
    <w:rsid w:val="00FA4718"/>
    <w:rsid w:val="00FA4883"/>
    <w:rsid w:val="00FA4EF4"/>
    <w:rsid w:val="00FA5589"/>
    <w:rsid w:val="00FA56ED"/>
    <w:rsid w:val="00FA5CB0"/>
    <w:rsid w:val="00FA6B0D"/>
    <w:rsid w:val="00FA736C"/>
    <w:rsid w:val="00FA7993"/>
    <w:rsid w:val="00FB138F"/>
    <w:rsid w:val="00FB1D8B"/>
    <w:rsid w:val="00FB2E13"/>
    <w:rsid w:val="00FB3294"/>
    <w:rsid w:val="00FB3A81"/>
    <w:rsid w:val="00FB4666"/>
    <w:rsid w:val="00FB57B4"/>
    <w:rsid w:val="00FB785A"/>
    <w:rsid w:val="00FB7DCB"/>
    <w:rsid w:val="00FC55D9"/>
    <w:rsid w:val="00FC69EF"/>
    <w:rsid w:val="00FC7ED9"/>
    <w:rsid w:val="00FD0DF5"/>
    <w:rsid w:val="00FD1F5C"/>
    <w:rsid w:val="00FD2D3E"/>
    <w:rsid w:val="00FD348F"/>
    <w:rsid w:val="00FD397B"/>
    <w:rsid w:val="00FD4F16"/>
    <w:rsid w:val="00FD6759"/>
    <w:rsid w:val="00FD7B53"/>
    <w:rsid w:val="00FE031B"/>
    <w:rsid w:val="00FE129A"/>
    <w:rsid w:val="00FE198A"/>
    <w:rsid w:val="00FE45AE"/>
    <w:rsid w:val="00FE4910"/>
    <w:rsid w:val="00FE4F6F"/>
    <w:rsid w:val="00FE53F7"/>
    <w:rsid w:val="00FE567F"/>
    <w:rsid w:val="00FE5739"/>
    <w:rsid w:val="00FE730A"/>
    <w:rsid w:val="00FF17EF"/>
    <w:rsid w:val="00FF18C0"/>
    <w:rsid w:val="00FF2E57"/>
    <w:rsid w:val="00FF2FA4"/>
    <w:rsid w:val="00FF39DF"/>
    <w:rsid w:val="00FF450F"/>
    <w:rsid w:val="00FF52E3"/>
    <w:rsid w:val="00FF781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GT" w:eastAsia="es-G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198F"/>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rPr>
      <w:lang w:val="x-none" w:eastAsia="x-none"/>
    </w:rPr>
  </w:style>
  <w:style w:type="character" w:customStyle="1" w:styleId="EncabezadoCar">
    <w:name w:val="Encabezado Car"/>
    <w:link w:val="Encabezado"/>
    <w:uiPriority w:val="99"/>
    <w:rsid w:val="009B198F"/>
    <w:rPr>
      <w:rFonts w:ascii="Times New Roman" w:eastAsia="Times New Roman" w:hAnsi="Times New Roman" w:cs="Times New Roman"/>
      <w:sz w:val="24"/>
      <w:szCs w:val="24"/>
      <w:lang w:val="x-none" w:eastAsia="x-none"/>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aliases w:val="ftref,16 Point,Superscript 6 Point,fr,Footnote Reference Number,Footnote Reference_LVL6,Footnote Reference_LVL61,Footnote Reference_LVL62,Footnote Reference_LVL63,Footnote Reference_LVL64,SUPERS,EN Footnote Reference,number"/>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59"/>
    <w:rsid w:val="001B07B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001941"/>
    <w:pPr>
      <w:tabs>
        <w:tab w:val="center" w:pos="4419"/>
        <w:tab w:val="right" w:pos="8838"/>
      </w:tabs>
    </w:pPr>
  </w:style>
  <w:style w:type="character" w:customStyle="1" w:styleId="PiedepginaCar">
    <w:name w:val="Pie de página Car"/>
    <w:link w:val="Piedepgina"/>
    <w:uiPriority w:val="99"/>
    <w:rsid w:val="00001941"/>
    <w:rPr>
      <w:rFonts w:ascii="Times New Roman" w:eastAsia="Times New Roman" w:hAnsi="Times New Roman"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rFonts w:eastAsiaTheme="minorEastAsia"/>
      <w:lang w:val="es-GT" w:eastAsia="es-GT"/>
    </w:rPr>
  </w:style>
  <w:style w:type="paragraph" w:styleId="Sinespaciado">
    <w:name w:val="No Spacing"/>
    <w:uiPriority w:val="1"/>
    <w:qFormat/>
    <w:rsid w:val="00C7413E"/>
    <w:rPr>
      <w:rFonts w:asciiTheme="minorHAnsi" w:eastAsiaTheme="minorEastAsia" w:hAnsiTheme="minorHAnsi" w:cstheme="minorBidi"/>
      <w:sz w:val="24"/>
      <w:szCs w:val="24"/>
      <w:lang w:val="es-ES_tradnl" w:eastAsia="ja-JP"/>
    </w:rPr>
  </w:style>
  <w:style w:type="paragraph" w:styleId="TtulodeTDC">
    <w:name w:val="TOC Heading"/>
    <w:basedOn w:val="Ttulo1"/>
    <w:next w:val="Normal"/>
    <w:uiPriority w:val="39"/>
    <w:unhideWhenUsed/>
    <w:qFormat/>
    <w:rsid w:val="00D61558"/>
    <w:pPr>
      <w:keepLines/>
      <w:numPr>
        <w:numId w:val="0"/>
      </w:numPr>
      <w:spacing w:before="480" w:line="276" w:lineRule="auto"/>
      <w:outlineLvl w:val="9"/>
    </w:pPr>
    <w:rPr>
      <w:rFonts w:asciiTheme="majorHAnsi" w:eastAsiaTheme="majorEastAsia" w:hAnsiTheme="majorHAnsi" w:cstheme="majorBidi"/>
      <w:color w:val="A5A5A5" w:themeColor="accent1" w:themeShade="BF"/>
      <w:sz w:val="28"/>
      <w:szCs w:val="28"/>
      <w:lang w:val="es-GT" w:eastAsia="es-GT"/>
    </w:rPr>
  </w:style>
  <w:style w:type="paragraph" w:styleId="TDC1">
    <w:name w:val="toc 1"/>
    <w:basedOn w:val="Normal"/>
    <w:next w:val="Normal"/>
    <w:autoRedefine/>
    <w:uiPriority w:val="39"/>
    <w:unhideWhenUsed/>
    <w:qFormat/>
    <w:rsid w:val="00E44DA6"/>
    <w:pPr>
      <w:tabs>
        <w:tab w:val="left" w:pos="480"/>
        <w:tab w:val="right" w:leader="dot" w:pos="9346"/>
      </w:tabs>
      <w:spacing w:after="100"/>
      <w:jc w:val="right"/>
    </w:pPr>
  </w:style>
  <w:style w:type="paragraph" w:styleId="TDC2">
    <w:name w:val="toc 2"/>
    <w:basedOn w:val="Normal"/>
    <w:next w:val="Normal"/>
    <w:autoRedefine/>
    <w:uiPriority w:val="39"/>
    <w:unhideWhenUsed/>
    <w:qFormat/>
    <w:rsid w:val="000775C1"/>
    <w:pPr>
      <w:tabs>
        <w:tab w:val="left" w:pos="880"/>
        <w:tab w:val="right" w:leader="dot" w:pos="8828"/>
      </w:tabs>
      <w:spacing w:after="100"/>
      <w:ind w:left="240"/>
    </w:pPr>
  </w:style>
  <w:style w:type="paragraph" w:styleId="TDC3">
    <w:name w:val="toc 3"/>
    <w:basedOn w:val="Normal"/>
    <w:next w:val="Normal"/>
    <w:autoRedefine/>
    <w:uiPriority w:val="39"/>
    <w:unhideWhenUsed/>
    <w:qFormat/>
    <w:rsid w:val="008753EE"/>
    <w:pPr>
      <w:tabs>
        <w:tab w:val="left" w:pos="880"/>
        <w:tab w:val="right" w:leader="dot" w:pos="9346"/>
      </w:tabs>
      <w:spacing w:after="100"/>
      <w:ind w:left="480"/>
      <w:jc w:val="both"/>
    </w:pPr>
  </w:style>
  <w:style w:type="character" w:styleId="Refdecomentario">
    <w:name w:val="annotation reference"/>
    <w:basedOn w:val="Fuentedeprrafopredeter"/>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basedOn w:val="Fuentedeprrafopredete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basedOn w:val="TextocomentarioCar"/>
    <w:link w:val="Asuntodelcomentario"/>
    <w:uiPriority w:val="99"/>
    <w:semiHidden/>
    <w:rsid w:val="00B372A0"/>
    <w:rPr>
      <w:rFonts w:ascii="Times New Roman" w:eastAsia="Times New Roman" w:hAnsi="Times New Roman"/>
      <w:b/>
      <w:bCs/>
      <w:lang w:val="es-ES" w:eastAsia="es-ES"/>
    </w:rPr>
  </w:style>
  <w:style w:type="paragraph" w:customStyle="1" w:styleId="Normallatin">
    <w:name w:val="Normal+(latin"/>
    <w:basedOn w:val="Textoindependiente"/>
    <w:rsid w:val="00570585"/>
  </w:style>
  <w:style w:type="paragraph" w:styleId="Textoindependiente">
    <w:name w:val="Body Text"/>
    <w:basedOn w:val="Normal"/>
    <w:link w:val="TextoindependienteCar"/>
    <w:uiPriority w:val="99"/>
    <w:semiHidden/>
    <w:unhideWhenUsed/>
    <w:rsid w:val="00570585"/>
    <w:pPr>
      <w:spacing w:after="120"/>
    </w:pPr>
  </w:style>
  <w:style w:type="character" w:customStyle="1" w:styleId="TextoindependienteCar">
    <w:name w:val="Texto independiente Car"/>
    <w:basedOn w:val="Fuentedeprrafopredeter"/>
    <w:link w:val="Textoindependiente"/>
    <w:uiPriority w:val="99"/>
    <w:semiHidden/>
    <w:rsid w:val="00570585"/>
    <w:rPr>
      <w:rFonts w:ascii="Times New Roman" w:eastAsia="Times New Roman" w:hAnsi="Times New Roman"/>
      <w:sz w:val="24"/>
      <w:szCs w:val="24"/>
      <w:lang w:val="es-ES" w:eastAsia="es-ES"/>
    </w:rPr>
  </w:style>
  <w:style w:type="paragraph" w:customStyle="1" w:styleId="Normallatin0">
    <w:name w:val="Normal +(latin"/>
    <w:basedOn w:val="Sangradetextonormal"/>
    <w:rsid w:val="00570585"/>
  </w:style>
  <w:style w:type="paragraph" w:styleId="Sangradetextonormal">
    <w:name w:val="Body Text Indent"/>
    <w:basedOn w:val="Normal"/>
    <w:link w:val="SangradetextonormalCar"/>
    <w:uiPriority w:val="99"/>
    <w:semiHidden/>
    <w:unhideWhenUsed/>
    <w:rsid w:val="00570585"/>
    <w:pPr>
      <w:spacing w:after="120"/>
      <w:ind w:left="283"/>
    </w:pPr>
  </w:style>
  <w:style w:type="character" w:customStyle="1" w:styleId="SangradetextonormalCar">
    <w:name w:val="Sangría de texto normal Car"/>
    <w:basedOn w:val="Fuentedeprrafopredeter"/>
    <w:link w:val="Sangradetextonormal"/>
    <w:uiPriority w:val="99"/>
    <w:semiHidden/>
    <w:rsid w:val="00570585"/>
    <w:rPr>
      <w:rFonts w:ascii="Times New Roman" w:eastAsia="Times New Roman" w:hAnsi="Times New Roman"/>
      <w:sz w:val="24"/>
      <w:szCs w:val="24"/>
      <w:lang w:val="es-ES" w:eastAsia="es-ES"/>
    </w:rPr>
  </w:style>
  <w:style w:type="character" w:styleId="nfasis">
    <w:name w:val="Emphasis"/>
    <w:uiPriority w:val="20"/>
    <w:qFormat/>
    <w:rsid w:val="00570585"/>
    <w:rPr>
      <w:rFonts w:cs="Times New Roman"/>
      <w:i/>
      <w:iCs/>
    </w:rPr>
  </w:style>
  <w:style w:type="paragraph" w:customStyle="1" w:styleId="bodytext">
    <w:name w:val="bodytext"/>
    <w:basedOn w:val="Normal"/>
    <w:rsid w:val="00BF34AC"/>
    <w:pPr>
      <w:spacing w:before="100" w:beforeAutospacing="1" w:after="100" w:afterAutospacing="1"/>
    </w:pPr>
    <w:rPr>
      <w:lang w:val="es-GT" w:eastAsia="es-GT"/>
    </w:rPr>
  </w:style>
  <w:style w:type="character" w:customStyle="1" w:styleId="PrrafodelistaCar">
    <w:name w:val="Párrafo de lista Car"/>
    <w:aliases w:val="Párrafo de lista 2 Car"/>
    <w:link w:val="Prrafodelista"/>
    <w:uiPriority w:val="34"/>
    <w:rsid w:val="00884D4E"/>
    <w:rPr>
      <w:rFonts w:ascii="Times New Roman" w:eastAsia="Times New Roman" w:hAnsi="Times New Roman"/>
      <w:sz w:val="24"/>
      <w:szCs w:val="24"/>
      <w:lang w:val="es-ES" w:eastAsia="es-ES"/>
    </w:rPr>
  </w:style>
  <w:style w:type="paragraph" w:styleId="Listaconvietas">
    <w:name w:val="List Bullet"/>
    <w:basedOn w:val="Normal"/>
    <w:uiPriority w:val="99"/>
    <w:unhideWhenUsed/>
    <w:rsid w:val="00981DC6"/>
    <w:pPr>
      <w:numPr>
        <w:numId w:val="12"/>
      </w:num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GT" w:eastAsia="es-G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198F"/>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rPr>
      <w:lang w:val="x-none" w:eastAsia="x-none"/>
    </w:rPr>
  </w:style>
  <w:style w:type="character" w:customStyle="1" w:styleId="EncabezadoCar">
    <w:name w:val="Encabezado Car"/>
    <w:link w:val="Encabezado"/>
    <w:uiPriority w:val="99"/>
    <w:rsid w:val="009B198F"/>
    <w:rPr>
      <w:rFonts w:ascii="Times New Roman" w:eastAsia="Times New Roman" w:hAnsi="Times New Roman" w:cs="Times New Roman"/>
      <w:sz w:val="24"/>
      <w:szCs w:val="24"/>
      <w:lang w:val="x-none" w:eastAsia="x-none"/>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aliases w:val="ftref,16 Point,Superscript 6 Point,fr,Footnote Reference Number,Footnote Reference_LVL6,Footnote Reference_LVL61,Footnote Reference_LVL62,Footnote Reference_LVL63,Footnote Reference_LVL64,SUPERS,EN Footnote Reference,number"/>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59"/>
    <w:rsid w:val="001B07B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001941"/>
    <w:pPr>
      <w:tabs>
        <w:tab w:val="center" w:pos="4419"/>
        <w:tab w:val="right" w:pos="8838"/>
      </w:tabs>
    </w:pPr>
  </w:style>
  <w:style w:type="character" w:customStyle="1" w:styleId="PiedepginaCar">
    <w:name w:val="Pie de página Car"/>
    <w:link w:val="Piedepgina"/>
    <w:uiPriority w:val="99"/>
    <w:rsid w:val="00001941"/>
    <w:rPr>
      <w:rFonts w:ascii="Times New Roman" w:eastAsia="Times New Roman" w:hAnsi="Times New Roman"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rFonts w:eastAsiaTheme="minorEastAsia"/>
      <w:lang w:val="es-GT" w:eastAsia="es-GT"/>
    </w:rPr>
  </w:style>
  <w:style w:type="paragraph" w:styleId="Sinespaciado">
    <w:name w:val="No Spacing"/>
    <w:uiPriority w:val="1"/>
    <w:qFormat/>
    <w:rsid w:val="00C7413E"/>
    <w:rPr>
      <w:rFonts w:asciiTheme="minorHAnsi" w:eastAsiaTheme="minorEastAsia" w:hAnsiTheme="minorHAnsi" w:cstheme="minorBidi"/>
      <w:sz w:val="24"/>
      <w:szCs w:val="24"/>
      <w:lang w:val="es-ES_tradnl" w:eastAsia="ja-JP"/>
    </w:rPr>
  </w:style>
  <w:style w:type="paragraph" w:styleId="TtulodeTDC">
    <w:name w:val="TOC Heading"/>
    <w:basedOn w:val="Ttulo1"/>
    <w:next w:val="Normal"/>
    <w:uiPriority w:val="39"/>
    <w:unhideWhenUsed/>
    <w:qFormat/>
    <w:rsid w:val="00D61558"/>
    <w:pPr>
      <w:keepLines/>
      <w:numPr>
        <w:numId w:val="0"/>
      </w:numPr>
      <w:spacing w:before="480" w:line="276" w:lineRule="auto"/>
      <w:outlineLvl w:val="9"/>
    </w:pPr>
    <w:rPr>
      <w:rFonts w:asciiTheme="majorHAnsi" w:eastAsiaTheme="majorEastAsia" w:hAnsiTheme="majorHAnsi" w:cstheme="majorBidi"/>
      <w:color w:val="A5A5A5" w:themeColor="accent1" w:themeShade="BF"/>
      <w:sz w:val="28"/>
      <w:szCs w:val="28"/>
      <w:lang w:val="es-GT" w:eastAsia="es-GT"/>
    </w:rPr>
  </w:style>
  <w:style w:type="paragraph" w:styleId="TDC1">
    <w:name w:val="toc 1"/>
    <w:basedOn w:val="Normal"/>
    <w:next w:val="Normal"/>
    <w:autoRedefine/>
    <w:uiPriority w:val="39"/>
    <w:unhideWhenUsed/>
    <w:qFormat/>
    <w:rsid w:val="00E44DA6"/>
    <w:pPr>
      <w:tabs>
        <w:tab w:val="left" w:pos="480"/>
        <w:tab w:val="right" w:leader="dot" w:pos="9346"/>
      </w:tabs>
      <w:spacing w:after="100"/>
      <w:jc w:val="right"/>
    </w:pPr>
  </w:style>
  <w:style w:type="paragraph" w:styleId="TDC2">
    <w:name w:val="toc 2"/>
    <w:basedOn w:val="Normal"/>
    <w:next w:val="Normal"/>
    <w:autoRedefine/>
    <w:uiPriority w:val="39"/>
    <w:unhideWhenUsed/>
    <w:qFormat/>
    <w:rsid w:val="000775C1"/>
    <w:pPr>
      <w:tabs>
        <w:tab w:val="left" w:pos="880"/>
        <w:tab w:val="right" w:leader="dot" w:pos="8828"/>
      </w:tabs>
      <w:spacing w:after="100"/>
      <w:ind w:left="240"/>
    </w:pPr>
  </w:style>
  <w:style w:type="paragraph" w:styleId="TDC3">
    <w:name w:val="toc 3"/>
    <w:basedOn w:val="Normal"/>
    <w:next w:val="Normal"/>
    <w:autoRedefine/>
    <w:uiPriority w:val="39"/>
    <w:unhideWhenUsed/>
    <w:qFormat/>
    <w:rsid w:val="008753EE"/>
    <w:pPr>
      <w:tabs>
        <w:tab w:val="left" w:pos="880"/>
        <w:tab w:val="right" w:leader="dot" w:pos="9346"/>
      </w:tabs>
      <w:spacing w:after="100"/>
      <w:ind w:left="480"/>
      <w:jc w:val="both"/>
    </w:pPr>
  </w:style>
  <w:style w:type="character" w:styleId="Refdecomentario">
    <w:name w:val="annotation reference"/>
    <w:basedOn w:val="Fuentedeprrafopredeter"/>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basedOn w:val="Fuentedeprrafopredete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basedOn w:val="TextocomentarioCar"/>
    <w:link w:val="Asuntodelcomentario"/>
    <w:uiPriority w:val="99"/>
    <w:semiHidden/>
    <w:rsid w:val="00B372A0"/>
    <w:rPr>
      <w:rFonts w:ascii="Times New Roman" w:eastAsia="Times New Roman" w:hAnsi="Times New Roman"/>
      <w:b/>
      <w:bCs/>
      <w:lang w:val="es-ES" w:eastAsia="es-ES"/>
    </w:rPr>
  </w:style>
  <w:style w:type="paragraph" w:customStyle="1" w:styleId="Normallatin">
    <w:name w:val="Normal+(latin"/>
    <w:basedOn w:val="Textoindependiente"/>
    <w:rsid w:val="00570585"/>
  </w:style>
  <w:style w:type="paragraph" w:styleId="Textoindependiente">
    <w:name w:val="Body Text"/>
    <w:basedOn w:val="Normal"/>
    <w:link w:val="TextoindependienteCar"/>
    <w:uiPriority w:val="99"/>
    <w:semiHidden/>
    <w:unhideWhenUsed/>
    <w:rsid w:val="00570585"/>
    <w:pPr>
      <w:spacing w:after="120"/>
    </w:pPr>
  </w:style>
  <w:style w:type="character" w:customStyle="1" w:styleId="TextoindependienteCar">
    <w:name w:val="Texto independiente Car"/>
    <w:basedOn w:val="Fuentedeprrafopredeter"/>
    <w:link w:val="Textoindependiente"/>
    <w:uiPriority w:val="99"/>
    <w:semiHidden/>
    <w:rsid w:val="00570585"/>
    <w:rPr>
      <w:rFonts w:ascii="Times New Roman" w:eastAsia="Times New Roman" w:hAnsi="Times New Roman"/>
      <w:sz w:val="24"/>
      <w:szCs w:val="24"/>
      <w:lang w:val="es-ES" w:eastAsia="es-ES"/>
    </w:rPr>
  </w:style>
  <w:style w:type="paragraph" w:customStyle="1" w:styleId="Normallatin0">
    <w:name w:val="Normal +(latin"/>
    <w:basedOn w:val="Sangradetextonormal"/>
    <w:rsid w:val="00570585"/>
  </w:style>
  <w:style w:type="paragraph" w:styleId="Sangradetextonormal">
    <w:name w:val="Body Text Indent"/>
    <w:basedOn w:val="Normal"/>
    <w:link w:val="SangradetextonormalCar"/>
    <w:uiPriority w:val="99"/>
    <w:semiHidden/>
    <w:unhideWhenUsed/>
    <w:rsid w:val="00570585"/>
    <w:pPr>
      <w:spacing w:after="120"/>
      <w:ind w:left="283"/>
    </w:pPr>
  </w:style>
  <w:style w:type="character" w:customStyle="1" w:styleId="SangradetextonormalCar">
    <w:name w:val="Sangría de texto normal Car"/>
    <w:basedOn w:val="Fuentedeprrafopredeter"/>
    <w:link w:val="Sangradetextonormal"/>
    <w:uiPriority w:val="99"/>
    <w:semiHidden/>
    <w:rsid w:val="00570585"/>
    <w:rPr>
      <w:rFonts w:ascii="Times New Roman" w:eastAsia="Times New Roman" w:hAnsi="Times New Roman"/>
      <w:sz w:val="24"/>
      <w:szCs w:val="24"/>
      <w:lang w:val="es-ES" w:eastAsia="es-ES"/>
    </w:rPr>
  </w:style>
  <w:style w:type="character" w:styleId="nfasis">
    <w:name w:val="Emphasis"/>
    <w:uiPriority w:val="20"/>
    <w:qFormat/>
    <w:rsid w:val="00570585"/>
    <w:rPr>
      <w:rFonts w:cs="Times New Roman"/>
      <w:i/>
      <w:iCs/>
    </w:rPr>
  </w:style>
  <w:style w:type="paragraph" w:customStyle="1" w:styleId="bodytext">
    <w:name w:val="bodytext"/>
    <w:basedOn w:val="Normal"/>
    <w:rsid w:val="00BF34AC"/>
    <w:pPr>
      <w:spacing w:before="100" w:beforeAutospacing="1" w:after="100" w:afterAutospacing="1"/>
    </w:pPr>
    <w:rPr>
      <w:lang w:val="es-GT" w:eastAsia="es-GT"/>
    </w:rPr>
  </w:style>
  <w:style w:type="character" w:customStyle="1" w:styleId="PrrafodelistaCar">
    <w:name w:val="Párrafo de lista Car"/>
    <w:aliases w:val="Párrafo de lista 2 Car"/>
    <w:link w:val="Prrafodelista"/>
    <w:uiPriority w:val="34"/>
    <w:rsid w:val="00884D4E"/>
    <w:rPr>
      <w:rFonts w:ascii="Times New Roman" w:eastAsia="Times New Roman" w:hAnsi="Times New Roman"/>
      <w:sz w:val="24"/>
      <w:szCs w:val="24"/>
      <w:lang w:val="es-ES" w:eastAsia="es-ES"/>
    </w:rPr>
  </w:style>
  <w:style w:type="paragraph" w:styleId="Listaconvietas">
    <w:name w:val="List Bullet"/>
    <w:basedOn w:val="Normal"/>
    <w:uiPriority w:val="99"/>
    <w:unhideWhenUsed/>
    <w:rsid w:val="00981DC6"/>
    <w:pPr>
      <w:numPr>
        <w:numId w:val="12"/>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7564">
      <w:bodyDiv w:val="1"/>
      <w:marLeft w:val="0"/>
      <w:marRight w:val="0"/>
      <w:marTop w:val="0"/>
      <w:marBottom w:val="0"/>
      <w:divBdr>
        <w:top w:val="none" w:sz="0" w:space="0" w:color="auto"/>
        <w:left w:val="none" w:sz="0" w:space="0" w:color="auto"/>
        <w:bottom w:val="none" w:sz="0" w:space="0" w:color="auto"/>
        <w:right w:val="none" w:sz="0" w:space="0" w:color="auto"/>
      </w:divBdr>
      <w:divsChild>
        <w:div w:id="1464498466">
          <w:marLeft w:val="274"/>
          <w:marRight w:val="0"/>
          <w:marTop w:val="0"/>
          <w:marBottom w:val="240"/>
          <w:divBdr>
            <w:top w:val="none" w:sz="0" w:space="0" w:color="auto"/>
            <w:left w:val="none" w:sz="0" w:space="0" w:color="auto"/>
            <w:bottom w:val="none" w:sz="0" w:space="0" w:color="auto"/>
            <w:right w:val="none" w:sz="0" w:space="0" w:color="auto"/>
          </w:divBdr>
        </w:div>
        <w:div w:id="1479304816">
          <w:marLeft w:val="274"/>
          <w:marRight w:val="0"/>
          <w:marTop w:val="0"/>
          <w:marBottom w:val="240"/>
          <w:divBdr>
            <w:top w:val="none" w:sz="0" w:space="0" w:color="auto"/>
            <w:left w:val="none" w:sz="0" w:space="0" w:color="auto"/>
            <w:bottom w:val="none" w:sz="0" w:space="0" w:color="auto"/>
            <w:right w:val="none" w:sz="0" w:space="0" w:color="auto"/>
          </w:divBdr>
        </w:div>
        <w:div w:id="1884439074">
          <w:marLeft w:val="274"/>
          <w:marRight w:val="0"/>
          <w:marTop w:val="0"/>
          <w:marBottom w:val="240"/>
          <w:divBdr>
            <w:top w:val="none" w:sz="0" w:space="0" w:color="auto"/>
            <w:left w:val="none" w:sz="0" w:space="0" w:color="auto"/>
            <w:bottom w:val="none" w:sz="0" w:space="0" w:color="auto"/>
            <w:right w:val="none" w:sz="0" w:space="0" w:color="auto"/>
          </w:divBdr>
        </w:div>
      </w:divsChild>
    </w:div>
    <w:div w:id="12615010">
      <w:bodyDiv w:val="1"/>
      <w:marLeft w:val="0"/>
      <w:marRight w:val="0"/>
      <w:marTop w:val="0"/>
      <w:marBottom w:val="0"/>
      <w:divBdr>
        <w:top w:val="none" w:sz="0" w:space="0" w:color="auto"/>
        <w:left w:val="none" w:sz="0" w:space="0" w:color="auto"/>
        <w:bottom w:val="none" w:sz="0" w:space="0" w:color="auto"/>
        <w:right w:val="none" w:sz="0" w:space="0" w:color="auto"/>
      </w:divBdr>
      <w:divsChild>
        <w:div w:id="874804913">
          <w:marLeft w:val="576"/>
          <w:marRight w:val="0"/>
          <w:marTop w:val="120"/>
          <w:marBottom w:val="0"/>
          <w:divBdr>
            <w:top w:val="none" w:sz="0" w:space="0" w:color="auto"/>
            <w:left w:val="none" w:sz="0" w:space="0" w:color="auto"/>
            <w:bottom w:val="none" w:sz="0" w:space="0" w:color="auto"/>
            <w:right w:val="none" w:sz="0" w:space="0" w:color="auto"/>
          </w:divBdr>
        </w:div>
      </w:divsChild>
    </w:div>
    <w:div w:id="31074974">
      <w:bodyDiv w:val="1"/>
      <w:marLeft w:val="0"/>
      <w:marRight w:val="0"/>
      <w:marTop w:val="0"/>
      <w:marBottom w:val="0"/>
      <w:divBdr>
        <w:top w:val="none" w:sz="0" w:space="0" w:color="auto"/>
        <w:left w:val="none" w:sz="0" w:space="0" w:color="auto"/>
        <w:bottom w:val="none" w:sz="0" w:space="0" w:color="auto"/>
        <w:right w:val="none" w:sz="0" w:space="0" w:color="auto"/>
      </w:divBdr>
    </w:div>
    <w:div w:id="33192894">
      <w:bodyDiv w:val="1"/>
      <w:marLeft w:val="0"/>
      <w:marRight w:val="0"/>
      <w:marTop w:val="0"/>
      <w:marBottom w:val="0"/>
      <w:divBdr>
        <w:top w:val="none" w:sz="0" w:space="0" w:color="auto"/>
        <w:left w:val="none" w:sz="0" w:space="0" w:color="auto"/>
        <w:bottom w:val="none" w:sz="0" w:space="0" w:color="auto"/>
        <w:right w:val="none" w:sz="0" w:space="0" w:color="auto"/>
      </w:divBdr>
    </w:div>
    <w:div w:id="34232750">
      <w:bodyDiv w:val="1"/>
      <w:marLeft w:val="0"/>
      <w:marRight w:val="0"/>
      <w:marTop w:val="0"/>
      <w:marBottom w:val="0"/>
      <w:divBdr>
        <w:top w:val="none" w:sz="0" w:space="0" w:color="auto"/>
        <w:left w:val="none" w:sz="0" w:space="0" w:color="auto"/>
        <w:bottom w:val="none" w:sz="0" w:space="0" w:color="auto"/>
        <w:right w:val="none" w:sz="0" w:space="0" w:color="auto"/>
      </w:divBdr>
    </w:div>
    <w:div w:id="46807904">
      <w:bodyDiv w:val="1"/>
      <w:marLeft w:val="0"/>
      <w:marRight w:val="0"/>
      <w:marTop w:val="0"/>
      <w:marBottom w:val="0"/>
      <w:divBdr>
        <w:top w:val="none" w:sz="0" w:space="0" w:color="auto"/>
        <w:left w:val="none" w:sz="0" w:space="0" w:color="auto"/>
        <w:bottom w:val="none" w:sz="0" w:space="0" w:color="auto"/>
        <w:right w:val="none" w:sz="0" w:space="0" w:color="auto"/>
      </w:divBdr>
    </w:div>
    <w:div w:id="70542366">
      <w:bodyDiv w:val="1"/>
      <w:marLeft w:val="0"/>
      <w:marRight w:val="0"/>
      <w:marTop w:val="0"/>
      <w:marBottom w:val="0"/>
      <w:divBdr>
        <w:top w:val="none" w:sz="0" w:space="0" w:color="auto"/>
        <w:left w:val="none" w:sz="0" w:space="0" w:color="auto"/>
        <w:bottom w:val="none" w:sz="0" w:space="0" w:color="auto"/>
        <w:right w:val="none" w:sz="0" w:space="0" w:color="auto"/>
      </w:divBdr>
    </w:div>
    <w:div w:id="102068754">
      <w:bodyDiv w:val="1"/>
      <w:marLeft w:val="0"/>
      <w:marRight w:val="0"/>
      <w:marTop w:val="0"/>
      <w:marBottom w:val="0"/>
      <w:divBdr>
        <w:top w:val="none" w:sz="0" w:space="0" w:color="auto"/>
        <w:left w:val="none" w:sz="0" w:space="0" w:color="auto"/>
        <w:bottom w:val="none" w:sz="0" w:space="0" w:color="auto"/>
        <w:right w:val="none" w:sz="0" w:space="0" w:color="auto"/>
      </w:divBdr>
    </w:div>
    <w:div w:id="147986746">
      <w:bodyDiv w:val="1"/>
      <w:marLeft w:val="0"/>
      <w:marRight w:val="0"/>
      <w:marTop w:val="0"/>
      <w:marBottom w:val="0"/>
      <w:divBdr>
        <w:top w:val="none" w:sz="0" w:space="0" w:color="auto"/>
        <w:left w:val="none" w:sz="0" w:space="0" w:color="auto"/>
        <w:bottom w:val="none" w:sz="0" w:space="0" w:color="auto"/>
        <w:right w:val="none" w:sz="0" w:space="0" w:color="auto"/>
      </w:divBdr>
    </w:div>
    <w:div w:id="224731212">
      <w:bodyDiv w:val="1"/>
      <w:marLeft w:val="0"/>
      <w:marRight w:val="0"/>
      <w:marTop w:val="0"/>
      <w:marBottom w:val="0"/>
      <w:divBdr>
        <w:top w:val="none" w:sz="0" w:space="0" w:color="auto"/>
        <w:left w:val="none" w:sz="0" w:space="0" w:color="auto"/>
        <w:bottom w:val="none" w:sz="0" w:space="0" w:color="auto"/>
        <w:right w:val="none" w:sz="0" w:space="0" w:color="auto"/>
      </w:divBdr>
      <w:divsChild>
        <w:div w:id="791099228">
          <w:marLeft w:val="562"/>
          <w:marRight w:val="0"/>
          <w:marTop w:val="0"/>
          <w:marBottom w:val="0"/>
          <w:divBdr>
            <w:top w:val="none" w:sz="0" w:space="0" w:color="auto"/>
            <w:left w:val="none" w:sz="0" w:space="0" w:color="auto"/>
            <w:bottom w:val="none" w:sz="0" w:space="0" w:color="auto"/>
            <w:right w:val="none" w:sz="0" w:space="0" w:color="auto"/>
          </w:divBdr>
        </w:div>
        <w:div w:id="1126898492">
          <w:marLeft w:val="562"/>
          <w:marRight w:val="0"/>
          <w:marTop w:val="0"/>
          <w:marBottom w:val="0"/>
          <w:divBdr>
            <w:top w:val="none" w:sz="0" w:space="0" w:color="auto"/>
            <w:left w:val="none" w:sz="0" w:space="0" w:color="auto"/>
            <w:bottom w:val="none" w:sz="0" w:space="0" w:color="auto"/>
            <w:right w:val="none" w:sz="0" w:space="0" w:color="auto"/>
          </w:divBdr>
        </w:div>
        <w:div w:id="1718116599">
          <w:marLeft w:val="562"/>
          <w:marRight w:val="0"/>
          <w:marTop w:val="0"/>
          <w:marBottom w:val="0"/>
          <w:divBdr>
            <w:top w:val="none" w:sz="0" w:space="0" w:color="auto"/>
            <w:left w:val="none" w:sz="0" w:space="0" w:color="auto"/>
            <w:bottom w:val="none" w:sz="0" w:space="0" w:color="auto"/>
            <w:right w:val="none" w:sz="0" w:space="0" w:color="auto"/>
          </w:divBdr>
        </w:div>
      </w:divsChild>
    </w:div>
    <w:div w:id="298925361">
      <w:bodyDiv w:val="1"/>
      <w:marLeft w:val="0"/>
      <w:marRight w:val="0"/>
      <w:marTop w:val="0"/>
      <w:marBottom w:val="0"/>
      <w:divBdr>
        <w:top w:val="none" w:sz="0" w:space="0" w:color="auto"/>
        <w:left w:val="none" w:sz="0" w:space="0" w:color="auto"/>
        <w:bottom w:val="none" w:sz="0" w:space="0" w:color="auto"/>
        <w:right w:val="none" w:sz="0" w:space="0" w:color="auto"/>
      </w:divBdr>
    </w:div>
    <w:div w:id="300381910">
      <w:bodyDiv w:val="1"/>
      <w:marLeft w:val="0"/>
      <w:marRight w:val="0"/>
      <w:marTop w:val="0"/>
      <w:marBottom w:val="0"/>
      <w:divBdr>
        <w:top w:val="none" w:sz="0" w:space="0" w:color="auto"/>
        <w:left w:val="none" w:sz="0" w:space="0" w:color="auto"/>
        <w:bottom w:val="none" w:sz="0" w:space="0" w:color="auto"/>
        <w:right w:val="none" w:sz="0" w:space="0" w:color="auto"/>
      </w:divBdr>
    </w:div>
    <w:div w:id="302665719">
      <w:bodyDiv w:val="1"/>
      <w:marLeft w:val="0"/>
      <w:marRight w:val="0"/>
      <w:marTop w:val="0"/>
      <w:marBottom w:val="0"/>
      <w:divBdr>
        <w:top w:val="none" w:sz="0" w:space="0" w:color="auto"/>
        <w:left w:val="none" w:sz="0" w:space="0" w:color="auto"/>
        <w:bottom w:val="none" w:sz="0" w:space="0" w:color="auto"/>
        <w:right w:val="none" w:sz="0" w:space="0" w:color="auto"/>
      </w:divBdr>
    </w:div>
    <w:div w:id="317077505">
      <w:bodyDiv w:val="1"/>
      <w:marLeft w:val="0"/>
      <w:marRight w:val="0"/>
      <w:marTop w:val="0"/>
      <w:marBottom w:val="0"/>
      <w:divBdr>
        <w:top w:val="none" w:sz="0" w:space="0" w:color="auto"/>
        <w:left w:val="none" w:sz="0" w:space="0" w:color="auto"/>
        <w:bottom w:val="none" w:sz="0" w:space="0" w:color="auto"/>
        <w:right w:val="none" w:sz="0" w:space="0" w:color="auto"/>
      </w:divBdr>
    </w:div>
    <w:div w:id="380253897">
      <w:bodyDiv w:val="1"/>
      <w:marLeft w:val="0"/>
      <w:marRight w:val="0"/>
      <w:marTop w:val="0"/>
      <w:marBottom w:val="0"/>
      <w:divBdr>
        <w:top w:val="none" w:sz="0" w:space="0" w:color="auto"/>
        <w:left w:val="none" w:sz="0" w:space="0" w:color="auto"/>
        <w:bottom w:val="none" w:sz="0" w:space="0" w:color="auto"/>
        <w:right w:val="none" w:sz="0" w:space="0" w:color="auto"/>
      </w:divBdr>
    </w:div>
    <w:div w:id="381290258">
      <w:bodyDiv w:val="1"/>
      <w:marLeft w:val="0"/>
      <w:marRight w:val="0"/>
      <w:marTop w:val="0"/>
      <w:marBottom w:val="0"/>
      <w:divBdr>
        <w:top w:val="none" w:sz="0" w:space="0" w:color="auto"/>
        <w:left w:val="none" w:sz="0" w:space="0" w:color="auto"/>
        <w:bottom w:val="none" w:sz="0" w:space="0" w:color="auto"/>
        <w:right w:val="none" w:sz="0" w:space="0" w:color="auto"/>
      </w:divBdr>
    </w:div>
    <w:div w:id="440341959">
      <w:bodyDiv w:val="1"/>
      <w:marLeft w:val="0"/>
      <w:marRight w:val="0"/>
      <w:marTop w:val="0"/>
      <w:marBottom w:val="0"/>
      <w:divBdr>
        <w:top w:val="none" w:sz="0" w:space="0" w:color="auto"/>
        <w:left w:val="none" w:sz="0" w:space="0" w:color="auto"/>
        <w:bottom w:val="none" w:sz="0" w:space="0" w:color="auto"/>
        <w:right w:val="none" w:sz="0" w:space="0" w:color="auto"/>
      </w:divBdr>
    </w:div>
    <w:div w:id="448089634">
      <w:bodyDiv w:val="1"/>
      <w:marLeft w:val="0"/>
      <w:marRight w:val="0"/>
      <w:marTop w:val="0"/>
      <w:marBottom w:val="0"/>
      <w:divBdr>
        <w:top w:val="none" w:sz="0" w:space="0" w:color="auto"/>
        <w:left w:val="none" w:sz="0" w:space="0" w:color="auto"/>
        <w:bottom w:val="none" w:sz="0" w:space="0" w:color="auto"/>
        <w:right w:val="none" w:sz="0" w:space="0" w:color="auto"/>
      </w:divBdr>
    </w:div>
    <w:div w:id="458572359">
      <w:bodyDiv w:val="1"/>
      <w:marLeft w:val="0"/>
      <w:marRight w:val="0"/>
      <w:marTop w:val="0"/>
      <w:marBottom w:val="0"/>
      <w:divBdr>
        <w:top w:val="none" w:sz="0" w:space="0" w:color="auto"/>
        <w:left w:val="none" w:sz="0" w:space="0" w:color="auto"/>
        <w:bottom w:val="none" w:sz="0" w:space="0" w:color="auto"/>
        <w:right w:val="none" w:sz="0" w:space="0" w:color="auto"/>
      </w:divBdr>
    </w:div>
    <w:div w:id="474034149">
      <w:bodyDiv w:val="1"/>
      <w:marLeft w:val="0"/>
      <w:marRight w:val="0"/>
      <w:marTop w:val="0"/>
      <w:marBottom w:val="0"/>
      <w:divBdr>
        <w:top w:val="none" w:sz="0" w:space="0" w:color="auto"/>
        <w:left w:val="none" w:sz="0" w:space="0" w:color="auto"/>
        <w:bottom w:val="none" w:sz="0" w:space="0" w:color="auto"/>
        <w:right w:val="none" w:sz="0" w:space="0" w:color="auto"/>
      </w:divBdr>
    </w:div>
    <w:div w:id="481119587">
      <w:bodyDiv w:val="1"/>
      <w:marLeft w:val="0"/>
      <w:marRight w:val="0"/>
      <w:marTop w:val="0"/>
      <w:marBottom w:val="0"/>
      <w:divBdr>
        <w:top w:val="none" w:sz="0" w:space="0" w:color="auto"/>
        <w:left w:val="none" w:sz="0" w:space="0" w:color="auto"/>
        <w:bottom w:val="none" w:sz="0" w:space="0" w:color="auto"/>
        <w:right w:val="none" w:sz="0" w:space="0" w:color="auto"/>
      </w:divBdr>
    </w:div>
    <w:div w:id="484198452">
      <w:bodyDiv w:val="1"/>
      <w:marLeft w:val="0"/>
      <w:marRight w:val="0"/>
      <w:marTop w:val="0"/>
      <w:marBottom w:val="0"/>
      <w:divBdr>
        <w:top w:val="none" w:sz="0" w:space="0" w:color="auto"/>
        <w:left w:val="none" w:sz="0" w:space="0" w:color="auto"/>
        <w:bottom w:val="none" w:sz="0" w:space="0" w:color="auto"/>
        <w:right w:val="none" w:sz="0" w:space="0" w:color="auto"/>
      </w:divBdr>
    </w:div>
    <w:div w:id="537472027">
      <w:bodyDiv w:val="1"/>
      <w:marLeft w:val="0"/>
      <w:marRight w:val="0"/>
      <w:marTop w:val="0"/>
      <w:marBottom w:val="0"/>
      <w:divBdr>
        <w:top w:val="none" w:sz="0" w:space="0" w:color="auto"/>
        <w:left w:val="none" w:sz="0" w:space="0" w:color="auto"/>
        <w:bottom w:val="none" w:sz="0" w:space="0" w:color="auto"/>
        <w:right w:val="none" w:sz="0" w:space="0" w:color="auto"/>
      </w:divBdr>
      <w:divsChild>
        <w:div w:id="1166701297">
          <w:marLeft w:val="0"/>
          <w:marRight w:val="0"/>
          <w:marTop w:val="0"/>
          <w:marBottom w:val="0"/>
          <w:divBdr>
            <w:top w:val="none" w:sz="0" w:space="0" w:color="auto"/>
            <w:left w:val="none" w:sz="0" w:space="0" w:color="auto"/>
            <w:bottom w:val="none" w:sz="0" w:space="0" w:color="auto"/>
            <w:right w:val="none" w:sz="0" w:space="0" w:color="auto"/>
          </w:divBdr>
          <w:divsChild>
            <w:div w:id="319886466">
              <w:marLeft w:val="0"/>
              <w:marRight w:val="0"/>
              <w:marTop w:val="0"/>
              <w:marBottom w:val="0"/>
              <w:divBdr>
                <w:top w:val="single" w:sz="24" w:space="0" w:color="FB4C1C"/>
                <w:left w:val="none" w:sz="0" w:space="0" w:color="auto"/>
                <w:bottom w:val="none" w:sz="0" w:space="0" w:color="auto"/>
                <w:right w:val="none" w:sz="0" w:space="0" w:color="auto"/>
              </w:divBdr>
              <w:divsChild>
                <w:div w:id="1064136762">
                  <w:marLeft w:val="0"/>
                  <w:marRight w:val="0"/>
                  <w:marTop w:val="100"/>
                  <w:marBottom w:val="100"/>
                  <w:divBdr>
                    <w:top w:val="none" w:sz="0" w:space="0" w:color="auto"/>
                    <w:left w:val="none" w:sz="0" w:space="0" w:color="auto"/>
                    <w:bottom w:val="none" w:sz="0" w:space="0" w:color="auto"/>
                    <w:right w:val="none" w:sz="0" w:space="0" w:color="auto"/>
                  </w:divBdr>
                  <w:divsChild>
                    <w:div w:id="1058013946">
                      <w:marLeft w:val="0"/>
                      <w:marRight w:val="0"/>
                      <w:marTop w:val="0"/>
                      <w:marBottom w:val="0"/>
                      <w:divBdr>
                        <w:top w:val="none" w:sz="0" w:space="0" w:color="auto"/>
                        <w:left w:val="none" w:sz="0" w:space="0" w:color="auto"/>
                        <w:bottom w:val="none" w:sz="0" w:space="0" w:color="auto"/>
                        <w:right w:val="none" w:sz="0" w:space="0" w:color="auto"/>
                      </w:divBdr>
                      <w:divsChild>
                        <w:div w:id="734008506">
                          <w:marLeft w:val="0"/>
                          <w:marRight w:val="0"/>
                          <w:marTop w:val="0"/>
                          <w:marBottom w:val="0"/>
                          <w:divBdr>
                            <w:top w:val="none" w:sz="0" w:space="0" w:color="auto"/>
                            <w:left w:val="none" w:sz="0" w:space="0" w:color="auto"/>
                            <w:bottom w:val="none" w:sz="0" w:space="0" w:color="auto"/>
                            <w:right w:val="none" w:sz="0" w:space="0" w:color="auto"/>
                          </w:divBdr>
                          <w:divsChild>
                            <w:div w:id="1487088080">
                              <w:marLeft w:val="0"/>
                              <w:marRight w:val="0"/>
                              <w:marTop w:val="0"/>
                              <w:marBottom w:val="0"/>
                              <w:divBdr>
                                <w:top w:val="none" w:sz="0" w:space="0" w:color="auto"/>
                                <w:left w:val="none" w:sz="0" w:space="0" w:color="auto"/>
                                <w:bottom w:val="none" w:sz="0" w:space="0" w:color="auto"/>
                                <w:right w:val="none" w:sz="0" w:space="0" w:color="auto"/>
                              </w:divBdr>
                              <w:divsChild>
                                <w:div w:id="1872643750">
                                  <w:marLeft w:val="0"/>
                                  <w:marRight w:val="0"/>
                                  <w:marTop w:val="0"/>
                                  <w:marBottom w:val="0"/>
                                  <w:divBdr>
                                    <w:top w:val="none" w:sz="0" w:space="0" w:color="auto"/>
                                    <w:left w:val="none" w:sz="0" w:space="0" w:color="auto"/>
                                    <w:bottom w:val="none" w:sz="0" w:space="0" w:color="auto"/>
                                    <w:right w:val="none" w:sz="0" w:space="0" w:color="auto"/>
                                  </w:divBdr>
                                  <w:divsChild>
                                    <w:div w:id="1102651247">
                                      <w:marLeft w:val="0"/>
                                      <w:marRight w:val="0"/>
                                      <w:marTop w:val="0"/>
                                      <w:marBottom w:val="0"/>
                                      <w:divBdr>
                                        <w:top w:val="none" w:sz="0" w:space="0" w:color="auto"/>
                                        <w:left w:val="none" w:sz="0" w:space="0" w:color="auto"/>
                                        <w:bottom w:val="none" w:sz="0" w:space="0" w:color="auto"/>
                                        <w:right w:val="none" w:sz="0" w:space="0" w:color="auto"/>
                                      </w:divBdr>
                                      <w:divsChild>
                                        <w:div w:id="1233126812">
                                          <w:marLeft w:val="0"/>
                                          <w:marRight w:val="0"/>
                                          <w:marTop w:val="0"/>
                                          <w:marBottom w:val="0"/>
                                          <w:divBdr>
                                            <w:top w:val="none" w:sz="0" w:space="0" w:color="auto"/>
                                            <w:left w:val="none" w:sz="0" w:space="0" w:color="auto"/>
                                            <w:bottom w:val="none" w:sz="0" w:space="0" w:color="auto"/>
                                            <w:right w:val="none" w:sz="0" w:space="0" w:color="auto"/>
                                          </w:divBdr>
                                          <w:divsChild>
                                            <w:div w:id="1857187229">
                                              <w:marLeft w:val="0"/>
                                              <w:marRight w:val="0"/>
                                              <w:marTop w:val="0"/>
                                              <w:marBottom w:val="0"/>
                                              <w:divBdr>
                                                <w:top w:val="none" w:sz="0" w:space="0" w:color="auto"/>
                                                <w:left w:val="none" w:sz="0" w:space="0" w:color="auto"/>
                                                <w:bottom w:val="none" w:sz="0" w:space="0" w:color="auto"/>
                                                <w:right w:val="none" w:sz="0" w:space="0" w:color="auto"/>
                                              </w:divBdr>
                                              <w:divsChild>
                                                <w:div w:id="188390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5235653">
      <w:bodyDiv w:val="1"/>
      <w:marLeft w:val="0"/>
      <w:marRight w:val="0"/>
      <w:marTop w:val="0"/>
      <w:marBottom w:val="0"/>
      <w:divBdr>
        <w:top w:val="none" w:sz="0" w:space="0" w:color="auto"/>
        <w:left w:val="none" w:sz="0" w:space="0" w:color="auto"/>
        <w:bottom w:val="none" w:sz="0" w:space="0" w:color="auto"/>
        <w:right w:val="none" w:sz="0" w:space="0" w:color="auto"/>
      </w:divBdr>
    </w:div>
    <w:div w:id="662779522">
      <w:bodyDiv w:val="1"/>
      <w:marLeft w:val="0"/>
      <w:marRight w:val="0"/>
      <w:marTop w:val="0"/>
      <w:marBottom w:val="0"/>
      <w:divBdr>
        <w:top w:val="none" w:sz="0" w:space="0" w:color="auto"/>
        <w:left w:val="none" w:sz="0" w:space="0" w:color="auto"/>
        <w:bottom w:val="none" w:sz="0" w:space="0" w:color="auto"/>
        <w:right w:val="none" w:sz="0" w:space="0" w:color="auto"/>
      </w:divBdr>
    </w:div>
    <w:div w:id="663553227">
      <w:bodyDiv w:val="1"/>
      <w:marLeft w:val="0"/>
      <w:marRight w:val="0"/>
      <w:marTop w:val="0"/>
      <w:marBottom w:val="0"/>
      <w:divBdr>
        <w:top w:val="none" w:sz="0" w:space="0" w:color="auto"/>
        <w:left w:val="none" w:sz="0" w:space="0" w:color="auto"/>
        <w:bottom w:val="none" w:sz="0" w:space="0" w:color="auto"/>
        <w:right w:val="none" w:sz="0" w:space="0" w:color="auto"/>
      </w:divBdr>
    </w:div>
    <w:div w:id="678116731">
      <w:bodyDiv w:val="1"/>
      <w:marLeft w:val="0"/>
      <w:marRight w:val="0"/>
      <w:marTop w:val="0"/>
      <w:marBottom w:val="0"/>
      <w:divBdr>
        <w:top w:val="none" w:sz="0" w:space="0" w:color="auto"/>
        <w:left w:val="none" w:sz="0" w:space="0" w:color="auto"/>
        <w:bottom w:val="none" w:sz="0" w:space="0" w:color="auto"/>
        <w:right w:val="none" w:sz="0" w:space="0" w:color="auto"/>
      </w:divBdr>
    </w:div>
    <w:div w:id="694162026">
      <w:bodyDiv w:val="1"/>
      <w:marLeft w:val="0"/>
      <w:marRight w:val="0"/>
      <w:marTop w:val="0"/>
      <w:marBottom w:val="0"/>
      <w:divBdr>
        <w:top w:val="none" w:sz="0" w:space="0" w:color="auto"/>
        <w:left w:val="none" w:sz="0" w:space="0" w:color="auto"/>
        <w:bottom w:val="none" w:sz="0" w:space="0" w:color="auto"/>
        <w:right w:val="none" w:sz="0" w:space="0" w:color="auto"/>
      </w:divBdr>
    </w:div>
    <w:div w:id="711076320">
      <w:bodyDiv w:val="1"/>
      <w:marLeft w:val="0"/>
      <w:marRight w:val="0"/>
      <w:marTop w:val="0"/>
      <w:marBottom w:val="0"/>
      <w:divBdr>
        <w:top w:val="none" w:sz="0" w:space="0" w:color="auto"/>
        <w:left w:val="none" w:sz="0" w:space="0" w:color="auto"/>
        <w:bottom w:val="none" w:sz="0" w:space="0" w:color="auto"/>
        <w:right w:val="none" w:sz="0" w:space="0" w:color="auto"/>
      </w:divBdr>
    </w:div>
    <w:div w:id="807432774">
      <w:bodyDiv w:val="1"/>
      <w:marLeft w:val="0"/>
      <w:marRight w:val="0"/>
      <w:marTop w:val="0"/>
      <w:marBottom w:val="0"/>
      <w:divBdr>
        <w:top w:val="none" w:sz="0" w:space="0" w:color="auto"/>
        <w:left w:val="none" w:sz="0" w:space="0" w:color="auto"/>
        <w:bottom w:val="none" w:sz="0" w:space="0" w:color="auto"/>
        <w:right w:val="none" w:sz="0" w:space="0" w:color="auto"/>
      </w:divBdr>
    </w:div>
    <w:div w:id="870071512">
      <w:bodyDiv w:val="1"/>
      <w:marLeft w:val="0"/>
      <w:marRight w:val="0"/>
      <w:marTop w:val="0"/>
      <w:marBottom w:val="0"/>
      <w:divBdr>
        <w:top w:val="none" w:sz="0" w:space="0" w:color="auto"/>
        <w:left w:val="none" w:sz="0" w:space="0" w:color="auto"/>
        <w:bottom w:val="none" w:sz="0" w:space="0" w:color="auto"/>
        <w:right w:val="none" w:sz="0" w:space="0" w:color="auto"/>
      </w:divBdr>
    </w:div>
    <w:div w:id="911886592">
      <w:bodyDiv w:val="1"/>
      <w:marLeft w:val="0"/>
      <w:marRight w:val="0"/>
      <w:marTop w:val="0"/>
      <w:marBottom w:val="0"/>
      <w:divBdr>
        <w:top w:val="none" w:sz="0" w:space="0" w:color="auto"/>
        <w:left w:val="none" w:sz="0" w:space="0" w:color="auto"/>
        <w:bottom w:val="none" w:sz="0" w:space="0" w:color="auto"/>
        <w:right w:val="none" w:sz="0" w:space="0" w:color="auto"/>
      </w:divBdr>
    </w:div>
    <w:div w:id="912349316">
      <w:bodyDiv w:val="1"/>
      <w:marLeft w:val="0"/>
      <w:marRight w:val="0"/>
      <w:marTop w:val="0"/>
      <w:marBottom w:val="0"/>
      <w:divBdr>
        <w:top w:val="none" w:sz="0" w:space="0" w:color="auto"/>
        <w:left w:val="none" w:sz="0" w:space="0" w:color="auto"/>
        <w:bottom w:val="none" w:sz="0" w:space="0" w:color="auto"/>
        <w:right w:val="none" w:sz="0" w:space="0" w:color="auto"/>
      </w:divBdr>
    </w:div>
    <w:div w:id="915478870">
      <w:bodyDiv w:val="1"/>
      <w:marLeft w:val="0"/>
      <w:marRight w:val="0"/>
      <w:marTop w:val="0"/>
      <w:marBottom w:val="0"/>
      <w:divBdr>
        <w:top w:val="none" w:sz="0" w:space="0" w:color="auto"/>
        <w:left w:val="none" w:sz="0" w:space="0" w:color="auto"/>
        <w:bottom w:val="none" w:sz="0" w:space="0" w:color="auto"/>
        <w:right w:val="none" w:sz="0" w:space="0" w:color="auto"/>
      </w:divBdr>
    </w:div>
    <w:div w:id="977681813">
      <w:bodyDiv w:val="1"/>
      <w:marLeft w:val="0"/>
      <w:marRight w:val="0"/>
      <w:marTop w:val="0"/>
      <w:marBottom w:val="0"/>
      <w:divBdr>
        <w:top w:val="none" w:sz="0" w:space="0" w:color="auto"/>
        <w:left w:val="none" w:sz="0" w:space="0" w:color="auto"/>
        <w:bottom w:val="none" w:sz="0" w:space="0" w:color="auto"/>
        <w:right w:val="none" w:sz="0" w:space="0" w:color="auto"/>
      </w:divBdr>
    </w:div>
    <w:div w:id="980234828">
      <w:bodyDiv w:val="1"/>
      <w:marLeft w:val="0"/>
      <w:marRight w:val="0"/>
      <w:marTop w:val="0"/>
      <w:marBottom w:val="0"/>
      <w:divBdr>
        <w:top w:val="none" w:sz="0" w:space="0" w:color="auto"/>
        <w:left w:val="none" w:sz="0" w:space="0" w:color="auto"/>
        <w:bottom w:val="none" w:sz="0" w:space="0" w:color="auto"/>
        <w:right w:val="none" w:sz="0" w:space="0" w:color="auto"/>
      </w:divBdr>
    </w:div>
    <w:div w:id="993724772">
      <w:bodyDiv w:val="1"/>
      <w:marLeft w:val="0"/>
      <w:marRight w:val="0"/>
      <w:marTop w:val="0"/>
      <w:marBottom w:val="0"/>
      <w:divBdr>
        <w:top w:val="none" w:sz="0" w:space="0" w:color="auto"/>
        <w:left w:val="none" w:sz="0" w:space="0" w:color="auto"/>
        <w:bottom w:val="none" w:sz="0" w:space="0" w:color="auto"/>
        <w:right w:val="none" w:sz="0" w:space="0" w:color="auto"/>
      </w:divBdr>
    </w:div>
    <w:div w:id="993799184">
      <w:bodyDiv w:val="1"/>
      <w:marLeft w:val="0"/>
      <w:marRight w:val="0"/>
      <w:marTop w:val="0"/>
      <w:marBottom w:val="0"/>
      <w:divBdr>
        <w:top w:val="none" w:sz="0" w:space="0" w:color="auto"/>
        <w:left w:val="none" w:sz="0" w:space="0" w:color="auto"/>
        <w:bottom w:val="none" w:sz="0" w:space="0" w:color="auto"/>
        <w:right w:val="none" w:sz="0" w:space="0" w:color="auto"/>
      </w:divBdr>
    </w:div>
    <w:div w:id="1016347003">
      <w:bodyDiv w:val="1"/>
      <w:marLeft w:val="0"/>
      <w:marRight w:val="0"/>
      <w:marTop w:val="0"/>
      <w:marBottom w:val="0"/>
      <w:divBdr>
        <w:top w:val="none" w:sz="0" w:space="0" w:color="auto"/>
        <w:left w:val="none" w:sz="0" w:space="0" w:color="auto"/>
        <w:bottom w:val="none" w:sz="0" w:space="0" w:color="auto"/>
        <w:right w:val="none" w:sz="0" w:space="0" w:color="auto"/>
      </w:divBdr>
    </w:div>
    <w:div w:id="1033732043">
      <w:bodyDiv w:val="1"/>
      <w:marLeft w:val="0"/>
      <w:marRight w:val="0"/>
      <w:marTop w:val="0"/>
      <w:marBottom w:val="0"/>
      <w:divBdr>
        <w:top w:val="none" w:sz="0" w:space="0" w:color="auto"/>
        <w:left w:val="none" w:sz="0" w:space="0" w:color="auto"/>
        <w:bottom w:val="none" w:sz="0" w:space="0" w:color="auto"/>
        <w:right w:val="none" w:sz="0" w:space="0" w:color="auto"/>
      </w:divBdr>
    </w:div>
    <w:div w:id="1037467082">
      <w:bodyDiv w:val="1"/>
      <w:marLeft w:val="0"/>
      <w:marRight w:val="0"/>
      <w:marTop w:val="0"/>
      <w:marBottom w:val="0"/>
      <w:divBdr>
        <w:top w:val="none" w:sz="0" w:space="0" w:color="auto"/>
        <w:left w:val="none" w:sz="0" w:space="0" w:color="auto"/>
        <w:bottom w:val="none" w:sz="0" w:space="0" w:color="auto"/>
        <w:right w:val="none" w:sz="0" w:space="0" w:color="auto"/>
      </w:divBdr>
    </w:div>
    <w:div w:id="1072898059">
      <w:bodyDiv w:val="1"/>
      <w:marLeft w:val="0"/>
      <w:marRight w:val="0"/>
      <w:marTop w:val="0"/>
      <w:marBottom w:val="0"/>
      <w:divBdr>
        <w:top w:val="none" w:sz="0" w:space="0" w:color="auto"/>
        <w:left w:val="none" w:sz="0" w:space="0" w:color="auto"/>
        <w:bottom w:val="none" w:sz="0" w:space="0" w:color="auto"/>
        <w:right w:val="none" w:sz="0" w:space="0" w:color="auto"/>
      </w:divBdr>
    </w:div>
    <w:div w:id="1092168563">
      <w:bodyDiv w:val="1"/>
      <w:marLeft w:val="0"/>
      <w:marRight w:val="0"/>
      <w:marTop w:val="0"/>
      <w:marBottom w:val="0"/>
      <w:divBdr>
        <w:top w:val="none" w:sz="0" w:space="0" w:color="auto"/>
        <w:left w:val="none" w:sz="0" w:space="0" w:color="auto"/>
        <w:bottom w:val="none" w:sz="0" w:space="0" w:color="auto"/>
        <w:right w:val="none" w:sz="0" w:space="0" w:color="auto"/>
      </w:divBdr>
    </w:div>
    <w:div w:id="1109423471">
      <w:bodyDiv w:val="1"/>
      <w:marLeft w:val="0"/>
      <w:marRight w:val="0"/>
      <w:marTop w:val="0"/>
      <w:marBottom w:val="0"/>
      <w:divBdr>
        <w:top w:val="none" w:sz="0" w:space="0" w:color="auto"/>
        <w:left w:val="none" w:sz="0" w:space="0" w:color="auto"/>
        <w:bottom w:val="none" w:sz="0" w:space="0" w:color="auto"/>
        <w:right w:val="none" w:sz="0" w:space="0" w:color="auto"/>
      </w:divBdr>
    </w:div>
    <w:div w:id="1126579288">
      <w:bodyDiv w:val="1"/>
      <w:marLeft w:val="0"/>
      <w:marRight w:val="0"/>
      <w:marTop w:val="0"/>
      <w:marBottom w:val="0"/>
      <w:divBdr>
        <w:top w:val="none" w:sz="0" w:space="0" w:color="auto"/>
        <w:left w:val="none" w:sz="0" w:space="0" w:color="auto"/>
        <w:bottom w:val="none" w:sz="0" w:space="0" w:color="auto"/>
        <w:right w:val="none" w:sz="0" w:space="0" w:color="auto"/>
      </w:divBdr>
    </w:div>
    <w:div w:id="1141583653">
      <w:bodyDiv w:val="1"/>
      <w:marLeft w:val="0"/>
      <w:marRight w:val="0"/>
      <w:marTop w:val="0"/>
      <w:marBottom w:val="0"/>
      <w:divBdr>
        <w:top w:val="none" w:sz="0" w:space="0" w:color="auto"/>
        <w:left w:val="none" w:sz="0" w:space="0" w:color="auto"/>
        <w:bottom w:val="none" w:sz="0" w:space="0" w:color="auto"/>
        <w:right w:val="none" w:sz="0" w:space="0" w:color="auto"/>
      </w:divBdr>
    </w:div>
    <w:div w:id="1183981921">
      <w:bodyDiv w:val="1"/>
      <w:marLeft w:val="0"/>
      <w:marRight w:val="0"/>
      <w:marTop w:val="0"/>
      <w:marBottom w:val="0"/>
      <w:divBdr>
        <w:top w:val="none" w:sz="0" w:space="0" w:color="auto"/>
        <w:left w:val="none" w:sz="0" w:space="0" w:color="auto"/>
        <w:bottom w:val="none" w:sz="0" w:space="0" w:color="auto"/>
        <w:right w:val="none" w:sz="0" w:space="0" w:color="auto"/>
      </w:divBdr>
    </w:div>
    <w:div w:id="1215048107">
      <w:bodyDiv w:val="1"/>
      <w:marLeft w:val="0"/>
      <w:marRight w:val="0"/>
      <w:marTop w:val="0"/>
      <w:marBottom w:val="0"/>
      <w:divBdr>
        <w:top w:val="none" w:sz="0" w:space="0" w:color="auto"/>
        <w:left w:val="none" w:sz="0" w:space="0" w:color="auto"/>
        <w:bottom w:val="none" w:sz="0" w:space="0" w:color="auto"/>
        <w:right w:val="none" w:sz="0" w:space="0" w:color="auto"/>
      </w:divBdr>
    </w:div>
    <w:div w:id="1237477259">
      <w:bodyDiv w:val="1"/>
      <w:marLeft w:val="0"/>
      <w:marRight w:val="0"/>
      <w:marTop w:val="0"/>
      <w:marBottom w:val="0"/>
      <w:divBdr>
        <w:top w:val="none" w:sz="0" w:space="0" w:color="auto"/>
        <w:left w:val="none" w:sz="0" w:space="0" w:color="auto"/>
        <w:bottom w:val="none" w:sz="0" w:space="0" w:color="auto"/>
        <w:right w:val="none" w:sz="0" w:space="0" w:color="auto"/>
      </w:divBdr>
    </w:div>
    <w:div w:id="1257471863">
      <w:bodyDiv w:val="1"/>
      <w:marLeft w:val="0"/>
      <w:marRight w:val="0"/>
      <w:marTop w:val="0"/>
      <w:marBottom w:val="0"/>
      <w:divBdr>
        <w:top w:val="none" w:sz="0" w:space="0" w:color="auto"/>
        <w:left w:val="none" w:sz="0" w:space="0" w:color="auto"/>
        <w:bottom w:val="none" w:sz="0" w:space="0" w:color="auto"/>
        <w:right w:val="none" w:sz="0" w:space="0" w:color="auto"/>
      </w:divBdr>
    </w:div>
    <w:div w:id="1269433636">
      <w:bodyDiv w:val="1"/>
      <w:marLeft w:val="0"/>
      <w:marRight w:val="0"/>
      <w:marTop w:val="0"/>
      <w:marBottom w:val="0"/>
      <w:divBdr>
        <w:top w:val="none" w:sz="0" w:space="0" w:color="auto"/>
        <w:left w:val="none" w:sz="0" w:space="0" w:color="auto"/>
        <w:bottom w:val="none" w:sz="0" w:space="0" w:color="auto"/>
        <w:right w:val="none" w:sz="0" w:space="0" w:color="auto"/>
      </w:divBdr>
    </w:div>
    <w:div w:id="1312753596">
      <w:bodyDiv w:val="1"/>
      <w:marLeft w:val="0"/>
      <w:marRight w:val="0"/>
      <w:marTop w:val="0"/>
      <w:marBottom w:val="0"/>
      <w:divBdr>
        <w:top w:val="none" w:sz="0" w:space="0" w:color="auto"/>
        <w:left w:val="none" w:sz="0" w:space="0" w:color="auto"/>
        <w:bottom w:val="none" w:sz="0" w:space="0" w:color="auto"/>
        <w:right w:val="none" w:sz="0" w:space="0" w:color="auto"/>
      </w:divBdr>
    </w:div>
    <w:div w:id="1317224199">
      <w:bodyDiv w:val="1"/>
      <w:marLeft w:val="0"/>
      <w:marRight w:val="0"/>
      <w:marTop w:val="0"/>
      <w:marBottom w:val="0"/>
      <w:divBdr>
        <w:top w:val="none" w:sz="0" w:space="0" w:color="auto"/>
        <w:left w:val="none" w:sz="0" w:space="0" w:color="auto"/>
        <w:bottom w:val="none" w:sz="0" w:space="0" w:color="auto"/>
        <w:right w:val="none" w:sz="0" w:space="0" w:color="auto"/>
      </w:divBdr>
    </w:div>
    <w:div w:id="1377464446">
      <w:bodyDiv w:val="1"/>
      <w:marLeft w:val="0"/>
      <w:marRight w:val="0"/>
      <w:marTop w:val="0"/>
      <w:marBottom w:val="0"/>
      <w:divBdr>
        <w:top w:val="none" w:sz="0" w:space="0" w:color="auto"/>
        <w:left w:val="none" w:sz="0" w:space="0" w:color="auto"/>
        <w:bottom w:val="none" w:sz="0" w:space="0" w:color="auto"/>
        <w:right w:val="none" w:sz="0" w:space="0" w:color="auto"/>
      </w:divBdr>
      <w:divsChild>
        <w:div w:id="427625279">
          <w:marLeft w:val="1411"/>
          <w:marRight w:val="0"/>
          <w:marTop w:val="0"/>
          <w:marBottom w:val="0"/>
          <w:divBdr>
            <w:top w:val="none" w:sz="0" w:space="0" w:color="auto"/>
            <w:left w:val="none" w:sz="0" w:space="0" w:color="auto"/>
            <w:bottom w:val="none" w:sz="0" w:space="0" w:color="auto"/>
            <w:right w:val="none" w:sz="0" w:space="0" w:color="auto"/>
          </w:divBdr>
        </w:div>
        <w:div w:id="568031031">
          <w:marLeft w:val="1411"/>
          <w:marRight w:val="0"/>
          <w:marTop w:val="0"/>
          <w:marBottom w:val="0"/>
          <w:divBdr>
            <w:top w:val="none" w:sz="0" w:space="0" w:color="auto"/>
            <w:left w:val="none" w:sz="0" w:space="0" w:color="auto"/>
            <w:bottom w:val="none" w:sz="0" w:space="0" w:color="auto"/>
            <w:right w:val="none" w:sz="0" w:space="0" w:color="auto"/>
          </w:divBdr>
        </w:div>
        <w:div w:id="1324119449">
          <w:marLeft w:val="1411"/>
          <w:marRight w:val="0"/>
          <w:marTop w:val="0"/>
          <w:marBottom w:val="0"/>
          <w:divBdr>
            <w:top w:val="none" w:sz="0" w:space="0" w:color="auto"/>
            <w:left w:val="none" w:sz="0" w:space="0" w:color="auto"/>
            <w:bottom w:val="none" w:sz="0" w:space="0" w:color="auto"/>
            <w:right w:val="none" w:sz="0" w:space="0" w:color="auto"/>
          </w:divBdr>
        </w:div>
        <w:div w:id="1373193343">
          <w:marLeft w:val="562"/>
          <w:marRight w:val="0"/>
          <w:marTop w:val="0"/>
          <w:marBottom w:val="0"/>
          <w:divBdr>
            <w:top w:val="none" w:sz="0" w:space="0" w:color="auto"/>
            <w:left w:val="none" w:sz="0" w:space="0" w:color="auto"/>
            <w:bottom w:val="none" w:sz="0" w:space="0" w:color="auto"/>
            <w:right w:val="none" w:sz="0" w:space="0" w:color="auto"/>
          </w:divBdr>
        </w:div>
        <w:div w:id="1684472485">
          <w:marLeft w:val="1411"/>
          <w:marRight w:val="0"/>
          <w:marTop w:val="0"/>
          <w:marBottom w:val="0"/>
          <w:divBdr>
            <w:top w:val="none" w:sz="0" w:space="0" w:color="auto"/>
            <w:left w:val="none" w:sz="0" w:space="0" w:color="auto"/>
            <w:bottom w:val="none" w:sz="0" w:space="0" w:color="auto"/>
            <w:right w:val="none" w:sz="0" w:space="0" w:color="auto"/>
          </w:divBdr>
        </w:div>
        <w:div w:id="1732801658">
          <w:marLeft w:val="1411"/>
          <w:marRight w:val="0"/>
          <w:marTop w:val="0"/>
          <w:marBottom w:val="0"/>
          <w:divBdr>
            <w:top w:val="none" w:sz="0" w:space="0" w:color="auto"/>
            <w:left w:val="none" w:sz="0" w:space="0" w:color="auto"/>
            <w:bottom w:val="none" w:sz="0" w:space="0" w:color="auto"/>
            <w:right w:val="none" w:sz="0" w:space="0" w:color="auto"/>
          </w:divBdr>
        </w:div>
        <w:div w:id="1783454252">
          <w:marLeft w:val="1411"/>
          <w:marRight w:val="0"/>
          <w:marTop w:val="0"/>
          <w:marBottom w:val="0"/>
          <w:divBdr>
            <w:top w:val="none" w:sz="0" w:space="0" w:color="auto"/>
            <w:left w:val="none" w:sz="0" w:space="0" w:color="auto"/>
            <w:bottom w:val="none" w:sz="0" w:space="0" w:color="auto"/>
            <w:right w:val="none" w:sz="0" w:space="0" w:color="auto"/>
          </w:divBdr>
        </w:div>
        <w:div w:id="2022313867">
          <w:marLeft w:val="562"/>
          <w:marRight w:val="0"/>
          <w:marTop w:val="0"/>
          <w:marBottom w:val="0"/>
          <w:divBdr>
            <w:top w:val="none" w:sz="0" w:space="0" w:color="auto"/>
            <w:left w:val="none" w:sz="0" w:space="0" w:color="auto"/>
            <w:bottom w:val="none" w:sz="0" w:space="0" w:color="auto"/>
            <w:right w:val="none" w:sz="0" w:space="0" w:color="auto"/>
          </w:divBdr>
        </w:div>
      </w:divsChild>
    </w:div>
    <w:div w:id="1392388646">
      <w:bodyDiv w:val="1"/>
      <w:marLeft w:val="0"/>
      <w:marRight w:val="0"/>
      <w:marTop w:val="0"/>
      <w:marBottom w:val="0"/>
      <w:divBdr>
        <w:top w:val="none" w:sz="0" w:space="0" w:color="auto"/>
        <w:left w:val="none" w:sz="0" w:space="0" w:color="auto"/>
        <w:bottom w:val="none" w:sz="0" w:space="0" w:color="auto"/>
        <w:right w:val="none" w:sz="0" w:space="0" w:color="auto"/>
      </w:divBdr>
    </w:div>
    <w:div w:id="1394700840">
      <w:bodyDiv w:val="1"/>
      <w:marLeft w:val="0"/>
      <w:marRight w:val="0"/>
      <w:marTop w:val="0"/>
      <w:marBottom w:val="0"/>
      <w:divBdr>
        <w:top w:val="none" w:sz="0" w:space="0" w:color="auto"/>
        <w:left w:val="none" w:sz="0" w:space="0" w:color="auto"/>
        <w:bottom w:val="none" w:sz="0" w:space="0" w:color="auto"/>
        <w:right w:val="none" w:sz="0" w:space="0" w:color="auto"/>
      </w:divBdr>
    </w:div>
    <w:div w:id="1490948863">
      <w:bodyDiv w:val="1"/>
      <w:marLeft w:val="0"/>
      <w:marRight w:val="0"/>
      <w:marTop w:val="0"/>
      <w:marBottom w:val="0"/>
      <w:divBdr>
        <w:top w:val="none" w:sz="0" w:space="0" w:color="auto"/>
        <w:left w:val="none" w:sz="0" w:space="0" w:color="auto"/>
        <w:bottom w:val="none" w:sz="0" w:space="0" w:color="auto"/>
        <w:right w:val="none" w:sz="0" w:space="0" w:color="auto"/>
      </w:divBdr>
    </w:div>
    <w:div w:id="1498692600">
      <w:bodyDiv w:val="1"/>
      <w:marLeft w:val="0"/>
      <w:marRight w:val="0"/>
      <w:marTop w:val="0"/>
      <w:marBottom w:val="0"/>
      <w:divBdr>
        <w:top w:val="none" w:sz="0" w:space="0" w:color="auto"/>
        <w:left w:val="none" w:sz="0" w:space="0" w:color="auto"/>
        <w:bottom w:val="none" w:sz="0" w:space="0" w:color="auto"/>
        <w:right w:val="none" w:sz="0" w:space="0" w:color="auto"/>
      </w:divBdr>
    </w:div>
    <w:div w:id="1528178111">
      <w:bodyDiv w:val="1"/>
      <w:marLeft w:val="0"/>
      <w:marRight w:val="0"/>
      <w:marTop w:val="0"/>
      <w:marBottom w:val="0"/>
      <w:divBdr>
        <w:top w:val="none" w:sz="0" w:space="0" w:color="auto"/>
        <w:left w:val="none" w:sz="0" w:space="0" w:color="auto"/>
        <w:bottom w:val="none" w:sz="0" w:space="0" w:color="auto"/>
        <w:right w:val="none" w:sz="0" w:space="0" w:color="auto"/>
      </w:divBdr>
    </w:div>
    <w:div w:id="1551457365">
      <w:bodyDiv w:val="1"/>
      <w:marLeft w:val="0"/>
      <w:marRight w:val="0"/>
      <w:marTop w:val="0"/>
      <w:marBottom w:val="0"/>
      <w:divBdr>
        <w:top w:val="none" w:sz="0" w:space="0" w:color="auto"/>
        <w:left w:val="none" w:sz="0" w:space="0" w:color="auto"/>
        <w:bottom w:val="none" w:sz="0" w:space="0" w:color="auto"/>
        <w:right w:val="none" w:sz="0" w:space="0" w:color="auto"/>
      </w:divBdr>
    </w:div>
    <w:div w:id="1562866229">
      <w:bodyDiv w:val="1"/>
      <w:marLeft w:val="0"/>
      <w:marRight w:val="0"/>
      <w:marTop w:val="0"/>
      <w:marBottom w:val="0"/>
      <w:divBdr>
        <w:top w:val="none" w:sz="0" w:space="0" w:color="auto"/>
        <w:left w:val="none" w:sz="0" w:space="0" w:color="auto"/>
        <w:bottom w:val="none" w:sz="0" w:space="0" w:color="auto"/>
        <w:right w:val="none" w:sz="0" w:space="0" w:color="auto"/>
      </w:divBdr>
      <w:divsChild>
        <w:div w:id="842008112">
          <w:marLeft w:val="432"/>
          <w:marRight w:val="0"/>
          <w:marTop w:val="0"/>
          <w:marBottom w:val="0"/>
          <w:divBdr>
            <w:top w:val="none" w:sz="0" w:space="0" w:color="auto"/>
            <w:left w:val="none" w:sz="0" w:space="0" w:color="auto"/>
            <w:bottom w:val="none" w:sz="0" w:space="0" w:color="auto"/>
            <w:right w:val="none" w:sz="0" w:space="0" w:color="auto"/>
          </w:divBdr>
        </w:div>
        <w:div w:id="960261310">
          <w:marLeft w:val="432"/>
          <w:marRight w:val="0"/>
          <w:marTop w:val="0"/>
          <w:marBottom w:val="0"/>
          <w:divBdr>
            <w:top w:val="none" w:sz="0" w:space="0" w:color="auto"/>
            <w:left w:val="none" w:sz="0" w:space="0" w:color="auto"/>
            <w:bottom w:val="none" w:sz="0" w:space="0" w:color="auto"/>
            <w:right w:val="none" w:sz="0" w:space="0" w:color="auto"/>
          </w:divBdr>
        </w:div>
        <w:div w:id="1004744843">
          <w:marLeft w:val="432"/>
          <w:marRight w:val="0"/>
          <w:marTop w:val="0"/>
          <w:marBottom w:val="0"/>
          <w:divBdr>
            <w:top w:val="none" w:sz="0" w:space="0" w:color="auto"/>
            <w:left w:val="none" w:sz="0" w:space="0" w:color="auto"/>
            <w:bottom w:val="none" w:sz="0" w:space="0" w:color="auto"/>
            <w:right w:val="none" w:sz="0" w:space="0" w:color="auto"/>
          </w:divBdr>
        </w:div>
        <w:div w:id="1449617494">
          <w:marLeft w:val="432"/>
          <w:marRight w:val="0"/>
          <w:marTop w:val="0"/>
          <w:marBottom w:val="0"/>
          <w:divBdr>
            <w:top w:val="none" w:sz="0" w:space="0" w:color="auto"/>
            <w:left w:val="none" w:sz="0" w:space="0" w:color="auto"/>
            <w:bottom w:val="none" w:sz="0" w:space="0" w:color="auto"/>
            <w:right w:val="none" w:sz="0" w:space="0" w:color="auto"/>
          </w:divBdr>
        </w:div>
        <w:div w:id="1642155400">
          <w:marLeft w:val="432"/>
          <w:marRight w:val="0"/>
          <w:marTop w:val="0"/>
          <w:marBottom w:val="0"/>
          <w:divBdr>
            <w:top w:val="none" w:sz="0" w:space="0" w:color="auto"/>
            <w:left w:val="none" w:sz="0" w:space="0" w:color="auto"/>
            <w:bottom w:val="none" w:sz="0" w:space="0" w:color="auto"/>
            <w:right w:val="none" w:sz="0" w:space="0" w:color="auto"/>
          </w:divBdr>
        </w:div>
      </w:divsChild>
    </w:div>
    <w:div w:id="1582059570">
      <w:bodyDiv w:val="1"/>
      <w:marLeft w:val="0"/>
      <w:marRight w:val="0"/>
      <w:marTop w:val="0"/>
      <w:marBottom w:val="0"/>
      <w:divBdr>
        <w:top w:val="none" w:sz="0" w:space="0" w:color="auto"/>
        <w:left w:val="none" w:sz="0" w:space="0" w:color="auto"/>
        <w:bottom w:val="none" w:sz="0" w:space="0" w:color="auto"/>
        <w:right w:val="none" w:sz="0" w:space="0" w:color="auto"/>
      </w:divBdr>
    </w:div>
    <w:div w:id="1585410920">
      <w:bodyDiv w:val="1"/>
      <w:marLeft w:val="0"/>
      <w:marRight w:val="0"/>
      <w:marTop w:val="0"/>
      <w:marBottom w:val="0"/>
      <w:divBdr>
        <w:top w:val="none" w:sz="0" w:space="0" w:color="auto"/>
        <w:left w:val="none" w:sz="0" w:space="0" w:color="auto"/>
        <w:bottom w:val="none" w:sz="0" w:space="0" w:color="auto"/>
        <w:right w:val="none" w:sz="0" w:space="0" w:color="auto"/>
      </w:divBdr>
    </w:div>
    <w:div w:id="1592086396">
      <w:bodyDiv w:val="1"/>
      <w:marLeft w:val="0"/>
      <w:marRight w:val="0"/>
      <w:marTop w:val="0"/>
      <w:marBottom w:val="0"/>
      <w:divBdr>
        <w:top w:val="none" w:sz="0" w:space="0" w:color="auto"/>
        <w:left w:val="none" w:sz="0" w:space="0" w:color="auto"/>
        <w:bottom w:val="none" w:sz="0" w:space="0" w:color="auto"/>
        <w:right w:val="none" w:sz="0" w:space="0" w:color="auto"/>
      </w:divBdr>
    </w:div>
    <w:div w:id="1625191141">
      <w:bodyDiv w:val="1"/>
      <w:marLeft w:val="0"/>
      <w:marRight w:val="0"/>
      <w:marTop w:val="0"/>
      <w:marBottom w:val="0"/>
      <w:divBdr>
        <w:top w:val="none" w:sz="0" w:space="0" w:color="auto"/>
        <w:left w:val="none" w:sz="0" w:space="0" w:color="auto"/>
        <w:bottom w:val="none" w:sz="0" w:space="0" w:color="auto"/>
        <w:right w:val="none" w:sz="0" w:space="0" w:color="auto"/>
      </w:divBdr>
    </w:div>
    <w:div w:id="1629509705">
      <w:bodyDiv w:val="1"/>
      <w:marLeft w:val="0"/>
      <w:marRight w:val="0"/>
      <w:marTop w:val="0"/>
      <w:marBottom w:val="0"/>
      <w:divBdr>
        <w:top w:val="none" w:sz="0" w:space="0" w:color="auto"/>
        <w:left w:val="none" w:sz="0" w:space="0" w:color="auto"/>
        <w:bottom w:val="none" w:sz="0" w:space="0" w:color="auto"/>
        <w:right w:val="none" w:sz="0" w:space="0" w:color="auto"/>
      </w:divBdr>
    </w:div>
    <w:div w:id="1637837175">
      <w:bodyDiv w:val="1"/>
      <w:marLeft w:val="0"/>
      <w:marRight w:val="0"/>
      <w:marTop w:val="0"/>
      <w:marBottom w:val="0"/>
      <w:divBdr>
        <w:top w:val="none" w:sz="0" w:space="0" w:color="auto"/>
        <w:left w:val="none" w:sz="0" w:space="0" w:color="auto"/>
        <w:bottom w:val="none" w:sz="0" w:space="0" w:color="auto"/>
        <w:right w:val="none" w:sz="0" w:space="0" w:color="auto"/>
      </w:divBdr>
    </w:div>
    <w:div w:id="1706060909">
      <w:bodyDiv w:val="1"/>
      <w:marLeft w:val="0"/>
      <w:marRight w:val="0"/>
      <w:marTop w:val="0"/>
      <w:marBottom w:val="0"/>
      <w:divBdr>
        <w:top w:val="none" w:sz="0" w:space="0" w:color="auto"/>
        <w:left w:val="none" w:sz="0" w:space="0" w:color="auto"/>
        <w:bottom w:val="none" w:sz="0" w:space="0" w:color="auto"/>
        <w:right w:val="none" w:sz="0" w:space="0" w:color="auto"/>
      </w:divBdr>
    </w:div>
    <w:div w:id="1723291854">
      <w:bodyDiv w:val="1"/>
      <w:marLeft w:val="0"/>
      <w:marRight w:val="0"/>
      <w:marTop w:val="0"/>
      <w:marBottom w:val="0"/>
      <w:divBdr>
        <w:top w:val="none" w:sz="0" w:space="0" w:color="auto"/>
        <w:left w:val="none" w:sz="0" w:space="0" w:color="auto"/>
        <w:bottom w:val="none" w:sz="0" w:space="0" w:color="auto"/>
        <w:right w:val="none" w:sz="0" w:space="0" w:color="auto"/>
      </w:divBdr>
    </w:div>
    <w:div w:id="1745834616">
      <w:bodyDiv w:val="1"/>
      <w:marLeft w:val="0"/>
      <w:marRight w:val="0"/>
      <w:marTop w:val="0"/>
      <w:marBottom w:val="0"/>
      <w:divBdr>
        <w:top w:val="none" w:sz="0" w:space="0" w:color="auto"/>
        <w:left w:val="none" w:sz="0" w:space="0" w:color="auto"/>
        <w:bottom w:val="none" w:sz="0" w:space="0" w:color="auto"/>
        <w:right w:val="none" w:sz="0" w:space="0" w:color="auto"/>
      </w:divBdr>
    </w:div>
    <w:div w:id="1750349545">
      <w:bodyDiv w:val="1"/>
      <w:marLeft w:val="0"/>
      <w:marRight w:val="0"/>
      <w:marTop w:val="0"/>
      <w:marBottom w:val="0"/>
      <w:divBdr>
        <w:top w:val="none" w:sz="0" w:space="0" w:color="auto"/>
        <w:left w:val="none" w:sz="0" w:space="0" w:color="auto"/>
        <w:bottom w:val="none" w:sz="0" w:space="0" w:color="auto"/>
        <w:right w:val="none" w:sz="0" w:space="0" w:color="auto"/>
      </w:divBdr>
    </w:div>
    <w:div w:id="1783916195">
      <w:bodyDiv w:val="1"/>
      <w:marLeft w:val="0"/>
      <w:marRight w:val="0"/>
      <w:marTop w:val="0"/>
      <w:marBottom w:val="0"/>
      <w:divBdr>
        <w:top w:val="none" w:sz="0" w:space="0" w:color="auto"/>
        <w:left w:val="none" w:sz="0" w:space="0" w:color="auto"/>
        <w:bottom w:val="none" w:sz="0" w:space="0" w:color="auto"/>
        <w:right w:val="none" w:sz="0" w:space="0" w:color="auto"/>
      </w:divBdr>
    </w:div>
    <w:div w:id="1845120844">
      <w:bodyDiv w:val="1"/>
      <w:marLeft w:val="0"/>
      <w:marRight w:val="0"/>
      <w:marTop w:val="0"/>
      <w:marBottom w:val="0"/>
      <w:divBdr>
        <w:top w:val="none" w:sz="0" w:space="0" w:color="auto"/>
        <w:left w:val="none" w:sz="0" w:space="0" w:color="auto"/>
        <w:bottom w:val="none" w:sz="0" w:space="0" w:color="auto"/>
        <w:right w:val="none" w:sz="0" w:space="0" w:color="auto"/>
      </w:divBdr>
    </w:div>
    <w:div w:id="1853376834">
      <w:bodyDiv w:val="1"/>
      <w:marLeft w:val="0"/>
      <w:marRight w:val="0"/>
      <w:marTop w:val="0"/>
      <w:marBottom w:val="0"/>
      <w:divBdr>
        <w:top w:val="none" w:sz="0" w:space="0" w:color="auto"/>
        <w:left w:val="none" w:sz="0" w:space="0" w:color="auto"/>
        <w:bottom w:val="none" w:sz="0" w:space="0" w:color="auto"/>
        <w:right w:val="none" w:sz="0" w:space="0" w:color="auto"/>
      </w:divBdr>
    </w:div>
    <w:div w:id="1865560112">
      <w:bodyDiv w:val="1"/>
      <w:marLeft w:val="0"/>
      <w:marRight w:val="0"/>
      <w:marTop w:val="0"/>
      <w:marBottom w:val="0"/>
      <w:divBdr>
        <w:top w:val="none" w:sz="0" w:space="0" w:color="auto"/>
        <w:left w:val="none" w:sz="0" w:space="0" w:color="auto"/>
        <w:bottom w:val="none" w:sz="0" w:space="0" w:color="auto"/>
        <w:right w:val="none" w:sz="0" w:space="0" w:color="auto"/>
      </w:divBdr>
    </w:div>
    <w:div w:id="1926306342">
      <w:bodyDiv w:val="1"/>
      <w:marLeft w:val="0"/>
      <w:marRight w:val="0"/>
      <w:marTop w:val="0"/>
      <w:marBottom w:val="0"/>
      <w:divBdr>
        <w:top w:val="none" w:sz="0" w:space="0" w:color="auto"/>
        <w:left w:val="none" w:sz="0" w:space="0" w:color="auto"/>
        <w:bottom w:val="none" w:sz="0" w:space="0" w:color="auto"/>
        <w:right w:val="none" w:sz="0" w:space="0" w:color="auto"/>
      </w:divBdr>
      <w:divsChild>
        <w:div w:id="706683369">
          <w:marLeft w:val="446"/>
          <w:marRight w:val="0"/>
          <w:marTop w:val="0"/>
          <w:marBottom w:val="0"/>
          <w:divBdr>
            <w:top w:val="none" w:sz="0" w:space="0" w:color="auto"/>
            <w:left w:val="none" w:sz="0" w:space="0" w:color="auto"/>
            <w:bottom w:val="none" w:sz="0" w:space="0" w:color="auto"/>
            <w:right w:val="none" w:sz="0" w:space="0" w:color="auto"/>
          </w:divBdr>
        </w:div>
        <w:div w:id="1413968053">
          <w:marLeft w:val="446"/>
          <w:marRight w:val="0"/>
          <w:marTop w:val="0"/>
          <w:marBottom w:val="0"/>
          <w:divBdr>
            <w:top w:val="none" w:sz="0" w:space="0" w:color="auto"/>
            <w:left w:val="none" w:sz="0" w:space="0" w:color="auto"/>
            <w:bottom w:val="none" w:sz="0" w:space="0" w:color="auto"/>
            <w:right w:val="none" w:sz="0" w:space="0" w:color="auto"/>
          </w:divBdr>
        </w:div>
        <w:div w:id="1800881046">
          <w:marLeft w:val="446"/>
          <w:marRight w:val="0"/>
          <w:marTop w:val="0"/>
          <w:marBottom w:val="0"/>
          <w:divBdr>
            <w:top w:val="none" w:sz="0" w:space="0" w:color="auto"/>
            <w:left w:val="none" w:sz="0" w:space="0" w:color="auto"/>
            <w:bottom w:val="none" w:sz="0" w:space="0" w:color="auto"/>
            <w:right w:val="none" w:sz="0" w:space="0" w:color="auto"/>
          </w:divBdr>
        </w:div>
      </w:divsChild>
    </w:div>
    <w:div w:id="1926647794">
      <w:bodyDiv w:val="1"/>
      <w:marLeft w:val="0"/>
      <w:marRight w:val="0"/>
      <w:marTop w:val="0"/>
      <w:marBottom w:val="0"/>
      <w:divBdr>
        <w:top w:val="none" w:sz="0" w:space="0" w:color="auto"/>
        <w:left w:val="none" w:sz="0" w:space="0" w:color="auto"/>
        <w:bottom w:val="none" w:sz="0" w:space="0" w:color="auto"/>
        <w:right w:val="none" w:sz="0" w:space="0" w:color="auto"/>
      </w:divBdr>
    </w:div>
    <w:div w:id="1927500358">
      <w:bodyDiv w:val="1"/>
      <w:marLeft w:val="0"/>
      <w:marRight w:val="0"/>
      <w:marTop w:val="0"/>
      <w:marBottom w:val="0"/>
      <w:divBdr>
        <w:top w:val="none" w:sz="0" w:space="0" w:color="auto"/>
        <w:left w:val="none" w:sz="0" w:space="0" w:color="auto"/>
        <w:bottom w:val="none" w:sz="0" w:space="0" w:color="auto"/>
        <w:right w:val="none" w:sz="0" w:space="0" w:color="auto"/>
      </w:divBdr>
      <w:divsChild>
        <w:div w:id="111636357">
          <w:marLeft w:val="446"/>
          <w:marRight w:val="0"/>
          <w:marTop w:val="0"/>
          <w:marBottom w:val="0"/>
          <w:divBdr>
            <w:top w:val="none" w:sz="0" w:space="0" w:color="auto"/>
            <w:left w:val="none" w:sz="0" w:space="0" w:color="auto"/>
            <w:bottom w:val="none" w:sz="0" w:space="0" w:color="auto"/>
            <w:right w:val="none" w:sz="0" w:space="0" w:color="auto"/>
          </w:divBdr>
        </w:div>
        <w:div w:id="265116485">
          <w:marLeft w:val="446"/>
          <w:marRight w:val="0"/>
          <w:marTop w:val="0"/>
          <w:marBottom w:val="0"/>
          <w:divBdr>
            <w:top w:val="none" w:sz="0" w:space="0" w:color="auto"/>
            <w:left w:val="none" w:sz="0" w:space="0" w:color="auto"/>
            <w:bottom w:val="none" w:sz="0" w:space="0" w:color="auto"/>
            <w:right w:val="none" w:sz="0" w:space="0" w:color="auto"/>
          </w:divBdr>
        </w:div>
        <w:div w:id="1220169965">
          <w:marLeft w:val="446"/>
          <w:marRight w:val="0"/>
          <w:marTop w:val="0"/>
          <w:marBottom w:val="0"/>
          <w:divBdr>
            <w:top w:val="none" w:sz="0" w:space="0" w:color="auto"/>
            <w:left w:val="none" w:sz="0" w:space="0" w:color="auto"/>
            <w:bottom w:val="none" w:sz="0" w:space="0" w:color="auto"/>
            <w:right w:val="none" w:sz="0" w:space="0" w:color="auto"/>
          </w:divBdr>
        </w:div>
        <w:div w:id="1231111033">
          <w:marLeft w:val="446"/>
          <w:marRight w:val="0"/>
          <w:marTop w:val="0"/>
          <w:marBottom w:val="0"/>
          <w:divBdr>
            <w:top w:val="none" w:sz="0" w:space="0" w:color="auto"/>
            <w:left w:val="none" w:sz="0" w:space="0" w:color="auto"/>
            <w:bottom w:val="none" w:sz="0" w:space="0" w:color="auto"/>
            <w:right w:val="none" w:sz="0" w:space="0" w:color="auto"/>
          </w:divBdr>
        </w:div>
        <w:div w:id="1743327666">
          <w:marLeft w:val="446"/>
          <w:marRight w:val="0"/>
          <w:marTop w:val="0"/>
          <w:marBottom w:val="0"/>
          <w:divBdr>
            <w:top w:val="none" w:sz="0" w:space="0" w:color="auto"/>
            <w:left w:val="none" w:sz="0" w:space="0" w:color="auto"/>
            <w:bottom w:val="none" w:sz="0" w:space="0" w:color="auto"/>
            <w:right w:val="none" w:sz="0" w:space="0" w:color="auto"/>
          </w:divBdr>
        </w:div>
      </w:divsChild>
    </w:div>
    <w:div w:id="1931769293">
      <w:bodyDiv w:val="1"/>
      <w:marLeft w:val="0"/>
      <w:marRight w:val="0"/>
      <w:marTop w:val="0"/>
      <w:marBottom w:val="0"/>
      <w:divBdr>
        <w:top w:val="none" w:sz="0" w:space="0" w:color="auto"/>
        <w:left w:val="none" w:sz="0" w:space="0" w:color="auto"/>
        <w:bottom w:val="none" w:sz="0" w:space="0" w:color="auto"/>
        <w:right w:val="none" w:sz="0" w:space="0" w:color="auto"/>
      </w:divBdr>
    </w:div>
    <w:div w:id="1940601479">
      <w:bodyDiv w:val="1"/>
      <w:marLeft w:val="0"/>
      <w:marRight w:val="0"/>
      <w:marTop w:val="0"/>
      <w:marBottom w:val="0"/>
      <w:divBdr>
        <w:top w:val="none" w:sz="0" w:space="0" w:color="auto"/>
        <w:left w:val="none" w:sz="0" w:space="0" w:color="auto"/>
        <w:bottom w:val="none" w:sz="0" w:space="0" w:color="auto"/>
        <w:right w:val="none" w:sz="0" w:space="0" w:color="auto"/>
      </w:divBdr>
      <w:divsChild>
        <w:div w:id="393697833">
          <w:marLeft w:val="850"/>
          <w:marRight w:val="0"/>
          <w:marTop w:val="96"/>
          <w:marBottom w:val="0"/>
          <w:divBdr>
            <w:top w:val="none" w:sz="0" w:space="0" w:color="auto"/>
            <w:left w:val="none" w:sz="0" w:space="0" w:color="auto"/>
            <w:bottom w:val="none" w:sz="0" w:space="0" w:color="auto"/>
            <w:right w:val="none" w:sz="0" w:space="0" w:color="auto"/>
          </w:divBdr>
        </w:div>
        <w:div w:id="996568741">
          <w:marLeft w:val="850"/>
          <w:marRight w:val="0"/>
          <w:marTop w:val="96"/>
          <w:marBottom w:val="0"/>
          <w:divBdr>
            <w:top w:val="none" w:sz="0" w:space="0" w:color="auto"/>
            <w:left w:val="none" w:sz="0" w:space="0" w:color="auto"/>
            <w:bottom w:val="none" w:sz="0" w:space="0" w:color="auto"/>
            <w:right w:val="none" w:sz="0" w:space="0" w:color="auto"/>
          </w:divBdr>
        </w:div>
        <w:div w:id="1347247584">
          <w:marLeft w:val="850"/>
          <w:marRight w:val="0"/>
          <w:marTop w:val="96"/>
          <w:marBottom w:val="0"/>
          <w:divBdr>
            <w:top w:val="none" w:sz="0" w:space="0" w:color="auto"/>
            <w:left w:val="none" w:sz="0" w:space="0" w:color="auto"/>
            <w:bottom w:val="none" w:sz="0" w:space="0" w:color="auto"/>
            <w:right w:val="none" w:sz="0" w:space="0" w:color="auto"/>
          </w:divBdr>
        </w:div>
        <w:div w:id="1514804994">
          <w:marLeft w:val="850"/>
          <w:marRight w:val="0"/>
          <w:marTop w:val="96"/>
          <w:marBottom w:val="0"/>
          <w:divBdr>
            <w:top w:val="none" w:sz="0" w:space="0" w:color="auto"/>
            <w:left w:val="none" w:sz="0" w:space="0" w:color="auto"/>
            <w:bottom w:val="none" w:sz="0" w:space="0" w:color="auto"/>
            <w:right w:val="none" w:sz="0" w:space="0" w:color="auto"/>
          </w:divBdr>
        </w:div>
        <w:div w:id="2027633872">
          <w:marLeft w:val="850"/>
          <w:marRight w:val="0"/>
          <w:marTop w:val="96"/>
          <w:marBottom w:val="0"/>
          <w:divBdr>
            <w:top w:val="none" w:sz="0" w:space="0" w:color="auto"/>
            <w:left w:val="none" w:sz="0" w:space="0" w:color="auto"/>
            <w:bottom w:val="none" w:sz="0" w:space="0" w:color="auto"/>
            <w:right w:val="none" w:sz="0" w:space="0" w:color="auto"/>
          </w:divBdr>
        </w:div>
      </w:divsChild>
    </w:div>
    <w:div w:id="1942107982">
      <w:bodyDiv w:val="1"/>
      <w:marLeft w:val="0"/>
      <w:marRight w:val="0"/>
      <w:marTop w:val="0"/>
      <w:marBottom w:val="0"/>
      <w:divBdr>
        <w:top w:val="none" w:sz="0" w:space="0" w:color="auto"/>
        <w:left w:val="none" w:sz="0" w:space="0" w:color="auto"/>
        <w:bottom w:val="none" w:sz="0" w:space="0" w:color="auto"/>
        <w:right w:val="none" w:sz="0" w:space="0" w:color="auto"/>
      </w:divBdr>
    </w:div>
    <w:div w:id="2052849951">
      <w:bodyDiv w:val="1"/>
      <w:marLeft w:val="0"/>
      <w:marRight w:val="0"/>
      <w:marTop w:val="0"/>
      <w:marBottom w:val="0"/>
      <w:divBdr>
        <w:top w:val="none" w:sz="0" w:space="0" w:color="auto"/>
        <w:left w:val="none" w:sz="0" w:space="0" w:color="auto"/>
        <w:bottom w:val="none" w:sz="0" w:space="0" w:color="auto"/>
        <w:right w:val="none" w:sz="0" w:space="0" w:color="auto"/>
      </w:divBdr>
    </w:div>
    <w:div w:id="2073304315">
      <w:bodyDiv w:val="1"/>
      <w:marLeft w:val="0"/>
      <w:marRight w:val="0"/>
      <w:marTop w:val="0"/>
      <w:marBottom w:val="0"/>
      <w:divBdr>
        <w:top w:val="none" w:sz="0" w:space="0" w:color="auto"/>
        <w:left w:val="none" w:sz="0" w:space="0" w:color="auto"/>
        <w:bottom w:val="none" w:sz="0" w:space="0" w:color="auto"/>
        <w:right w:val="none" w:sz="0" w:space="0" w:color="auto"/>
      </w:divBdr>
    </w:div>
    <w:div w:id="209966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4.xml"/><Relationship Id="rId18" Type="http://schemas.openxmlformats.org/officeDocument/2006/relationships/diagramData" Target="diagrams/data1.xml"/><Relationship Id="rId26" Type="http://schemas.openxmlformats.org/officeDocument/2006/relationships/chart" Target="charts/chart11.xml"/><Relationship Id="rId39" Type="http://schemas.openxmlformats.org/officeDocument/2006/relationships/image" Target="media/image8.emf"/><Relationship Id="rId3" Type="http://schemas.openxmlformats.org/officeDocument/2006/relationships/styles" Target="styles.xml"/><Relationship Id="rId21" Type="http://schemas.openxmlformats.org/officeDocument/2006/relationships/diagramColors" Target="diagrams/colors1.xml"/><Relationship Id="rId34" Type="http://schemas.openxmlformats.org/officeDocument/2006/relationships/image" Target="media/image3.emf"/><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image" Target="media/image2.emf"/><Relationship Id="rId25" Type="http://schemas.openxmlformats.org/officeDocument/2006/relationships/chart" Target="charts/chart10.xml"/><Relationship Id="rId33" Type="http://schemas.openxmlformats.org/officeDocument/2006/relationships/chart" Target="charts/chart18.xml"/><Relationship Id="rId38"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diagramQuickStyle" Target="diagrams/quickStyle1.xml"/><Relationship Id="rId29" Type="http://schemas.openxmlformats.org/officeDocument/2006/relationships/chart" Target="charts/chart14.xml"/><Relationship Id="rId41"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chart" Target="charts/chart9.xml"/><Relationship Id="rId32" Type="http://schemas.openxmlformats.org/officeDocument/2006/relationships/chart" Target="charts/chart17.xml"/><Relationship Id="rId37" Type="http://schemas.openxmlformats.org/officeDocument/2006/relationships/image" Target="media/image6.emf"/><Relationship Id="rId40" Type="http://schemas.openxmlformats.org/officeDocument/2006/relationships/image" Target="media/image9.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6.xml"/><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image" Target="media/image5.emf"/><Relationship Id="rId10" Type="http://schemas.openxmlformats.org/officeDocument/2006/relationships/chart" Target="charts/chart1.xml"/><Relationship Id="rId19" Type="http://schemas.openxmlformats.org/officeDocument/2006/relationships/diagramLayout" Target="diagrams/layout1.xml"/><Relationship Id="rId31" Type="http://schemas.openxmlformats.org/officeDocument/2006/relationships/chart" Target="charts/chart16.xm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microsoft.com/office/2007/relationships/diagramDrawing" Target="diagrams/drawing1.xml"/><Relationship Id="rId27" Type="http://schemas.openxmlformats.org/officeDocument/2006/relationships/chart" Target="charts/chart12.xml"/><Relationship Id="rId30" Type="http://schemas.openxmlformats.org/officeDocument/2006/relationships/chart" Target="charts/chart15.xml"/><Relationship Id="rId35" Type="http://schemas.openxmlformats.org/officeDocument/2006/relationships/image" Target="media/image4.emf"/><Relationship Id="rId43"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1" Type="http://schemas.openxmlformats.org/officeDocument/2006/relationships/oleObject" Target="file:///C:\Users\Public\Documents\Jos&#233;%20Antonio%20Men&#233;ndez%20Letona\Documents\Documents%20(3)\2021\Excel\Varios\Cuadros%20para%20Informe%20de%20Fin%20de%20A&#241;o%202020..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GT"/>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599374356643452E-2"/>
          <c:y val="2.2625965532175621E-2"/>
          <c:w val="0.8945015704190783"/>
          <c:h val="0.86027299851593619"/>
        </c:manualLayout>
      </c:layout>
      <c:barChart>
        <c:barDir val="col"/>
        <c:grouping val="stacked"/>
        <c:varyColors val="0"/>
        <c:ser>
          <c:idx val="0"/>
          <c:order val="0"/>
          <c:spPr>
            <a:solidFill>
              <a:schemeClr val="accent1"/>
            </a:solidFill>
            <a:ln w="12700">
              <a:noFill/>
            </a:ln>
            <a:effectLst>
              <a:innerShdw blurRad="63500" dist="50800" dir="16200000">
                <a:schemeClr val="accent2">
                  <a:alpha val="50000"/>
                </a:schemeClr>
              </a:innerShdw>
            </a:effectLst>
            <a:scene3d>
              <a:camera prst="orthographicFront"/>
              <a:lightRig rig="threePt" dir="t"/>
            </a:scene3d>
            <a:sp3d>
              <a:bevelT/>
            </a:sp3d>
          </c:spPr>
          <c:invertIfNegative val="0"/>
          <c:dPt>
            <c:idx val="6"/>
            <c:invertIfNegative val="0"/>
            <c:bubble3D val="0"/>
            <c:spPr>
              <a:solidFill>
                <a:schemeClr val="accent2">
                  <a:lumMod val="75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835D-4446-8FE0-8B868FCA8BF5}"/>
              </c:ext>
            </c:extLst>
          </c:dPt>
          <c:dPt>
            <c:idx val="7"/>
            <c:invertIfNegative val="0"/>
            <c:bubble3D val="0"/>
            <c:spPr>
              <a:solidFill>
                <a:schemeClr val="tx2">
                  <a:lumMod val="50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835D-4446-8FE0-8B868FCA8BF5}"/>
              </c:ext>
            </c:extLst>
          </c:dPt>
          <c:dPt>
            <c:idx val="8"/>
            <c:invertIfNegative val="0"/>
            <c:bubble3D val="0"/>
            <c:extLst xmlns:c16r2="http://schemas.microsoft.com/office/drawing/2015/06/chart">
              <c:ext xmlns:c16="http://schemas.microsoft.com/office/drawing/2014/chart" uri="{C3380CC4-5D6E-409C-BE32-E72D297353CC}">
                <c16:uniqueId val="{00000004-835D-4446-8FE0-8B868FCA8BF5}"/>
              </c:ext>
            </c:extLst>
          </c:dPt>
          <c:dPt>
            <c:idx val="11"/>
            <c:invertIfNegative val="0"/>
            <c:bubble3D val="0"/>
            <c:extLst xmlns:c16r2="http://schemas.microsoft.com/office/drawing/2015/06/chart">
              <c:ext xmlns:c16="http://schemas.microsoft.com/office/drawing/2014/chart" uri="{C3380CC4-5D6E-409C-BE32-E72D297353CC}">
                <c16:uniqueId val="{00000005-835D-4446-8FE0-8B868FCA8BF5}"/>
              </c:ext>
            </c:extLst>
          </c:dPt>
          <c:dPt>
            <c:idx val="12"/>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7-835D-4446-8FE0-8B868FCA8BF5}"/>
              </c:ext>
            </c:extLst>
          </c:dPt>
          <c:dLbls>
            <c:dLbl>
              <c:idx val="7"/>
              <c:spPr>
                <a:noFill/>
                <a:ln>
                  <a:noFill/>
                </a:ln>
                <a:effectLst/>
              </c:spPr>
              <c:txPr>
                <a:bodyPr/>
                <a:lstStyle/>
                <a:p>
                  <a:pPr>
                    <a:defRPr sz="800" b="1">
                      <a:solidFill>
                        <a:schemeClr val="bg1"/>
                      </a:solidFill>
                    </a:defRPr>
                  </a:pPr>
                  <a:endParaRPr lang="es-GT"/>
                </a:p>
              </c:txPr>
              <c:dLblPos val="inEnd"/>
              <c:showLegendKey val="0"/>
              <c:showVal val="1"/>
              <c:showCatName val="0"/>
              <c:showSerName val="0"/>
              <c:showPercent val="0"/>
              <c:showBubbleSize val="0"/>
            </c:dLbl>
            <c:spPr>
              <a:noFill/>
              <a:ln>
                <a:noFill/>
              </a:ln>
              <a:effectLst/>
            </c:spPr>
            <c:txPr>
              <a:bodyPr/>
              <a:lstStyle/>
              <a:p>
                <a:pPr>
                  <a:defRPr sz="800" b="1"/>
                </a:pPr>
                <a:endParaRPr lang="es-G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'PIB Nacional'!$B$8:$B$15</c:f>
              <c:strCache>
                <c:ptCount val="8"/>
                <c:pt idx="0">
                  <c:v>2014 p/</c:v>
                </c:pt>
                <c:pt idx="1">
                  <c:v>2015 p/</c:v>
                </c:pt>
                <c:pt idx="2">
                  <c:v>2016 p/</c:v>
                </c:pt>
                <c:pt idx="3">
                  <c:v>2017 p/</c:v>
                </c:pt>
                <c:pt idx="4">
                  <c:v>2018 p/</c:v>
                </c:pt>
                <c:pt idx="5">
                  <c:v>2019 p/</c:v>
                </c:pt>
                <c:pt idx="6">
                  <c:v>2020 e/</c:v>
                </c:pt>
                <c:pt idx="7">
                  <c:v>2021 py/ (medio)</c:v>
                </c:pt>
              </c:strCache>
            </c:strRef>
          </c:cat>
          <c:val>
            <c:numRef>
              <c:f>'PIB Nacional'!$D$8:$D$15</c:f>
              <c:numCache>
                <c:formatCode>_(* #,##0.0_);_(* \(#,##0.0\);_(* "-"??_);_(@_)</c:formatCode>
                <c:ptCount val="8"/>
                <c:pt idx="0">
                  <c:v>4.4439778221560857</c:v>
                </c:pt>
                <c:pt idx="1">
                  <c:v>4.0921707248137551</c:v>
                </c:pt>
                <c:pt idx="2">
                  <c:v>2.6778027221428573</c:v>
                </c:pt>
                <c:pt idx="3">
                  <c:v>3.0234303579862001</c:v>
                </c:pt>
                <c:pt idx="4">
                  <c:v>3.2149062770543253</c:v>
                </c:pt>
                <c:pt idx="5">
                  <c:v>3.844888763624013</c:v>
                </c:pt>
                <c:pt idx="6">
                  <c:v>-1.5442340830440884</c:v>
                </c:pt>
                <c:pt idx="7" formatCode="General">
                  <c:v>3.5</c:v>
                </c:pt>
              </c:numCache>
            </c:numRef>
          </c:val>
          <c:extLst xmlns:c16r2="http://schemas.microsoft.com/office/drawing/2015/06/chart">
            <c:ext xmlns:c16="http://schemas.microsoft.com/office/drawing/2014/chart" uri="{C3380CC4-5D6E-409C-BE32-E72D297353CC}">
              <c16:uniqueId val="{00000008-835D-4446-8FE0-8B868FCA8BF5}"/>
            </c:ext>
          </c:extLst>
        </c:ser>
        <c:dLbls>
          <c:showLegendKey val="0"/>
          <c:showVal val="0"/>
          <c:showCatName val="0"/>
          <c:showSerName val="0"/>
          <c:showPercent val="0"/>
          <c:showBubbleSize val="0"/>
        </c:dLbls>
        <c:gapWidth val="21"/>
        <c:overlap val="-61"/>
        <c:axId val="421490048"/>
        <c:axId val="421491840"/>
      </c:barChart>
      <c:catAx>
        <c:axId val="421490048"/>
        <c:scaling>
          <c:orientation val="minMax"/>
        </c:scaling>
        <c:delete val="0"/>
        <c:axPos val="b"/>
        <c:numFmt formatCode="0" sourceLinked="0"/>
        <c:majorTickMark val="none"/>
        <c:minorTickMark val="none"/>
        <c:tickLblPos val="low"/>
        <c:spPr>
          <a:ln w="12700"/>
          <a:effectLst>
            <a:softEdge rad="12700"/>
          </a:effectLst>
        </c:spPr>
        <c:txPr>
          <a:bodyPr/>
          <a:lstStyle/>
          <a:p>
            <a:pPr>
              <a:defRPr sz="1050" b="1"/>
            </a:pPr>
            <a:endParaRPr lang="es-GT"/>
          </a:p>
        </c:txPr>
        <c:crossAx val="421491840"/>
        <c:crosses val="autoZero"/>
        <c:auto val="1"/>
        <c:lblAlgn val="ctr"/>
        <c:lblOffset val="100"/>
        <c:noMultiLvlLbl val="0"/>
      </c:catAx>
      <c:valAx>
        <c:axId val="421491840"/>
        <c:scaling>
          <c:orientation val="minMax"/>
        </c:scaling>
        <c:delete val="0"/>
        <c:axPos val="l"/>
        <c:title>
          <c:tx>
            <c:rich>
              <a:bodyPr rot="-5400000" vert="horz"/>
              <a:lstStyle/>
              <a:p>
                <a:pPr>
                  <a:defRPr sz="1050"/>
                </a:pPr>
                <a:r>
                  <a:rPr lang="es-GT" sz="1050"/>
                  <a:t>Porcentaje</a:t>
                </a:r>
              </a:p>
            </c:rich>
          </c:tx>
          <c:layout>
            <c:manualLayout>
              <c:xMode val="edge"/>
              <c:yMode val="edge"/>
              <c:x val="8.8502338928348715E-4"/>
              <c:y val="0.35814890221434692"/>
            </c:manualLayout>
          </c:layout>
          <c:overlay val="0"/>
        </c:title>
        <c:numFmt formatCode="#,##0.0" sourceLinked="0"/>
        <c:majorTickMark val="none"/>
        <c:minorTickMark val="none"/>
        <c:tickLblPos val="nextTo"/>
        <c:txPr>
          <a:bodyPr/>
          <a:lstStyle/>
          <a:p>
            <a:pPr>
              <a:defRPr sz="1050" b="1"/>
            </a:pPr>
            <a:endParaRPr lang="es-GT"/>
          </a:p>
        </c:txPr>
        <c:crossAx val="421490048"/>
        <c:crossesAt val="1"/>
        <c:crossBetween val="between"/>
      </c:valAx>
      <c:spPr>
        <a:noFill/>
        <a:ln>
          <a:noFill/>
        </a:ln>
        <a:effectLst>
          <a:glow rad="101600">
            <a:schemeClr val="accent5">
              <a:satMod val="175000"/>
              <a:alpha val="40000"/>
            </a:schemeClr>
          </a:glow>
          <a:innerShdw blurRad="63500" dist="50800" dir="16200000">
            <a:prstClr val="black">
              <a:alpha val="50000"/>
            </a:prstClr>
          </a:innerShdw>
        </a:effectLst>
        <a:scene3d>
          <a:camera prst="orthographicFront"/>
          <a:lightRig rig="threePt" dir="t"/>
        </a:scene3d>
        <a:sp3d>
          <a:bevelT/>
        </a:sp3d>
      </c:spPr>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es-GT"/>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77899433356513"/>
          <c:y val="1.8697302849398727E-2"/>
          <c:w val="0.88322106823562052"/>
          <c:h val="0.8777617691405597"/>
        </c:manualLayout>
      </c:layout>
      <c:lineChart>
        <c:grouping val="standard"/>
        <c:varyColors val="0"/>
        <c:ser>
          <c:idx val="0"/>
          <c:order val="0"/>
          <c:tx>
            <c:strRef>
              <c:f>'Carga tributaria'!$B$7</c:f>
              <c:strCache>
                <c:ptCount val="1"/>
                <c:pt idx="0">
                  <c:v>Carga Tributaria</c:v>
                </c:pt>
              </c:strCache>
            </c:strRef>
          </c:tx>
          <c:spPr>
            <a:ln w="38100">
              <a:solidFill>
                <a:schemeClr val="tx2">
                  <a:lumMod val="50000"/>
                </a:schemeClr>
              </a:solidFill>
            </a:ln>
          </c:spPr>
          <c:marker>
            <c:spPr>
              <a:solidFill>
                <a:schemeClr val="tx2">
                  <a:lumMod val="50000"/>
                </a:schemeClr>
              </a:solidFill>
            </c:spPr>
          </c:marker>
          <c:dLbls>
            <c:dLbl>
              <c:idx val="0"/>
              <c:layout>
                <c:manualLayout>
                  <c:x val="-3.9111111111111152E-2"/>
                  <c:y val="4.301075268817204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D3E-4F91-8569-DEA4AEA97B47}"/>
                </c:ext>
              </c:extLst>
            </c:dLbl>
            <c:dLbl>
              <c:idx val="1"/>
              <c:layout>
                <c:manualLayout>
                  <c:x val="-3.0222222222222251E-2"/>
                  <c:y val="-4.074702886247879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D3E-4F91-8569-DEA4AEA97B47}"/>
                </c:ext>
              </c:extLst>
            </c:dLbl>
            <c:dLbl>
              <c:idx val="2"/>
              <c:layout>
                <c:manualLayout>
                  <c:x val="-4.5177615617937289E-2"/>
                  <c:y val="4.425381263616561E-2"/>
                </c:manualLayout>
              </c:layout>
              <c:showLegendKey val="0"/>
              <c:showVal val="1"/>
              <c:showCatName val="0"/>
              <c:showSerName val="0"/>
              <c:showPercent val="0"/>
              <c:showBubbleSize val="0"/>
            </c:dLbl>
            <c:dLbl>
              <c:idx val="3"/>
              <c:layout>
                <c:manualLayout>
                  <c:x val="-4.1394350274063983E-2"/>
                  <c:y val="-4.078132237146827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D3E-4F91-8569-DEA4AEA97B47}"/>
                </c:ext>
              </c:extLst>
            </c:dLbl>
            <c:dLbl>
              <c:idx val="4"/>
              <c:layout>
                <c:manualLayout>
                  <c:x val="-3.487150104031924E-2"/>
                  <c:y val="3.848312679081498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D3E-4F91-8569-DEA4AEA97B47}"/>
                </c:ext>
              </c:extLst>
            </c:dLbl>
            <c:dLbl>
              <c:idx val="5"/>
              <c:layout>
                <c:manualLayout>
                  <c:x val="-4.3026300588511625E-2"/>
                  <c:y val="-4.7657952069716777E-2"/>
                </c:manualLayout>
              </c:layout>
              <c:tx>
                <c:rich>
                  <a:bodyPr/>
                  <a:lstStyle/>
                  <a:p>
                    <a:r>
                      <a:rPr lang="en-US"/>
                      <a:t>10.7%</a:t>
                    </a:r>
                  </a:p>
                </c:rich>
              </c:tx>
              <c:showLegendKey val="0"/>
              <c:showVal val="1"/>
              <c:showCatName val="0"/>
              <c:showSerName val="0"/>
              <c:showPercent val="0"/>
              <c:showBubbleSize val="0"/>
            </c:dLbl>
            <c:dLbl>
              <c:idx val="6"/>
              <c:layout>
                <c:manualLayout>
                  <c:x val="-6.0285132382892057E-2"/>
                  <c:y val="5.0952743851396871E-2"/>
                </c:manualLayout>
              </c:layout>
              <c:tx>
                <c:rich>
                  <a:bodyPr/>
                  <a:lstStyle/>
                  <a:p>
                    <a:r>
                      <a:rPr lang="en-US"/>
                      <a:t>10.7%</a:t>
                    </a:r>
                  </a:p>
                </c:rich>
              </c:tx>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D3E-4F91-8569-DEA4AEA97B47}"/>
                </c:ext>
              </c:extLst>
            </c:dLbl>
            <c:dLbl>
              <c:idx val="7"/>
              <c:layout>
                <c:manualLayout>
                  <c:x val="-4.161468105692491E-2"/>
                  <c:y val="4.77158121861744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D3E-4F91-8569-DEA4AEA97B47}"/>
                </c:ext>
              </c:extLst>
            </c:dLbl>
            <c:dLbl>
              <c:idx val="9"/>
              <c:layout>
                <c:manualLayout>
                  <c:x val="-2.2012510608458602E-2"/>
                  <c:y val="-3.395585738539898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D3E-4F91-8569-DEA4AEA97B47}"/>
                </c:ext>
              </c:extLst>
            </c:dLbl>
            <c:dLbl>
              <c:idx val="10"/>
              <c:layout>
                <c:manualLayout>
                  <c:x val="-3.8187905673863536E-2"/>
                  <c:y val="2.490096208262591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ED3E-4F91-8569-DEA4AEA97B47}"/>
                </c:ext>
              </c:extLst>
            </c:dLbl>
            <c:dLbl>
              <c:idx val="11"/>
              <c:layout>
                <c:manualLayout>
                  <c:x val="-3.750381257469608E-2"/>
                  <c:y val="-2.716468590831922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ED3E-4F91-8569-DEA4AEA97B47}"/>
                </c:ext>
              </c:extLst>
            </c:dLbl>
            <c:dLbl>
              <c:idx val="13"/>
              <c:layout>
                <c:manualLayout>
                  <c:x val="-3.3811098860712971E-2"/>
                  <c:y val="-3.395585738539902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ED3E-4F91-8569-DEA4AEA97B47}"/>
                </c:ext>
              </c:extLst>
            </c:dLbl>
            <c:spPr>
              <a:noFill/>
              <a:ln>
                <a:noFill/>
              </a:ln>
              <a:effectLst/>
            </c:spPr>
            <c:txPr>
              <a:bodyPr/>
              <a:lstStyle/>
              <a:p>
                <a:pPr>
                  <a:defRPr sz="800" b="1"/>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'Carga tributaria'!$L$3:$S$3</c:f>
              <c:strCache>
                <c:ptCount val="8"/>
                <c:pt idx="0">
                  <c:v>2013</c:v>
                </c:pt>
                <c:pt idx="1">
                  <c:v>2014</c:v>
                </c:pt>
                <c:pt idx="2">
                  <c:v>2015</c:v>
                </c:pt>
                <c:pt idx="3">
                  <c:v>2016</c:v>
                </c:pt>
                <c:pt idx="4">
                  <c:v>2017</c:v>
                </c:pt>
                <c:pt idx="5">
                  <c:v>2018</c:v>
                </c:pt>
                <c:pt idx="6">
                  <c:v>2019</c:v>
                </c:pt>
                <c:pt idx="7">
                  <c:v>2020*</c:v>
                </c:pt>
              </c:strCache>
            </c:strRef>
          </c:cat>
          <c:val>
            <c:numRef>
              <c:f>'Carga tributaria'!$L$8:$S$8</c:f>
              <c:numCache>
                <c:formatCode>0.0%</c:formatCode>
                <c:ptCount val="8"/>
                <c:pt idx="0">
                  <c:v>0.11128101557307478</c:v>
                </c:pt>
                <c:pt idx="1">
                  <c:v>0.10975635860671258</c:v>
                </c:pt>
                <c:pt idx="2">
                  <c:v>0.10447132107290816</c:v>
                </c:pt>
                <c:pt idx="3">
                  <c:v>0.10778007632786704</c:v>
                </c:pt>
                <c:pt idx="4">
                  <c:v>0.10780762604144295</c:v>
                </c:pt>
                <c:pt idx="5" formatCode="0.00%">
                  <c:v>0.10729098990938435</c:v>
                </c:pt>
                <c:pt idx="6" formatCode="0.00%">
                  <c:v>0.10711299711851782</c:v>
                </c:pt>
                <c:pt idx="7">
                  <c:v>0.10081880625911048</c:v>
                </c:pt>
              </c:numCache>
            </c:numRef>
          </c:val>
          <c:smooth val="1"/>
          <c:extLst xmlns:c16r2="http://schemas.microsoft.com/office/drawing/2015/06/chart">
            <c:ext xmlns:c16="http://schemas.microsoft.com/office/drawing/2014/chart" uri="{C3380CC4-5D6E-409C-BE32-E72D297353CC}">
              <c16:uniqueId val="{0000000E-ED3E-4F91-8569-DEA4AEA97B47}"/>
            </c:ext>
          </c:extLst>
        </c:ser>
        <c:dLbls>
          <c:showLegendKey val="0"/>
          <c:showVal val="0"/>
          <c:showCatName val="0"/>
          <c:showSerName val="0"/>
          <c:showPercent val="0"/>
          <c:showBubbleSize val="0"/>
        </c:dLbls>
        <c:marker val="1"/>
        <c:smooth val="0"/>
        <c:axId val="422285696"/>
        <c:axId val="422287232"/>
      </c:lineChart>
      <c:catAx>
        <c:axId val="422285696"/>
        <c:scaling>
          <c:orientation val="minMax"/>
        </c:scaling>
        <c:delete val="0"/>
        <c:axPos val="b"/>
        <c:numFmt formatCode="General" sourceLinked="1"/>
        <c:majorTickMark val="out"/>
        <c:minorTickMark val="none"/>
        <c:tickLblPos val="nextTo"/>
        <c:txPr>
          <a:bodyPr rot="-5400000" vert="horz"/>
          <a:lstStyle/>
          <a:p>
            <a:pPr>
              <a:defRPr b="1"/>
            </a:pPr>
            <a:endParaRPr lang="es-GT"/>
          </a:p>
        </c:txPr>
        <c:crossAx val="422287232"/>
        <c:crosses val="autoZero"/>
        <c:auto val="1"/>
        <c:lblAlgn val="ctr"/>
        <c:lblOffset val="100"/>
        <c:noMultiLvlLbl val="0"/>
      </c:catAx>
      <c:valAx>
        <c:axId val="422287232"/>
        <c:scaling>
          <c:orientation val="minMax"/>
          <c:min val="6.0000000000000032E-2"/>
        </c:scaling>
        <c:delete val="0"/>
        <c:axPos val="l"/>
        <c:title>
          <c:tx>
            <c:rich>
              <a:bodyPr rot="-5400000" vert="horz"/>
              <a:lstStyle/>
              <a:p>
                <a:pPr>
                  <a:defRPr/>
                </a:pPr>
                <a:r>
                  <a:rPr lang="en-US"/>
                  <a:t>Carga Tributaria</a:t>
                </a:r>
              </a:p>
            </c:rich>
          </c:tx>
          <c:layout>
            <c:manualLayout>
              <c:xMode val="edge"/>
              <c:yMode val="edge"/>
              <c:x val="4.3569052435780687E-4"/>
              <c:y val="0.33005434746188639"/>
            </c:manualLayout>
          </c:layout>
          <c:overlay val="0"/>
        </c:title>
        <c:numFmt formatCode="0.0%" sourceLinked="1"/>
        <c:majorTickMark val="out"/>
        <c:minorTickMark val="none"/>
        <c:tickLblPos val="nextTo"/>
        <c:txPr>
          <a:bodyPr/>
          <a:lstStyle/>
          <a:p>
            <a:pPr>
              <a:defRPr b="1"/>
            </a:pPr>
            <a:endParaRPr lang="es-GT"/>
          </a:p>
        </c:txPr>
        <c:crossAx val="422285696"/>
        <c:crosses val="autoZero"/>
        <c:crossBetween val="between"/>
      </c:valAx>
    </c:plotArea>
    <c:plotVisOnly val="1"/>
    <c:dispBlanksAs val="gap"/>
    <c:showDLblsOverMax val="0"/>
  </c:chart>
  <c:spPr>
    <a:ln>
      <a:noFill/>
    </a:ln>
  </c:spPr>
  <c:txPr>
    <a:bodyPr/>
    <a:lstStyle/>
    <a:p>
      <a:pPr>
        <a:defRPr sz="900"/>
      </a:pPr>
      <a:endParaRPr lang="es-G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988407699037624E-2"/>
          <c:y val="1.9382422645734039E-2"/>
          <c:w val="0.90813327892169449"/>
          <c:h val="0.91587963217884483"/>
        </c:manualLayout>
      </c:layout>
      <c:barChart>
        <c:barDir val="col"/>
        <c:grouping val="clustered"/>
        <c:varyColors val="0"/>
        <c:ser>
          <c:idx val="0"/>
          <c:order val="0"/>
          <c:spPr>
            <a:ln>
              <a:solidFill>
                <a:schemeClr val="accent1">
                  <a:alpha val="48000"/>
                </a:schemeClr>
              </a:solidFill>
            </a:ln>
            <a:effectLst>
              <a:glow>
                <a:schemeClr val="accent1">
                  <a:alpha val="38000"/>
                </a:schemeClr>
              </a:glow>
              <a:softEdge rad="139700"/>
            </a:effectLst>
            <a:scene3d>
              <a:camera prst="orthographicFront"/>
              <a:lightRig rig="threePt" dir="t"/>
            </a:scene3d>
            <a:sp3d>
              <a:bevelT w="95250" h="101600"/>
            </a:sp3d>
          </c:spPr>
          <c:invertIfNegative val="0"/>
          <c:dLbls>
            <c:spPr>
              <a:noFill/>
              <a:ln>
                <a:noFill/>
              </a:ln>
              <a:effectLst/>
            </c:spPr>
            <c:txPr>
              <a:bodyPr/>
              <a:lstStyle/>
              <a:p>
                <a:pPr>
                  <a:defRPr sz="800" b="1"/>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'Deuda y déficit'!$O$55:$O$67</c:f>
              <c:strCach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strCache>
            </c:strRef>
          </c:cat>
          <c:val>
            <c:numRef>
              <c:f>'Deuda y déficit'!$P$55:$P$67</c:f>
              <c:numCache>
                <c:formatCode>0.0</c:formatCode>
                <c:ptCount val="13"/>
                <c:pt idx="0">
                  <c:v>20.399999999999999</c:v>
                </c:pt>
                <c:pt idx="1">
                  <c:v>23.3</c:v>
                </c:pt>
                <c:pt idx="2">
                  <c:v>24.427658295611433</c:v>
                </c:pt>
                <c:pt idx="3">
                  <c:v>23.936397667404155</c:v>
                </c:pt>
                <c:pt idx="4">
                  <c:v>24.802319891357094</c:v>
                </c:pt>
                <c:pt idx="5">
                  <c:v>25.179671033797714</c:v>
                </c:pt>
                <c:pt idx="6">
                  <c:v>24.792687127942177</c:v>
                </c:pt>
                <c:pt idx="7">
                  <c:v>24.920180293885085</c:v>
                </c:pt>
                <c:pt idx="8">
                  <c:v>25.033453789550464</c:v>
                </c:pt>
                <c:pt idx="9">
                  <c:v>25.190630615963698</c:v>
                </c:pt>
                <c:pt idx="10">
                  <c:v>26.627921819779932</c:v>
                </c:pt>
                <c:pt idx="11">
                  <c:v>26.6</c:v>
                </c:pt>
                <c:pt idx="12" formatCode="General">
                  <c:v>31.6</c:v>
                </c:pt>
              </c:numCache>
            </c:numRef>
          </c:val>
          <c:extLst xmlns:c16r2="http://schemas.microsoft.com/office/drawing/2015/06/chart">
            <c:ext xmlns:c16="http://schemas.microsoft.com/office/drawing/2014/chart" uri="{C3380CC4-5D6E-409C-BE32-E72D297353CC}">
              <c16:uniqueId val="{00000000-8DA3-445E-AA1A-1F2D760CD224}"/>
            </c:ext>
          </c:extLst>
        </c:ser>
        <c:dLbls>
          <c:showLegendKey val="0"/>
          <c:showVal val="0"/>
          <c:showCatName val="0"/>
          <c:showSerName val="0"/>
          <c:showPercent val="0"/>
          <c:showBubbleSize val="0"/>
        </c:dLbls>
        <c:gapWidth val="27"/>
        <c:axId val="423512704"/>
        <c:axId val="423539072"/>
      </c:barChart>
      <c:lineChart>
        <c:grouping val="standard"/>
        <c:varyColors val="0"/>
        <c:ser>
          <c:idx val="1"/>
          <c:order val="1"/>
          <c:spPr>
            <a:ln>
              <a:solidFill>
                <a:srgbClr val="FF0000"/>
              </a:solidFill>
            </a:ln>
          </c:spPr>
          <c:marker>
            <c:symbol val="none"/>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DA3-445E-AA1A-1F2D760CD224}"/>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DA3-445E-AA1A-1F2D760CD224}"/>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DA3-445E-AA1A-1F2D760CD224}"/>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DA3-445E-AA1A-1F2D760CD224}"/>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DA3-445E-AA1A-1F2D760CD224}"/>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DA3-445E-AA1A-1F2D760CD224}"/>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DA3-445E-AA1A-1F2D760CD224}"/>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8DA3-445E-AA1A-1F2D760CD224}"/>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DA3-445E-AA1A-1F2D760CD224}"/>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8DA3-445E-AA1A-1F2D760CD224}"/>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8DA3-445E-AA1A-1F2D760CD224}"/>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8DA3-445E-AA1A-1F2D760CD224}"/>
                </c:ext>
              </c:extLst>
            </c:dLbl>
            <c:dLbl>
              <c:idx val="12"/>
              <c:layout>
                <c:manualLayout>
                  <c:x val="-0.83084168045873918"/>
                  <c:y val="-4.3456511793271854E-2"/>
                </c:manualLayout>
              </c:layout>
              <c:tx>
                <c:rich>
                  <a:bodyPr wrap="square" lIns="38100" tIns="19050" rIns="38100" bIns="19050" anchor="ctr">
                    <a:spAutoFit/>
                  </a:bodyPr>
                  <a:lstStyle/>
                  <a:p>
                    <a:pPr>
                      <a:defRPr sz="800" b="1">
                        <a:solidFill>
                          <a:srgbClr val="FF0000"/>
                        </a:solidFill>
                      </a:defRPr>
                    </a:pPr>
                    <a:r>
                      <a:rPr lang="en-US" sz="800" b="1"/>
                      <a:t>Promedio</a:t>
                    </a:r>
                  </a:p>
                  <a:p>
                    <a:pPr>
                      <a:defRPr sz="800" b="1">
                        <a:solidFill>
                          <a:srgbClr val="FF0000"/>
                        </a:solidFill>
                      </a:defRPr>
                    </a:pPr>
                    <a:r>
                      <a:rPr lang="en-US" sz="800" b="1"/>
                      <a:t>25.1</a:t>
                    </a:r>
                    <a:endParaRPr lang="en-US" sz="800"/>
                  </a:p>
                </c:rich>
              </c:tx>
              <c:numFmt formatCode="#,##0.0" sourceLinked="0"/>
              <c:spPr>
                <a:noFill/>
                <a:ln>
                  <a:noFill/>
                </a:ln>
                <a:effectLst/>
              </c:sp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DA3-445E-AA1A-1F2D760CD224}"/>
                </c:ext>
              </c:extLst>
            </c:dLbl>
            <c:numFmt formatCode="#,##0.0" sourceLinked="0"/>
            <c:spPr>
              <a:noFill/>
              <a:ln>
                <a:noFill/>
              </a:ln>
              <a:effectLst/>
            </c:spPr>
            <c:txPr>
              <a:bodyPr wrap="square" lIns="38100" tIns="19050" rIns="38100" bIns="19050" anchor="ctr">
                <a:spAutoFit/>
              </a:bodyPr>
              <a:lstStyle/>
              <a:p>
                <a:pPr>
                  <a:defRPr b="1">
                    <a:solidFill>
                      <a:srgbClr val="FF0000"/>
                    </a:solidFill>
                  </a:defRPr>
                </a:pPr>
                <a:endParaRPr lang="es-G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'Deuda y déficit'!$O$55:$O$67</c:f>
              <c:strCach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strCache>
            </c:strRef>
          </c:cat>
          <c:val>
            <c:numRef>
              <c:f>'Deuda y déficit'!$Q$55:$Q$67</c:f>
              <c:numCache>
                <c:formatCode>0.0</c:formatCode>
                <c:ptCount val="13"/>
                <c:pt idx="0">
                  <c:v>25.139301579637831</c:v>
                </c:pt>
                <c:pt idx="1">
                  <c:v>25.139301579637831</c:v>
                </c:pt>
                <c:pt idx="2">
                  <c:v>25.139301579637831</c:v>
                </c:pt>
                <c:pt idx="3">
                  <c:v>25.139301579637831</c:v>
                </c:pt>
                <c:pt idx="4">
                  <c:v>25.139301579637831</c:v>
                </c:pt>
                <c:pt idx="5">
                  <c:v>25.139301579637831</c:v>
                </c:pt>
                <c:pt idx="6">
                  <c:v>25.139301579637831</c:v>
                </c:pt>
                <c:pt idx="7">
                  <c:v>25.139301579637831</c:v>
                </c:pt>
                <c:pt idx="8">
                  <c:v>25.139301579637831</c:v>
                </c:pt>
                <c:pt idx="9">
                  <c:v>25.139301579637831</c:v>
                </c:pt>
                <c:pt idx="10">
                  <c:v>25.139301579637831</c:v>
                </c:pt>
                <c:pt idx="11">
                  <c:v>25.139301579637831</c:v>
                </c:pt>
                <c:pt idx="12">
                  <c:v>25.139301579637831</c:v>
                </c:pt>
              </c:numCache>
            </c:numRef>
          </c:val>
          <c:smooth val="0"/>
          <c:extLst xmlns:c16r2="http://schemas.microsoft.com/office/drawing/2015/06/chart">
            <c:ext xmlns:c16="http://schemas.microsoft.com/office/drawing/2014/chart" uri="{C3380CC4-5D6E-409C-BE32-E72D297353CC}">
              <c16:uniqueId val="{0000000E-8DA3-445E-AA1A-1F2D760CD224}"/>
            </c:ext>
          </c:extLst>
        </c:ser>
        <c:dLbls>
          <c:showLegendKey val="0"/>
          <c:showVal val="0"/>
          <c:showCatName val="0"/>
          <c:showSerName val="0"/>
          <c:showPercent val="0"/>
          <c:showBubbleSize val="0"/>
        </c:dLbls>
        <c:marker val="1"/>
        <c:smooth val="0"/>
        <c:axId val="423512704"/>
        <c:axId val="423539072"/>
      </c:lineChart>
      <c:catAx>
        <c:axId val="423512704"/>
        <c:scaling>
          <c:orientation val="minMax"/>
        </c:scaling>
        <c:delete val="0"/>
        <c:axPos val="b"/>
        <c:numFmt formatCode="General" sourceLinked="1"/>
        <c:majorTickMark val="out"/>
        <c:minorTickMark val="none"/>
        <c:tickLblPos val="nextTo"/>
        <c:txPr>
          <a:bodyPr/>
          <a:lstStyle/>
          <a:p>
            <a:pPr>
              <a:defRPr b="1"/>
            </a:pPr>
            <a:endParaRPr lang="es-GT"/>
          </a:p>
        </c:txPr>
        <c:crossAx val="423539072"/>
        <c:crosses val="autoZero"/>
        <c:auto val="1"/>
        <c:lblAlgn val="ctr"/>
        <c:lblOffset val="100"/>
        <c:noMultiLvlLbl val="0"/>
      </c:catAx>
      <c:valAx>
        <c:axId val="423539072"/>
        <c:scaling>
          <c:orientation val="minMax"/>
        </c:scaling>
        <c:delete val="0"/>
        <c:axPos val="l"/>
        <c:numFmt formatCode="0.0" sourceLinked="1"/>
        <c:majorTickMark val="out"/>
        <c:minorTickMark val="none"/>
        <c:tickLblPos val="nextTo"/>
        <c:txPr>
          <a:bodyPr/>
          <a:lstStyle/>
          <a:p>
            <a:pPr>
              <a:defRPr b="1"/>
            </a:pPr>
            <a:endParaRPr lang="es-GT"/>
          </a:p>
        </c:txPr>
        <c:crossAx val="423512704"/>
        <c:crosses val="autoZero"/>
        <c:crossBetween val="between"/>
        <c:minorUnit val="0.5"/>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es-G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759456150014461"/>
          <c:y val="2.305032654629274E-2"/>
          <c:w val="0.58454957221942627"/>
          <c:h val="0.89243180945063394"/>
        </c:manualLayout>
      </c:layout>
      <c:pieChart>
        <c:varyColors val="1"/>
        <c:ser>
          <c:idx val="0"/>
          <c:order val="0"/>
          <c:spPr>
            <a:scene3d>
              <a:camera prst="orthographicFront"/>
              <a:lightRig rig="threePt" dir="t"/>
            </a:scene3d>
            <a:sp3d>
              <a:bevelT/>
            </a:sp3d>
          </c:spPr>
          <c:explosion val="6"/>
          <c:dPt>
            <c:idx val="0"/>
            <c:bubble3D val="0"/>
            <c:spPr>
              <a:solidFill>
                <a:schemeClr val="accent1"/>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B200-46DB-91C3-ED0EDE8CF4E2}"/>
              </c:ext>
            </c:extLst>
          </c:dPt>
          <c:dPt>
            <c:idx val="1"/>
            <c:bubble3D val="0"/>
            <c:spPr>
              <a:solidFill>
                <a:schemeClr val="accent2"/>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B200-46DB-91C3-ED0EDE8CF4E2}"/>
              </c:ext>
            </c:extLst>
          </c:dPt>
          <c:dLbls>
            <c:dLbl>
              <c:idx val="0"/>
              <c:layout>
                <c:manualLayout>
                  <c:x val="-0.19505728798513963"/>
                  <c:y val="-0.1687110111508988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200-46DB-91C3-ED0EDE8CF4E2}"/>
                </c:ext>
              </c:extLst>
            </c:dLbl>
            <c:dLbl>
              <c:idx val="1"/>
              <c:layout>
                <c:manualLayout>
                  <c:x val="0.1930360166357076"/>
                  <c:y val="0.14388209873695088"/>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200-46DB-91C3-ED0EDE8CF4E2}"/>
                </c:ext>
              </c:extLst>
            </c:dLbl>
            <c:numFmt formatCode="0.0%" sourceLinked="0"/>
            <c:spPr>
              <a:noFill/>
              <a:ln>
                <a:noFill/>
              </a:ln>
              <a:effectLst/>
            </c:spPr>
            <c:txPr>
              <a:bodyPr rot="0" vert="horz"/>
              <a:lstStyle/>
              <a:p>
                <a:pPr>
                  <a:defRPr b="1"/>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Deuda!$B$10:$B$11</c:f>
              <c:strCache>
                <c:ptCount val="2"/>
                <c:pt idx="0">
                  <c:v>Interna</c:v>
                </c:pt>
                <c:pt idx="1">
                  <c:v>Externa</c:v>
                </c:pt>
              </c:strCache>
            </c:strRef>
          </c:cat>
          <c:val>
            <c:numRef>
              <c:f>Deuda!$C$10:$C$11</c:f>
              <c:numCache>
                <c:formatCode>0.0%</c:formatCode>
                <c:ptCount val="2"/>
                <c:pt idx="0">
                  <c:v>0.56950272449066808</c:v>
                </c:pt>
                <c:pt idx="1">
                  <c:v>0.43049727550933192</c:v>
                </c:pt>
              </c:numCache>
            </c:numRef>
          </c:val>
          <c:extLst xmlns:c16r2="http://schemas.microsoft.com/office/drawing/2015/06/chart">
            <c:ext xmlns:c16="http://schemas.microsoft.com/office/drawing/2014/chart" uri="{C3380CC4-5D6E-409C-BE32-E72D297353CC}">
              <c16:uniqueId val="{00000004-B200-46DB-91C3-ED0EDE8CF4E2}"/>
            </c:ext>
          </c:extLst>
        </c:ser>
        <c:dLbls>
          <c:dLblPos val="inEnd"/>
          <c:showLegendKey val="0"/>
          <c:showVal val="0"/>
          <c:showCatName val="1"/>
          <c:showSerName val="0"/>
          <c:showPercent val="1"/>
          <c:showBubbleSize val="0"/>
          <c:showLeaderLines val="1"/>
        </c:dLbls>
        <c:firstSliceAng val="21"/>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pPr>
      <a:endParaRPr lang="es-G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102567513635758"/>
          <c:y val="0"/>
          <c:w val="0.70499330066259203"/>
          <c:h val="1"/>
        </c:manualLayout>
      </c:layout>
      <c:pieChart>
        <c:varyColors val="1"/>
        <c:ser>
          <c:idx val="0"/>
          <c:order val="0"/>
          <c:spPr>
            <a:scene3d>
              <a:camera prst="orthographicFront"/>
              <a:lightRig rig="threePt" dir="t"/>
            </a:scene3d>
            <a:sp3d>
              <a:bevelT/>
            </a:sp3d>
          </c:spPr>
          <c:explosion val="21"/>
          <c:dPt>
            <c:idx val="0"/>
            <c:bubble3D val="0"/>
            <c:spPr>
              <a:solidFill>
                <a:schemeClr val="accent1"/>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C055-4665-9225-495E768DE4D0}"/>
              </c:ext>
            </c:extLst>
          </c:dPt>
          <c:dPt>
            <c:idx val="1"/>
            <c:bubble3D val="0"/>
            <c:spPr>
              <a:solidFill>
                <a:schemeClr val="accent2"/>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C055-4665-9225-495E768DE4D0}"/>
              </c:ext>
            </c:extLst>
          </c:dPt>
          <c:dLbls>
            <c:dLbl>
              <c:idx val="0"/>
              <c:layout>
                <c:manualLayout>
                  <c:x val="0.20347075364805292"/>
                  <c:y val="0.20393153980752401"/>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055-4665-9225-495E768DE4D0}"/>
                </c:ext>
              </c:extLst>
            </c:dLbl>
            <c:dLbl>
              <c:idx val="1"/>
              <c:layout>
                <c:manualLayout>
                  <c:x val="-0.16532089642640824"/>
                  <c:y val="-0.1699355114547333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055-4665-9225-495E768DE4D0}"/>
                </c:ext>
              </c:extLst>
            </c:dLbl>
            <c:numFmt formatCode="0.0%" sourceLinked="0"/>
            <c:spPr>
              <a:noFill/>
              <a:ln>
                <a:noFill/>
              </a:ln>
              <a:effectLst/>
            </c:spPr>
            <c:txPr>
              <a:bodyPr rot="0" vert="horz"/>
              <a:lstStyle/>
              <a:p>
                <a:pPr>
                  <a:defRPr b="1"/>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Deuda!$B$24:$B$25</c:f>
              <c:strCache>
                <c:ptCount val="2"/>
                <c:pt idx="0">
                  <c:v>Fija</c:v>
                </c:pt>
                <c:pt idx="1">
                  <c:v>Variable</c:v>
                </c:pt>
              </c:strCache>
            </c:strRef>
          </c:cat>
          <c:val>
            <c:numRef>
              <c:f>Deuda!$C$24:$C$25</c:f>
              <c:numCache>
                <c:formatCode>0.0%</c:formatCode>
                <c:ptCount val="2"/>
                <c:pt idx="0">
                  <c:v>0.81264296513738499</c:v>
                </c:pt>
                <c:pt idx="1">
                  <c:v>0.18735703486261499</c:v>
                </c:pt>
              </c:numCache>
            </c:numRef>
          </c:val>
          <c:extLst xmlns:c16r2="http://schemas.microsoft.com/office/drawing/2015/06/chart">
            <c:ext xmlns:c16="http://schemas.microsoft.com/office/drawing/2014/chart" uri="{C3380CC4-5D6E-409C-BE32-E72D297353CC}">
              <c16:uniqueId val="{00000004-C055-4665-9225-495E768DE4D0}"/>
            </c:ext>
          </c:extLst>
        </c:ser>
        <c:dLbls>
          <c:dLblPos val="inEnd"/>
          <c:showLegendKey val="0"/>
          <c:showVal val="0"/>
          <c:showCatName val="1"/>
          <c:showSerName val="0"/>
          <c:showPercent val="1"/>
          <c:showBubbleSize val="0"/>
          <c:showLeaderLines val="1"/>
        </c:dLbls>
        <c:firstSliceAng val="159"/>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700"/>
      </a:pPr>
      <a:endParaRPr lang="es-GT"/>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154823937743332"/>
          <c:y val="0"/>
          <c:w val="0.63365857788626145"/>
          <c:h val="0.97582397313421443"/>
        </c:manualLayout>
      </c:layout>
      <c:pieChart>
        <c:varyColors val="1"/>
        <c:ser>
          <c:idx val="0"/>
          <c:order val="0"/>
          <c:spPr>
            <a:scene3d>
              <a:camera prst="orthographicFront"/>
              <a:lightRig rig="threePt" dir="t"/>
            </a:scene3d>
            <a:sp3d>
              <a:bevelT/>
            </a:sp3d>
          </c:spPr>
          <c:explosion val="6"/>
          <c:dPt>
            <c:idx val="0"/>
            <c:bubble3D val="0"/>
            <c:spPr>
              <a:solidFill>
                <a:schemeClr val="accent1"/>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AFB5-4ACF-8F31-9CD530AA1079}"/>
              </c:ext>
            </c:extLst>
          </c:dPt>
          <c:dPt>
            <c:idx val="1"/>
            <c:bubble3D val="0"/>
            <c:spPr>
              <a:solidFill>
                <a:schemeClr val="accent2"/>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AFB5-4ACF-8F31-9CD530AA1079}"/>
              </c:ext>
            </c:extLst>
          </c:dPt>
          <c:dLbls>
            <c:dLbl>
              <c:idx val="0"/>
              <c:layout>
                <c:manualLayout>
                  <c:x val="-0.19439803975582026"/>
                  <c:y val="-0.16521699322468406"/>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FB5-4ACF-8F31-9CD530AA1079}"/>
                </c:ext>
              </c:extLst>
            </c:dLbl>
            <c:dLbl>
              <c:idx val="1"/>
              <c:layout>
                <c:manualLayout>
                  <c:x val="0.22633543286729488"/>
                  <c:y val="8.5643909336914278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FB5-4ACF-8F31-9CD530AA1079}"/>
                </c:ext>
              </c:extLst>
            </c:dLbl>
            <c:numFmt formatCode="0.0%" sourceLinked="0"/>
            <c:spPr>
              <a:noFill/>
              <a:ln>
                <a:noFill/>
              </a:ln>
              <a:effectLst/>
            </c:spPr>
            <c:txPr>
              <a:bodyPr rot="0" vert="horz"/>
              <a:lstStyle/>
              <a:p>
                <a:pPr>
                  <a:defRPr b="1"/>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Deuda!$B$38:$B$39</c:f>
              <c:strCache>
                <c:ptCount val="2"/>
                <c:pt idx="0">
                  <c:v>Nacional</c:v>
                </c:pt>
                <c:pt idx="1">
                  <c:v>Extranjera</c:v>
                </c:pt>
              </c:strCache>
            </c:strRef>
          </c:cat>
          <c:val>
            <c:numRef>
              <c:f>Deuda!$C$38:$C$39</c:f>
              <c:numCache>
                <c:formatCode>0.0%</c:formatCode>
                <c:ptCount val="2"/>
                <c:pt idx="0">
                  <c:v>0.53429508871212084</c:v>
                </c:pt>
                <c:pt idx="1">
                  <c:v>0.46570491128787928</c:v>
                </c:pt>
              </c:numCache>
            </c:numRef>
          </c:val>
          <c:extLst xmlns:c16r2="http://schemas.microsoft.com/office/drawing/2015/06/chart">
            <c:ext xmlns:c16="http://schemas.microsoft.com/office/drawing/2014/chart" uri="{C3380CC4-5D6E-409C-BE32-E72D297353CC}">
              <c16:uniqueId val="{00000004-AFB5-4ACF-8F31-9CD530AA1079}"/>
            </c:ext>
          </c:extLst>
        </c:ser>
        <c:dLbls>
          <c:dLblPos val="inEnd"/>
          <c:showLegendKey val="0"/>
          <c:showVal val="0"/>
          <c:showCatName val="1"/>
          <c:showSerName val="0"/>
          <c:showPercent val="1"/>
          <c:showBubbleSize val="0"/>
          <c:showLeaderLines val="1"/>
        </c:dLbls>
        <c:firstSliceAng val="21"/>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700"/>
      </a:pPr>
      <a:endParaRPr lang="es-GT"/>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05854956753161"/>
          <c:y val="7.5996664715758146E-3"/>
          <c:w val="0.85215238813711169"/>
          <c:h val="0.96263437757991654"/>
        </c:manualLayout>
      </c:layout>
      <c:pieChart>
        <c:varyColors val="1"/>
        <c:ser>
          <c:idx val="0"/>
          <c:order val="0"/>
          <c:spPr>
            <a:scene3d>
              <a:camera prst="orthographicFront"/>
              <a:lightRig rig="threePt" dir="t"/>
            </a:scene3d>
            <a:sp3d>
              <a:bevelT/>
              <a:bevelB/>
            </a:sp3d>
          </c:spPr>
          <c:explosion val="12"/>
          <c:dPt>
            <c:idx val="0"/>
            <c:bubble3D val="0"/>
            <c:spPr>
              <a:solidFill>
                <a:schemeClr val="accent1"/>
              </a:solidFill>
              <a:ln w="19050">
                <a:solidFill>
                  <a:schemeClr val="lt1"/>
                </a:solid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78DC-4667-BA68-D09E98C7FBC0}"/>
              </c:ext>
            </c:extLst>
          </c:dPt>
          <c:dPt>
            <c:idx val="1"/>
            <c:bubble3D val="0"/>
            <c:spPr>
              <a:solidFill>
                <a:schemeClr val="accent2"/>
              </a:solidFill>
              <a:ln w="19050">
                <a:solidFill>
                  <a:schemeClr val="lt1"/>
                </a:solid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78DC-4667-BA68-D09E98C7FBC0}"/>
              </c:ext>
            </c:extLst>
          </c:dPt>
          <c:dLbls>
            <c:dLbl>
              <c:idx val="0"/>
              <c:layout>
                <c:manualLayout>
                  <c:x val="-8.4328697872010569E-2"/>
                  <c:y val="-1.9805753539446993E-2"/>
                </c:manualLayout>
              </c:layout>
              <c:dLblPos val="bestFit"/>
              <c:showLegendKey val="0"/>
              <c:showVal val="0"/>
              <c:showCatName val="1"/>
              <c:showSerName val="0"/>
              <c:showPercent val="1"/>
              <c:showBubbleSize val="0"/>
            </c:dLbl>
            <c:dLbl>
              <c:idx val="1"/>
              <c:layout>
                <c:manualLayout>
                  <c:x val="0.24062847155479039"/>
                  <c:y val="5.6744807555401164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8DC-4667-BA68-D09E98C7FBC0}"/>
                </c:ext>
              </c:extLst>
            </c:dLbl>
            <c:numFmt formatCode="0.0%" sourceLinked="0"/>
            <c:spPr>
              <a:noFill/>
              <a:ln>
                <a:noFill/>
              </a:ln>
              <a:effectLst/>
            </c:spPr>
            <c:txPr>
              <a:bodyPr rot="0" vert="horz"/>
              <a:lstStyle/>
              <a:p>
                <a:pPr>
                  <a:defRPr b="1"/>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Deuda!$B$53:$B$54</c:f>
              <c:strCache>
                <c:ptCount val="2"/>
                <c:pt idx="0">
                  <c:v>Préstamos</c:v>
                </c:pt>
                <c:pt idx="1">
                  <c:v>Bonos</c:v>
                </c:pt>
              </c:strCache>
            </c:strRef>
          </c:cat>
          <c:val>
            <c:numRef>
              <c:f>Deuda!$C$53:$C$54</c:f>
              <c:numCache>
                <c:formatCode>0.0%</c:formatCode>
                <c:ptCount val="2"/>
                <c:pt idx="0">
                  <c:v>0.21092345034599969</c:v>
                </c:pt>
                <c:pt idx="1">
                  <c:v>0.78907654965400031</c:v>
                </c:pt>
              </c:numCache>
            </c:numRef>
          </c:val>
          <c:extLst xmlns:c16r2="http://schemas.microsoft.com/office/drawing/2015/06/chart">
            <c:ext xmlns:c16="http://schemas.microsoft.com/office/drawing/2014/chart" uri="{C3380CC4-5D6E-409C-BE32-E72D297353CC}">
              <c16:uniqueId val="{00000004-78DC-4667-BA68-D09E98C7FBC0}"/>
            </c:ext>
          </c:extLst>
        </c:ser>
        <c:dLbls>
          <c:dLblPos val="inEnd"/>
          <c:showLegendKey val="0"/>
          <c:showVal val="0"/>
          <c:showCatName val="1"/>
          <c:showSerName val="0"/>
          <c:showPercent val="1"/>
          <c:showBubbleSize val="0"/>
          <c:showLeaderLines val="1"/>
        </c:dLbls>
        <c:firstSliceAng val="57"/>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700"/>
      </a:pPr>
      <a:endParaRPr lang="es-G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500935738106035E-2"/>
          <c:y val="1.424799004030689E-2"/>
          <c:w val="0.91564708506459969"/>
          <c:h val="0.90649696054088447"/>
        </c:manualLayout>
      </c:layout>
      <c:barChart>
        <c:barDir val="col"/>
        <c:grouping val="clustered"/>
        <c:varyColors val="0"/>
        <c:ser>
          <c:idx val="0"/>
          <c:order val="0"/>
          <c:tx>
            <c:strRef>
              <c:f>'Series Gasto'!$E$10</c:f>
              <c:strCache>
                <c:ptCount val="1"/>
                <c:pt idx="0">
                  <c:v>% del PIB</c:v>
                </c:pt>
              </c:strCache>
            </c:strRef>
          </c:tx>
          <c:spPr>
            <a:solidFill>
              <a:schemeClr val="accent1"/>
            </a:solidFill>
            <a:scene3d>
              <a:camera prst="orthographicFront"/>
              <a:lightRig rig="threePt" dir="t"/>
            </a:scene3d>
            <a:sp3d>
              <a:bevelT/>
            </a:sp3d>
          </c:spPr>
          <c:invertIfNegative val="0"/>
          <c:dPt>
            <c:idx val="0"/>
            <c:invertIfNegative val="0"/>
            <c:bubble3D val="0"/>
            <c:extLst xmlns:c16r2="http://schemas.microsoft.com/office/drawing/2015/06/chart">
              <c:ext xmlns:c16="http://schemas.microsoft.com/office/drawing/2014/chart" uri="{C3380CC4-5D6E-409C-BE32-E72D297353CC}">
                <c16:uniqueId val="{00000000-036E-4A9E-B3A6-FF2433282B45}"/>
              </c:ext>
            </c:extLst>
          </c:dPt>
          <c:dPt>
            <c:idx val="1"/>
            <c:invertIfNegative val="0"/>
            <c:bubble3D val="0"/>
            <c:extLst xmlns:c16r2="http://schemas.microsoft.com/office/drawing/2015/06/chart">
              <c:ext xmlns:c16="http://schemas.microsoft.com/office/drawing/2014/chart" uri="{C3380CC4-5D6E-409C-BE32-E72D297353CC}">
                <c16:uniqueId val="{00000001-036E-4A9E-B3A6-FF2433282B45}"/>
              </c:ext>
            </c:extLst>
          </c:dPt>
          <c:dPt>
            <c:idx val="2"/>
            <c:invertIfNegative val="0"/>
            <c:bubble3D val="0"/>
            <c:extLst xmlns:c16r2="http://schemas.microsoft.com/office/drawing/2015/06/chart">
              <c:ext xmlns:c16="http://schemas.microsoft.com/office/drawing/2014/chart" uri="{C3380CC4-5D6E-409C-BE32-E72D297353CC}">
                <c16:uniqueId val="{00000002-036E-4A9E-B3A6-FF2433282B45}"/>
              </c:ext>
            </c:extLst>
          </c:dPt>
          <c:dPt>
            <c:idx val="3"/>
            <c:invertIfNegative val="0"/>
            <c:bubble3D val="0"/>
            <c:extLst xmlns:c16r2="http://schemas.microsoft.com/office/drawing/2015/06/chart">
              <c:ext xmlns:c16="http://schemas.microsoft.com/office/drawing/2014/chart" uri="{C3380CC4-5D6E-409C-BE32-E72D297353CC}">
                <c16:uniqueId val="{00000003-036E-4A9E-B3A6-FF2433282B45}"/>
              </c:ext>
            </c:extLst>
          </c:dPt>
          <c:dPt>
            <c:idx val="4"/>
            <c:invertIfNegative val="0"/>
            <c:bubble3D val="0"/>
            <c:extLst xmlns:c16r2="http://schemas.microsoft.com/office/drawing/2015/06/chart">
              <c:ext xmlns:c16="http://schemas.microsoft.com/office/drawing/2014/chart" uri="{C3380CC4-5D6E-409C-BE32-E72D297353CC}">
                <c16:uniqueId val="{00000004-036E-4A9E-B3A6-FF2433282B45}"/>
              </c:ext>
            </c:extLst>
          </c:dPt>
          <c:dPt>
            <c:idx val="5"/>
            <c:invertIfNegative val="0"/>
            <c:bubble3D val="0"/>
            <c:extLst xmlns:c16r2="http://schemas.microsoft.com/office/drawing/2015/06/chart">
              <c:ext xmlns:c16="http://schemas.microsoft.com/office/drawing/2014/chart" uri="{C3380CC4-5D6E-409C-BE32-E72D297353CC}">
                <c16:uniqueId val="{00000005-036E-4A9E-B3A6-FF2433282B45}"/>
              </c:ext>
            </c:extLst>
          </c:dPt>
          <c:dPt>
            <c:idx val="6"/>
            <c:invertIfNegative val="0"/>
            <c:bubble3D val="0"/>
            <c:extLst xmlns:c16r2="http://schemas.microsoft.com/office/drawing/2015/06/chart">
              <c:ext xmlns:c16="http://schemas.microsoft.com/office/drawing/2014/chart" uri="{C3380CC4-5D6E-409C-BE32-E72D297353CC}">
                <c16:uniqueId val="{00000006-036E-4A9E-B3A6-FF2433282B45}"/>
              </c:ext>
            </c:extLst>
          </c:dPt>
          <c:dPt>
            <c:idx val="7"/>
            <c:invertIfNegative val="0"/>
            <c:bubble3D val="0"/>
            <c:extLst xmlns:c16r2="http://schemas.microsoft.com/office/drawing/2015/06/chart">
              <c:ext xmlns:c16="http://schemas.microsoft.com/office/drawing/2014/chart" uri="{C3380CC4-5D6E-409C-BE32-E72D297353CC}">
                <c16:uniqueId val="{00000007-036E-4A9E-B3A6-FF2433282B45}"/>
              </c:ext>
            </c:extLst>
          </c:dPt>
          <c:dLbls>
            <c:numFmt formatCode="0.0%" sourceLinked="0"/>
            <c:spPr>
              <a:noFill/>
              <a:ln>
                <a:noFill/>
              </a:ln>
              <a:effectLst/>
            </c:spPr>
            <c:txPr>
              <a:bodyPr/>
              <a:lstStyle/>
              <a:p>
                <a:pPr>
                  <a:defRPr b="1">
                    <a:solidFill>
                      <a:schemeClr val="bg1"/>
                    </a:solidFill>
                  </a:defRPr>
                </a:pPr>
                <a:endParaRPr lang="es-G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'Series Gasto'!$D$11:$D$23</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'Series Gasto'!$E$11:$E$23</c:f>
              <c:numCache>
                <c:formatCode>0.0%</c:formatCode>
                <c:ptCount val="13"/>
                <c:pt idx="0">
                  <c:v>0.13260360726941808</c:v>
                </c:pt>
                <c:pt idx="1">
                  <c:v>0.14100512220710659</c:v>
                </c:pt>
                <c:pt idx="2">
                  <c:v>0.14468065621967963</c:v>
                </c:pt>
                <c:pt idx="3">
                  <c:v>0.14488113168263189</c:v>
                </c:pt>
                <c:pt idx="4">
                  <c:v>0.1415068281615145</c:v>
                </c:pt>
                <c:pt idx="5">
                  <c:v>0.13994068266031481</c:v>
                </c:pt>
                <c:pt idx="6">
                  <c:v>0.13596038055948442</c:v>
                </c:pt>
                <c:pt idx="7">
                  <c:v>0.12581574801708381</c:v>
                </c:pt>
                <c:pt idx="8">
                  <c:v>0.12565760240720389</c:v>
                </c:pt>
                <c:pt idx="9">
                  <c:v>0.12785002801185721</c:v>
                </c:pt>
                <c:pt idx="10">
                  <c:v>0.13225158106262025</c:v>
                </c:pt>
                <c:pt idx="11">
                  <c:v>0.13522047357016334</c:v>
                </c:pt>
                <c:pt idx="12">
                  <c:v>0.15642964145684185</c:v>
                </c:pt>
              </c:numCache>
            </c:numRef>
          </c:val>
          <c:extLst xmlns:c16r2="http://schemas.microsoft.com/office/drawing/2015/06/chart">
            <c:ext xmlns:c16="http://schemas.microsoft.com/office/drawing/2014/chart" uri="{C3380CC4-5D6E-409C-BE32-E72D297353CC}">
              <c16:uniqueId val="{00000008-036E-4A9E-B3A6-FF2433282B45}"/>
            </c:ext>
          </c:extLst>
        </c:ser>
        <c:dLbls>
          <c:showLegendKey val="0"/>
          <c:showVal val="0"/>
          <c:showCatName val="0"/>
          <c:showSerName val="0"/>
          <c:showPercent val="0"/>
          <c:showBubbleSize val="0"/>
        </c:dLbls>
        <c:gapWidth val="25"/>
        <c:axId val="426913152"/>
        <c:axId val="426943616"/>
      </c:barChart>
      <c:lineChart>
        <c:grouping val="standard"/>
        <c:varyColors val="0"/>
        <c:ser>
          <c:idx val="1"/>
          <c:order val="1"/>
          <c:tx>
            <c:strRef>
              <c:f>'Series Gasto'!$F$10</c:f>
              <c:strCache>
                <c:ptCount val="1"/>
                <c:pt idx="0">
                  <c:v>Promedio</c:v>
                </c:pt>
              </c:strCache>
            </c:strRef>
          </c:tx>
          <c:marker>
            <c:symbol val="none"/>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36E-4A9E-B3A6-FF2433282B45}"/>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036E-4A9E-B3A6-FF2433282B45}"/>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36E-4A9E-B3A6-FF2433282B45}"/>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036E-4A9E-B3A6-FF2433282B45}"/>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36E-4A9E-B3A6-FF2433282B45}"/>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036E-4A9E-B3A6-FF2433282B45}"/>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36E-4A9E-B3A6-FF2433282B45}"/>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036E-4A9E-B3A6-FF2433282B45}"/>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36E-4A9E-B3A6-FF2433282B45}"/>
                </c:ext>
              </c:extLst>
            </c:dLbl>
            <c:dLbl>
              <c:idx val="9"/>
              <c:tx>
                <c:rich>
                  <a:bodyPr/>
                  <a:lstStyle/>
                  <a:p>
                    <a:r>
                      <a:rPr lang="en-US"/>
                      <a:t>Promedio</a:t>
                    </a:r>
                  </a:p>
                  <a:p>
                    <a:r>
                      <a:rPr lang="en-US"/>
                      <a:t>13.7%</a:t>
                    </a:r>
                  </a:p>
                </c:rich>
              </c:tx>
              <c:dLblPos val="t"/>
              <c:showLegendKey val="0"/>
              <c:showVal val="1"/>
              <c:showCatName val="0"/>
              <c:showSerName val="0"/>
              <c:showPercent val="0"/>
              <c:showBubbleSize val="0"/>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036E-4A9E-B3A6-FF2433282B45}"/>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036E-4A9E-B3A6-FF2433282B45}"/>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036E-4A9E-B3A6-FF2433282B45}"/>
                </c:ext>
              </c:extLst>
            </c:dLbl>
            <c:spPr>
              <a:noFill/>
              <a:ln>
                <a:noFill/>
              </a:ln>
              <a:effectLst/>
            </c:spPr>
            <c:txPr>
              <a:bodyPr/>
              <a:lstStyle/>
              <a:p>
                <a:pPr>
                  <a:defRPr b="1">
                    <a:solidFill>
                      <a:srgbClr val="FF0000"/>
                    </a:solidFill>
                  </a:defRPr>
                </a:pPr>
                <a:endParaRPr lang="es-GT"/>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trendline>
            <c:spPr>
              <a:ln>
                <a:solidFill>
                  <a:srgbClr val="FF0000"/>
                </a:solidFill>
              </a:ln>
            </c:spPr>
            <c:trendlineType val="linear"/>
            <c:dispRSqr val="0"/>
            <c:dispEq val="0"/>
          </c:trendline>
          <c:cat>
            <c:numRef>
              <c:f>'Series Gasto'!$D$11:$D$23</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'Series Gasto'!$F$11:$F$23</c:f>
              <c:numCache>
                <c:formatCode>0.0%</c:formatCode>
                <c:ptCount val="13"/>
                <c:pt idx="0">
                  <c:v>0.1372156525604554</c:v>
                </c:pt>
                <c:pt idx="1">
                  <c:v>0.1372156525604554</c:v>
                </c:pt>
                <c:pt idx="2">
                  <c:v>0.1372156525604554</c:v>
                </c:pt>
                <c:pt idx="3">
                  <c:v>0.1372156525604554</c:v>
                </c:pt>
                <c:pt idx="4">
                  <c:v>0.1372156525604554</c:v>
                </c:pt>
                <c:pt idx="5">
                  <c:v>0.1372156525604554</c:v>
                </c:pt>
                <c:pt idx="6">
                  <c:v>0.1372156525604554</c:v>
                </c:pt>
                <c:pt idx="7">
                  <c:v>0.1372156525604554</c:v>
                </c:pt>
                <c:pt idx="8">
                  <c:v>0.1372156525604554</c:v>
                </c:pt>
                <c:pt idx="9">
                  <c:v>0.1372156525604554</c:v>
                </c:pt>
                <c:pt idx="10">
                  <c:v>0.1372156525604554</c:v>
                </c:pt>
                <c:pt idx="11">
                  <c:v>0.1372156525604554</c:v>
                </c:pt>
                <c:pt idx="12">
                  <c:v>0.1372156525604554</c:v>
                </c:pt>
              </c:numCache>
            </c:numRef>
          </c:val>
          <c:smooth val="0"/>
          <c:extLst xmlns:c16r2="http://schemas.microsoft.com/office/drawing/2015/06/chart">
            <c:ext xmlns:c16="http://schemas.microsoft.com/office/drawing/2014/chart" uri="{C3380CC4-5D6E-409C-BE32-E72D297353CC}">
              <c16:uniqueId val="{00000016-036E-4A9E-B3A6-FF2433282B45}"/>
            </c:ext>
          </c:extLst>
        </c:ser>
        <c:dLbls>
          <c:showLegendKey val="0"/>
          <c:showVal val="0"/>
          <c:showCatName val="0"/>
          <c:showSerName val="0"/>
          <c:showPercent val="0"/>
          <c:showBubbleSize val="0"/>
        </c:dLbls>
        <c:marker val="1"/>
        <c:smooth val="0"/>
        <c:axId val="426913152"/>
        <c:axId val="426943616"/>
      </c:lineChart>
      <c:catAx>
        <c:axId val="426913152"/>
        <c:scaling>
          <c:orientation val="minMax"/>
        </c:scaling>
        <c:delete val="0"/>
        <c:axPos val="b"/>
        <c:numFmt formatCode="General" sourceLinked="1"/>
        <c:majorTickMark val="out"/>
        <c:minorTickMark val="none"/>
        <c:tickLblPos val="nextTo"/>
        <c:txPr>
          <a:bodyPr/>
          <a:lstStyle/>
          <a:p>
            <a:pPr>
              <a:defRPr b="1"/>
            </a:pPr>
            <a:endParaRPr lang="es-GT"/>
          </a:p>
        </c:txPr>
        <c:crossAx val="426943616"/>
        <c:crosses val="autoZero"/>
        <c:auto val="1"/>
        <c:lblAlgn val="ctr"/>
        <c:lblOffset val="100"/>
        <c:noMultiLvlLbl val="0"/>
      </c:catAx>
      <c:valAx>
        <c:axId val="426943616"/>
        <c:scaling>
          <c:orientation val="minMax"/>
          <c:max val="0.16000000000000003"/>
        </c:scaling>
        <c:delete val="0"/>
        <c:axPos val="l"/>
        <c:numFmt formatCode="0.0%" sourceLinked="1"/>
        <c:majorTickMark val="out"/>
        <c:minorTickMark val="none"/>
        <c:tickLblPos val="nextTo"/>
        <c:txPr>
          <a:bodyPr/>
          <a:lstStyle/>
          <a:p>
            <a:pPr>
              <a:defRPr b="1"/>
            </a:pPr>
            <a:endParaRPr lang="es-GT"/>
          </a:p>
        </c:txPr>
        <c:crossAx val="426913152"/>
        <c:crosses val="autoZero"/>
        <c:crossBetween val="between"/>
      </c:valAx>
    </c:plotArea>
    <c:plotVisOnly val="1"/>
    <c:dispBlanksAs val="gap"/>
    <c:showDLblsOverMax val="0"/>
  </c:chart>
  <c:spPr>
    <a:ln>
      <a:noFill/>
    </a:ln>
  </c:spPr>
  <c:txPr>
    <a:bodyPr/>
    <a:lstStyle/>
    <a:p>
      <a:pPr>
        <a:defRPr sz="7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723019467377436E-2"/>
          <c:y val="1.0282107339781297E-2"/>
          <c:w val="0.92332703695056983"/>
          <c:h val="0.8866687625049654"/>
        </c:manualLayout>
      </c:layout>
      <c:barChart>
        <c:barDir val="col"/>
        <c:grouping val="clustered"/>
        <c:varyColors val="0"/>
        <c:ser>
          <c:idx val="0"/>
          <c:order val="0"/>
          <c:tx>
            <c:strRef>
              <c:f>'Series Gasto'!$D$31</c:f>
              <c:strCache>
                <c:ptCount val="1"/>
                <c:pt idx="0">
                  <c:v>% de Ejec</c:v>
                </c:pt>
              </c:strCache>
            </c:strRef>
          </c:tx>
          <c:spPr>
            <a:solidFill>
              <a:schemeClr val="accent1"/>
            </a:solidFill>
            <a:scene3d>
              <a:camera prst="orthographicFront"/>
              <a:lightRig rig="threePt" dir="t"/>
            </a:scene3d>
            <a:sp3d>
              <a:bevelT/>
            </a:sp3d>
          </c:spPr>
          <c:invertIfNegative val="0"/>
          <c:dPt>
            <c:idx val="0"/>
            <c:invertIfNegative val="0"/>
            <c:bubble3D val="0"/>
            <c:extLst xmlns:c16r2="http://schemas.microsoft.com/office/drawing/2015/06/chart">
              <c:ext xmlns:c16="http://schemas.microsoft.com/office/drawing/2014/chart" uri="{C3380CC4-5D6E-409C-BE32-E72D297353CC}">
                <c16:uniqueId val="{00000000-78C2-4A7D-BE8B-8050D521CC9B}"/>
              </c:ext>
            </c:extLst>
          </c:dPt>
          <c:dPt>
            <c:idx val="1"/>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2-78C2-4A7D-BE8B-8050D521CC9B}"/>
              </c:ext>
            </c:extLst>
          </c:dPt>
          <c:dPt>
            <c:idx val="2"/>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4-78C2-4A7D-BE8B-8050D521CC9B}"/>
              </c:ext>
            </c:extLst>
          </c:dPt>
          <c:dPt>
            <c:idx val="3"/>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6-78C2-4A7D-BE8B-8050D521CC9B}"/>
              </c:ext>
            </c:extLst>
          </c:dPt>
          <c:dPt>
            <c:idx val="8"/>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8-78C2-4A7D-BE8B-8050D521CC9B}"/>
              </c:ext>
            </c:extLst>
          </c:dPt>
          <c:dPt>
            <c:idx val="9"/>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A-78C2-4A7D-BE8B-8050D521CC9B}"/>
              </c:ext>
            </c:extLst>
          </c:dPt>
          <c:dPt>
            <c:idx val="10"/>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C-78C2-4A7D-BE8B-8050D521CC9B}"/>
              </c:ext>
            </c:extLst>
          </c:dPt>
          <c:dLbls>
            <c:numFmt formatCode="0.0%" sourceLinked="0"/>
            <c:spPr>
              <a:noFill/>
              <a:ln>
                <a:noFill/>
              </a:ln>
              <a:effectLst/>
            </c:spPr>
            <c:txPr>
              <a:bodyPr/>
              <a:lstStyle/>
              <a:p>
                <a:pPr>
                  <a:defRPr sz="600" b="1">
                    <a:solidFill>
                      <a:schemeClr val="bg1"/>
                    </a:solidFill>
                  </a:defRPr>
                </a:pPr>
                <a:endParaRPr lang="es-G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'Series Gasto'!$B$32:$B$44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'Series Gasto'!$D$32:$D$44</c:f>
              <c:numCache>
                <c:formatCode>0.0%</c:formatCode>
                <c:ptCount val="13"/>
                <c:pt idx="0">
                  <c:v>0.97100400013480181</c:v>
                </c:pt>
                <c:pt idx="1">
                  <c:v>0.91670054123711997</c:v>
                </c:pt>
                <c:pt idx="2">
                  <c:v>0.92913056812002626</c:v>
                </c:pt>
                <c:pt idx="3">
                  <c:v>0.93989184934042602</c:v>
                </c:pt>
                <c:pt idx="4">
                  <c:v>0.96127386255162028</c:v>
                </c:pt>
                <c:pt idx="5">
                  <c:v>0.90368701970863785</c:v>
                </c:pt>
                <c:pt idx="6">
                  <c:v>0.91946188193788991</c:v>
                </c:pt>
                <c:pt idx="7">
                  <c:v>0.88382828330416796</c:v>
                </c:pt>
                <c:pt idx="8">
                  <c:v>0.92079526198855721</c:v>
                </c:pt>
                <c:pt idx="9">
                  <c:v>0.9174855765156813</c:v>
                </c:pt>
                <c:pt idx="10">
                  <c:v>0.96030535561856489</c:v>
                </c:pt>
                <c:pt idx="11">
                  <c:v>0.93786344124794574</c:v>
                </c:pt>
                <c:pt idx="12">
                  <c:v>0.89666657405963857</c:v>
                </c:pt>
              </c:numCache>
            </c:numRef>
          </c:val>
          <c:extLst xmlns:c16r2="http://schemas.microsoft.com/office/drawing/2015/06/chart">
            <c:ext xmlns:c16="http://schemas.microsoft.com/office/drawing/2014/chart" uri="{C3380CC4-5D6E-409C-BE32-E72D297353CC}">
              <c16:uniqueId val="{0000000D-78C2-4A7D-BE8B-8050D521CC9B}"/>
            </c:ext>
          </c:extLst>
        </c:ser>
        <c:dLbls>
          <c:showLegendKey val="0"/>
          <c:showVal val="0"/>
          <c:showCatName val="0"/>
          <c:showSerName val="0"/>
          <c:showPercent val="0"/>
          <c:showBubbleSize val="0"/>
        </c:dLbls>
        <c:gapWidth val="17"/>
        <c:overlap val="-25"/>
        <c:axId val="427317888"/>
        <c:axId val="427340160"/>
      </c:barChart>
      <c:lineChart>
        <c:grouping val="standard"/>
        <c:varyColors val="0"/>
        <c:ser>
          <c:idx val="1"/>
          <c:order val="1"/>
          <c:tx>
            <c:strRef>
              <c:f>'Series Gasto'!$E$31</c:f>
              <c:strCache>
                <c:ptCount val="1"/>
                <c:pt idx="0">
                  <c:v>Promedio</c:v>
                </c:pt>
              </c:strCache>
            </c:strRef>
          </c:tx>
          <c:marker>
            <c:symbol val="none"/>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78C2-4A7D-BE8B-8050D521CC9B}"/>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8C2-4A7D-BE8B-8050D521CC9B}"/>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78C2-4A7D-BE8B-8050D521CC9B}"/>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78C2-4A7D-BE8B-8050D521CC9B}"/>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78C2-4A7D-BE8B-8050D521CC9B}"/>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78C2-4A7D-BE8B-8050D521CC9B}"/>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78C2-4A7D-BE8B-8050D521CC9B}"/>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78C2-4A7D-BE8B-8050D521CC9B}"/>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78C2-4A7D-BE8B-8050D521CC9B}"/>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78C2-4A7D-BE8B-8050D521CC9B}"/>
                </c:ext>
              </c:extLst>
            </c:dLbl>
            <c:dLbl>
              <c:idx val="10"/>
              <c:layout>
                <c:manualLayout>
                  <c:x val="-0.22947546066073468"/>
                  <c:y val="-3.2170630481774737E-2"/>
                </c:manualLayout>
              </c:layout>
              <c:tx>
                <c:rich>
                  <a:bodyPr wrap="square" lIns="38100" tIns="19050" rIns="38100" bIns="19050" anchor="ctr">
                    <a:spAutoFit/>
                  </a:bodyPr>
                  <a:lstStyle/>
                  <a:p>
                    <a:pPr>
                      <a:defRPr sz="700" b="1">
                        <a:solidFill>
                          <a:srgbClr val="FF0000"/>
                        </a:solidFill>
                      </a:defRPr>
                    </a:pPr>
                    <a:r>
                      <a:rPr lang="en-US" sz="700" b="1"/>
                      <a:t>Promedio</a:t>
                    </a:r>
                  </a:p>
                  <a:p>
                    <a:pPr>
                      <a:defRPr sz="700" b="1">
                        <a:solidFill>
                          <a:srgbClr val="FF0000"/>
                        </a:solidFill>
                      </a:defRPr>
                    </a:pPr>
                    <a:r>
                      <a:rPr lang="en-US" sz="700" b="1"/>
                      <a:t>92.8%</a:t>
                    </a:r>
                  </a:p>
                </c:rich>
              </c:tx>
              <c:numFmt formatCode="0.0%" sourceLinked="0"/>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78C2-4A7D-BE8B-8050D521CC9B}"/>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78C2-4A7D-BE8B-8050D521CC9B}"/>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78C2-4A7D-BE8B-8050D521CC9B}"/>
                </c:ext>
              </c:extLst>
            </c:dLbl>
            <c:numFmt formatCode="0.0%" sourceLinked="0"/>
            <c:spPr>
              <a:noFill/>
              <a:ln>
                <a:noFill/>
              </a:ln>
              <a:effectLst/>
            </c:spPr>
            <c:txPr>
              <a:bodyPr wrap="square" lIns="38100" tIns="19050" rIns="38100" bIns="19050" anchor="ctr">
                <a:spAutoFit/>
              </a:bodyPr>
              <a:lstStyle/>
              <a:p>
                <a:pPr>
                  <a:defRPr sz="900"/>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'Series Gasto'!$B$32:$B$44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'Series Gasto'!$E$32:$E$44</c:f>
              <c:numCache>
                <c:formatCode>0.0%</c:formatCode>
                <c:ptCount val="13"/>
                <c:pt idx="0">
                  <c:v>0.92754570890500598</c:v>
                </c:pt>
                <c:pt idx="1">
                  <c:v>0.92754570890500598</c:v>
                </c:pt>
                <c:pt idx="2">
                  <c:v>0.92754570890500598</c:v>
                </c:pt>
                <c:pt idx="3">
                  <c:v>0.92754570890500598</c:v>
                </c:pt>
                <c:pt idx="4">
                  <c:v>0.92754570890500598</c:v>
                </c:pt>
                <c:pt idx="5">
                  <c:v>0.92754570890500598</c:v>
                </c:pt>
                <c:pt idx="6">
                  <c:v>0.92754570890500598</c:v>
                </c:pt>
                <c:pt idx="7">
                  <c:v>0.92754570890500598</c:v>
                </c:pt>
                <c:pt idx="8">
                  <c:v>0.92754570890500598</c:v>
                </c:pt>
                <c:pt idx="9">
                  <c:v>0.92754570890500598</c:v>
                </c:pt>
                <c:pt idx="10">
                  <c:v>0.92754570890500598</c:v>
                </c:pt>
                <c:pt idx="11">
                  <c:v>0.92754570890500598</c:v>
                </c:pt>
                <c:pt idx="12">
                  <c:v>0.92754570890500598</c:v>
                </c:pt>
              </c:numCache>
            </c:numRef>
          </c:val>
          <c:smooth val="0"/>
          <c:extLst xmlns:c16r2="http://schemas.microsoft.com/office/drawing/2015/06/chart">
            <c:ext xmlns:c16="http://schemas.microsoft.com/office/drawing/2014/chart" uri="{C3380CC4-5D6E-409C-BE32-E72D297353CC}">
              <c16:uniqueId val="{0000001A-78C2-4A7D-BE8B-8050D521CC9B}"/>
            </c:ext>
          </c:extLst>
        </c:ser>
        <c:dLbls>
          <c:showLegendKey val="0"/>
          <c:showVal val="0"/>
          <c:showCatName val="0"/>
          <c:showSerName val="0"/>
          <c:showPercent val="0"/>
          <c:showBubbleSize val="0"/>
        </c:dLbls>
        <c:marker val="1"/>
        <c:smooth val="0"/>
        <c:axId val="427317888"/>
        <c:axId val="427340160"/>
      </c:lineChart>
      <c:catAx>
        <c:axId val="427317888"/>
        <c:scaling>
          <c:orientation val="minMax"/>
        </c:scaling>
        <c:delete val="0"/>
        <c:axPos val="b"/>
        <c:numFmt formatCode="General" sourceLinked="1"/>
        <c:majorTickMark val="none"/>
        <c:minorTickMark val="none"/>
        <c:tickLblPos val="nextTo"/>
        <c:txPr>
          <a:bodyPr/>
          <a:lstStyle/>
          <a:p>
            <a:pPr>
              <a:defRPr sz="700" b="1"/>
            </a:pPr>
            <a:endParaRPr lang="es-GT"/>
          </a:p>
        </c:txPr>
        <c:crossAx val="427340160"/>
        <c:crosses val="autoZero"/>
        <c:auto val="1"/>
        <c:lblAlgn val="ctr"/>
        <c:lblOffset val="100"/>
        <c:noMultiLvlLbl val="0"/>
      </c:catAx>
      <c:valAx>
        <c:axId val="427340160"/>
        <c:scaling>
          <c:orientation val="minMax"/>
          <c:max val="0.98"/>
        </c:scaling>
        <c:delete val="0"/>
        <c:axPos val="l"/>
        <c:numFmt formatCode="0.0%" sourceLinked="1"/>
        <c:majorTickMark val="none"/>
        <c:minorTickMark val="none"/>
        <c:tickLblPos val="nextTo"/>
        <c:spPr>
          <a:ln w="9525">
            <a:noFill/>
          </a:ln>
        </c:spPr>
        <c:txPr>
          <a:bodyPr/>
          <a:lstStyle/>
          <a:p>
            <a:pPr>
              <a:defRPr sz="600" b="1"/>
            </a:pPr>
            <a:endParaRPr lang="es-GT"/>
          </a:p>
        </c:txPr>
        <c:crossAx val="427317888"/>
        <c:crosses val="autoZero"/>
        <c:crossBetween val="between"/>
      </c:valAx>
    </c:plotArea>
    <c:legend>
      <c:legendPos val="b"/>
      <c:layout>
        <c:manualLayout>
          <c:xMode val="edge"/>
          <c:yMode val="edge"/>
          <c:x val="0.32805757051777518"/>
          <c:y val="0.94750144393510705"/>
          <c:w val="0.44058533803997812"/>
          <c:h val="5.249854526066882E-2"/>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235377894660671E-2"/>
          <c:y val="1.9743061412794284E-2"/>
          <c:w val="0.94369293525165077"/>
          <c:h val="0.80116440333527683"/>
        </c:manualLayout>
      </c:layout>
      <c:lineChart>
        <c:grouping val="standard"/>
        <c:varyColors val="0"/>
        <c:ser>
          <c:idx val="0"/>
          <c:order val="0"/>
          <c:tx>
            <c:strRef>
              <c:f>Déficit!$E$9</c:f>
              <c:strCache>
                <c:ptCount val="1"/>
                <c:pt idx="0">
                  <c:v>% PIB</c:v>
                </c:pt>
              </c:strCache>
            </c:strRef>
          </c:tx>
          <c:spPr>
            <a:ln w="38100" cap="rnd">
              <a:solidFill>
                <a:srgbClr val="0070C0">
                  <a:alpha val="87000"/>
                </a:srgbClr>
              </a:solidFill>
              <a:round/>
            </a:ln>
            <a:effectLst/>
          </c:spPr>
          <c:marker>
            <c:symbol val="none"/>
          </c:marker>
          <c:dLbls>
            <c:dLbl>
              <c:idx val="2"/>
              <c:layout>
                <c:manualLayout>
                  <c:x val="-2.4652388976647614E-2"/>
                  <c:y val="1.49597248619784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992-47CD-80D8-2E9899539984}"/>
                </c:ext>
              </c:extLst>
            </c:dLbl>
            <c:dLbl>
              <c:idx val="4"/>
              <c:layout>
                <c:manualLayout>
                  <c:x val="-2.0351313222285856E-2"/>
                  <c:y val="1.955742601140366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992-47CD-80D8-2E9899539984}"/>
                </c:ext>
              </c:extLst>
            </c:dLbl>
            <c:dLbl>
              <c:idx val="7"/>
              <c:layout>
                <c:manualLayout>
                  <c:x val="-2.1785005140406471E-2"/>
                  <c:y val="2.64539777355416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992-47CD-80D8-2E9899539984}"/>
                </c:ext>
              </c:extLst>
            </c:dLbl>
            <c:dLbl>
              <c:idx val="8"/>
              <c:layout>
                <c:manualLayout>
                  <c:x val="-1.318285363168274E-2"/>
                  <c:y val="1.955742601140366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992-47CD-80D8-2E9899539984}"/>
                </c:ext>
              </c:extLst>
            </c:dLbl>
            <c:dLbl>
              <c:idx val="16"/>
              <c:layout>
                <c:manualLayout>
                  <c:x val="-2.0351313222285804E-2"/>
                  <c:y val="1.725857543669101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0992-47CD-80D8-2E9899539984}"/>
                </c:ext>
              </c:extLst>
            </c:dLbl>
            <c:dLbl>
              <c:idx val="17"/>
              <c:layout>
                <c:manualLayout>
                  <c:x val="-5.698338798429731E-3"/>
                  <c:y val="2.2109020517823784E-2"/>
                </c:manualLayout>
              </c:layout>
              <c:dLblPos val="r"/>
              <c:showLegendKey val="0"/>
              <c:showVal val="1"/>
              <c:showCatName val="0"/>
              <c:showSerName val="0"/>
              <c:showPercent val="0"/>
              <c:showBubbleSize val="0"/>
            </c:dLbl>
            <c:dLbl>
              <c:idx val="18"/>
              <c:layout>
                <c:manualLayout>
                  <c:x val="-4.3035005252409747E-2"/>
                  <c:y val="-4.2443059474321886E-2"/>
                </c:manualLayout>
              </c:layout>
              <c:dLblPos val="r"/>
              <c:showLegendKey val="0"/>
              <c:showVal val="1"/>
              <c:showCatName val="0"/>
              <c:showSerName val="0"/>
              <c:showPercent val="0"/>
              <c:showBubbleSize val="0"/>
            </c:dLbl>
            <c:dLbl>
              <c:idx val="19"/>
              <c:layout>
                <c:manualLayout>
                  <c:x val="-2.359271242851679E-2"/>
                  <c:y val="6.671897534206851E-4"/>
                </c:manualLayout>
              </c:layout>
              <c:dLblPos val="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GT"/>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Déficit!$D$11:$D$30</c:f>
              <c:strCach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strCache>
            </c:strRef>
          </c:cat>
          <c:val>
            <c:numRef>
              <c:f>Déficit!$E$11:$E$30</c:f>
              <c:numCache>
                <c:formatCode>#,##0.0_ ;\-#,##0.0\ </c:formatCode>
                <c:ptCount val="20"/>
                <c:pt idx="0">
                  <c:v>2.0033102158702203</c:v>
                </c:pt>
                <c:pt idx="1">
                  <c:v>1.0322151828334285</c:v>
                </c:pt>
                <c:pt idx="2">
                  <c:v>2.4686670926874541</c:v>
                </c:pt>
                <c:pt idx="3">
                  <c:v>1.0476146782505353</c:v>
                </c:pt>
                <c:pt idx="4">
                  <c:v>1.6701355408124035</c:v>
                </c:pt>
                <c:pt idx="5">
                  <c:v>1.8785223492837744</c:v>
                </c:pt>
                <c:pt idx="6">
                  <c:v>1.4030305919123602</c:v>
                </c:pt>
                <c:pt idx="7">
                  <c:v>1.5698022649410492</c:v>
                </c:pt>
                <c:pt idx="8">
                  <c:v>3.1200943531641498</c:v>
                </c:pt>
                <c:pt idx="9">
                  <c:v>3.2773081046877532</c:v>
                </c:pt>
                <c:pt idx="10">
                  <c:v>2.8041566240577911</c:v>
                </c:pt>
                <c:pt idx="11">
                  <c:v>2.4162115429175528</c:v>
                </c:pt>
                <c:pt idx="12">
                  <c:v>2.1638208167817825</c:v>
                </c:pt>
                <c:pt idx="13">
                  <c:v>1.9212819848946259</c:v>
                </c:pt>
                <c:pt idx="14">
                  <c:v>1.4720918689385398</c:v>
                </c:pt>
                <c:pt idx="15">
                  <c:v>1.1100889548581254</c:v>
                </c:pt>
                <c:pt idx="16">
                  <c:v>1.3849889282705481</c:v>
                </c:pt>
                <c:pt idx="17">
                  <c:v>1.8859233801356057</c:v>
                </c:pt>
                <c:pt idx="18">
                  <c:v>2.2495064776907974</c:v>
                </c:pt>
                <c:pt idx="19">
                  <c:v>4.9302200345309473</c:v>
                </c:pt>
              </c:numCache>
            </c:numRef>
          </c:val>
          <c:smooth val="1"/>
          <c:extLst xmlns:c16r2="http://schemas.microsoft.com/office/drawing/2015/06/chart">
            <c:ext xmlns:c16="http://schemas.microsoft.com/office/drawing/2014/chart" uri="{C3380CC4-5D6E-409C-BE32-E72D297353CC}">
              <c16:uniqueId val="{00000000-0992-47CD-80D8-2E9899539984}"/>
            </c:ext>
          </c:extLst>
        </c:ser>
        <c:ser>
          <c:idx val="1"/>
          <c:order val="1"/>
          <c:tx>
            <c:strRef>
              <c:f>Déficit!$F$9</c:f>
              <c:strCache>
                <c:ptCount val="1"/>
                <c:pt idx="0">
                  <c:v>Promedio</c:v>
                </c:pt>
              </c:strCache>
            </c:strRef>
          </c:tx>
          <c:spPr>
            <a:ln w="34925" cap="rnd">
              <a:solidFill>
                <a:srgbClr val="FF0000"/>
              </a:solidFill>
              <a:round/>
            </a:ln>
            <a:effectLst/>
          </c:spPr>
          <c:marker>
            <c:symbol val="none"/>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992-47CD-80D8-2E9899539984}"/>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992-47CD-80D8-2E9899539984}"/>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0992-47CD-80D8-2E9899539984}"/>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992-47CD-80D8-2E9899539984}"/>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0992-47CD-80D8-2E9899539984}"/>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992-47CD-80D8-2E9899539984}"/>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0992-47CD-80D8-2E9899539984}"/>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992-47CD-80D8-2E9899539984}"/>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0992-47CD-80D8-2E9899539984}"/>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992-47CD-80D8-2E9899539984}"/>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0992-47CD-80D8-2E9899539984}"/>
                </c:ext>
              </c:extLst>
            </c:dLbl>
            <c:dLbl>
              <c:idx val="11"/>
              <c:layout>
                <c:manualLayout>
                  <c:x val="0.12469545113155842"/>
                  <c:y val="-5.011386901304872E-2"/>
                </c:manualLayout>
              </c:layout>
              <c:tx>
                <c:rich>
                  <a:bodyPr rot="0" spcFirstLastPara="1" vertOverflow="ellipsis" vert="horz" wrap="square" lIns="38100" tIns="19050" rIns="38100" bIns="19050" anchor="ctr" anchorCtr="1">
                    <a:spAutoFit/>
                  </a:bodyPr>
                  <a:lstStyle/>
                  <a:p>
                    <a:pPr>
                      <a:defRPr sz="1050" b="1" i="0" u="none" strike="noStrike" kern="1200" baseline="0">
                        <a:solidFill>
                          <a:srgbClr val="FF0000"/>
                        </a:solidFill>
                        <a:latin typeface="+mn-lt"/>
                        <a:ea typeface="+mn-ea"/>
                        <a:cs typeface="+mn-cs"/>
                      </a:defRPr>
                    </a:pPr>
                    <a:r>
                      <a:rPr lang="en-US"/>
                      <a:t>Promedio</a:t>
                    </a:r>
                  </a:p>
                  <a:p>
                    <a:pPr>
                      <a:defRPr sz="1050" b="1" i="0" u="none" strike="noStrike" kern="1200" baseline="0">
                        <a:solidFill>
                          <a:srgbClr val="FF0000"/>
                        </a:solidFill>
                        <a:latin typeface="+mn-lt"/>
                        <a:ea typeface="+mn-ea"/>
                        <a:cs typeface="+mn-cs"/>
                      </a:defRPr>
                    </a:pPr>
                    <a:r>
                      <a:rPr lang="en-US"/>
                      <a:t>2.1 </a:t>
                    </a:r>
                  </a:p>
                </c:rich>
              </c:tx>
              <c:spPr>
                <a:noFill/>
                <a:ln>
                  <a:noFill/>
                </a:ln>
                <a:effectLst/>
              </c:spPr>
              <c:dLblPos val="r"/>
              <c:showLegendKey val="0"/>
              <c:showVal val="1"/>
              <c:showCatName val="0"/>
              <c:showSerName val="1"/>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0992-47CD-80D8-2E9899539984}"/>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992-47CD-80D8-2E9899539984}"/>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0992-47CD-80D8-2E9899539984}"/>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0992-47CD-80D8-2E9899539984}"/>
                </c:ext>
              </c:extLst>
            </c:dLbl>
            <c:dLbl>
              <c:idx val="1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0992-47CD-80D8-2E9899539984}"/>
                </c:ext>
              </c:extLst>
            </c:dLbl>
            <c:dLbl>
              <c:idx val="1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0992-47CD-80D8-2E9899539984}"/>
                </c:ext>
              </c:extLst>
            </c:dLbl>
            <c:dLbl>
              <c:idx val="1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0992-47CD-80D8-2E9899539984}"/>
                </c:ext>
              </c:extLst>
            </c:dLbl>
            <c:dLbl>
              <c:idx val="1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0992-47CD-80D8-2E9899539984}"/>
                </c:ext>
              </c:extLst>
            </c:dLbl>
            <c:dLbl>
              <c:idx val="1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0992-47CD-80D8-2E9899539984}"/>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GT"/>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Déficit!$D$11:$D$30</c:f>
              <c:strCach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strCache>
            </c:strRef>
          </c:cat>
          <c:val>
            <c:numRef>
              <c:f>Déficit!$F$11:$F$30</c:f>
              <c:numCache>
                <c:formatCode>#,##0.0_ ;\-#,##0.0\ </c:formatCode>
                <c:ptCount val="20"/>
                <c:pt idx="0">
                  <c:v>2.0904495493759718</c:v>
                </c:pt>
                <c:pt idx="1">
                  <c:v>2.0904495493759718</c:v>
                </c:pt>
                <c:pt idx="2">
                  <c:v>2.0904495493759718</c:v>
                </c:pt>
                <c:pt idx="3">
                  <c:v>2.0904495493759718</c:v>
                </c:pt>
                <c:pt idx="4">
                  <c:v>2.0904495493759718</c:v>
                </c:pt>
                <c:pt idx="5">
                  <c:v>2.0904495493759718</c:v>
                </c:pt>
                <c:pt idx="6">
                  <c:v>2.0904495493759718</c:v>
                </c:pt>
                <c:pt idx="7">
                  <c:v>2.0904495493759718</c:v>
                </c:pt>
                <c:pt idx="8">
                  <c:v>2.0904495493759718</c:v>
                </c:pt>
                <c:pt idx="9">
                  <c:v>2.0904495493759718</c:v>
                </c:pt>
                <c:pt idx="10">
                  <c:v>2.0904495493759718</c:v>
                </c:pt>
                <c:pt idx="11">
                  <c:v>2.0904495493759718</c:v>
                </c:pt>
                <c:pt idx="12">
                  <c:v>2.0904495493759718</c:v>
                </c:pt>
                <c:pt idx="13">
                  <c:v>2.0904495493759718</c:v>
                </c:pt>
                <c:pt idx="14">
                  <c:v>2.0904495493759718</c:v>
                </c:pt>
                <c:pt idx="15">
                  <c:v>2.0904495493759718</c:v>
                </c:pt>
                <c:pt idx="16">
                  <c:v>2.0904495493759718</c:v>
                </c:pt>
                <c:pt idx="17">
                  <c:v>2.0904495493759718</c:v>
                </c:pt>
                <c:pt idx="18">
                  <c:v>2.0904495493759718</c:v>
                </c:pt>
                <c:pt idx="19">
                  <c:v>2.0904495493759718</c:v>
                </c:pt>
              </c:numCache>
            </c:numRef>
          </c:val>
          <c:smooth val="0"/>
          <c:extLst xmlns:c16r2="http://schemas.microsoft.com/office/drawing/2015/06/chart">
            <c:ext xmlns:c16="http://schemas.microsoft.com/office/drawing/2014/chart" uri="{C3380CC4-5D6E-409C-BE32-E72D297353CC}">
              <c16:uniqueId val="{00000001-0992-47CD-80D8-2E9899539984}"/>
            </c:ext>
          </c:extLst>
        </c:ser>
        <c:dLbls>
          <c:showLegendKey val="0"/>
          <c:showVal val="0"/>
          <c:showCatName val="0"/>
          <c:showSerName val="0"/>
          <c:showPercent val="0"/>
          <c:showBubbleSize val="0"/>
        </c:dLbls>
        <c:marker val="1"/>
        <c:smooth val="0"/>
        <c:axId val="428664320"/>
        <c:axId val="428665856"/>
      </c:lineChart>
      <c:catAx>
        <c:axId val="428664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GT"/>
          </a:p>
        </c:txPr>
        <c:crossAx val="428665856"/>
        <c:crosses val="autoZero"/>
        <c:auto val="1"/>
        <c:lblAlgn val="ctr"/>
        <c:lblOffset val="100"/>
        <c:noMultiLvlLbl val="0"/>
      </c:catAx>
      <c:valAx>
        <c:axId val="428665856"/>
        <c:scaling>
          <c:orientation val="minMax"/>
          <c:max val="5"/>
        </c:scaling>
        <c:delete val="0"/>
        <c:axPos val="l"/>
        <c:numFmt formatCode="#,##0.0_ ;\-#,##0.0\ "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GT"/>
          </a:p>
        </c:txPr>
        <c:crossAx val="428664320"/>
        <c:crosses val="autoZero"/>
        <c:crossBetween val="between"/>
      </c:valAx>
      <c:spPr>
        <a:noFill/>
        <a:ln>
          <a:noFill/>
        </a:ln>
        <a:effectLst/>
      </c:spPr>
    </c:plotArea>
    <c:legend>
      <c:legendPos val="b"/>
      <c:layout>
        <c:manualLayout>
          <c:xMode val="edge"/>
          <c:yMode val="edge"/>
          <c:x val="0.26980757323698512"/>
          <c:y val="0.94266710544973931"/>
          <c:w val="0.50117562129861104"/>
          <c:h val="5.733284074362497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013940474421839E-2"/>
          <c:y val="2.2066859676421541E-2"/>
          <c:w val="0.93097348090922594"/>
          <c:h val="0.92706544971003291"/>
        </c:manualLayout>
      </c:layout>
      <c:lineChart>
        <c:grouping val="standard"/>
        <c:varyColors val="0"/>
        <c:ser>
          <c:idx val="0"/>
          <c:order val="0"/>
          <c:tx>
            <c:strRef>
              <c:f>ICAE!$B$3</c:f>
              <c:strCache>
                <c:ptCount val="1"/>
              </c:strCache>
            </c:strRef>
          </c:tx>
          <c:marker>
            <c:symbol val="none"/>
          </c:marker>
          <c:dLbls>
            <c:dLbl>
              <c:idx val="4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7AD-42BF-9D07-60997180C6F4}"/>
                </c:ext>
              </c:extLst>
            </c:dLbl>
            <c:dLbl>
              <c:idx val="49"/>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7AD-42BF-9D07-60997180C6F4}"/>
                </c:ext>
              </c:extLst>
            </c:dLbl>
            <c:dLbl>
              <c:idx val="51"/>
              <c:layout>
                <c:manualLayout>
                  <c:x val="-4.2147633786102603E-2"/>
                  <c:y val="6.112944436322117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7AD-42BF-9D07-60997180C6F4}"/>
                </c:ext>
              </c:extLst>
            </c:dLbl>
            <c:dLbl>
              <c:idx val="56"/>
              <c:layout>
                <c:manualLayout>
                  <c:x val="-1.0753492880599702E-3"/>
                  <c:y val="8.7654643302213134E-2"/>
                </c:manualLayout>
              </c:layout>
              <c:tx>
                <c:rich>
                  <a:bodyPr/>
                  <a:lstStyle/>
                  <a:p>
                    <a:r>
                      <a:rPr lang="en-US" sz="800" b="1"/>
                      <a:t>49.84</a:t>
                    </a:r>
                    <a:endParaRPr lang="en-US"/>
                  </a:p>
                </c:rich>
              </c:tx>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7AD-42BF-9D07-60997180C6F4}"/>
                </c:ext>
              </c:extLst>
            </c:dLbl>
            <c:spPr>
              <a:noFill/>
              <a:ln>
                <a:noFill/>
              </a:ln>
              <a:effectLst/>
            </c:spPr>
            <c:txPr>
              <a:bodyPr/>
              <a:lstStyle/>
              <a:p>
                <a:pPr>
                  <a:defRPr sz="800" b="1"/>
                </a:pPr>
                <a:endParaRPr lang="es-GT"/>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a:noFill/>
                    </a:ln>
                  </c:spPr>
                </c15:leaderLines>
              </c:ext>
            </c:extLst>
          </c:dLbls>
          <c:cat>
            <c:numRef>
              <c:f>ICAE!$A$16:$A$75</c:f>
              <c:numCache>
                <c:formatCode>mmm\-yy</c:formatCode>
                <c:ptCount val="60"/>
                <c:pt idx="0">
                  <c:v>42370</c:v>
                </c:pt>
                <c:pt idx="1">
                  <c:v>42401</c:v>
                </c:pt>
                <c:pt idx="2">
                  <c:v>42430</c:v>
                </c:pt>
                <c:pt idx="3">
                  <c:v>42461</c:v>
                </c:pt>
                <c:pt idx="4">
                  <c:v>42491</c:v>
                </c:pt>
                <c:pt idx="5">
                  <c:v>42522</c:v>
                </c:pt>
                <c:pt idx="6">
                  <c:v>42552</c:v>
                </c:pt>
                <c:pt idx="7">
                  <c:v>42583</c:v>
                </c:pt>
                <c:pt idx="8">
                  <c:v>42614</c:v>
                </c:pt>
                <c:pt idx="9">
                  <c:v>42644</c:v>
                </c:pt>
                <c:pt idx="10">
                  <c:v>42675</c:v>
                </c:pt>
                <c:pt idx="11">
                  <c:v>42705</c:v>
                </c:pt>
                <c:pt idx="12">
                  <c:v>42736</c:v>
                </c:pt>
                <c:pt idx="13">
                  <c:v>42767</c:v>
                </c:pt>
                <c:pt idx="14">
                  <c:v>42795</c:v>
                </c:pt>
                <c:pt idx="15">
                  <c:v>42826</c:v>
                </c:pt>
                <c:pt idx="16">
                  <c:v>42856</c:v>
                </c:pt>
                <c:pt idx="17">
                  <c:v>42887</c:v>
                </c:pt>
                <c:pt idx="18">
                  <c:v>42917</c:v>
                </c:pt>
                <c:pt idx="19">
                  <c:v>42948</c:v>
                </c:pt>
                <c:pt idx="20">
                  <c:v>42979</c:v>
                </c:pt>
                <c:pt idx="21">
                  <c:v>43009</c:v>
                </c:pt>
                <c:pt idx="22">
                  <c:v>43040</c:v>
                </c:pt>
                <c:pt idx="23">
                  <c:v>43070</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pt idx="53">
                  <c:v>43983</c:v>
                </c:pt>
                <c:pt idx="54">
                  <c:v>44013</c:v>
                </c:pt>
                <c:pt idx="55">
                  <c:v>44044</c:v>
                </c:pt>
                <c:pt idx="56">
                  <c:v>44075</c:v>
                </c:pt>
                <c:pt idx="57">
                  <c:v>44105</c:v>
                </c:pt>
                <c:pt idx="58">
                  <c:v>44136</c:v>
                </c:pt>
                <c:pt idx="59">
                  <c:v>44166</c:v>
                </c:pt>
              </c:numCache>
            </c:numRef>
          </c:cat>
          <c:val>
            <c:numRef>
              <c:f>ICAE!$B$16:$B$75</c:f>
              <c:numCache>
                <c:formatCode>0.0</c:formatCode>
                <c:ptCount val="60"/>
                <c:pt idx="0">
                  <c:v>67</c:v>
                </c:pt>
                <c:pt idx="1">
                  <c:v>60.7</c:v>
                </c:pt>
                <c:pt idx="2">
                  <c:v>61.5</c:v>
                </c:pt>
                <c:pt idx="3">
                  <c:v>62.5</c:v>
                </c:pt>
                <c:pt idx="4">
                  <c:v>61.7</c:v>
                </c:pt>
                <c:pt idx="5">
                  <c:v>50.9</c:v>
                </c:pt>
                <c:pt idx="6">
                  <c:v>45</c:v>
                </c:pt>
                <c:pt idx="7">
                  <c:v>37.5</c:v>
                </c:pt>
                <c:pt idx="8">
                  <c:v>38.9</c:v>
                </c:pt>
                <c:pt idx="9">
                  <c:v>45.1</c:v>
                </c:pt>
                <c:pt idx="10">
                  <c:v>43.5</c:v>
                </c:pt>
                <c:pt idx="11">
                  <c:v>57</c:v>
                </c:pt>
                <c:pt idx="12">
                  <c:v>58.04</c:v>
                </c:pt>
                <c:pt idx="13">
                  <c:v>55</c:v>
                </c:pt>
                <c:pt idx="14">
                  <c:v>50</c:v>
                </c:pt>
                <c:pt idx="15">
                  <c:v>54.17</c:v>
                </c:pt>
                <c:pt idx="16">
                  <c:v>53.58</c:v>
                </c:pt>
                <c:pt idx="17">
                  <c:v>50</c:v>
                </c:pt>
                <c:pt idx="18">
                  <c:v>46.67</c:v>
                </c:pt>
                <c:pt idx="19">
                  <c:v>44.45</c:v>
                </c:pt>
                <c:pt idx="20">
                  <c:v>25</c:v>
                </c:pt>
                <c:pt idx="21">
                  <c:v>20.84</c:v>
                </c:pt>
                <c:pt idx="22">
                  <c:v>30.15</c:v>
                </c:pt>
                <c:pt idx="23">
                  <c:v>33.340000000000003</c:v>
                </c:pt>
                <c:pt idx="24" formatCode="General">
                  <c:v>49.22</c:v>
                </c:pt>
                <c:pt idx="25" formatCode="General">
                  <c:v>46.83</c:v>
                </c:pt>
                <c:pt idx="26" formatCode="General">
                  <c:v>47.31</c:v>
                </c:pt>
                <c:pt idx="27" formatCode="General">
                  <c:v>42.88</c:v>
                </c:pt>
                <c:pt idx="28" formatCode="General">
                  <c:v>41.25</c:v>
                </c:pt>
                <c:pt idx="29" formatCode="General">
                  <c:v>44.28</c:v>
                </c:pt>
                <c:pt idx="30" formatCode="General">
                  <c:v>39.58</c:v>
                </c:pt>
                <c:pt idx="31" formatCode="General">
                  <c:v>44.17</c:v>
                </c:pt>
                <c:pt idx="32" formatCode="General">
                  <c:v>44</c:v>
                </c:pt>
                <c:pt idx="33" formatCode="General">
                  <c:v>44.82</c:v>
                </c:pt>
                <c:pt idx="34" formatCode="General">
                  <c:v>45.27</c:v>
                </c:pt>
                <c:pt idx="35" formatCode="General">
                  <c:v>48.81</c:v>
                </c:pt>
                <c:pt idx="36" formatCode="General">
                  <c:v>47.76</c:v>
                </c:pt>
                <c:pt idx="37" formatCode="General">
                  <c:v>43.29</c:v>
                </c:pt>
                <c:pt idx="38" formatCode="General">
                  <c:v>44.58</c:v>
                </c:pt>
                <c:pt idx="39" formatCode="General">
                  <c:v>44.61</c:v>
                </c:pt>
                <c:pt idx="40" formatCode="General">
                  <c:v>46.96</c:v>
                </c:pt>
                <c:pt idx="41" formatCode="General">
                  <c:v>37.520000000000003</c:v>
                </c:pt>
                <c:pt idx="42" formatCode="General">
                  <c:v>42.5</c:v>
                </c:pt>
                <c:pt idx="43" formatCode="General">
                  <c:v>46.7</c:v>
                </c:pt>
                <c:pt idx="44" formatCode="General">
                  <c:v>47.08</c:v>
                </c:pt>
                <c:pt idx="45" formatCode="General">
                  <c:v>52.92</c:v>
                </c:pt>
                <c:pt idx="46" formatCode="General">
                  <c:v>58.16</c:v>
                </c:pt>
                <c:pt idx="47" formatCode="General">
                  <c:v>59.27</c:v>
                </c:pt>
                <c:pt idx="48" formatCode="General">
                  <c:v>66.5</c:v>
                </c:pt>
                <c:pt idx="49" formatCode="General">
                  <c:v>71.069999999999993</c:v>
                </c:pt>
                <c:pt idx="50" formatCode="General">
                  <c:v>57.52</c:v>
                </c:pt>
                <c:pt idx="51" formatCode="General">
                  <c:v>32.64</c:v>
                </c:pt>
                <c:pt idx="52" formatCode="General">
                  <c:v>38.840000000000003</c:v>
                </c:pt>
                <c:pt idx="53" formatCode="General">
                  <c:v>36.4</c:v>
                </c:pt>
                <c:pt idx="54" formatCode="General">
                  <c:v>38.68</c:v>
                </c:pt>
                <c:pt idx="55" formatCode="General">
                  <c:v>47.88</c:v>
                </c:pt>
                <c:pt idx="56" formatCode="General">
                  <c:v>53.38</c:v>
                </c:pt>
                <c:pt idx="57" formatCode="General">
                  <c:v>52.24</c:v>
                </c:pt>
                <c:pt idx="58" formatCode="General">
                  <c:v>49.03</c:v>
                </c:pt>
                <c:pt idx="59" formatCode="General">
                  <c:v>49.84</c:v>
                </c:pt>
              </c:numCache>
            </c:numRef>
          </c:val>
          <c:smooth val="0"/>
          <c:extLst xmlns:c16r2="http://schemas.microsoft.com/office/drawing/2015/06/chart">
            <c:ext xmlns:c16="http://schemas.microsoft.com/office/drawing/2014/chart" uri="{C3380CC4-5D6E-409C-BE32-E72D297353CC}">
              <c16:uniqueId val="{00000003-A7AD-42BF-9D07-60997180C6F4}"/>
            </c:ext>
          </c:extLst>
        </c:ser>
        <c:ser>
          <c:idx val="1"/>
          <c:order val="1"/>
          <c:tx>
            <c:strRef>
              <c:f>ICAE!$C$3</c:f>
              <c:strCache>
                <c:ptCount val="1"/>
              </c:strCache>
            </c:strRef>
          </c:tx>
          <c:marker>
            <c:symbol val="none"/>
          </c:marker>
          <c:dLbls>
            <c:dLbl>
              <c:idx val="35"/>
              <c:layout>
                <c:manualLayout>
                  <c:x val="-0.10064182404897962"/>
                  <c:y val="-3.3810578054401068E-2"/>
                </c:manualLayout>
              </c:layout>
              <c:tx>
                <c:rich>
                  <a:bodyPr/>
                  <a:lstStyle/>
                  <a:p>
                    <a:pPr>
                      <a:defRPr sz="800" b="1"/>
                    </a:pPr>
                    <a:r>
                      <a:rPr lang="en-US" sz="800" b="1"/>
                      <a:t>50.00</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7AD-42BF-9D07-60997180C6F4}"/>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ICAE!$A$16:$A$75</c:f>
              <c:numCache>
                <c:formatCode>mmm\-yy</c:formatCode>
                <c:ptCount val="60"/>
                <c:pt idx="0">
                  <c:v>42370</c:v>
                </c:pt>
                <c:pt idx="1">
                  <c:v>42401</c:v>
                </c:pt>
                <c:pt idx="2">
                  <c:v>42430</c:v>
                </c:pt>
                <c:pt idx="3">
                  <c:v>42461</c:v>
                </c:pt>
                <c:pt idx="4">
                  <c:v>42491</c:v>
                </c:pt>
                <c:pt idx="5">
                  <c:v>42522</c:v>
                </c:pt>
                <c:pt idx="6">
                  <c:v>42552</c:v>
                </c:pt>
                <c:pt idx="7">
                  <c:v>42583</c:v>
                </c:pt>
                <c:pt idx="8">
                  <c:v>42614</c:v>
                </c:pt>
                <c:pt idx="9">
                  <c:v>42644</c:v>
                </c:pt>
                <c:pt idx="10">
                  <c:v>42675</c:v>
                </c:pt>
                <c:pt idx="11">
                  <c:v>42705</c:v>
                </c:pt>
                <c:pt idx="12">
                  <c:v>42736</c:v>
                </c:pt>
                <c:pt idx="13">
                  <c:v>42767</c:v>
                </c:pt>
                <c:pt idx="14">
                  <c:v>42795</c:v>
                </c:pt>
                <c:pt idx="15">
                  <c:v>42826</c:v>
                </c:pt>
                <c:pt idx="16">
                  <c:v>42856</c:v>
                </c:pt>
                <c:pt idx="17">
                  <c:v>42887</c:v>
                </c:pt>
                <c:pt idx="18">
                  <c:v>42917</c:v>
                </c:pt>
                <c:pt idx="19">
                  <c:v>42948</c:v>
                </c:pt>
                <c:pt idx="20">
                  <c:v>42979</c:v>
                </c:pt>
                <c:pt idx="21">
                  <c:v>43009</c:v>
                </c:pt>
                <c:pt idx="22">
                  <c:v>43040</c:v>
                </c:pt>
                <c:pt idx="23">
                  <c:v>43070</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pt idx="53">
                  <c:v>43983</c:v>
                </c:pt>
                <c:pt idx="54">
                  <c:v>44013</c:v>
                </c:pt>
                <c:pt idx="55">
                  <c:v>44044</c:v>
                </c:pt>
                <c:pt idx="56">
                  <c:v>44075</c:v>
                </c:pt>
                <c:pt idx="57">
                  <c:v>44105</c:v>
                </c:pt>
                <c:pt idx="58">
                  <c:v>44136</c:v>
                </c:pt>
                <c:pt idx="59">
                  <c:v>44166</c:v>
                </c:pt>
              </c:numCache>
            </c:numRef>
          </c:cat>
          <c:val>
            <c:numRef>
              <c:f>ICAE!$C$4:$C$75</c:f>
              <c:numCache>
                <c:formatCode>General</c:formatCode>
                <c:ptCount val="72"/>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numCache>
            </c:numRef>
          </c:val>
          <c:smooth val="0"/>
          <c:extLst xmlns:c16r2="http://schemas.microsoft.com/office/drawing/2015/06/chart">
            <c:ext xmlns:c16="http://schemas.microsoft.com/office/drawing/2014/chart" uri="{C3380CC4-5D6E-409C-BE32-E72D297353CC}">
              <c16:uniqueId val="{00000005-A7AD-42BF-9D07-60997180C6F4}"/>
            </c:ext>
          </c:extLst>
        </c:ser>
        <c:dLbls>
          <c:showLegendKey val="0"/>
          <c:showVal val="0"/>
          <c:showCatName val="0"/>
          <c:showSerName val="0"/>
          <c:showPercent val="0"/>
          <c:showBubbleSize val="0"/>
        </c:dLbls>
        <c:marker val="1"/>
        <c:smooth val="0"/>
        <c:axId val="409382912"/>
        <c:axId val="409384448"/>
      </c:lineChart>
      <c:dateAx>
        <c:axId val="409382912"/>
        <c:scaling>
          <c:orientation val="minMax"/>
        </c:scaling>
        <c:delete val="0"/>
        <c:axPos val="b"/>
        <c:numFmt formatCode="mmm\-yy" sourceLinked="1"/>
        <c:majorTickMark val="out"/>
        <c:minorTickMark val="none"/>
        <c:tickLblPos val="nextTo"/>
        <c:txPr>
          <a:bodyPr rot="-5400000" vert="horz"/>
          <a:lstStyle/>
          <a:p>
            <a:pPr>
              <a:defRPr b="1"/>
            </a:pPr>
            <a:endParaRPr lang="es-GT"/>
          </a:p>
        </c:txPr>
        <c:crossAx val="409384448"/>
        <c:crosses val="autoZero"/>
        <c:auto val="1"/>
        <c:lblOffset val="100"/>
        <c:baseTimeUnit val="months"/>
      </c:dateAx>
      <c:valAx>
        <c:axId val="409384448"/>
        <c:scaling>
          <c:orientation val="minMax"/>
          <c:max val="80"/>
        </c:scaling>
        <c:delete val="0"/>
        <c:axPos val="l"/>
        <c:numFmt formatCode="0.0" sourceLinked="1"/>
        <c:majorTickMark val="out"/>
        <c:minorTickMark val="none"/>
        <c:tickLblPos val="nextTo"/>
        <c:txPr>
          <a:bodyPr/>
          <a:lstStyle/>
          <a:p>
            <a:pPr>
              <a:defRPr b="1"/>
            </a:pPr>
            <a:endParaRPr lang="es-GT"/>
          </a:p>
        </c:txPr>
        <c:crossAx val="409382912"/>
        <c:crosses val="autoZero"/>
        <c:crossBetween val="between"/>
        <c:majorUnit val="15"/>
      </c:valAx>
    </c:plotArea>
    <c:plotVisOnly val="1"/>
    <c:dispBlanksAs val="gap"/>
    <c:showDLblsOverMax val="0"/>
  </c:chart>
  <c:spPr>
    <a:ln>
      <a:noFill/>
    </a:ln>
  </c:spPr>
  <c:txPr>
    <a:bodyPr/>
    <a:lstStyle/>
    <a:p>
      <a:pPr>
        <a:defRPr sz="900">
          <a:latin typeface="Times New Roman" pitchFamily="18" charset="0"/>
          <a:cs typeface="Times New Roman" pitchFamily="18" charset="0"/>
        </a:defRPr>
      </a:pPr>
      <a:endParaRPr lang="es-G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726534364545369E-2"/>
          <c:y val="2.354475173627988E-2"/>
          <c:w val="0.89884807008250933"/>
          <c:h val="0.82374866627949384"/>
        </c:manualLayout>
      </c:layout>
      <c:lineChart>
        <c:grouping val="standard"/>
        <c:varyColors val="0"/>
        <c:ser>
          <c:idx val="0"/>
          <c:order val="0"/>
          <c:tx>
            <c:strRef>
              <c:f>'Inflación '!$D$31</c:f>
              <c:strCache>
                <c:ptCount val="1"/>
                <c:pt idx="0">
                  <c:v>Inflación Total </c:v>
                </c:pt>
              </c:strCache>
            </c:strRef>
          </c:tx>
          <c:marker>
            <c:symbol val="none"/>
          </c:marker>
          <c:dLbls>
            <c:dLbl>
              <c:idx val="107"/>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97D-43DF-B9B2-2C49BED5D914}"/>
                </c:ext>
              </c:extLst>
            </c:dLbl>
            <c:spPr>
              <a:noFill/>
              <a:ln>
                <a:noFill/>
              </a:ln>
              <a:effectLst/>
            </c:spPr>
            <c:txPr>
              <a:bodyPr/>
              <a:lstStyle/>
              <a:p>
                <a:pPr>
                  <a:defRPr sz="900"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'Inflación '!$A$32:$A$139</c:f>
              <c:numCache>
                <c:formatCode>mmm\-yy</c:formatCode>
                <c:ptCount val="108"/>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numCache>
            </c:numRef>
          </c:cat>
          <c:val>
            <c:numRef>
              <c:f>'Inflación '!$D$32:$D$139</c:f>
              <c:numCache>
                <c:formatCode>0.00</c:formatCode>
                <c:ptCount val="108"/>
                <c:pt idx="0">
                  <c:v>5.44</c:v>
                </c:pt>
                <c:pt idx="1">
                  <c:v>5.17</c:v>
                </c:pt>
                <c:pt idx="2">
                  <c:v>4.55</c:v>
                </c:pt>
                <c:pt idx="3">
                  <c:v>4.2699999999999996</c:v>
                </c:pt>
                <c:pt idx="4">
                  <c:v>3.9</c:v>
                </c:pt>
                <c:pt idx="5">
                  <c:v>3.47</c:v>
                </c:pt>
                <c:pt idx="6">
                  <c:v>2.86</c:v>
                </c:pt>
                <c:pt idx="7">
                  <c:v>2.71</c:v>
                </c:pt>
                <c:pt idx="8">
                  <c:v>3.28</c:v>
                </c:pt>
                <c:pt idx="9">
                  <c:v>3.35</c:v>
                </c:pt>
                <c:pt idx="10">
                  <c:v>3.11</c:v>
                </c:pt>
                <c:pt idx="11">
                  <c:v>3.45</c:v>
                </c:pt>
                <c:pt idx="12">
                  <c:v>3.86</c:v>
                </c:pt>
                <c:pt idx="13">
                  <c:v>4.18</c:v>
                </c:pt>
                <c:pt idx="14">
                  <c:v>4.34</c:v>
                </c:pt>
                <c:pt idx="15">
                  <c:v>4.13</c:v>
                </c:pt>
                <c:pt idx="16">
                  <c:v>4.2699999999999996</c:v>
                </c:pt>
                <c:pt idx="17">
                  <c:v>4.79</c:v>
                </c:pt>
                <c:pt idx="18">
                  <c:v>4.74</c:v>
                </c:pt>
                <c:pt idx="19">
                  <c:v>4.42</c:v>
                </c:pt>
                <c:pt idx="20">
                  <c:v>4.21</c:v>
                </c:pt>
                <c:pt idx="21">
                  <c:v>4.1500000000000004</c:v>
                </c:pt>
                <c:pt idx="22">
                  <c:v>4.63</c:v>
                </c:pt>
                <c:pt idx="23">
                  <c:v>4.3899999999999997</c:v>
                </c:pt>
                <c:pt idx="24">
                  <c:v>4.1399999999999997</c:v>
                </c:pt>
                <c:pt idx="25">
                  <c:v>3.5</c:v>
                </c:pt>
                <c:pt idx="26">
                  <c:v>3.25</c:v>
                </c:pt>
                <c:pt idx="27">
                  <c:v>3.27</c:v>
                </c:pt>
                <c:pt idx="28">
                  <c:v>3.22</c:v>
                </c:pt>
                <c:pt idx="29">
                  <c:v>3.13</c:v>
                </c:pt>
                <c:pt idx="30">
                  <c:v>3.41</c:v>
                </c:pt>
                <c:pt idx="31">
                  <c:v>3.7</c:v>
                </c:pt>
                <c:pt idx="32">
                  <c:v>3.45</c:v>
                </c:pt>
                <c:pt idx="33">
                  <c:v>3.64</c:v>
                </c:pt>
                <c:pt idx="34">
                  <c:v>3.38</c:v>
                </c:pt>
                <c:pt idx="35">
                  <c:v>2.95</c:v>
                </c:pt>
                <c:pt idx="36">
                  <c:v>2.3199999999999998</c:v>
                </c:pt>
                <c:pt idx="37">
                  <c:v>2.44</c:v>
                </c:pt>
                <c:pt idx="38">
                  <c:v>2.4300000000000002</c:v>
                </c:pt>
                <c:pt idx="39">
                  <c:v>2.58</c:v>
                </c:pt>
                <c:pt idx="40">
                  <c:v>2.5499999999999998</c:v>
                </c:pt>
                <c:pt idx="41">
                  <c:v>2.39</c:v>
                </c:pt>
                <c:pt idx="42">
                  <c:v>2.3199999999999998</c:v>
                </c:pt>
                <c:pt idx="43">
                  <c:v>1.96</c:v>
                </c:pt>
                <c:pt idx="44">
                  <c:v>1.88</c:v>
                </c:pt>
                <c:pt idx="45">
                  <c:v>2.23</c:v>
                </c:pt>
                <c:pt idx="46">
                  <c:v>2.5099999999999998</c:v>
                </c:pt>
                <c:pt idx="47">
                  <c:v>3.07</c:v>
                </c:pt>
                <c:pt idx="48">
                  <c:v>4.38</c:v>
                </c:pt>
                <c:pt idx="49">
                  <c:v>4.2699999999999996</c:v>
                </c:pt>
                <c:pt idx="50">
                  <c:v>4.26</c:v>
                </c:pt>
                <c:pt idx="51">
                  <c:v>4.09</c:v>
                </c:pt>
                <c:pt idx="52">
                  <c:v>4.3600000000000003</c:v>
                </c:pt>
                <c:pt idx="53">
                  <c:v>4.43</c:v>
                </c:pt>
                <c:pt idx="54">
                  <c:v>4.62</c:v>
                </c:pt>
                <c:pt idx="55">
                  <c:v>4.74</c:v>
                </c:pt>
                <c:pt idx="56">
                  <c:v>4.5599999999999996</c:v>
                </c:pt>
                <c:pt idx="57">
                  <c:v>4.76</c:v>
                </c:pt>
                <c:pt idx="58">
                  <c:v>4.67</c:v>
                </c:pt>
                <c:pt idx="59">
                  <c:v>4.2300000000000004</c:v>
                </c:pt>
                <c:pt idx="60">
                  <c:v>3.83</c:v>
                </c:pt>
                <c:pt idx="61">
                  <c:v>3.96</c:v>
                </c:pt>
                <c:pt idx="62">
                  <c:v>4</c:v>
                </c:pt>
                <c:pt idx="63">
                  <c:v>4.09</c:v>
                </c:pt>
                <c:pt idx="64">
                  <c:v>3.93</c:v>
                </c:pt>
                <c:pt idx="65">
                  <c:v>4.3600000000000003</c:v>
                </c:pt>
                <c:pt idx="66">
                  <c:v>5.22</c:v>
                </c:pt>
                <c:pt idx="67">
                  <c:v>4.72</c:v>
                </c:pt>
                <c:pt idx="68">
                  <c:v>4.3600000000000003</c:v>
                </c:pt>
                <c:pt idx="69">
                  <c:v>4.2</c:v>
                </c:pt>
                <c:pt idx="70">
                  <c:v>4.6900000000000004</c:v>
                </c:pt>
                <c:pt idx="71">
                  <c:v>5.68</c:v>
                </c:pt>
                <c:pt idx="72">
                  <c:v>4.71</c:v>
                </c:pt>
                <c:pt idx="73">
                  <c:v>4.1500000000000004</c:v>
                </c:pt>
                <c:pt idx="74">
                  <c:v>4.1399999999999997</c:v>
                </c:pt>
                <c:pt idx="75">
                  <c:v>3.92</c:v>
                </c:pt>
                <c:pt idx="76">
                  <c:v>4.09</c:v>
                </c:pt>
                <c:pt idx="77">
                  <c:v>3.79</c:v>
                </c:pt>
                <c:pt idx="78">
                  <c:v>2.61</c:v>
                </c:pt>
                <c:pt idx="79">
                  <c:v>3.36</c:v>
                </c:pt>
                <c:pt idx="80">
                  <c:v>4.55</c:v>
                </c:pt>
                <c:pt idx="81">
                  <c:v>4.34</c:v>
                </c:pt>
                <c:pt idx="82">
                  <c:v>3.15</c:v>
                </c:pt>
                <c:pt idx="83">
                  <c:v>2.31</c:v>
                </c:pt>
                <c:pt idx="84">
                  <c:v>4.0999999999999996</c:v>
                </c:pt>
                <c:pt idx="85">
                  <c:v>4.46</c:v>
                </c:pt>
                <c:pt idx="86">
                  <c:v>4.17</c:v>
                </c:pt>
                <c:pt idx="87">
                  <c:v>4.75</c:v>
                </c:pt>
                <c:pt idx="88">
                  <c:v>4.54</c:v>
                </c:pt>
                <c:pt idx="89">
                  <c:v>4.8</c:v>
                </c:pt>
                <c:pt idx="90">
                  <c:v>4.37</c:v>
                </c:pt>
                <c:pt idx="91">
                  <c:v>3.01</c:v>
                </c:pt>
                <c:pt idx="92">
                  <c:v>1.8</c:v>
                </c:pt>
                <c:pt idx="93">
                  <c:v>2.17</c:v>
                </c:pt>
                <c:pt idx="94">
                  <c:v>2.92</c:v>
                </c:pt>
                <c:pt idx="95">
                  <c:v>3.41</c:v>
                </c:pt>
                <c:pt idx="96">
                  <c:v>1.78</c:v>
                </c:pt>
                <c:pt idx="97">
                  <c:v>1.24</c:v>
                </c:pt>
                <c:pt idx="98">
                  <c:v>1.77</c:v>
                </c:pt>
                <c:pt idx="99">
                  <c:v>1.88</c:v>
                </c:pt>
                <c:pt idx="100">
                  <c:v>1.8</c:v>
                </c:pt>
                <c:pt idx="101">
                  <c:v>2.39</c:v>
                </c:pt>
                <c:pt idx="102">
                  <c:v>2.88</c:v>
                </c:pt>
                <c:pt idx="103">
                  <c:v>4.1900000000000004</c:v>
                </c:pt>
                <c:pt idx="104">
                  <c:v>4.97</c:v>
                </c:pt>
                <c:pt idx="105">
                  <c:v>5.34</c:v>
                </c:pt>
                <c:pt idx="106">
                  <c:v>5.46</c:v>
                </c:pt>
                <c:pt idx="107">
                  <c:v>4.82</c:v>
                </c:pt>
              </c:numCache>
            </c:numRef>
          </c:val>
          <c:smooth val="0"/>
          <c:extLst xmlns:c16r2="http://schemas.microsoft.com/office/drawing/2015/06/chart">
            <c:ext xmlns:c16="http://schemas.microsoft.com/office/drawing/2014/chart" uri="{C3380CC4-5D6E-409C-BE32-E72D297353CC}">
              <c16:uniqueId val="{00000001-B97D-43DF-B9B2-2C49BED5D914}"/>
            </c:ext>
          </c:extLst>
        </c:ser>
        <c:ser>
          <c:idx val="1"/>
          <c:order val="1"/>
          <c:tx>
            <c:strRef>
              <c:f>'Inflación '!$B$31</c:f>
              <c:strCache>
                <c:ptCount val="1"/>
                <c:pt idx="0">
                  <c:v>Inflación Subyacente</c:v>
                </c:pt>
              </c:strCache>
            </c:strRef>
          </c:tx>
          <c:marker>
            <c:symbol val="none"/>
          </c:marker>
          <c:dLbls>
            <c:dLbl>
              <c:idx val="106"/>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97D-43DF-B9B2-2C49BED5D914}"/>
                </c:ext>
              </c:extLst>
            </c:dLbl>
            <c:spPr>
              <a:noFill/>
              <a:ln>
                <a:noFill/>
              </a:ln>
              <a:effectLst/>
            </c:spPr>
            <c:txPr>
              <a:bodyPr/>
              <a:lstStyle/>
              <a:p>
                <a:pPr>
                  <a:defRPr sz="900"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'Inflación '!$A$32:$A$139</c:f>
              <c:numCache>
                <c:formatCode>mmm\-yy</c:formatCode>
                <c:ptCount val="108"/>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numCache>
            </c:numRef>
          </c:cat>
          <c:val>
            <c:numRef>
              <c:f>'Inflación '!$B$32:$B$139</c:f>
              <c:numCache>
                <c:formatCode>0.00</c:formatCode>
                <c:ptCount val="108"/>
                <c:pt idx="0">
                  <c:v>3.84</c:v>
                </c:pt>
                <c:pt idx="1">
                  <c:v>4</c:v>
                </c:pt>
                <c:pt idx="2">
                  <c:v>4</c:v>
                </c:pt>
                <c:pt idx="3">
                  <c:v>3.9</c:v>
                </c:pt>
                <c:pt idx="4">
                  <c:v>3.95</c:v>
                </c:pt>
                <c:pt idx="5">
                  <c:v>4.04</c:v>
                </c:pt>
                <c:pt idx="6">
                  <c:v>3.94</c:v>
                </c:pt>
                <c:pt idx="7">
                  <c:v>3.71</c:v>
                </c:pt>
                <c:pt idx="8">
                  <c:v>3.54</c:v>
                </c:pt>
                <c:pt idx="9">
                  <c:v>3.46</c:v>
                </c:pt>
                <c:pt idx="10">
                  <c:v>3.56</c:v>
                </c:pt>
                <c:pt idx="11">
                  <c:v>3.49</c:v>
                </c:pt>
                <c:pt idx="12">
                  <c:v>3.35</c:v>
                </c:pt>
                <c:pt idx="13">
                  <c:v>3.12</c:v>
                </c:pt>
                <c:pt idx="14">
                  <c:v>3.06</c:v>
                </c:pt>
                <c:pt idx="15">
                  <c:v>3.08</c:v>
                </c:pt>
                <c:pt idx="16">
                  <c:v>3.02</c:v>
                </c:pt>
                <c:pt idx="17">
                  <c:v>2.94</c:v>
                </c:pt>
                <c:pt idx="18">
                  <c:v>3.04</c:v>
                </c:pt>
                <c:pt idx="19">
                  <c:v>3.23</c:v>
                </c:pt>
                <c:pt idx="20">
                  <c:v>3.28</c:v>
                </c:pt>
                <c:pt idx="21">
                  <c:v>3.32</c:v>
                </c:pt>
                <c:pt idx="22">
                  <c:v>3.2</c:v>
                </c:pt>
                <c:pt idx="23">
                  <c:v>3.25</c:v>
                </c:pt>
                <c:pt idx="24">
                  <c:v>3.23</c:v>
                </c:pt>
                <c:pt idx="25">
                  <c:v>3.26</c:v>
                </c:pt>
                <c:pt idx="26">
                  <c:v>3.19</c:v>
                </c:pt>
                <c:pt idx="27">
                  <c:v>3.18</c:v>
                </c:pt>
                <c:pt idx="28">
                  <c:v>3.21</c:v>
                </c:pt>
                <c:pt idx="29">
                  <c:v>3.23</c:v>
                </c:pt>
                <c:pt idx="30">
                  <c:v>3.27</c:v>
                </c:pt>
                <c:pt idx="31">
                  <c:v>3.2</c:v>
                </c:pt>
                <c:pt idx="32">
                  <c:v>3.1</c:v>
                </c:pt>
                <c:pt idx="33">
                  <c:v>3.11</c:v>
                </c:pt>
                <c:pt idx="34">
                  <c:v>3.13</c:v>
                </c:pt>
                <c:pt idx="35">
                  <c:v>3.15</c:v>
                </c:pt>
                <c:pt idx="36">
                  <c:v>3.17</c:v>
                </c:pt>
                <c:pt idx="37">
                  <c:v>3.2</c:v>
                </c:pt>
                <c:pt idx="38">
                  <c:v>3.24</c:v>
                </c:pt>
                <c:pt idx="39">
                  <c:v>3.18</c:v>
                </c:pt>
                <c:pt idx="40">
                  <c:v>3.26</c:v>
                </c:pt>
                <c:pt idx="41">
                  <c:v>3.18</c:v>
                </c:pt>
                <c:pt idx="42">
                  <c:v>3.15</c:v>
                </c:pt>
                <c:pt idx="43">
                  <c:v>3.03</c:v>
                </c:pt>
                <c:pt idx="44">
                  <c:v>2.94</c:v>
                </c:pt>
                <c:pt idx="45">
                  <c:v>3</c:v>
                </c:pt>
                <c:pt idx="46">
                  <c:v>3.06</c:v>
                </c:pt>
                <c:pt idx="47">
                  <c:v>3.05</c:v>
                </c:pt>
                <c:pt idx="48">
                  <c:v>3.16</c:v>
                </c:pt>
                <c:pt idx="49">
                  <c:v>3.1</c:v>
                </c:pt>
                <c:pt idx="50">
                  <c:v>3.08</c:v>
                </c:pt>
                <c:pt idx="51">
                  <c:v>3.03</c:v>
                </c:pt>
                <c:pt idx="52">
                  <c:v>2.87</c:v>
                </c:pt>
                <c:pt idx="53">
                  <c:v>2.94</c:v>
                </c:pt>
                <c:pt idx="54">
                  <c:v>2.92</c:v>
                </c:pt>
                <c:pt idx="55">
                  <c:v>2.76</c:v>
                </c:pt>
                <c:pt idx="56">
                  <c:v>2.84</c:v>
                </c:pt>
                <c:pt idx="57">
                  <c:v>2.9</c:v>
                </c:pt>
                <c:pt idx="58">
                  <c:v>2.94</c:v>
                </c:pt>
                <c:pt idx="59">
                  <c:v>2.96</c:v>
                </c:pt>
                <c:pt idx="60">
                  <c:v>2.66</c:v>
                </c:pt>
                <c:pt idx="61">
                  <c:v>2.57</c:v>
                </c:pt>
                <c:pt idx="62">
                  <c:v>2.62</c:v>
                </c:pt>
                <c:pt idx="63">
                  <c:v>2.58</c:v>
                </c:pt>
                <c:pt idx="64">
                  <c:v>2.61</c:v>
                </c:pt>
                <c:pt idx="65">
                  <c:v>2.6</c:v>
                </c:pt>
                <c:pt idx="66">
                  <c:v>2.57</c:v>
                </c:pt>
                <c:pt idx="67">
                  <c:v>2.79</c:v>
                </c:pt>
                <c:pt idx="68">
                  <c:v>2.87</c:v>
                </c:pt>
                <c:pt idx="69">
                  <c:v>2.9</c:v>
                </c:pt>
                <c:pt idx="70">
                  <c:v>2.92</c:v>
                </c:pt>
                <c:pt idx="71">
                  <c:v>2.95</c:v>
                </c:pt>
                <c:pt idx="72">
                  <c:v>2.66</c:v>
                </c:pt>
                <c:pt idx="73">
                  <c:v>2.57</c:v>
                </c:pt>
                <c:pt idx="74">
                  <c:v>2.62</c:v>
                </c:pt>
                <c:pt idx="75">
                  <c:v>2.58</c:v>
                </c:pt>
                <c:pt idx="76">
                  <c:v>2.61</c:v>
                </c:pt>
                <c:pt idx="77">
                  <c:v>2.6</c:v>
                </c:pt>
                <c:pt idx="78">
                  <c:v>2.57</c:v>
                </c:pt>
                <c:pt idx="79">
                  <c:v>2.79</c:v>
                </c:pt>
                <c:pt idx="80">
                  <c:v>2.87</c:v>
                </c:pt>
                <c:pt idx="81">
                  <c:v>2.9</c:v>
                </c:pt>
                <c:pt idx="82">
                  <c:v>2.92</c:v>
                </c:pt>
                <c:pt idx="83">
                  <c:v>2.95</c:v>
                </c:pt>
                <c:pt idx="84">
                  <c:v>3.03</c:v>
                </c:pt>
                <c:pt idx="85">
                  <c:v>3.07</c:v>
                </c:pt>
                <c:pt idx="86">
                  <c:v>2.94</c:v>
                </c:pt>
                <c:pt idx="87">
                  <c:v>3.04</c:v>
                </c:pt>
                <c:pt idx="88">
                  <c:v>3.02</c:v>
                </c:pt>
                <c:pt idx="89">
                  <c:v>3.09</c:v>
                </c:pt>
                <c:pt idx="90">
                  <c:v>3.16</c:v>
                </c:pt>
                <c:pt idx="91">
                  <c:v>3.05</c:v>
                </c:pt>
                <c:pt idx="92">
                  <c:v>2.88</c:v>
                </c:pt>
                <c:pt idx="93">
                  <c:v>2.98</c:v>
                </c:pt>
                <c:pt idx="94">
                  <c:v>3.07</c:v>
                </c:pt>
                <c:pt idx="95">
                  <c:v>3.12</c:v>
                </c:pt>
                <c:pt idx="96">
                  <c:v>2.83</c:v>
                </c:pt>
                <c:pt idx="97">
                  <c:v>2.57</c:v>
                </c:pt>
                <c:pt idx="98">
                  <c:v>2.64</c:v>
                </c:pt>
                <c:pt idx="99">
                  <c:v>2.6</c:v>
                </c:pt>
                <c:pt idx="100">
                  <c:v>2.44</c:v>
                </c:pt>
                <c:pt idx="101">
                  <c:v>2.3199999999999998</c:v>
                </c:pt>
                <c:pt idx="102">
                  <c:v>2.16</c:v>
                </c:pt>
                <c:pt idx="103">
                  <c:v>2.2999999999999998</c:v>
                </c:pt>
                <c:pt idx="104">
                  <c:v>2.34</c:v>
                </c:pt>
                <c:pt idx="105">
                  <c:v>2.2999999999999998</c:v>
                </c:pt>
                <c:pt idx="106">
                  <c:v>2.2999999999999998</c:v>
                </c:pt>
              </c:numCache>
            </c:numRef>
          </c:val>
          <c:smooth val="0"/>
          <c:extLst xmlns:c16r2="http://schemas.microsoft.com/office/drawing/2015/06/chart">
            <c:ext xmlns:c16="http://schemas.microsoft.com/office/drawing/2014/chart" uri="{C3380CC4-5D6E-409C-BE32-E72D297353CC}">
              <c16:uniqueId val="{00000003-B97D-43DF-B9B2-2C49BED5D914}"/>
            </c:ext>
          </c:extLst>
        </c:ser>
        <c:ser>
          <c:idx val="2"/>
          <c:order val="2"/>
          <c:tx>
            <c:strRef>
              <c:f>'Inflación '!$C$31</c:f>
              <c:strCache>
                <c:ptCount val="1"/>
                <c:pt idx="0">
                  <c:v>Rango inferior meta</c:v>
                </c:pt>
              </c:strCache>
            </c:strRef>
          </c:tx>
          <c:marker>
            <c:symbol val="none"/>
          </c:marker>
          <c:cat>
            <c:numRef>
              <c:f>'Inflación '!$A$32:$A$139</c:f>
              <c:numCache>
                <c:formatCode>mmm\-yy</c:formatCode>
                <c:ptCount val="108"/>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numCache>
            </c:numRef>
          </c:cat>
          <c:val>
            <c:numRef>
              <c:f>'Inflación '!$C$32:$C$139</c:f>
              <c:numCache>
                <c:formatCode>0.00</c:formatCode>
                <c:ptCount val="108"/>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pt idx="96">
                  <c:v>3</c:v>
                </c:pt>
                <c:pt idx="97">
                  <c:v>3</c:v>
                </c:pt>
                <c:pt idx="98">
                  <c:v>3</c:v>
                </c:pt>
                <c:pt idx="99">
                  <c:v>3</c:v>
                </c:pt>
                <c:pt idx="100">
                  <c:v>3</c:v>
                </c:pt>
                <c:pt idx="101">
                  <c:v>3</c:v>
                </c:pt>
                <c:pt idx="102">
                  <c:v>3</c:v>
                </c:pt>
                <c:pt idx="103">
                  <c:v>3</c:v>
                </c:pt>
                <c:pt idx="104">
                  <c:v>3</c:v>
                </c:pt>
                <c:pt idx="105">
                  <c:v>3</c:v>
                </c:pt>
                <c:pt idx="106">
                  <c:v>3</c:v>
                </c:pt>
                <c:pt idx="107">
                  <c:v>3</c:v>
                </c:pt>
              </c:numCache>
            </c:numRef>
          </c:val>
          <c:smooth val="0"/>
          <c:extLst xmlns:c16r2="http://schemas.microsoft.com/office/drawing/2015/06/chart">
            <c:ext xmlns:c16="http://schemas.microsoft.com/office/drawing/2014/chart" uri="{C3380CC4-5D6E-409C-BE32-E72D297353CC}">
              <c16:uniqueId val="{00000004-B97D-43DF-B9B2-2C49BED5D914}"/>
            </c:ext>
          </c:extLst>
        </c:ser>
        <c:ser>
          <c:idx val="3"/>
          <c:order val="3"/>
          <c:tx>
            <c:strRef>
              <c:f>'Inflación '!$E$31</c:f>
              <c:strCache>
                <c:ptCount val="1"/>
                <c:pt idx="0">
                  <c:v>Rango superior meta</c:v>
                </c:pt>
              </c:strCache>
            </c:strRef>
          </c:tx>
          <c:marker>
            <c:symbol val="none"/>
          </c:marker>
          <c:cat>
            <c:numRef>
              <c:f>'Inflación '!$A$32:$A$139</c:f>
              <c:numCache>
                <c:formatCode>mmm\-yy</c:formatCode>
                <c:ptCount val="108"/>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numCache>
            </c:numRef>
          </c:cat>
          <c:val>
            <c:numRef>
              <c:f>'Inflación '!$E$32:$E$139</c:f>
              <c:numCache>
                <c:formatCode>0.00</c:formatCode>
                <c:ptCount val="108"/>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pt idx="90">
                  <c:v>5</c:v>
                </c:pt>
                <c:pt idx="91">
                  <c:v>5</c:v>
                </c:pt>
                <c:pt idx="92">
                  <c:v>5</c:v>
                </c:pt>
                <c:pt idx="93">
                  <c:v>5</c:v>
                </c:pt>
                <c:pt idx="94">
                  <c:v>5</c:v>
                </c:pt>
                <c:pt idx="95">
                  <c:v>5</c:v>
                </c:pt>
                <c:pt idx="96">
                  <c:v>5</c:v>
                </c:pt>
                <c:pt idx="97">
                  <c:v>5</c:v>
                </c:pt>
                <c:pt idx="98">
                  <c:v>5</c:v>
                </c:pt>
                <c:pt idx="99">
                  <c:v>5</c:v>
                </c:pt>
                <c:pt idx="100">
                  <c:v>5</c:v>
                </c:pt>
                <c:pt idx="101">
                  <c:v>5</c:v>
                </c:pt>
                <c:pt idx="102">
                  <c:v>5</c:v>
                </c:pt>
                <c:pt idx="103">
                  <c:v>5</c:v>
                </c:pt>
                <c:pt idx="104">
                  <c:v>5</c:v>
                </c:pt>
                <c:pt idx="105">
                  <c:v>5</c:v>
                </c:pt>
                <c:pt idx="106">
                  <c:v>5</c:v>
                </c:pt>
                <c:pt idx="107">
                  <c:v>5</c:v>
                </c:pt>
              </c:numCache>
            </c:numRef>
          </c:val>
          <c:smooth val="0"/>
          <c:extLst xmlns:c16r2="http://schemas.microsoft.com/office/drawing/2015/06/chart">
            <c:ext xmlns:c16="http://schemas.microsoft.com/office/drawing/2014/chart" uri="{C3380CC4-5D6E-409C-BE32-E72D297353CC}">
              <c16:uniqueId val="{00000005-B97D-43DF-B9B2-2C49BED5D914}"/>
            </c:ext>
          </c:extLst>
        </c:ser>
        <c:dLbls>
          <c:showLegendKey val="0"/>
          <c:showVal val="0"/>
          <c:showCatName val="0"/>
          <c:showSerName val="0"/>
          <c:showPercent val="0"/>
          <c:showBubbleSize val="0"/>
        </c:dLbls>
        <c:marker val="1"/>
        <c:smooth val="0"/>
        <c:axId val="410729856"/>
        <c:axId val="410764416"/>
      </c:lineChart>
      <c:dateAx>
        <c:axId val="410729856"/>
        <c:scaling>
          <c:orientation val="minMax"/>
        </c:scaling>
        <c:delete val="0"/>
        <c:axPos val="b"/>
        <c:numFmt formatCode="mmm\-yy" sourceLinked="1"/>
        <c:majorTickMark val="none"/>
        <c:minorTickMark val="none"/>
        <c:tickLblPos val="nextTo"/>
        <c:txPr>
          <a:bodyPr/>
          <a:lstStyle/>
          <a:p>
            <a:pPr>
              <a:defRPr sz="900" b="1"/>
            </a:pPr>
            <a:endParaRPr lang="es-GT"/>
          </a:p>
        </c:txPr>
        <c:crossAx val="410764416"/>
        <c:crosses val="autoZero"/>
        <c:auto val="1"/>
        <c:lblOffset val="100"/>
        <c:baseTimeUnit val="months"/>
      </c:dateAx>
      <c:valAx>
        <c:axId val="410764416"/>
        <c:scaling>
          <c:orientation val="minMax"/>
        </c:scaling>
        <c:delete val="0"/>
        <c:axPos val="l"/>
        <c:numFmt formatCode="0.00" sourceLinked="1"/>
        <c:majorTickMark val="none"/>
        <c:minorTickMark val="none"/>
        <c:tickLblPos val="nextTo"/>
        <c:spPr>
          <a:ln w="9525">
            <a:noFill/>
          </a:ln>
        </c:spPr>
        <c:txPr>
          <a:bodyPr/>
          <a:lstStyle/>
          <a:p>
            <a:pPr>
              <a:defRPr sz="900" b="1"/>
            </a:pPr>
            <a:endParaRPr lang="es-GT"/>
          </a:p>
        </c:txPr>
        <c:crossAx val="410729856"/>
        <c:crosses val="autoZero"/>
        <c:crossBetween val="between"/>
      </c:valAx>
    </c:plotArea>
    <c:legend>
      <c:legendPos val="b"/>
      <c:layout>
        <c:manualLayout>
          <c:xMode val="edge"/>
          <c:yMode val="edge"/>
          <c:x val="6.7740590470997661E-2"/>
          <c:y val="0.61432517118893581"/>
          <c:w val="0.65858987585818574"/>
          <c:h val="0.18552757169736978"/>
        </c:manualLayout>
      </c:layout>
      <c:overlay val="0"/>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4934231702739624E-2"/>
          <c:y val="1.6084729649281402E-2"/>
          <c:w val="0.89156830503115625"/>
          <c:h val="0.93007988150715226"/>
        </c:manualLayout>
      </c:layout>
      <c:barChart>
        <c:barDir val="col"/>
        <c:grouping val="clustered"/>
        <c:varyColors val="0"/>
        <c:ser>
          <c:idx val="1"/>
          <c:order val="0"/>
          <c:spPr>
            <a:solidFill>
              <a:schemeClr val="tx2"/>
            </a:solidFill>
            <a:scene3d>
              <a:camera prst="orthographicFront"/>
              <a:lightRig rig="threePt" dir="t"/>
            </a:scene3d>
            <a:sp3d>
              <a:bevelT/>
            </a:sp3d>
          </c:spPr>
          <c:invertIfNegative val="0"/>
          <c:dPt>
            <c:idx val="10"/>
            <c:invertIfNegative val="0"/>
            <c:bubble3D val="0"/>
            <c:spPr>
              <a:solidFill>
                <a:schemeClr val="tx2">
                  <a:lumMod val="50000"/>
                </a:schemeClr>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D91F-413E-8FBC-25EFD1663162}"/>
              </c:ext>
            </c:extLst>
          </c:dPt>
          <c:dLbls>
            <c:numFmt formatCode="#,##0.0" sourceLinked="0"/>
            <c:spPr>
              <a:noFill/>
              <a:ln>
                <a:noFill/>
              </a:ln>
              <a:effectLst/>
            </c:spPr>
            <c:txPr>
              <a:bodyPr/>
              <a:lstStyle/>
              <a:p>
                <a:pPr>
                  <a:defRPr sz="700" b="1" i="0" u="none" strike="noStrike" baseline="0">
                    <a:solidFill>
                      <a:srgbClr val="000000"/>
                    </a:solidFill>
                    <a:latin typeface="Calibri"/>
                    <a:ea typeface="Calibri"/>
                    <a:cs typeface="Calibri"/>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Remesas!$B$10:$L$10</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Remesas!$B$11:$L$11</c:f>
              <c:numCache>
                <c:formatCode>_(* #,##0.00_);_(* \(#,##0.00\);_(* "-"??_);_(@_)</c:formatCode>
                <c:ptCount val="11"/>
                <c:pt idx="0">
                  <c:v>4126.7840999999999</c:v>
                </c:pt>
                <c:pt idx="1">
                  <c:v>4378.0320000000002</c:v>
                </c:pt>
                <c:pt idx="2">
                  <c:v>4782.7287000000006</c:v>
                </c:pt>
                <c:pt idx="3">
                  <c:v>5105.1890000000003</c:v>
                </c:pt>
                <c:pt idx="4">
                  <c:v>5544.0975999999991</c:v>
                </c:pt>
                <c:pt idx="5">
                  <c:v>6284.9778421999999</c:v>
                </c:pt>
                <c:pt idx="6">
                  <c:v>7159.9676000000009</c:v>
                </c:pt>
                <c:pt idx="7">
                  <c:v>8192.213099999999</c:v>
                </c:pt>
                <c:pt idx="8">
                  <c:v>9287.7706999999991</c:v>
                </c:pt>
                <c:pt idx="9">
                  <c:v>10508.3074</c:v>
                </c:pt>
                <c:pt idx="10">
                  <c:v>11340.4156361</c:v>
                </c:pt>
              </c:numCache>
            </c:numRef>
          </c:val>
          <c:extLst xmlns:c16r2="http://schemas.microsoft.com/office/drawing/2015/06/chart">
            <c:ext xmlns:c16="http://schemas.microsoft.com/office/drawing/2014/chart" uri="{C3380CC4-5D6E-409C-BE32-E72D297353CC}">
              <c16:uniqueId val="{00000002-D91F-413E-8FBC-25EFD1663162}"/>
            </c:ext>
          </c:extLst>
        </c:ser>
        <c:dLbls>
          <c:showLegendKey val="0"/>
          <c:showVal val="0"/>
          <c:showCatName val="0"/>
          <c:showSerName val="0"/>
          <c:showPercent val="0"/>
          <c:showBubbleSize val="0"/>
        </c:dLbls>
        <c:gapWidth val="30"/>
        <c:axId val="412032000"/>
        <c:axId val="412033792"/>
      </c:barChart>
      <c:catAx>
        <c:axId val="412032000"/>
        <c:scaling>
          <c:orientation val="minMax"/>
        </c:scaling>
        <c:delete val="0"/>
        <c:axPos val="b"/>
        <c:numFmt formatCode="General" sourceLinked="1"/>
        <c:majorTickMark val="out"/>
        <c:minorTickMark val="none"/>
        <c:tickLblPos val="nextTo"/>
        <c:txPr>
          <a:bodyPr rot="0" vert="horz"/>
          <a:lstStyle/>
          <a:p>
            <a:pPr>
              <a:defRPr sz="800" b="1" i="0" u="none" strike="noStrike" baseline="0">
                <a:solidFill>
                  <a:srgbClr val="000000"/>
                </a:solidFill>
                <a:latin typeface="Calibri"/>
                <a:ea typeface="Calibri"/>
                <a:cs typeface="Calibri"/>
              </a:defRPr>
            </a:pPr>
            <a:endParaRPr lang="es-GT"/>
          </a:p>
        </c:txPr>
        <c:crossAx val="412033792"/>
        <c:crosses val="autoZero"/>
        <c:auto val="1"/>
        <c:lblAlgn val="ctr"/>
        <c:lblOffset val="100"/>
        <c:noMultiLvlLbl val="0"/>
      </c:catAx>
      <c:valAx>
        <c:axId val="412033792"/>
        <c:scaling>
          <c:orientation val="minMax"/>
        </c:scaling>
        <c:delete val="0"/>
        <c:axPos val="l"/>
        <c:numFmt formatCode="#,##0.0" sourceLinked="0"/>
        <c:majorTickMark val="out"/>
        <c:minorTickMark val="none"/>
        <c:tickLblPos val="nextTo"/>
        <c:txPr>
          <a:bodyPr rot="0" vert="horz"/>
          <a:lstStyle/>
          <a:p>
            <a:pPr>
              <a:defRPr sz="800" b="1" i="0" u="none" strike="noStrike" baseline="0">
                <a:solidFill>
                  <a:srgbClr val="000000"/>
                </a:solidFill>
                <a:latin typeface="Calibri"/>
                <a:ea typeface="Calibri"/>
                <a:cs typeface="Calibri"/>
              </a:defRPr>
            </a:pPr>
            <a:endParaRPr lang="es-GT"/>
          </a:p>
        </c:txPr>
        <c:crossAx val="412032000"/>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s-G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3922999420429476E-2"/>
          <c:y val="1.5083471377940593E-2"/>
          <c:w val="0.88777954752617649"/>
          <c:h val="0.93443233868240982"/>
        </c:manualLayout>
      </c:layout>
      <c:barChart>
        <c:barDir val="col"/>
        <c:grouping val="clustered"/>
        <c:varyColors val="0"/>
        <c:ser>
          <c:idx val="1"/>
          <c:order val="0"/>
          <c:spPr>
            <a:solidFill>
              <a:schemeClr val="tx2"/>
            </a:solidFill>
            <a:scene3d>
              <a:camera prst="orthographicFront"/>
              <a:lightRig rig="threePt" dir="t"/>
            </a:scene3d>
            <a:sp3d>
              <a:bevelT/>
            </a:sp3d>
          </c:spPr>
          <c:invertIfNegative val="0"/>
          <c:dPt>
            <c:idx val="9"/>
            <c:invertIfNegative val="0"/>
            <c:bubble3D val="0"/>
            <c:spPr>
              <a:solidFill>
                <a:schemeClr val="tx2"/>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FDFF-47AD-8464-D160E3E52C2E}"/>
              </c:ext>
            </c:extLst>
          </c:dPt>
          <c:dPt>
            <c:idx val="10"/>
            <c:invertIfNegative val="0"/>
            <c:bubble3D val="0"/>
            <c:spPr>
              <a:solidFill>
                <a:schemeClr val="tx2">
                  <a:lumMod val="50000"/>
                </a:schemeClr>
              </a:solidFill>
              <a:ln>
                <a:solidFill>
                  <a:schemeClr val="tx2">
                    <a:lumMod val="50000"/>
                  </a:schemeClr>
                </a:solidFill>
              </a:ln>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FDFF-47AD-8464-D160E3E52C2E}"/>
              </c:ext>
            </c:extLst>
          </c:dPt>
          <c:dLbls>
            <c:numFmt formatCode="#,##0.0" sourceLinked="0"/>
            <c:spPr>
              <a:noFill/>
              <a:ln>
                <a:noFill/>
              </a:ln>
              <a:effectLst/>
            </c:spPr>
            <c:txPr>
              <a:bodyPr/>
              <a:lstStyle/>
              <a:p>
                <a:pPr>
                  <a:defRPr sz="700" b="1"/>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RMI!$B$36:$B$46</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RMI!$C$36:$C$46</c:f>
              <c:numCache>
                <c:formatCode>#,##0.0</c:formatCode>
                <c:ptCount val="11"/>
                <c:pt idx="0">
                  <c:v>5953.8</c:v>
                </c:pt>
                <c:pt idx="1">
                  <c:v>6187.9</c:v>
                </c:pt>
                <c:pt idx="2">
                  <c:v>6693.8</c:v>
                </c:pt>
                <c:pt idx="3">
                  <c:v>7272.6</c:v>
                </c:pt>
                <c:pt idx="4">
                  <c:v>7333.4</c:v>
                </c:pt>
                <c:pt idx="5">
                  <c:v>7751.2</c:v>
                </c:pt>
                <c:pt idx="6">
                  <c:v>9160.4</c:v>
                </c:pt>
                <c:pt idx="7">
                  <c:v>11769.5</c:v>
                </c:pt>
                <c:pt idx="8">
                  <c:v>12755.6</c:v>
                </c:pt>
                <c:pt idx="9">
                  <c:v>14789</c:v>
                </c:pt>
                <c:pt idx="10">
                  <c:v>18468.2</c:v>
                </c:pt>
              </c:numCache>
            </c:numRef>
          </c:val>
          <c:extLst xmlns:c16r2="http://schemas.microsoft.com/office/drawing/2015/06/chart">
            <c:ext xmlns:c16="http://schemas.microsoft.com/office/drawing/2014/chart" uri="{C3380CC4-5D6E-409C-BE32-E72D297353CC}">
              <c16:uniqueId val="{00000004-FDFF-47AD-8464-D160E3E52C2E}"/>
            </c:ext>
          </c:extLst>
        </c:ser>
        <c:dLbls>
          <c:showLegendKey val="0"/>
          <c:showVal val="0"/>
          <c:showCatName val="0"/>
          <c:showSerName val="0"/>
          <c:showPercent val="0"/>
          <c:showBubbleSize val="0"/>
        </c:dLbls>
        <c:gapWidth val="30"/>
        <c:axId val="417500160"/>
        <c:axId val="417501952"/>
      </c:barChart>
      <c:catAx>
        <c:axId val="417500160"/>
        <c:scaling>
          <c:orientation val="minMax"/>
        </c:scaling>
        <c:delete val="0"/>
        <c:axPos val="b"/>
        <c:numFmt formatCode="General" sourceLinked="1"/>
        <c:majorTickMark val="out"/>
        <c:minorTickMark val="none"/>
        <c:tickLblPos val="nextTo"/>
        <c:txPr>
          <a:bodyPr/>
          <a:lstStyle/>
          <a:p>
            <a:pPr>
              <a:defRPr sz="800" b="1"/>
            </a:pPr>
            <a:endParaRPr lang="es-GT"/>
          </a:p>
        </c:txPr>
        <c:crossAx val="417501952"/>
        <c:crosses val="autoZero"/>
        <c:auto val="1"/>
        <c:lblAlgn val="ctr"/>
        <c:lblOffset val="100"/>
        <c:noMultiLvlLbl val="0"/>
      </c:catAx>
      <c:valAx>
        <c:axId val="417501952"/>
        <c:scaling>
          <c:orientation val="minMax"/>
        </c:scaling>
        <c:delete val="0"/>
        <c:axPos val="l"/>
        <c:numFmt formatCode="#,##0.0" sourceLinked="1"/>
        <c:majorTickMark val="out"/>
        <c:minorTickMark val="none"/>
        <c:tickLblPos val="nextTo"/>
        <c:txPr>
          <a:bodyPr/>
          <a:lstStyle/>
          <a:p>
            <a:pPr>
              <a:defRPr sz="800" b="1"/>
            </a:pPr>
            <a:endParaRPr lang="es-GT"/>
          </a:p>
        </c:txPr>
        <c:crossAx val="417500160"/>
        <c:crosses val="autoZero"/>
        <c:crossBetween val="between"/>
      </c:valAx>
      <c:spPr>
        <a:ln>
          <a:noFill/>
        </a:ln>
      </c:spPr>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237768609156675E-2"/>
          <c:y val="1.846990612838801E-2"/>
          <c:w val="0.92165163522572602"/>
          <c:h val="0.83800288629516162"/>
        </c:manualLayout>
      </c:layout>
      <c:lineChart>
        <c:grouping val="standard"/>
        <c:varyColors val="0"/>
        <c:ser>
          <c:idx val="0"/>
          <c:order val="0"/>
          <c:spPr>
            <a:ln w="25400"/>
          </c:spPr>
          <c:marker>
            <c:symbol val="none"/>
          </c:marker>
          <c:dLbls>
            <c:dLbl>
              <c:idx val="0"/>
              <c:layout>
                <c:manualLayout>
                  <c:x val="-1.9598765432098767E-2"/>
                  <c:y val="2.2655453618756389E-2"/>
                </c:manualLayout>
              </c:layout>
              <c:tx>
                <c:rich>
                  <a:bodyPr/>
                  <a:lstStyle/>
                  <a:p>
                    <a:r>
                      <a:rPr lang="en-US" b="1"/>
                      <a:t> </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5D9-4C1F-B320-1699DD834EF5}"/>
                </c:ext>
              </c:extLst>
            </c:dLbl>
            <c:dLbl>
              <c:idx val="6"/>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5D9-4C1F-B320-1699DD834EF5}"/>
                </c:ext>
              </c:extLst>
            </c:dLbl>
            <c:dLbl>
              <c:idx val="1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5D9-4C1F-B320-1699DD834EF5}"/>
                </c:ext>
              </c:extLst>
            </c:dLbl>
            <c:dLbl>
              <c:idx val="14"/>
              <c:tx>
                <c:rich>
                  <a:bodyPr/>
                  <a:lstStyle/>
                  <a:p>
                    <a:r>
                      <a:rPr lang="en-US" b="1"/>
                      <a:t> </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5D9-4C1F-B320-1699DD834EF5}"/>
                </c:ext>
              </c:extLst>
            </c:dLbl>
            <c:dLbl>
              <c:idx val="15"/>
              <c:tx>
                <c:rich>
                  <a:bodyPr/>
                  <a:lstStyle/>
                  <a:p>
                    <a:r>
                      <a:rPr lang="en-US" b="1"/>
                      <a:t> </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5D9-4C1F-B320-1699DD834EF5}"/>
                </c:ext>
              </c:extLst>
            </c:dLbl>
            <c:dLbl>
              <c:idx val="18"/>
              <c:layout>
                <c:manualLayout>
                  <c:x val="5.87962962962964E-3"/>
                  <c:y val="-1.94189602446483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5D9-4C1F-B320-1699DD834EF5}"/>
                </c:ext>
              </c:extLst>
            </c:dLbl>
            <c:dLbl>
              <c:idx val="20"/>
              <c:layout>
                <c:manualLayout>
                  <c:x val="-2.5478395061728415E-2"/>
                  <c:y val="2.91284403669724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5D9-4C1F-B320-1699DD834EF5}"/>
                </c:ext>
              </c:extLst>
            </c:dLbl>
            <c:dLbl>
              <c:idx val="38"/>
              <c:layout>
                <c:manualLayout>
                  <c:x val="-7.8395061728395062E-3"/>
                  <c:y val="3.88379204892966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5D9-4C1F-B320-1699DD834EF5}"/>
                </c:ext>
              </c:extLst>
            </c:dLbl>
            <c:dLbl>
              <c:idx val="44"/>
              <c:layout>
                <c:manualLayout>
                  <c:x val="-2.3518518518518518E-2"/>
                  <c:y val="-4.20744138634046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5D9-4C1F-B320-1699DD834EF5}"/>
                </c:ext>
              </c:extLst>
            </c:dLbl>
            <c:dLbl>
              <c:idx val="53"/>
              <c:layout>
                <c:manualLayout>
                  <c:x val="-7.8395061728395114E-3"/>
                  <c:y val="-3.8837920489296643E-2"/>
                </c:manualLayout>
              </c:layout>
              <c:tx>
                <c:rich>
                  <a:bodyPr/>
                  <a:lstStyle/>
                  <a:p>
                    <a:r>
                      <a:rPr lang="en-US" b="1"/>
                      <a:t> </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5D9-4C1F-B320-1699DD834EF5}"/>
                </c:ext>
              </c:extLst>
            </c:dLbl>
            <c:dLbl>
              <c:idx val="63"/>
              <c:layout>
                <c:manualLayout>
                  <c:x val="-2.3731944444444444E-2"/>
                  <c:y val="-3.648369011213047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5D9-4C1F-B320-1699DD834EF5}"/>
                </c:ext>
              </c:extLst>
            </c:dLbl>
            <c:dLbl>
              <c:idx val="69"/>
              <c:layout>
                <c:manualLayout>
                  <c:x val="-2.7438271604938291E-2"/>
                  <c:y val="2.91284403669724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5D9-4C1F-B320-1699DD834EF5}"/>
                </c:ext>
              </c:extLst>
            </c:dLbl>
            <c:dLbl>
              <c:idx val="86"/>
              <c:tx>
                <c:rich>
                  <a:bodyPr/>
                  <a:lstStyle/>
                  <a:p>
                    <a:r>
                      <a:rPr lang="en-US"/>
                      <a:t>4.00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65D9-4C1F-B320-1699DD834EF5}"/>
                </c:ext>
              </c:extLst>
            </c:dLbl>
            <c:dLbl>
              <c:idx val="92"/>
              <c:layout>
                <c:manualLayout>
                  <c:x val="0"/>
                  <c:y val="-1.29459734964322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5D9-4C1F-B320-1699DD834EF5}"/>
                </c:ext>
              </c:extLst>
            </c:dLbl>
            <c:dLbl>
              <c:idx val="114"/>
              <c:layout>
                <c:manualLayout>
                  <c:x val="5.8796296296296296E-3"/>
                  <c:y val="-9.709480122324218E-3"/>
                </c:manualLayout>
              </c:layout>
              <c:tx>
                <c:rich>
                  <a:bodyPr/>
                  <a:lstStyle/>
                  <a:p>
                    <a:r>
                      <a:rPr lang="en-US" b="1"/>
                      <a:t>3.00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65D9-4C1F-B320-1699DD834EF5}"/>
                </c:ext>
              </c:extLst>
            </c:dLbl>
            <c:dLbl>
              <c:idx val="119"/>
              <c:layout>
                <c:manualLayout>
                  <c:x val="0.12109769374551195"/>
                  <c:y val="-5.554816861612615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65D9-4C1F-B320-1699DD834EF5}"/>
                </c:ext>
              </c:extLst>
            </c:dLbl>
            <c:dLbl>
              <c:idx val="148"/>
              <c:layout>
                <c:manualLayout>
                  <c:x val="-2.2629554197782305E-3"/>
                  <c:y val="-4.221635883905013E-2"/>
                </c:manualLayout>
              </c:layout>
              <c:tx>
                <c:rich>
                  <a:bodyPr/>
                  <a:lstStyle/>
                  <a:p>
                    <a:r>
                      <a:rPr lang="en-US"/>
                      <a:t>2.00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65D9-4C1F-B320-1699DD834EF5}"/>
                </c:ext>
              </c:extLst>
            </c:dLbl>
            <c:dLbl>
              <c:idx val="155"/>
              <c:layout>
                <c:manualLayout>
                  <c:x val="-2.6209719900320837E-4"/>
                  <c:y val="1.741710116845664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65D9-4C1F-B320-1699DD834EF5}"/>
                </c:ext>
              </c:extLst>
            </c:dLbl>
            <c:spPr>
              <a:noFill/>
              <a:ln>
                <a:noFill/>
              </a:ln>
              <a:effectLst/>
            </c:spPr>
            <c:txPr>
              <a:bodyPr wrap="square" lIns="38100" tIns="19050" rIns="38100" bIns="19050" anchor="ctr">
                <a:spAutoFit/>
              </a:bodyPr>
              <a:lstStyle/>
              <a:p>
                <a:pPr>
                  <a:defRPr sz="700"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'Tasa lider'!$B$6:$B$161</c:f>
              <c:numCache>
                <c:formatCode>mmm\-yy</c:formatCode>
                <c:ptCount val="156"/>
                <c:pt idx="0">
                  <c:v>39448</c:v>
                </c:pt>
                <c:pt idx="1">
                  <c:v>39479</c:v>
                </c:pt>
                <c:pt idx="2">
                  <c:v>39508</c:v>
                </c:pt>
                <c:pt idx="3">
                  <c:v>39539</c:v>
                </c:pt>
                <c:pt idx="4">
                  <c:v>39569</c:v>
                </c:pt>
                <c:pt idx="5">
                  <c:v>39600</c:v>
                </c:pt>
                <c:pt idx="6">
                  <c:v>39630</c:v>
                </c:pt>
                <c:pt idx="7">
                  <c:v>39661</c:v>
                </c:pt>
                <c:pt idx="8">
                  <c:v>39692</c:v>
                </c:pt>
                <c:pt idx="9">
                  <c:v>39722</c:v>
                </c:pt>
                <c:pt idx="10">
                  <c:v>39753</c:v>
                </c:pt>
                <c:pt idx="11">
                  <c:v>39783</c:v>
                </c:pt>
                <c:pt idx="12">
                  <c:v>39814</c:v>
                </c:pt>
                <c:pt idx="13">
                  <c:v>39845</c:v>
                </c:pt>
                <c:pt idx="14">
                  <c:v>39873</c:v>
                </c:pt>
                <c:pt idx="15">
                  <c:v>39904</c:v>
                </c:pt>
                <c:pt idx="16">
                  <c:v>39934</c:v>
                </c:pt>
                <c:pt idx="17">
                  <c:v>39965</c:v>
                </c:pt>
                <c:pt idx="18">
                  <c:v>39995</c:v>
                </c:pt>
                <c:pt idx="19">
                  <c:v>40026</c:v>
                </c:pt>
                <c:pt idx="20">
                  <c:v>40057</c:v>
                </c:pt>
                <c:pt idx="21">
                  <c:v>40087</c:v>
                </c:pt>
                <c:pt idx="22">
                  <c:v>40118</c:v>
                </c:pt>
                <c:pt idx="23">
                  <c:v>40148</c:v>
                </c:pt>
                <c:pt idx="24">
                  <c:v>40179</c:v>
                </c:pt>
                <c:pt idx="25">
                  <c:v>40210</c:v>
                </c:pt>
                <c:pt idx="26">
                  <c:v>40238</c:v>
                </c:pt>
                <c:pt idx="27">
                  <c:v>40269</c:v>
                </c:pt>
                <c:pt idx="28">
                  <c:v>40299</c:v>
                </c:pt>
                <c:pt idx="29">
                  <c:v>40330</c:v>
                </c:pt>
                <c:pt idx="30">
                  <c:v>40360</c:v>
                </c:pt>
                <c:pt idx="31">
                  <c:v>40391</c:v>
                </c:pt>
                <c:pt idx="32">
                  <c:v>40422</c:v>
                </c:pt>
                <c:pt idx="33">
                  <c:v>40452</c:v>
                </c:pt>
                <c:pt idx="34">
                  <c:v>40483</c:v>
                </c:pt>
                <c:pt idx="35">
                  <c:v>40513</c:v>
                </c:pt>
                <c:pt idx="36">
                  <c:v>40544</c:v>
                </c:pt>
                <c:pt idx="37">
                  <c:v>40575</c:v>
                </c:pt>
                <c:pt idx="38">
                  <c:v>40603</c:v>
                </c:pt>
                <c:pt idx="39">
                  <c:v>40634</c:v>
                </c:pt>
                <c:pt idx="40">
                  <c:v>40664</c:v>
                </c:pt>
                <c:pt idx="41">
                  <c:v>40695</c:v>
                </c:pt>
                <c:pt idx="42">
                  <c:v>40725</c:v>
                </c:pt>
                <c:pt idx="43">
                  <c:v>40756</c:v>
                </c:pt>
                <c:pt idx="44">
                  <c:v>40787</c:v>
                </c:pt>
                <c:pt idx="45">
                  <c:v>40817</c:v>
                </c:pt>
                <c:pt idx="46">
                  <c:v>40848</c:v>
                </c:pt>
                <c:pt idx="47">
                  <c:v>40878</c:v>
                </c:pt>
                <c:pt idx="48">
                  <c:v>40909</c:v>
                </c:pt>
                <c:pt idx="49">
                  <c:v>40940</c:v>
                </c:pt>
                <c:pt idx="50">
                  <c:v>40969</c:v>
                </c:pt>
                <c:pt idx="51">
                  <c:v>41000</c:v>
                </c:pt>
                <c:pt idx="52">
                  <c:v>41030</c:v>
                </c:pt>
                <c:pt idx="53">
                  <c:v>41061</c:v>
                </c:pt>
                <c:pt idx="54">
                  <c:v>41091</c:v>
                </c:pt>
                <c:pt idx="55">
                  <c:v>41122</c:v>
                </c:pt>
                <c:pt idx="56">
                  <c:v>41153</c:v>
                </c:pt>
                <c:pt idx="57">
                  <c:v>41183</c:v>
                </c:pt>
                <c:pt idx="58">
                  <c:v>41214</c:v>
                </c:pt>
                <c:pt idx="59">
                  <c:v>41244</c:v>
                </c:pt>
                <c:pt idx="60">
                  <c:v>41275</c:v>
                </c:pt>
                <c:pt idx="61">
                  <c:v>41306</c:v>
                </c:pt>
                <c:pt idx="62">
                  <c:v>41334</c:v>
                </c:pt>
                <c:pt idx="63">
                  <c:v>41365</c:v>
                </c:pt>
                <c:pt idx="64">
                  <c:v>41395</c:v>
                </c:pt>
                <c:pt idx="65">
                  <c:v>41426</c:v>
                </c:pt>
                <c:pt idx="66">
                  <c:v>41456</c:v>
                </c:pt>
                <c:pt idx="67">
                  <c:v>41487</c:v>
                </c:pt>
                <c:pt idx="68">
                  <c:v>41518</c:v>
                </c:pt>
                <c:pt idx="69">
                  <c:v>41548</c:v>
                </c:pt>
                <c:pt idx="70">
                  <c:v>41579</c:v>
                </c:pt>
                <c:pt idx="71">
                  <c:v>41609</c:v>
                </c:pt>
                <c:pt idx="72">
                  <c:v>41640</c:v>
                </c:pt>
                <c:pt idx="73">
                  <c:v>41671</c:v>
                </c:pt>
                <c:pt idx="74">
                  <c:v>41699</c:v>
                </c:pt>
                <c:pt idx="75">
                  <c:v>41730</c:v>
                </c:pt>
                <c:pt idx="76">
                  <c:v>41760</c:v>
                </c:pt>
                <c:pt idx="77">
                  <c:v>41791</c:v>
                </c:pt>
                <c:pt idx="78">
                  <c:v>41821</c:v>
                </c:pt>
                <c:pt idx="79">
                  <c:v>41852</c:v>
                </c:pt>
                <c:pt idx="80">
                  <c:v>41883</c:v>
                </c:pt>
                <c:pt idx="81">
                  <c:v>41913</c:v>
                </c:pt>
                <c:pt idx="82">
                  <c:v>41944</c:v>
                </c:pt>
                <c:pt idx="83">
                  <c:v>41974</c:v>
                </c:pt>
                <c:pt idx="84">
                  <c:v>42005</c:v>
                </c:pt>
                <c:pt idx="85">
                  <c:v>42036</c:v>
                </c:pt>
                <c:pt idx="86">
                  <c:v>42064</c:v>
                </c:pt>
                <c:pt idx="87">
                  <c:v>42095</c:v>
                </c:pt>
                <c:pt idx="88">
                  <c:v>42125</c:v>
                </c:pt>
                <c:pt idx="89">
                  <c:v>42156</c:v>
                </c:pt>
                <c:pt idx="90">
                  <c:v>42186</c:v>
                </c:pt>
                <c:pt idx="91">
                  <c:v>42217</c:v>
                </c:pt>
                <c:pt idx="92">
                  <c:v>42248</c:v>
                </c:pt>
                <c:pt idx="93">
                  <c:v>42278</c:v>
                </c:pt>
                <c:pt idx="94">
                  <c:v>42309</c:v>
                </c:pt>
                <c:pt idx="95">
                  <c:v>42339</c:v>
                </c:pt>
                <c:pt idx="96">
                  <c:v>42370</c:v>
                </c:pt>
                <c:pt idx="97">
                  <c:v>42401</c:v>
                </c:pt>
                <c:pt idx="98">
                  <c:v>42430</c:v>
                </c:pt>
                <c:pt idx="99">
                  <c:v>42461</c:v>
                </c:pt>
                <c:pt idx="100">
                  <c:v>42491</c:v>
                </c:pt>
                <c:pt idx="101">
                  <c:v>42522</c:v>
                </c:pt>
                <c:pt idx="102">
                  <c:v>42552</c:v>
                </c:pt>
                <c:pt idx="103">
                  <c:v>42583</c:v>
                </c:pt>
                <c:pt idx="104">
                  <c:v>42614</c:v>
                </c:pt>
                <c:pt idx="105">
                  <c:v>42644</c:v>
                </c:pt>
                <c:pt idx="106">
                  <c:v>42675</c:v>
                </c:pt>
                <c:pt idx="107">
                  <c:v>42705</c:v>
                </c:pt>
                <c:pt idx="108">
                  <c:v>42736</c:v>
                </c:pt>
                <c:pt idx="109">
                  <c:v>42767</c:v>
                </c:pt>
                <c:pt idx="110">
                  <c:v>42795</c:v>
                </c:pt>
                <c:pt idx="111">
                  <c:v>42826</c:v>
                </c:pt>
                <c:pt idx="112">
                  <c:v>42856</c:v>
                </c:pt>
                <c:pt idx="113">
                  <c:v>42887</c:v>
                </c:pt>
                <c:pt idx="114">
                  <c:v>42917</c:v>
                </c:pt>
                <c:pt idx="115">
                  <c:v>42948</c:v>
                </c:pt>
                <c:pt idx="116">
                  <c:v>42979</c:v>
                </c:pt>
                <c:pt idx="117">
                  <c:v>43009</c:v>
                </c:pt>
                <c:pt idx="118">
                  <c:v>43040</c:v>
                </c:pt>
                <c:pt idx="119">
                  <c:v>43070</c:v>
                </c:pt>
                <c:pt idx="120">
                  <c:v>43101</c:v>
                </c:pt>
                <c:pt idx="121">
                  <c:v>43132</c:v>
                </c:pt>
                <c:pt idx="122">
                  <c:v>43160</c:v>
                </c:pt>
                <c:pt idx="123">
                  <c:v>43191</c:v>
                </c:pt>
                <c:pt idx="124">
                  <c:v>43221</c:v>
                </c:pt>
                <c:pt idx="125">
                  <c:v>43252</c:v>
                </c:pt>
                <c:pt idx="126">
                  <c:v>43282</c:v>
                </c:pt>
                <c:pt idx="127">
                  <c:v>43313</c:v>
                </c:pt>
                <c:pt idx="128">
                  <c:v>43344</c:v>
                </c:pt>
                <c:pt idx="129">
                  <c:v>43374</c:v>
                </c:pt>
                <c:pt idx="130">
                  <c:v>43405</c:v>
                </c:pt>
                <c:pt idx="131">
                  <c:v>43435</c:v>
                </c:pt>
                <c:pt idx="132">
                  <c:v>43466</c:v>
                </c:pt>
                <c:pt idx="133">
                  <c:v>43497</c:v>
                </c:pt>
                <c:pt idx="134">
                  <c:v>43525</c:v>
                </c:pt>
                <c:pt idx="135">
                  <c:v>43556</c:v>
                </c:pt>
                <c:pt idx="136">
                  <c:v>43586</c:v>
                </c:pt>
                <c:pt idx="137">
                  <c:v>43617</c:v>
                </c:pt>
                <c:pt idx="138">
                  <c:v>43647</c:v>
                </c:pt>
                <c:pt idx="139">
                  <c:v>43678</c:v>
                </c:pt>
                <c:pt idx="140">
                  <c:v>43709</c:v>
                </c:pt>
                <c:pt idx="141">
                  <c:v>43739</c:v>
                </c:pt>
                <c:pt idx="142">
                  <c:v>43770</c:v>
                </c:pt>
                <c:pt idx="143">
                  <c:v>43800</c:v>
                </c:pt>
                <c:pt idx="144">
                  <c:v>43831</c:v>
                </c:pt>
                <c:pt idx="145">
                  <c:v>43862</c:v>
                </c:pt>
                <c:pt idx="146">
                  <c:v>43891</c:v>
                </c:pt>
                <c:pt idx="147">
                  <c:v>43922</c:v>
                </c:pt>
                <c:pt idx="148">
                  <c:v>43952</c:v>
                </c:pt>
                <c:pt idx="149">
                  <c:v>43983</c:v>
                </c:pt>
                <c:pt idx="150">
                  <c:v>44013</c:v>
                </c:pt>
                <c:pt idx="151">
                  <c:v>44044</c:v>
                </c:pt>
                <c:pt idx="152">
                  <c:v>44075</c:v>
                </c:pt>
                <c:pt idx="153">
                  <c:v>44105</c:v>
                </c:pt>
                <c:pt idx="154">
                  <c:v>44136</c:v>
                </c:pt>
                <c:pt idx="155">
                  <c:v>44166</c:v>
                </c:pt>
              </c:numCache>
            </c:numRef>
          </c:cat>
          <c:val>
            <c:numRef>
              <c:f>'Tasa lider'!$C$6:$C$161</c:f>
              <c:numCache>
                <c:formatCode>0.00</c:formatCode>
                <c:ptCount val="156"/>
                <c:pt idx="0">
                  <c:v>6.5</c:v>
                </c:pt>
                <c:pt idx="1">
                  <c:v>6.5</c:v>
                </c:pt>
                <c:pt idx="2">
                  <c:v>6.75</c:v>
                </c:pt>
                <c:pt idx="3">
                  <c:v>6.75</c:v>
                </c:pt>
                <c:pt idx="4">
                  <c:v>6.75</c:v>
                </c:pt>
                <c:pt idx="5">
                  <c:v>6.75</c:v>
                </c:pt>
                <c:pt idx="6">
                  <c:v>7.25</c:v>
                </c:pt>
                <c:pt idx="7">
                  <c:v>7.25</c:v>
                </c:pt>
                <c:pt idx="8">
                  <c:v>7.25</c:v>
                </c:pt>
                <c:pt idx="9">
                  <c:v>7.25</c:v>
                </c:pt>
                <c:pt idx="10">
                  <c:v>7.25</c:v>
                </c:pt>
                <c:pt idx="11">
                  <c:v>7.25</c:v>
                </c:pt>
                <c:pt idx="12">
                  <c:v>7</c:v>
                </c:pt>
                <c:pt idx="13">
                  <c:v>6.5</c:v>
                </c:pt>
                <c:pt idx="14">
                  <c:v>6.25</c:v>
                </c:pt>
                <c:pt idx="15">
                  <c:v>5.75</c:v>
                </c:pt>
                <c:pt idx="16">
                  <c:v>5.75</c:v>
                </c:pt>
                <c:pt idx="17">
                  <c:v>5.25</c:v>
                </c:pt>
                <c:pt idx="18">
                  <c:v>4.75</c:v>
                </c:pt>
                <c:pt idx="19">
                  <c:v>4.75</c:v>
                </c:pt>
                <c:pt idx="20">
                  <c:v>4.5</c:v>
                </c:pt>
                <c:pt idx="21">
                  <c:v>4.5</c:v>
                </c:pt>
                <c:pt idx="22">
                  <c:v>4.5</c:v>
                </c:pt>
                <c:pt idx="23">
                  <c:v>4.5</c:v>
                </c:pt>
                <c:pt idx="24">
                  <c:v>4.5</c:v>
                </c:pt>
                <c:pt idx="25">
                  <c:v>4.5</c:v>
                </c:pt>
                <c:pt idx="26">
                  <c:v>4.5</c:v>
                </c:pt>
                <c:pt idx="27">
                  <c:v>4.5</c:v>
                </c:pt>
                <c:pt idx="28">
                  <c:v>4.5</c:v>
                </c:pt>
                <c:pt idx="29">
                  <c:v>4.5</c:v>
                </c:pt>
                <c:pt idx="30">
                  <c:v>4.5</c:v>
                </c:pt>
                <c:pt idx="31">
                  <c:v>4.5</c:v>
                </c:pt>
                <c:pt idx="32">
                  <c:v>4.5</c:v>
                </c:pt>
                <c:pt idx="33">
                  <c:v>4.5</c:v>
                </c:pt>
                <c:pt idx="34">
                  <c:v>4.5</c:v>
                </c:pt>
                <c:pt idx="35">
                  <c:v>4.5</c:v>
                </c:pt>
                <c:pt idx="36">
                  <c:v>4.5</c:v>
                </c:pt>
                <c:pt idx="37">
                  <c:v>4.5</c:v>
                </c:pt>
                <c:pt idx="38">
                  <c:v>4.75</c:v>
                </c:pt>
                <c:pt idx="39">
                  <c:v>4.75</c:v>
                </c:pt>
                <c:pt idx="40">
                  <c:v>4.75</c:v>
                </c:pt>
                <c:pt idx="41">
                  <c:v>4.75</c:v>
                </c:pt>
                <c:pt idx="42">
                  <c:v>5</c:v>
                </c:pt>
                <c:pt idx="43">
                  <c:v>5</c:v>
                </c:pt>
                <c:pt idx="44">
                  <c:v>5.5</c:v>
                </c:pt>
                <c:pt idx="45">
                  <c:v>5.5</c:v>
                </c:pt>
                <c:pt idx="46">
                  <c:v>5.5</c:v>
                </c:pt>
                <c:pt idx="47">
                  <c:v>5.5</c:v>
                </c:pt>
                <c:pt idx="48">
                  <c:v>5.5</c:v>
                </c:pt>
                <c:pt idx="49">
                  <c:v>5.5</c:v>
                </c:pt>
                <c:pt idx="50">
                  <c:v>5.5</c:v>
                </c:pt>
                <c:pt idx="51">
                  <c:v>5.5</c:v>
                </c:pt>
                <c:pt idx="52">
                  <c:v>5.5</c:v>
                </c:pt>
                <c:pt idx="53">
                  <c:v>5</c:v>
                </c:pt>
                <c:pt idx="54">
                  <c:v>5</c:v>
                </c:pt>
                <c:pt idx="55">
                  <c:v>5</c:v>
                </c:pt>
                <c:pt idx="56">
                  <c:v>5</c:v>
                </c:pt>
                <c:pt idx="57">
                  <c:v>5</c:v>
                </c:pt>
                <c:pt idx="58">
                  <c:v>5</c:v>
                </c:pt>
                <c:pt idx="59">
                  <c:v>5</c:v>
                </c:pt>
                <c:pt idx="60">
                  <c:v>5</c:v>
                </c:pt>
                <c:pt idx="61">
                  <c:v>5</c:v>
                </c:pt>
                <c:pt idx="62">
                  <c:v>5</c:v>
                </c:pt>
                <c:pt idx="63">
                  <c:v>5.25</c:v>
                </c:pt>
                <c:pt idx="64">
                  <c:v>5.25</c:v>
                </c:pt>
                <c:pt idx="65">
                  <c:v>5.25</c:v>
                </c:pt>
                <c:pt idx="66">
                  <c:v>5.25</c:v>
                </c:pt>
                <c:pt idx="67">
                  <c:v>5.25</c:v>
                </c:pt>
                <c:pt idx="68">
                  <c:v>5.25</c:v>
                </c:pt>
                <c:pt idx="69">
                  <c:v>5</c:v>
                </c:pt>
                <c:pt idx="70">
                  <c:v>5</c:v>
                </c:pt>
                <c:pt idx="71">
                  <c:v>5</c:v>
                </c:pt>
                <c:pt idx="72">
                  <c:v>5</c:v>
                </c:pt>
                <c:pt idx="73">
                  <c:v>5</c:v>
                </c:pt>
                <c:pt idx="74">
                  <c:v>5</c:v>
                </c:pt>
                <c:pt idx="75" formatCode="General">
                  <c:v>5</c:v>
                </c:pt>
                <c:pt idx="76" formatCode="General">
                  <c:v>4.75</c:v>
                </c:pt>
                <c:pt idx="77" formatCode="General">
                  <c:v>4.75</c:v>
                </c:pt>
                <c:pt idx="78" formatCode="General">
                  <c:v>4.75</c:v>
                </c:pt>
                <c:pt idx="79" formatCode="General">
                  <c:v>4.5</c:v>
                </c:pt>
                <c:pt idx="80" formatCode="General">
                  <c:v>4.5</c:v>
                </c:pt>
                <c:pt idx="81" formatCode="General">
                  <c:v>4.5</c:v>
                </c:pt>
                <c:pt idx="82" formatCode="General">
                  <c:v>4</c:v>
                </c:pt>
                <c:pt idx="83" formatCode="General">
                  <c:v>4</c:v>
                </c:pt>
                <c:pt idx="84" formatCode="General">
                  <c:v>4</c:v>
                </c:pt>
                <c:pt idx="85" formatCode="General">
                  <c:v>4</c:v>
                </c:pt>
                <c:pt idx="86" formatCode="General">
                  <c:v>4</c:v>
                </c:pt>
                <c:pt idx="87" formatCode="General">
                  <c:v>4</c:v>
                </c:pt>
                <c:pt idx="88" formatCode="General">
                  <c:v>3.5</c:v>
                </c:pt>
                <c:pt idx="89" formatCode="General">
                  <c:v>3.5</c:v>
                </c:pt>
                <c:pt idx="90" formatCode="General">
                  <c:v>3.5</c:v>
                </c:pt>
                <c:pt idx="91" formatCode="General">
                  <c:v>3.25</c:v>
                </c:pt>
                <c:pt idx="92" formatCode="General">
                  <c:v>3.25</c:v>
                </c:pt>
                <c:pt idx="93" formatCode="General">
                  <c:v>3.25</c:v>
                </c:pt>
                <c:pt idx="94" formatCode="General">
                  <c:v>3</c:v>
                </c:pt>
                <c:pt idx="95" formatCode="General">
                  <c:v>3</c:v>
                </c:pt>
                <c:pt idx="96" formatCode="General">
                  <c:v>3</c:v>
                </c:pt>
                <c:pt idx="97" formatCode="General">
                  <c:v>3</c:v>
                </c:pt>
                <c:pt idx="98" formatCode="General">
                  <c:v>3</c:v>
                </c:pt>
                <c:pt idx="99" formatCode="General">
                  <c:v>3</c:v>
                </c:pt>
                <c:pt idx="100" formatCode="General">
                  <c:v>3</c:v>
                </c:pt>
                <c:pt idx="101" formatCode="General">
                  <c:v>3</c:v>
                </c:pt>
                <c:pt idx="102" formatCode="General">
                  <c:v>3</c:v>
                </c:pt>
                <c:pt idx="103" formatCode="General">
                  <c:v>3</c:v>
                </c:pt>
                <c:pt idx="104" formatCode="General">
                  <c:v>3</c:v>
                </c:pt>
                <c:pt idx="105" formatCode="General">
                  <c:v>3</c:v>
                </c:pt>
                <c:pt idx="106" formatCode="General">
                  <c:v>3</c:v>
                </c:pt>
                <c:pt idx="107" formatCode="General">
                  <c:v>3</c:v>
                </c:pt>
                <c:pt idx="108" formatCode="General">
                  <c:v>3</c:v>
                </c:pt>
                <c:pt idx="109" formatCode="General">
                  <c:v>3</c:v>
                </c:pt>
                <c:pt idx="110" formatCode="General">
                  <c:v>3</c:v>
                </c:pt>
                <c:pt idx="111" formatCode="General">
                  <c:v>3</c:v>
                </c:pt>
                <c:pt idx="112" formatCode="General">
                  <c:v>3</c:v>
                </c:pt>
                <c:pt idx="113" formatCode="General">
                  <c:v>3</c:v>
                </c:pt>
                <c:pt idx="114" formatCode="General">
                  <c:v>3</c:v>
                </c:pt>
                <c:pt idx="115" formatCode="General">
                  <c:v>3</c:v>
                </c:pt>
                <c:pt idx="116" formatCode="General">
                  <c:v>3</c:v>
                </c:pt>
                <c:pt idx="117" formatCode="General">
                  <c:v>2.75</c:v>
                </c:pt>
                <c:pt idx="118" formatCode="General">
                  <c:v>2.75</c:v>
                </c:pt>
                <c:pt idx="119" formatCode="General">
                  <c:v>2.75</c:v>
                </c:pt>
                <c:pt idx="120" formatCode="General">
                  <c:v>2.75</c:v>
                </c:pt>
                <c:pt idx="121" formatCode="General">
                  <c:v>2.75</c:v>
                </c:pt>
                <c:pt idx="122" formatCode="General">
                  <c:v>2.75</c:v>
                </c:pt>
                <c:pt idx="123" formatCode="General">
                  <c:v>2.75</c:v>
                </c:pt>
                <c:pt idx="124" formatCode="General">
                  <c:v>2.75</c:v>
                </c:pt>
                <c:pt idx="125" formatCode="General">
                  <c:v>2.75</c:v>
                </c:pt>
                <c:pt idx="126" formatCode="General">
                  <c:v>2.75</c:v>
                </c:pt>
                <c:pt idx="127" formatCode="General">
                  <c:v>2.75</c:v>
                </c:pt>
                <c:pt idx="128" formatCode="General">
                  <c:v>2.75</c:v>
                </c:pt>
                <c:pt idx="129" formatCode="General">
                  <c:v>2.75</c:v>
                </c:pt>
                <c:pt idx="130" formatCode="General">
                  <c:v>2.75</c:v>
                </c:pt>
                <c:pt idx="131" formatCode="General">
                  <c:v>2.75</c:v>
                </c:pt>
                <c:pt idx="132" formatCode="General">
                  <c:v>2.75</c:v>
                </c:pt>
                <c:pt idx="133" formatCode="General">
                  <c:v>2.75</c:v>
                </c:pt>
                <c:pt idx="134" formatCode="General">
                  <c:v>2.75</c:v>
                </c:pt>
                <c:pt idx="135" formatCode="General">
                  <c:v>2.75</c:v>
                </c:pt>
                <c:pt idx="136" formatCode="General">
                  <c:v>2.75</c:v>
                </c:pt>
                <c:pt idx="137" formatCode="General">
                  <c:v>2.75</c:v>
                </c:pt>
                <c:pt idx="138" formatCode="General">
                  <c:v>2.75</c:v>
                </c:pt>
                <c:pt idx="139" formatCode="General">
                  <c:v>2.75</c:v>
                </c:pt>
                <c:pt idx="140" formatCode="General">
                  <c:v>2.75</c:v>
                </c:pt>
                <c:pt idx="141" formatCode="General">
                  <c:v>2.75</c:v>
                </c:pt>
                <c:pt idx="142" formatCode="General">
                  <c:v>2.75</c:v>
                </c:pt>
                <c:pt idx="143" formatCode="General">
                  <c:v>2.75</c:v>
                </c:pt>
                <c:pt idx="144" formatCode="General">
                  <c:v>2.75</c:v>
                </c:pt>
                <c:pt idx="145" formatCode="General">
                  <c:v>2.75</c:v>
                </c:pt>
                <c:pt idx="146" formatCode="0.0">
                  <c:v>2</c:v>
                </c:pt>
                <c:pt idx="147" formatCode="0.0">
                  <c:v>2</c:v>
                </c:pt>
                <c:pt idx="148" formatCode="0.0">
                  <c:v>2</c:v>
                </c:pt>
                <c:pt idx="149" formatCode="General">
                  <c:v>1.75</c:v>
                </c:pt>
                <c:pt idx="150" formatCode="General">
                  <c:v>1.75</c:v>
                </c:pt>
                <c:pt idx="151" formatCode="General">
                  <c:v>1.75</c:v>
                </c:pt>
                <c:pt idx="152" formatCode="General">
                  <c:v>1.75</c:v>
                </c:pt>
                <c:pt idx="153" formatCode="General">
                  <c:v>1.75</c:v>
                </c:pt>
                <c:pt idx="154" formatCode="General">
                  <c:v>1.75</c:v>
                </c:pt>
                <c:pt idx="155" formatCode="General">
                  <c:v>1.75</c:v>
                </c:pt>
              </c:numCache>
            </c:numRef>
          </c:val>
          <c:smooth val="1"/>
          <c:extLst xmlns:c16r2="http://schemas.microsoft.com/office/drawing/2015/06/chart">
            <c:ext xmlns:c16="http://schemas.microsoft.com/office/drawing/2014/chart" uri="{C3380CC4-5D6E-409C-BE32-E72D297353CC}">
              <c16:uniqueId val="{00000012-65D9-4C1F-B320-1699DD834EF5}"/>
            </c:ext>
          </c:extLst>
        </c:ser>
        <c:dLbls>
          <c:showLegendKey val="0"/>
          <c:showVal val="1"/>
          <c:showCatName val="0"/>
          <c:showSerName val="0"/>
          <c:showPercent val="0"/>
          <c:showBubbleSize val="0"/>
        </c:dLbls>
        <c:marker val="1"/>
        <c:smooth val="0"/>
        <c:axId val="418813056"/>
        <c:axId val="418814592"/>
      </c:lineChart>
      <c:dateAx>
        <c:axId val="418813056"/>
        <c:scaling>
          <c:orientation val="minMax"/>
        </c:scaling>
        <c:delete val="0"/>
        <c:axPos val="b"/>
        <c:numFmt formatCode="mmm\-yy" sourceLinked="1"/>
        <c:majorTickMark val="out"/>
        <c:minorTickMark val="none"/>
        <c:tickLblPos val="nextTo"/>
        <c:txPr>
          <a:bodyPr rot="-5400000" vert="horz"/>
          <a:lstStyle/>
          <a:p>
            <a:pPr>
              <a:defRPr lang="es-GT" sz="700" b="1"/>
            </a:pPr>
            <a:endParaRPr lang="es-GT"/>
          </a:p>
        </c:txPr>
        <c:crossAx val="418814592"/>
        <c:crosses val="autoZero"/>
        <c:auto val="1"/>
        <c:lblOffset val="100"/>
        <c:baseTimeUnit val="months"/>
        <c:majorUnit val="3"/>
        <c:majorTimeUnit val="months"/>
        <c:minorUnit val="3"/>
      </c:dateAx>
      <c:valAx>
        <c:axId val="418814592"/>
        <c:scaling>
          <c:orientation val="minMax"/>
        </c:scaling>
        <c:delete val="0"/>
        <c:axPos val="l"/>
        <c:numFmt formatCode="0.00" sourceLinked="1"/>
        <c:majorTickMark val="out"/>
        <c:minorTickMark val="none"/>
        <c:tickLblPos val="nextTo"/>
        <c:txPr>
          <a:bodyPr/>
          <a:lstStyle/>
          <a:p>
            <a:pPr>
              <a:defRPr lang="es-GT" sz="800" b="1"/>
            </a:pPr>
            <a:endParaRPr lang="es-GT"/>
          </a:p>
        </c:txPr>
        <c:crossAx val="418813056"/>
        <c:crosses val="autoZero"/>
        <c:crossBetween val="between"/>
      </c:valAx>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0318885372973236E-2"/>
          <c:y val="1.8796995900055322E-2"/>
          <c:w val="0.93726395847587496"/>
          <c:h val="0.86036846452903681"/>
        </c:manualLayout>
      </c:layout>
      <c:lineChart>
        <c:grouping val="standard"/>
        <c:varyColors val="0"/>
        <c:ser>
          <c:idx val="0"/>
          <c:order val="0"/>
          <c:marker>
            <c:symbol val="none"/>
          </c:marker>
          <c:dLbls>
            <c:dLbl>
              <c:idx val="130"/>
              <c:layout>
                <c:manualLayout>
                  <c:x val="0"/>
                  <c:y val="-3.7145131334571507E-2"/>
                </c:manualLayout>
              </c:layout>
              <c:tx>
                <c:rich>
                  <a:bodyPr wrap="square" lIns="38100" tIns="19050" rIns="38100" bIns="19050" anchor="ctr">
                    <a:spAutoFit/>
                  </a:bodyPr>
                  <a:lstStyle/>
                  <a:p>
                    <a:pPr>
                      <a:defRPr sz="700" b="1"/>
                    </a:pPr>
                    <a:r>
                      <a:rPr lang="en-US" sz="700" b="1"/>
                      <a:t>7.80</a:t>
                    </a:r>
                    <a:endParaRPr lang="en-US" sz="700"/>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66B-48ED-85FA-55154EF32E13}"/>
                </c:ext>
              </c:extLst>
            </c:dLbl>
            <c:spPr>
              <a:noFill/>
              <a:ln>
                <a:noFill/>
              </a:ln>
              <a:effectLst/>
            </c:spPr>
            <c:txPr>
              <a:bodyPr/>
              <a:lstStyle/>
              <a:p>
                <a:pPr>
                  <a:defRPr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'Tipo de cambio '!$B$27:$B$158</c:f>
              <c:numCache>
                <c:formatCode>mmm\-yy</c:formatCode>
                <c:ptCount val="132"/>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pt idx="45">
                  <c:v>41548</c:v>
                </c:pt>
                <c:pt idx="46">
                  <c:v>41579</c:v>
                </c:pt>
                <c:pt idx="47">
                  <c:v>41609</c:v>
                </c:pt>
                <c:pt idx="48">
                  <c:v>41640</c:v>
                </c:pt>
                <c:pt idx="49">
                  <c:v>41671</c:v>
                </c:pt>
                <c:pt idx="50">
                  <c:v>41699</c:v>
                </c:pt>
                <c:pt idx="51">
                  <c:v>41730</c:v>
                </c:pt>
                <c:pt idx="52">
                  <c:v>41760</c:v>
                </c:pt>
                <c:pt idx="53">
                  <c:v>41791</c:v>
                </c:pt>
                <c:pt idx="54">
                  <c:v>41821</c:v>
                </c:pt>
                <c:pt idx="55">
                  <c:v>41852</c:v>
                </c:pt>
                <c:pt idx="56">
                  <c:v>41883</c:v>
                </c:pt>
                <c:pt idx="57">
                  <c:v>41913</c:v>
                </c:pt>
                <c:pt idx="58">
                  <c:v>41944</c:v>
                </c:pt>
                <c:pt idx="59">
                  <c:v>41974</c:v>
                </c:pt>
                <c:pt idx="60">
                  <c:v>42005</c:v>
                </c:pt>
                <c:pt idx="61">
                  <c:v>42036</c:v>
                </c:pt>
                <c:pt idx="62">
                  <c:v>42064</c:v>
                </c:pt>
                <c:pt idx="63">
                  <c:v>42095</c:v>
                </c:pt>
                <c:pt idx="64">
                  <c:v>42125</c:v>
                </c:pt>
                <c:pt idx="65">
                  <c:v>42156</c:v>
                </c:pt>
                <c:pt idx="66">
                  <c:v>42186</c:v>
                </c:pt>
                <c:pt idx="67">
                  <c:v>42217</c:v>
                </c:pt>
                <c:pt idx="68">
                  <c:v>42248</c:v>
                </c:pt>
                <c:pt idx="69">
                  <c:v>42278</c:v>
                </c:pt>
                <c:pt idx="70">
                  <c:v>42309</c:v>
                </c:pt>
                <c:pt idx="71">
                  <c:v>42339</c:v>
                </c:pt>
                <c:pt idx="72">
                  <c:v>42370</c:v>
                </c:pt>
                <c:pt idx="73">
                  <c:v>42401</c:v>
                </c:pt>
                <c:pt idx="74">
                  <c:v>42430</c:v>
                </c:pt>
                <c:pt idx="75">
                  <c:v>42461</c:v>
                </c:pt>
                <c:pt idx="76">
                  <c:v>42491</c:v>
                </c:pt>
                <c:pt idx="77">
                  <c:v>42522</c:v>
                </c:pt>
                <c:pt idx="78">
                  <c:v>42552</c:v>
                </c:pt>
                <c:pt idx="79">
                  <c:v>42583</c:v>
                </c:pt>
                <c:pt idx="80">
                  <c:v>42614</c:v>
                </c:pt>
                <c:pt idx="81">
                  <c:v>42644</c:v>
                </c:pt>
                <c:pt idx="82">
                  <c:v>42675</c:v>
                </c:pt>
                <c:pt idx="83">
                  <c:v>42705</c:v>
                </c:pt>
                <c:pt idx="84">
                  <c:v>42736</c:v>
                </c:pt>
                <c:pt idx="85">
                  <c:v>42767</c:v>
                </c:pt>
                <c:pt idx="86">
                  <c:v>42795</c:v>
                </c:pt>
                <c:pt idx="87">
                  <c:v>42826</c:v>
                </c:pt>
                <c:pt idx="88">
                  <c:v>42856</c:v>
                </c:pt>
                <c:pt idx="89">
                  <c:v>42887</c:v>
                </c:pt>
                <c:pt idx="90">
                  <c:v>42917</c:v>
                </c:pt>
                <c:pt idx="91">
                  <c:v>42948</c:v>
                </c:pt>
                <c:pt idx="92">
                  <c:v>42979</c:v>
                </c:pt>
                <c:pt idx="93">
                  <c:v>43009</c:v>
                </c:pt>
                <c:pt idx="94">
                  <c:v>43040</c:v>
                </c:pt>
                <c:pt idx="95">
                  <c:v>43070</c:v>
                </c:pt>
                <c:pt idx="96">
                  <c:v>43101</c:v>
                </c:pt>
                <c:pt idx="97">
                  <c:v>43132</c:v>
                </c:pt>
                <c:pt idx="98">
                  <c:v>43160</c:v>
                </c:pt>
                <c:pt idx="99">
                  <c:v>43191</c:v>
                </c:pt>
                <c:pt idx="100">
                  <c:v>43221</c:v>
                </c:pt>
                <c:pt idx="101">
                  <c:v>43252</c:v>
                </c:pt>
                <c:pt idx="102">
                  <c:v>43282</c:v>
                </c:pt>
                <c:pt idx="103">
                  <c:v>43313</c:v>
                </c:pt>
                <c:pt idx="104">
                  <c:v>43344</c:v>
                </c:pt>
                <c:pt idx="105">
                  <c:v>43374</c:v>
                </c:pt>
                <c:pt idx="106">
                  <c:v>43405</c:v>
                </c:pt>
                <c:pt idx="107">
                  <c:v>43435</c:v>
                </c:pt>
                <c:pt idx="108">
                  <c:v>43466</c:v>
                </c:pt>
                <c:pt idx="109">
                  <c:v>43497</c:v>
                </c:pt>
                <c:pt idx="110">
                  <c:v>43525</c:v>
                </c:pt>
                <c:pt idx="111">
                  <c:v>43556</c:v>
                </c:pt>
                <c:pt idx="112">
                  <c:v>43586</c:v>
                </c:pt>
                <c:pt idx="113">
                  <c:v>43617</c:v>
                </c:pt>
                <c:pt idx="114">
                  <c:v>43647</c:v>
                </c:pt>
                <c:pt idx="115">
                  <c:v>43678</c:v>
                </c:pt>
                <c:pt idx="116">
                  <c:v>43709</c:v>
                </c:pt>
                <c:pt idx="117">
                  <c:v>43739</c:v>
                </c:pt>
                <c:pt idx="118">
                  <c:v>43770</c:v>
                </c:pt>
                <c:pt idx="119">
                  <c:v>43800</c:v>
                </c:pt>
                <c:pt idx="120">
                  <c:v>43831</c:v>
                </c:pt>
                <c:pt idx="121">
                  <c:v>43862</c:v>
                </c:pt>
                <c:pt idx="122">
                  <c:v>43891</c:v>
                </c:pt>
                <c:pt idx="123">
                  <c:v>43922</c:v>
                </c:pt>
                <c:pt idx="124">
                  <c:v>43952</c:v>
                </c:pt>
                <c:pt idx="125">
                  <c:v>43983</c:v>
                </c:pt>
                <c:pt idx="126">
                  <c:v>44013</c:v>
                </c:pt>
                <c:pt idx="127">
                  <c:v>44044</c:v>
                </c:pt>
                <c:pt idx="128">
                  <c:v>44075</c:v>
                </c:pt>
                <c:pt idx="129">
                  <c:v>44105</c:v>
                </c:pt>
                <c:pt idx="130">
                  <c:v>44136</c:v>
                </c:pt>
                <c:pt idx="131">
                  <c:v>44166</c:v>
                </c:pt>
              </c:numCache>
            </c:numRef>
          </c:cat>
          <c:val>
            <c:numRef>
              <c:f>'Tipo de cambio '!$C$27:$C$158</c:f>
              <c:numCache>
                <c:formatCode>0.00</c:formatCode>
                <c:ptCount val="132"/>
                <c:pt idx="0">
                  <c:v>8.3563405085440845</c:v>
                </c:pt>
                <c:pt idx="1">
                  <c:v>8.1361262190342583</c:v>
                </c:pt>
                <c:pt idx="2">
                  <c:v>8.0103276904942504</c:v>
                </c:pt>
                <c:pt idx="3">
                  <c:v>7.9928449678823039</c:v>
                </c:pt>
                <c:pt idx="4">
                  <c:v>7.9879061949656069</c:v>
                </c:pt>
                <c:pt idx="5">
                  <c:v>7.998232545050775</c:v>
                </c:pt>
                <c:pt idx="6">
                  <c:v>7.9928722644768317</c:v>
                </c:pt>
                <c:pt idx="7">
                  <c:v>8.0027188003323708</c:v>
                </c:pt>
                <c:pt idx="8">
                  <c:v>8.0662812335430072</c:v>
                </c:pt>
                <c:pt idx="9">
                  <c:v>8.0445928590314288</c:v>
                </c:pt>
                <c:pt idx="10">
                  <c:v>7.9917860671898957</c:v>
                </c:pt>
                <c:pt idx="11">
                  <c:v>7.9644301855353854</c:v>
                </c:pt>
                <c:pt idx="12">
                  <c:v>7.9393789159906074</c:v>
                </c:pt>
                <c:pt idx="13">
                  <c:v>7.7936763178312587</c:v>
                </c:pt>
                <c:pt idx="14">
                  <c:v>7.6911755581721719</c:v>
                </c:pt>
                <c:pt idx="15">
                  <c:v>7.6033358616996631</c:v>
                </c:pt>
                <c:pt idx="16">
                  <c:v>7.6475691703619599</c:v>
                </c:pt>
                <c:pt idx="17">
                  <c:v>7.7763413607187584</c:v>
                </c:pt>
                <c:pt idx="18">
                  <c:v>7.7444513189947068</c:v>
                </c:pt>
                <c:pt idx="19">
                  <c:v>7.814848411557044</c:v>
                </c:pt>
                <c:pt idx="20">
                  <c:v>7.8399072397037912</c:v>
                </c:pt>
                <c:pt idx="21">
                  <c:v>7.8299174515732988</c:v>
                </c:pt>
                <c:pt idx="22">
                  <c:v>7.8008942040115947</c:v>
                </c:pt>
                <c:pt idx="23">
                  <c:v>7.7856076542219848</c:v>
                </c:pt>
                <c:pt idx="24">
                  <c:v>7.7961150438286015</c:v>
                </c:pt>
                <c:pt idx="25">
                  <c:v>7.7717156914712424</c:v>
                </c:pt>
                <c:pt idx="26">
                  <c:v>7.7114080377043663</c:v>
                </c:pt>
                <c:pt idx="27">
                  <c:v>7.7361698654414432</c:v>
                </c:pt>
                <c:pt idx="28">
                  <c:v>7.7713813450451523</c:v>
                </c:pt>
                <c:pt idx="29">
                  <c:v>7.8366949562429706</c:v>
                </c:pt>
                <c:pt idx="30">
                  <c:v>7.8116238113454335</c:v>
                </c:pt>
                <c:pt idx="31">
                  <c:v>7.8730184642662957</c:v>
                </c:pt>
                <c:pt idx="32">
                  <c:v>7.9600809529215901</c:v>
                </c:pt>
                <c:pt idx="33">
                  <c:v>7.8591272112229635</c:v>
                </c:pt>
                <c:pt idx="34">
                  <c:v>7.8577571624899534</c:v>
                </c:pt>
                <c:pt idx="35">
                  <c:v>7.8760996804198387</c:v>
                </c:pt>
                <c:pt idx="36">
                  <c:v>7.8676223145967352</c:v>
                </c:pt>
                <c:pt idx="37">
                  <c:v>7.8144026695091791</c:v>
                </c:pt>
                <c:pt idx="38">
                  <c:v>7.796449289985194</c:v>
                </c:pt>
                <c:pt idx="39">
                  <c:v>7.7833198003135866</c:v>
                </c:pt>
                <c:pt idx="40">
                  <c:v>7.7759057149550967</c:v>
                </c:pt>
                <c:pt idx="41">
                  <c:v>7.8050829379452455</c:v>
                </c:pt>
                <c:pt idx="42">
                  <c:v>7.8101543267547084</c:v>
                </c:pt>
                <c:pt idx="43">
                  <c:v>7.8872658086161449</c:v>
                </c:pt>
                <c:pt idx="44">
                  <c:v>7.9287701658764824</c:v>
                </c:pt>
                <c:pt idx="45">
                  <c:v>7.9452553613637473</c:v>
                </c:pt>
                <c:pt idx="46">
                  <c:v>7.8807803315772027</c:v>
                </c:pt>
                <c:pt idx="47">
                  <c:v>7.8470375175462435</c:v>
                </c:pt>
                <c:pt idx="48">
                  <c:v>7.8320838751031925</c:v>
                </c:pt>
                <c:pt idx="49">
                  <c:v>7.7452676742437232</c:v>
                </c:pt>
                <c:pt idx="50">
                  <c:v>7.716182521911791</c:v>
                </c:pt>
                <c:pt idx="51">
                  <c:v>7.7358942457094715</c:v>
                </c:pt>
                <c:pt idx="52">
                  <c:v>7.7238409151556899</c:v>
                </c:pt>
                <c:pt idx="53">
                  <c:v>7.794062106829351</c:v>
                </c:pt>
                <c:pt idx="54">
                  <c:v>7.7608612600678732</c:v>
                </c:pt>
                <c:pt idx="55">
                  <c:v>7.7919629649641315</c:v>
                </c:pt>
                <c:pt idx="56">
                  <c:v>7.7074095500672923</c:v>
                </c:pt>
                <c:pt idx="57">
                  <c:v>7.6263306051233331</c:v>
                </c:pt>
                <c:pt idx="58">
                  <c:v>7.6028563856662057</c:v>
                </c:pt>
                <c:pt idx="59">
                  <c:v>7.6081653145049968</c:v>
                </c:pt>
                <c:pt idx="60">
                  <c:v>7.6262052394466791</c:v>
                </c:pt>
                <c:pt idx="61">
                  <c:v>7.6279381066262442</c:v>
                </c:pt>
                <c:pt idx="62">
                  <c:v>7.6119953593981231</c:v>
                </c:pt>
                <c:pt idx="63">
                  <c:v>7.6911660585174326</c:v>
                </c:pt>
                <c:pt idx="64">
                  <c:v>7.6641498560319503</c:v>
                </c:pt>
                <c:pt idx="65">
                  <c:v>7.6322503878986696</c:v>
                </c:pt>
                <c:pt idx="66">
                  <c:v>7.6319384831389447</c:v>
                </c:pt>
                <c:pt idx="67">
                  <c:v>7.6324245517760358</c:v>
                </c:pt>
                <c:pt idx="68">
                  <c:v>7.673106284735578</c:v>
                </c:pt>
                <c:pt idx="69">
                  <c:v>7.6631081921590933</c:v>
                </c:pt>
                <c:pt idx="70">
                  <c:v>7.6253395894756046</c:v>
                </c:pt>
                <c:pt idx="71">
                  <c:v>7.5988045101869481</c:v>
                </c:pt>
                <c:pt idx="72">
                  <c:v>7.6329725883384123</c:v>
                </c:pt>
                <c:pt idx="73">
                  <c:v>7.6478810999684388</c:v>
                </c:pt>
                <c:pt idx="74">
                  <c:v>7.700474534516867</c:v>
                </c:pt>
                <c:pt idx="75">
                  <c:v>7.7148038979384106</c:v>
                </c:pt>
                <c:pt idx="76">
                  <c:v>7.6298602603550076</c:v>
                </c:pt>
                <c:pt idx="77">
                  <c:v>7.6243942616742704</c:v>
                </c:pt>
                <c:pt idx="78">
                  <c:v>7.5793320893025617</c:v>
                </c:pt>
                <c:pt idx="79">
                  <c:v>7.5175072133740928</c:v>
                </c:pt>
                <c:pt idx="80">
                  <c:v>7.5067242537140029</c:v>
                </c:pt>
                <c:pt idx="81">
                  <c:v>7.4790989328577018</c:v>
                </c:pt>
                <c:pt idx="82">
                  <c:v>7.4871738948605904</c:v>
                </c:pt>
                <c:pt idx="83">
                  <c:v>7.4869670540945377</c:v>
                </c:pt>
                <c:pt idx="84">
                  <c:v>7.4989221892102798</c:v>
                </c:pt>
                <c:pt idx="85">
                  <c:v>7.3861050975818427</c:v>
                </c:pt>
                <c:pt idx="86">
                  <c:v>7.34063</c:v>
                </c:pt>
                <c:pt idx="87">
                  <c:v>7.3209246234449914</c:v>
                </c:pt>
                <c:pt idx="88">
                  <c:v>7.3227859561962889</c:v>
                </c:pt>
                <c:pt idx="89">
                  <c:v>7.324765934062933</c:v>
                </c:pt>
                <c:pt idx="90">
                  <c:v>7.2821760166483491</c:v>
                </c:pt>
                <c:pt idx="91">
                  <c:v>7.2567996715469407</c:v>
                </c:pt>
                <c:pt idx="92">
                  <c:v>7.2866172843636399</c:v>
                </c:pt>
                <c:pt idx="93">
                  <c:v>7.32408950415142</c:v>
                </c:pt>
                <c:pt idx="94">
                  <c:v>7.3119034597787502</c:v>
                </c:pt>
                <c:pt idx="95">
                  <c:v>7.3228799999999996</c:v>
                </c:pt>
                <c:pt idx="96">
                  <c:v>7.3250900000000003</c:v>
                </c:pt>
                <c:pt idx="97">
                  <c:v>7.3437000000000001</c:v>
                </c:pt>
                <c:pt idx="98">
                  <c:v>7.3760000000000003</c:v>
                </c:pt>
                <c:pt idx="99">
                  <c:v>7.3854699999999998</c:v>
                </c:pt>
                <c:pt idx="100">
                  <c:v>7.4281600000000001</c:v>
                </c:pt>
                <c:pt idx="101">
                  <c:v>7.46997</c:v>
                </c:pt>
                <c:pt idx="102">
                  <c:v>7.4656900000000004</c:v>
                </c:pt>
                <c:pt idx="103">
                  <c:v>7.49099</c:v>
                </c:pt>
                <c:pt idx="104">
                  <c:v>7.6479100000000004</c:v>
                </c:pt>
                <c:pt idx="105">
                  <c:v>7.70871</c:v>
                </c:pt>
                <c:pt idx="106">
                  <c:v>7.67943</c:v>
                </c:pt>
                <c:pt idx="107">
                  <c:v>7.71333</c:v>
                </c:pt>
                <c:pt idx="108">
                  <c:v>7.7131499999999997</c:v>
                </c:pt>
                <c:pt idx="109">
                  <c:v>7.7141200000000003</c:v>
                </c:pt>
                <c:pt idx="110">
                  <c:v>7.6693800000000003</c:v>
                </c:pt>
                <c:pt idx="111">
                  <c:v>7.6245700000000003</c:v>
                </c:pt>
                <c:pt idx="112">
                  <c:v>7.65238</c:v>
                </c:pt>
                <c:pt idx="113">
                  <c:v>7.6838300000000004</c:v>
                </c:pt>
                <c:pt idx="114">
                  <c:v>7.6551099999999996</c:v>
                </c:pt>
                <c:pt idx="115">
                  <c:v>7.6528999999999998</c:v>
                </c:pt>
                <c:pt idx="116">
                  <c:v>7.6917900000000001</c:v>
                </c:pt>
                <c:pt idx="117">
                  <c:v>7.7392000000000003</c:v>
                </c:pt>
                <c:pt idx="118">
                  <c:v>7.6848799999999997</c:v>
                </c:pt>
                <c:pt idx="119">
                  <c:v>7.6698399999999998</c:v>
                </c:pt>
                <c:pt idx="120">
                  <c:v>7.6956090322580639</c:v>
                </c:pt>
                <c:pt idx="121">
                  <c:v>7.6485768965517256</c:v>
                </c:pt>
                <c:pt idx="122">
                  <c:v>7.6864487096774203</c:v>
                </c:pt>
                <c:pt idx="123">
                  <c:v>7.707339666666666</c:v>
                </c:pt>
                <c:pt idx="124">
                  <c:v>7.6986470967741933</c:v>
                </c:pt>
                <c:pt idx="125">
                  <c:v>7.6974263333333361</c:v>
                </c:pt>
                <c:pt idx="126">
                  <c:v>7.6959661290322563</c:v>
                </c:pt>
                <c:pt idx="127">
                  <c:v>7.7051858064516123</c:v>
                </c:pt>
                <c:pt idx="128">
                  <c:v>7.7572043333333331</c:v>
                </c:pt>
                <c:pt idx="129">
                  <c:v>7.7813567741935463</c:v>
                </c:pt>
                <c:pt idx="130">
                  <c:v>7.7888773333333345</c:v>
                </c:pt>
                <c:pt idx="131">
                  <c:v>7.8012187096774186</c:v>
                </c:pt>
              </c:numCache>
            </c:numRef>
          </c:val>
          <c:smooth val="0"/>
          <c:extLst xmlns:c16r2="http://schemas.microsoft.com/office/drawing/2015/06/chart">
            <c:ext xmlns:c16="http://schemas.microsoft.com/office/drawing/2014/chart" uri="{C3380CC4-5D6E-409C-BE32-E72D297353CC}">
              <c16:uniqueId val="{00000000-E66B-48ED-85FA-55154EF32E13}"/>
            </c:ext>
          </c:extLst>
        </c:ser>
        <c:dLbls>
          <c:showLegendKey val="0"/>
          <c:showVal val="0"/>
          <c:showCatName val="0"/>
          <c:showSerName val="0"/>
          <c:showPercent val="0"/>
          <c:showBubbleSize val="0"/>
        </c:dLbls>
        <c:marker val="1"/>
        <c:smooth val="0"/>
        <c:axId val="419386112"/>
        <c:axId val="419387648"/>
      </c:lineChart>
      <c:dateAx>
        <c:axId val="419386112"/>
        <c:scaling>
          <c:orientation val="minMax"/>
        </c:scaling>
        <c:delete val="0"/>
        <c:axPos val="b"/>
        <c:numFmt formatCode="mmm\-yy" sourceLinked="1"/>
        <c:majorTickMark val="out"/>
        <c:minorTickMark val="none"/>
        <c:tickLblPos val="nextTo"/>
        <c:txPr>
          <a:bodyPr/>
          <a:lstStyle/>
          <a:p>
            <a:pPr>
              <a:defRPr sz="800" b="1"/>
            </a:pPr>
            <a:endParaRPr lang="es-GT"/>
          </a:p>
        </c:txPr>
        <c:crossAx val="419387648"/>
        <c:crosses val="autoZero"/>
        <c:auto val="1"/>
        <c:lblOffset val="100"/>
        <c:baseTimeUnit val="months"/>
      </c:dateAx>
      <c:valAx>
        <c:axId val="419387648"/>
        <c:scaling>
          <c:orientation val="minMax"/>
        </c:scaling>
        <c:delete val="0"/>
        <c:axPos val="l"/>
        <c:numFmt formatCode="0.0" sourceLinked="0"/>
        <c:majorTickMark val="out"/>
        <c:minorTickMark val="none"/>
        <c:tickLblPos val="nextTo"/>
        <c:txPr>
          <a:bodyPr/>
          <a:lstStyle/>
          <a:p>
            <a:pPr>
              <a:defRPr sz="800" b="1"/>
            </a:pPr>
            <a:endParaRPr lang="es-GT"/>
          </a:p>
        </c:txPr>
        <c:crossAx val="419386112"/>
        <c:crosses val="autoZero"/>
        <c:crossBetween val="between"/>
      </c:valAx>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34127569991252"/>
          <c:y val="3.8508664449501136E-2"/>
          <c:w val="0.77371466262029742"/>
          <c:h val="0.84557386092473164"/>
        </c:manualLayout>
      </c:layout>
      <c:barChart>
        <c:barDir val="col"/>
        <c:grouping val="clustered"/>
        <c:varyColors val="0"/>
        <c:ser>
          <c:idx val="0"/>
          <c:order val="0"/>
          <c:tx>
            <c:strRef>
              <c:f>'Resultado Presupuestario'!$C$6</c:f>
              <c:strCache>
                <c:ptCount val="1"/>
                <c:pt idx="0">
                  <c:v>Resultado Presupuestario</c:v>
                </c:pt>
              </c:strCache>
            </c:strRef>
          </c:tx>
          <c:spPr>
            <a:solidFill>
              <a:srgbClr val="0085B4"/>
            </a:solidFill>
            <a:ln>
              <a:solidFill>
                <a:srgbClr val="DDDDDD"/>
              </a:solidFill>
            </a:ln>
            <a:effectLst/>
            <a:scene3d>
              <a:camera prst="orthographicFront"/>
              <a:lightRig rig="threePt" dir="t"/>
            </a:scene3d>
            <a:sp3d>
              <a:bevelT/>
              <a:bevelB/>
            </a:sp3d>
          </c:spPr>
          <c:invertIfNegative val="0"/>
          <c:dPt>
            <c:idx val="9"/>
            <c:invertIfNegative val="0"/>
            <c:bubble3D val="0"/>
            <c:spPr>
              <a:solidFill>
                <a:srgbClr val="005D7E"/>
              </a:solidFill>
              <a:ln>
                <a:solidFill>
                  <a:srgbClr val="DDDDDD"/>
                </a:solid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D176-4525-B499-831A02085AF9}"/>
              </c:ext>
            </c:extLst>
          </c:dPt>
          <c:dLbls>
            <c:dLbl>
              <c:idx val="9"/>
              <c:numFmt formatCode="#,##0.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s-GT"/>
                </a:p>
              </c:txPr>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176-4525-B499-831A02085AF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mn-lt"/>
                    <a:ea typeface="+mn-ea"/>
                    <a:cs typeface="+mn-cs"/>
                  </a:defRPr>
                </a:pPr>
                <a:endParaRPr lang="es-GT"/>
              </a:p>
            </c:txPr>
            <c:dLblPos val="ct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 Presupuestario'!$B$7:$B$16</c:f>
              <c:strCache>
                <c:ptCount val="10"/>
                <c:pt idx="0">
                  <c:v>2011</c:v>
                </c:pt>
                <c:pt idx="1">
                  <c:v>2012</c:v>
                </c:pt>
                <c:pt idx="2">
                  <c:v>2013</c:v>
                </c:pt>
                <c:pt idx="3">
                  <c:v>2014</c:v>
                </c:pt>
                <c:pt idx="4">
                  <c:v>2015</c:v>
                </c:pt>
                <c:pt idx="5">
                  <c:v>2016</c:v>
                </c:pt>
                <c:pt idx="6">
                  <c:v>2017</c:v>
                </c:pt>
                <c:pt idx="7">
                  <c:v>2018</c:v>
                </c:pt>
                <c:pt idx="8">
                  <c:v>2019</c:v>
                </c:pt>
                <c:pt idx="9">
                  <c:v>2020*</c:v>
                </c:pt>
              </c:strCache>
            </c:strRef>
          </c:cat>
          <c:val>
            <c:numRef>
              <c:f>'Resultado Presupuestario'!$G$7:$G$16</c:f>
              <c:numCache>
                <c:formatCode>_(* #,##0.00_);_(* \(#,##0.00\);_(* "-"??_);_(@_)</c:formatCode>
                <c:ptCount val="10"/>
                <c:pt idx="0">
                  <c:v>-10356.984241560007</c:v>
                </c:pt>
                <c:pt idx="1">
                  <c:v>-9445.7465251699905</c:v>
                </c:pt>
                <c:pt idx="2">
                  <c:v>-9009.7867992600004</c:v>
                </c:pt>
                <c:pt idx="3">
                  <c:v>-8594.4001190099953</c:v>
                </c:pt>
                <c:pt idx="4">
                  <c:v>-7007.4932463399964</c:v>
                </c:pt>
                <c:pt idx="5">
                  <c:v>-5572.6654719899961</c:v>
                </c:pt>
                <c:pt idx="6">
                  <c:v>-7287.7273662600019</c:v>
                </c:pt>
                <c:pt idx="7">
                  <c:v>-10375.9</c:v>
                </c:pt>
                <c:pt idx="8">
                  <c:v>-13294.358591100012</c:v>
                </c:pt>
                <c:pt idx="9">
                  <c:v>-29477.706702939999</c:v>
                </c:pt>
              </c:numCache>
            </c:numRef>
          </c:val>
          <c:extLst xmlns:c16r2="http://schemas.microsoft.com/office/drawing/2015/06/chart">
            <c:ext xmlns:c16="http://schemas.microsoft.com/office/drawing/2014/chart" uri="{C3380CC4-5D6E-409C-BE32-E72D297353CC}">
              <c16:uniqueId val="{00000000-D176-4525-B499-831A02085AF9}"/>
            </c:ext>
          </c:extLst>
        </c:ser>
        <c:dLbls>
          <c:showLegendKey val="0"/>
          <c:showVal val="0"/>
          <c:showCatName val="0"/>
          <c:showSerName val="0"/>
          <c:showPercent val="0"/>
          <c:showBubbleSize val="0"/>
        </c:dLbls>
        <c:gapWidth val="9"/>
        <c:axId val="421762176"/>
        <c:axId val="421763712"/>
      </c:barChart>
      <c:lineChart>
        <c:grouping val="standard"/>
        <c:varyColors val="0"/>
        <c:ser>
          <c:idx val="1"/>
          <c:order val="1"/>
          <c:tx>
            <c:strRef>
              <c:f>'Resultado Presupuestario'!$D$6</c:f>
              <c:strCache>
                <c:ptCount val="1"/>
                <c:pt idx="0">
                  <c:v>% del PIB</c:v>
                </c:pt>
              </c:strCache>
            </c:strRef>
          </c:tx>
          <c:spPr>
            <a:ln w="38100" cap="rnd">
              <a:solidFill>
                <a:srgbClr val="FF0000"/>
              </a:solidFill>
              <a:round/>
            </a:ln>
            <a:effectLst/>
          </c:spPr>
          <c:marker>
            <c:symbol val="diamond"/>
            <c:size val="4"/>
            <c:spPr>
              <a:solidFill>
                <a:schemeClr val="bg1"/>
              </a:solidFill>
            </c:spPr>
          </c:marker>
          <c:dLbls>
            <c:dLbl>
              <c:idx val="0"/>
              <c:layout>
                <c:manualLayout>
                  <c:x val="-1.5190972222222222E-2"/>
                  <c:y val="2.3875790029480825E-2"/>
                </c:manualLayout>
              </c:layout>
              <c:showLegendKey val="0"/>
              <c:showVal val="1"/>
              <c:showCatName val="0"/>
              <c:showSerName val="0"/>
              <c:showPercent val="0"/>
              <c:showBubbleSize val="0"/>
            </c:dLbl>
            <c:dLbl>
              <c:idx val="1"/>
              <c:layout>
                <c:manualLayout>
                  <c:x val="-1.3020833333333334E-2"/>
                  <c:y val="2.3875790029480825E-2"/>
                </c:manualLayout>
              </c:layout>
              <c:showLegendKey val="0"/>
              <c:showVal val="1"/>
              <c:showCatName val="0"/>
              <c:showSerName val="0"/>
              <c:showPercent val="0"/>
              <c:showBubbleSize val="0"/>
            </c:dLbl>
            <c:dLbl>
              <c:idx val="2"/>
              <c:layout>
                <c:manualLayout>
                  <c:x val="-1.5190972222222222E-2"/>
                  <c:y val="2.0464962882412136E-2"/>
                </c:manualLayout>
              </c:layout>
              <c:showLegendKey val="0"/>
              <c:showVal val="1"/>
              <c:showCatName val="0"/>
              <c:showSerName val="0"/>
              <c:showPercent val="0"/>
              <c:showBubbleSize val="0"/>
            </c:dLbl>
            <c:dLbl>
              <c:idx val="3"/>
              <c:layout>
                <c:manualLayout>
                  <c:x val="-8.6805555555555559E-3"/>
                  <c:y val="2.3875790029480825E-2"/>
                </c:manualLayout>
              </c:layout>
              <c:showLegendKey val="0"/>
              <c:showVal val="1"/>
              <c:showCatName val="0"/>
              <c:showSerName val="0"/>
              <c:showPercent val="0"/>
              <c:showBubbleSize val="0"/>
            </c:dLbl>
            <c:dLbl>
              <c:idx val="4"/>
              <c:layout>
                <c:manualLayout>
                  <c:x val="-1.3020833333333334E-2"/>
                  <c:y val="1.7054135735343447E-2"/>
                </c:manualLayout>
              </c:layout>
              <c:showLegendKey val="0"/>
              <c:showVal val="1"/>
              <c:showCatName val="0"/>
              <c:showSerName val="0"/>
              <c:showPercent val="0"/>
              <c:showBubbleSize val="0"/>
            </c:dLbl>
            <c:dLbl>
              <c:idx val="5"/>
              <c:layout>
                <c:manualLayout>
                  <c:x val="-3.6892361111111112E-2"/>
                  <c:y val="2.3875790029480825E-2"/>
                </c:manualLayout>
              </c:layout>
              <c:showLegendKey val="0"/>
              <c:showVal val="1"/>
              <c:showCatName val="0"/>
              <c:showSerName val="0"/>
              <c:showPercent val="0"/>
              <c:showBubbleSize val="0"/>
            </c:dLbl>
            <c:dLbl>
              <c:idx val="6"/>
              <c:layout>
                <c:manualLayout>
                  <c:x val="-5.859375E-2"/>
                  <c:y val="2.0464962882412167E-2"/>
                </c:manualLayout>
              </c:layout>
              <c:showLegendKey val="0"/>
              <c:showVal val="1"/>
              <c:showCatName val="0"/>
              <c:showSerName val="0"/>
              <c:showPercent val="0"/>
              <c:showBubbleSize val="0"/>
            </c:dLbl>
            <c:dLbl>
              <c:idx val="7"/>
              <c:layout>
                <c:manualLayout>
                  <c:x val="-7.378472222222214E-2"/>
                  <c:y val="2.3875790029480825E-2"/>
                </c:manualLayout>
              </c:layout>
              <c:showLegendKey val="0"/>
              <c:showVal val="1"/>
              <c:showCatName val="0"/>
              <c:showSerName val="0"/>
              <c:showPercent val="0"/>
              <c:showBubbleSize val="0"/>
            </c:dLbl>
            <c:dLbl>
              <c:idx val="8"/>
              <c:layout>
                <c:manualLayout>
                  <c:x val="-7.1614583333333329E-2"/>
                  <c:y val="3.7519098617755584E-2"/>
                </c:manualLayout>
              </c:layout>
              <c:showLegendKey val="0"/>
              <c:showVal val="1"/>
              <c:showCatName val="0"/>
              <c:showSerName val="0"/>
              <c:showPercent val="0"/>
              <c:showBubbleSize val="0"/>
            </c:dLbl>
            <c:dLbl>
              <c:idx val="9"/>
              <c:layout>
                <c:manualLayout>
                  <c:x val="-3.3797948108048995E-2"/>
                  <c:y val="5.451370542675618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176-4525-B499-831A02085AF9}"/>
                </c:ext>
              </c:extLst>
            </c:dLbl>
            <c:spPr>
              <a:noFill/>
              <a:ln>
                <a:noFill/>
              </a:ln>
              <a:effectLst/>
            </c:spPr>
            <c:txPr>
              <a:bodyPr/>
              <a:lstStyle/>
              <a:p>
                <a:pPr>
                  <a:defRPr sz="900" b="1" i="1">
                    <a:solidFill>
                      <a:sysClr val="windowText" lastClr="000000"/>
                    </a:solidFill>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a:noFill/>
                    </a:ln>
                  </c:spPr>
                </c15:leaderLines>
              </c:ext>
            </c:extLst>
          </c:dLbls>
          <c:cat>
            <c:strRef>
              <c:f>'Resultado Presupuestario'!$B$7:$B$16</c:f>
              <c:strCache>
                <c:ptCount val="10"/>
                <c:pt idx="0">
                  <c:v>2011</c:v>
                </c:pt>
                <c:pt idx="1">
                  <c:v>2012</c:v>
                </c:pt>
                <c:pt idx="2">
                  <c:v>2013</c:v>
                </c:pt>
                <c:pt idx="3">
                  <c:v>2014</c:v>
                </c:pt>
                <c:pt idx="4">
                  <c:v>2015</c:v>
                </c:pt>
                <c:pt idx="5">
                  <c:v>2016</c:v>
                </c:pt>
                <c:pt idx="6">
                  <c:v>2017</c:v>
                </c:pt>
                <c:pt idx="7">
                  <c:v>2018</c:v>
                </c:pt>
                <c:pt idx="8">
                  <c:v>2019</c:v>
                </c:pt>
                <c:pt idx="9">
                  <c:v>2020*</c:v>
                </c:pt>
              </c:strCache>
            </c:strRef>
          </c:cat>
          <c:val>
            <c:numRef>
              <c:f>'Resultado Presupuestario'!$F$7:$F$16</c:f>
              <c:numCache>
                <c:formatCode>0.0%</c:formatCode>
                <c:ptCount val="10"/>
                <c:pt idx="0">
                  <c:v>-2.7915526742452276E-2</c:v>
                </c:pt>
                <c:pt idx="1">
                  <c:v>-2.3930063677996952E-2</c:v>
                </c:pt>
                <c:pt idx="2">
                  <c:v>-2.1638208167817825E-2</c:v>
                </c:pt>
                <c:pt idx="3">
                  <c:v>-1.921281984894626E-2</c:v>
                </c:pt>
                <c:pt idx="4">
                  <c:v>-1.4720918689385397E-2</c:v>
                </c:pt>
                <c:pt idx="5">
                  <c:v>-1.1100135723853084E-2</c:v>
                </c:pt>
                <c:pt idx="6">
                  <c:v>-1.3860552644585926E-2</c:v>
                </c:pt>
                <c:pt idx="7">
                  <c:v>-1.8921209848151127E-2</c:v>
                </c:pt>
                <c:pt idx="8">
                  <c:v>-2.2749922550872808E-2</c:v>
                </c:pt>
                <c:pt idx="9">
                  <c:v>-4.9302202759924453E-2</c:v>
                </c:pt>
              </c:numCache>
            </c:numRef>
          </c:val>
          <c:smooth val="1"/>
          <c:extLst xmlns:c16r2="http://schemas.microsoft.com/office/drawing/2015/06/chart">
            <c:ext xmlns:c16="http://schemas.microsoft.com/office/drawing/2014/chart" uri="{C3380CC4-5D6E-409C-BE32-E72D297353CC}">
              <c16:uniqueId val="{00000002-D176-4525-B499-831A02085AF9}"/>
            </c:ext>
          </c:extLst>
        </c:ser>
        <c:dLbls>
          <c:showLegendKey val="0"/>
          <c:showVal val="0"/>
          <c:showCatName val="0"/>
          <c:showSerName val="0"/>
          <c:showPercent val="0"/>
          <c:showBubbleSize val="0"/>
        </c:dLbls>
        <c:marker val="1"/>
        <c:smooth val="0"/>
        <c:axId val="421784192"/>
        <c:axId val="421782272"/>
      </c:lineChart>
      <c:catAx>
        <c:axId val="42176217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GT"/>
          </a:p>
        </c:txPr>
        <c:crossAx val="421763712"/>
        <c:crosses val="autoZero"/>
        <c:auto val="1"/>
        <c:lblAlgn val="ctr"/>
        <c:lblOffset val="100"/>
        <c:noMultiLvlLbl val="0"/>
      </c:catAx>
      <c:valAx>
        <c:axId val="421763712"/>
        <c:scaling>
          <c:orientation val="minMax"/>
          <c:min val="-35000"/>
        </c:scaling>
        <c:delete val="0"/>
        <c:axPos val="l"/>
        <c:title>
          <c:tx>
            <c:rich>
              <a:bodyPr rot="-5400000" vert="horz"/>
              <a:lstStyle/>
              <a:p>
                <a:pPr>
                  <a:defRPr sz="800"/>
                </a:pPr>
                <a:r>
                  <a:rPr lang="en-US" sz="800"/>
                  <a:t>Millones de Quetzales</a:t>
                </a:r>
              </a:p>
            </c:rich>
          </c:tx>
          <c:layout>
            <c:manualLayout>
              <c:xMode val="edge"/>
              <c:yMode val="edge"/>
              <c:x val="8.834344925634296E-4"/>
              <c:y val="0.34009738805404444"/>
            </c:manualLayout>
          </c:layout>
          <c:overlay val="0"/>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GT"/>
          </a:p>
        </c:txPr>
        <c:crossAx val="421762176"/>
        <c:crosses val="autoZero"/>
        <c:crossBetween val="between"/>
      </c:valAx>
      <c:valAx>
        <c:axId val="421782272"/>
        <c:scaling>
          <c:orientation val="minMax"/>
          <c:min val="-6.0000000000000012E-2"/>
        </c:scaling>
        <c:delete val="0"/>
        <c:axPos val="r"/>
        <c:title>
          <c:tx>
            <c:rich>
              <a:bodyPr rot="5400000" vert="horz"/>
              <a:lstStyle/>
              <a:p>
                <a:pPr>
                  <a:defRPr sz="800"/>
                </a:pPr>
                <a:r>
                  <a:rPr lang="en-US" sz="800"/>
                  <a:t>Porcentaje del PIB</a:t>
                </a:r>
              </a:p>
            </c:rich>
          </c:tx>
          <c:layout>
            <c:manualLayout>
              <c:xMode val="edge"/>
              <c:yMode val="edge"/>
              <c:x val="0.9707993287948381"/>
              <c:y val="0.33704453580795835"/>
            </c:manualLayout>
          </c:layout>
          <c:overlay val="0"/>
        </c:title>
        <c:numFmt formatCode="0.0%" sourceLinked="1"/>
        <c:majorTickMark val="out"/>
        <c:minorTickMark val="none"/>
        <c:tickLblPos val="high"/>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GT"/>
          </a:p>
        </c:txPr>
        <c:crossAx val="421784192"/>
        <c:crosses val="max"/>
        <c:crossBetween val="between"/>
      </c:valAx>
      <c:catAx>
        <c:axId val="421784192"/>
        <c:scaling>
          <c:orientation val="minMax"/>
        </c:scaling>
        <c:delete val="1"/>
        <c:axPos val="b"/>
        <c:numFmt formatCode="General" sourceLinked="1"/>
        <c:majorTickMark val="out"/>
        <c:minorTickMark val="none"/>
        <c:tickLblPos val="nextTo"/>
        <c:crossAx val="421782272"/>
        <c:crosses val="autoZero"/>
        <c:auto val="1"/>
        <c:lblAlgn val="ctr"/>
        <c:lblOffset val="100"/>
        <c:noMultiLvlLbl val="0"/>
      </c:catAx>
      <c:spPr>
        <a:noFill/>
        <a:ln>
          <a:noFill/>
        </a:ln>
        <a:effectLst/>
      </c:spPr>
    </c:plotArea>
    <c:legend>
      <c:legendPos val="b"/>
      <c:layout>
        <c:manualLayout>
          <c:xMode val="edge"/>
          <c:yMode val="edge"/>
          <c:x val="0.22137911472003499"/>
          <c:y val="0.94516085016766571"/>
          <c:w val="0.52468951634951877"/>
          <c:h val="5.483914264901929E-2"/>
        </c:manualLayout>
      </c:layout>
      <c:overlay val="0"/>
      <c:spPr>
        <a:solidFill>
          <a:sysClr val="window" lastClr="FFFFFF"/>
        </a:solid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59427042646886"/>
          <c:y val="1.3822869432775055E-2"/>
          <c:w val="0.8840858813851078"/>
          <c:h val="0.87459542156160963"/>
        </c:manualLayout>
      </c:layout>
      <c:barChart>
        <c:barDir val="col"/>
        <c:grouping val="clustered"/>
        <c:varyColors val="0"/>
        <c:ser>
          <c:idx val="0"/>
          <c:order val="0"/>
          <c:tx>
            <c:strRef>
              <c:f>'Serie Tributarios'!$B$7</c:f>
              <c:strCache>
                <c:ptCount val="1"/>
                <c:pt idx="0">
                  <c:v>Acumulado al 31 de diciembre</c:v>
                </c:pt>
              </c:strCache>
            </c:strRef>
          </c:tx>
          <c:spPr>
            <a:solidFill>
              <a:schemeClr val="tx2">
                <a:lumMod val="60000"/>
                <a:lumOff val="40000"/>
              </a:schemeClr>
            </a:solidFill>
            <a:scene3d>
              <a:camera prst="orthographicFront"/>
              <a:lightRig rig="threePt" dir="t">
                <a:rot lat="0" lon="0" rev="1200000"/>
              </a:lightRig>
            </a:scene3d>
            <a:sp3d prstMaterial="metal">
              <a:bevelT w="63500" h="25400"/>
            </a:sp3d>
          </c:spPr>
          <c:invertIfNegative val="0"/>
          <c:dPt>
            <c:idx val="6"/>
            <c:invertIfNegative val="0"/>
            <c:bubble3D val="0"/>
            <c:extLst xmlns:c16r2="http://schemas.microsoft.com/office/drawing/2015/06/chart">
              <c:ext xmlns:c16="http://schemas.microsoft.com/office/drawing/2014/chart" uri="{C3380CC4-5D6E-409C-BE32-E72D297353CC}">
                <c16:uniqueId val="{00000000-B0E0-4EC7-861A-2EB020BD733A}"/>
              </c:ext>
            </c:extLst>
          </c:dPt>
          <c:dPt>
            <c:idx val="7"/>
            <c:invertIfNegative val="0"/>
            <c:bubble3D val="0"/>
            <c:extLst xmlns:c16r2="http://schemas.microsoft.com/office/drawing/2015/06/chart">
              <c:ext xmlns:c16="http://schemas.microsoft.com/office/drawing/2014/chart" uri="{C3380CC4-5D6E-409C-BE32-E72D297353CC}">
                <c16:uniqueId val="{00000001-B0E0-4EC7-861A-2EB020BD733A}"/>
              </c:ext>
            </c:extLst>
          </c:dPt>
          <c:dPt>
            <c:idx val="8"/>
            <c:invertIfNegative val="0"/>
            <c:bubble3D val="0"/>
            <c:spPr>
              <a:solidFill>
                <a:schemeClr val="accent1"/>
              </a:solidFill>
              <a:scene3d>
                <a:camera prst="orthographicFront"/>
                <a:lightRig rig="threePt" dir="t">
                  <a:rot lat="0" lon="0" rev="1200000"/>
                </a:lightRig>
              </a:scene3d>
              <a:sp3d prstMaterial="metal">
                <a:bevelT w="63500" h="25400"/>
              </a:sp3d>
            </c:spPr>
            <c:extLst xmlns:c16r2="http://schemas.microsoft.com/office/drawing/2015/06/chart">
              <c:ext xmlns:c16="http://schemas.microsoft.com/office/drawing/2014/chart" uri="{C3380CC4-5D6E-409C-BE32-E72D297353CC}">
                <c16:uniqueId val="{00000003-B0E0-4EC7-861A-2EB020BD733A}"/>
              </c:ext>
            </c:extLst>
          </c:dPt>
          <c:dPt>
            <c:idx val="9"/>
            <c:invertIfNegative val="0"/>
            <c:bubble3D val="0"/>
            <c:spPr>
              <a:solidFill>
                <a:schemeClr val="accent1"/>
              </a:solidFill>
              <a:scene3d>
                <a:camera prst="orthographicFront"/>
                <a:lightRig rig="threePt" dir="t">
                  <a:rot lat="0" lon="0" rev="1200000"/>
                </a:lightRig>
              </a:scene3d>
              <a:sp3d prstMaterial="metal">
                <a:bevelT w="63500" h="25400"/>
              </a:sp3d>
            </c:spPr>
            <c:extLst xmlns:c16r2="http://schemas.microsoft.com/office/drawing/2015/06/chart">
              <c:ext xmlns:c16="http://schemas.microsoft.com/office/drawing/2014/chart" uri="{C3380CC4-5D6E-409C-BE32-E72D297353CC}">
                <c16:uniqueId val="{00000005-B0E0-4EC7-861A-2EB020BD733A}"/>
              </c:ext>
            </c:extLst>
          </c:dPt>
          <c:dPt>
            <c:idx val="10"/>
            <c:invertIfNegative val="0"/>
            <c:bubble3D val="0"/>
            <c:spPr>
              <a:solidFill>
                <a:schemeClr val="tx2">
                  <a:lumMod val="50000"/>
                </a:schemeClr>
              </a:solidFill>
              <a:scene3d>
                <a:camera prst="orthographicFront"/>
                <a:lightRig rig="threePt" dir="t">
                  <a:rot lat="0" lon="0" rev="1200000"/>
                </a:lightRig>
              </a:scene3d>
              <a:sp3d prstMaterial="metal">
                <a:bevelT w="63500" h="25400"/>
              </a:sp3d>
            </c:spPr>
            <c:extLst xmlns:c16r2="http://schemas.microsoft.com/office/drawing/2015/06/chart">
              <c:ext xmlns:c16="http://schemas.microsoft.com/office/drawing/2014/chart" uri="{C3380CC4-5D6E-409C-BE32-E72D297353CC}">
                <c16:uniqueId val="{00000007-B0E0-4EC7-861A-2EB020BD733A}"/>
              </c:ext>
            </c:extLst>
          </c:dPt>
          <c:dLbls>
            <c:numFmt formatCode="#,##0.0" sourceLinked="0"/>
            <c:spPr>
              <a:noFill/>
              <a:ln>
                <a:noFill/>
              </a:ln>
              <a:effectLst/>
            </c:spPr>
            <c:txPr>
              <a:bodyPr/>
              <a:lstStyle/>
              <a:p>
                <a:pPr>
                  <a:defRPr sz="650" b="1">
                    <a:latin typeface="Times New Roman" pitchFamily="18" charset="0"/>
                    <a:cs typeface="Times New Roman"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'Serie Tributarios'!$D$6:$N$6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'Serie Tributarios'!$D$7:$N$7</c:f>
              <c:numCache>
                <c:formatCode>_(* #,##0.0_);_(* \(#,##0.0\);_(* "-"??_);_(@_)</c:formatCode>
                <c:ptCount val="11"/>
                <c:pt idx="0">
                  <c:v>34772</c:v>
                </c:pt>
                <c:pt idx="1">
                  <c:v>40292.199999999997</c:v>
                </c:pt>
                <c:pt idx="2">
                  <c:v>42819.8</c:v>
                </c:pt>
                <c:pt idx="3">
                  <c:v>46335.5</c:v>
                </c:pt>
                <c:pt idx="4">
                  <c:v>49096.9</c:v>
                </c:pt>
                <c:pt idx="5">
                  <c:v>49730.7</c:v>
                </c:pt>
                <c:pt idx="6">
                  <c:v>54109.5</c:v>
                </c:pt>
                <c:pt idx="7">
                  <c:v>56684.1</c:v>
                </c:pt>
                <c:pt idx="8">
                  <c:v>58835.6</c:v>
                </c:pt>
                <c:pt idx="9">
                  <c:v>62593.599999999999</c:v>
                </c:pt>
                <c:pt idx="10">
                  <c:v>60279.4</c:v>
                </c:pt>
              </c:numCache>
            </c:numRef>
          </c:val>
          <c:extLst xmlns:c16r2="http://schemas.microsoft.com/office/drawing/2015/06/chart">
            <c:ext xmlns:c16="http://schemas.microsoft.com/office/drawing/2014/chart" uri="{C3380CC4-5D6E-409C-BE32-E72D297353CC}">
              <c16:uniqueId val="{00000008-B0E0-4EC7-861A-2EB020BD733A}"/>
            </c:ext>
          </c:extLst>
        </c:ser>
        <c:ser>
          <c:idx val="1"/>
          <c:order val="1"/>
          <c:tx>
            <c:strRef>
              <c:f>'grafica tributarios al 30 junio'!#REF!</c:f>
              <c:strCache>
                <c:ptCount val="1"/>
                <c:pt idx="0">
                  <c:v>#REF!</c:v>
                </c:pt>
              </c:strCache>
            </c:strRef>
          </c:tx>
          <c:spPr>
            <a:solidFill>
              <a:schemeClr val="accent3">
                <a:lumMod val="75000"/>
              </a:schemeClr>
            </a:solidFill>
          </c:spPr>
          <c:invertIfNegative val="0"/>
          <c:dLbls>
            <c:delete val="1"/>
          </c:dLbls>
          <c:cat>
            <c:strRef>
              <c:f>'Serie Tributarios'!$D$6:$N$6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'grafica tributarios al 30 junio'!#REF!</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9-B0E0-4EC7-861A-2EB020BD733A}"/>
            </c:ext>
          </c:extLst>
        </c:ser>
        <c:dLbls>
          <c:showLegendKey val="0"/>
          <c:showVal val="1"/>
          <c:showCatName val="0"/>
          <c:showSerName val="0"/>
          <c:showPercent val="0"/>
          <c:showBubbleSize val="0"/>
        </c:dLbls>
        <c:gapWidth val="26"/>
        <c:overlap val="100"/>
        <c:axId val="421966208"/>
        <c:axId val="421967744"/>
      </c:barChart>
      <c:catAx>
        <c:axId val="421966208"/>
        <c:scaling>
          <c:orientation val="minMax"/>
        </c:scaling>
        <c:delete val="0"/>
        <c:axPos val="b"/>
        <c:numFmt formatCode="General" sourceLinked="1"/>
        <c:majorTickMark val="none"/>
        <c:minorTickMark val="none"/>
        <c:tickLblPos val="nextTo"/>
        <c:txPr>
          <a:bodyPr/>
          <a:lstStyle/>
          <a:p>
            <a:pPr>
              <a:defRPr sz="700" b="1">
                <a:latin typeface="Times New Roman" pitchFamily="18" charset="0"/>
                <a:cs typeface="Times New Roman" pitchFamily="18" charset="0"/>
              </a:defRPr>
            </a:pPr>
            <a:endParaRPr lang="es-GT"/>
          </a:p>
        </c:txPr>
        <c:crossAx val="421967744"/>
        <c:crosses val="autoZero"/>
        <c:auto val="1"/>
        <c:lblAlgn val="ctr"/>
        <c:lblOffset val="100"/>
        <c:noMultiLvlLbl val="0"/>
      </c:catAx>
      <c:valAx>
        <c:axId val="421967744"/>
        <c:scaling>
          <c:orientation val="minMax"/>
        </c:scaling>
        <c:delete val="0"/>
        <c:axPos val="l"/>
        <c:title>
          <c:tx>
            <c:rich>
              <a:bodyPr rot="-5400000" vert="horz"/>
              <a:lstStyle/>
              <a:p>
                <a:pPr>
                  <a:defRPr sz="900" b="1">
                    <a:latin typeface="Times New Roman" pitchFamily="18" charset="0"/>
                    <a:cs typeface="Times New Roman" pitchFamily="18" charset="0"/>
                  </a:defRPr>
                </a:pPr>
                <a:r>
                  <a:rPr lang="en-US" sz="900" b="1">
                    <a:latin typeface="Times New Roman" pitchFamily="18" charset="0"/>
                    <a:cs typeface="Times New Roman" pitchFamily="18" charset="0"/>
                  </a:rPr>
                  <a:t>Millones de Quetzales</a:t>
                </a:r>
              </a:p>
            </c:rich>
          </c:tx>
          <c:layout>
            <c:manualLayout>
              <c:xMode val="edge"/>
              <c:yMode val="edge"/>
              <c:x val="8.9399685390102366E-4"/>
              <c:y val="0.29040380647606218"/>
            </c:manualLayout>
          </c:layout>
          <c:overlay val="0"/>
        </c:title>
        <c:numFmt formatCode="#,##0" sourceLinked="0"/>
        <c:majorTickMark val="none"/>
        <c:minorTickMark val="none"/>
        <c:tickLblPos val="nextTo"/>
        <c:txPr>
          <a:bodyPr/>
          <a:lstStyle/>
          <a:p>
            <a:pPr>
              <a:defRPr sz="700" b="1">
                <a:latin typeface="Times New Roman" pitchFamily="18" charset="0"/>
                <a:cs typeface="Times New Roman" pitchFamily="18" charset="0"/>
              </a:defRPr>
            </a:pPr>
            <a:endParaRPr lang="es-GT"/>
          </a:p>
        </c:txPr>
        <c:crossAx val="421966208"/>
        <c:crosses val="autoZero"/>
        <c:crossBetween val="between"/>
      </c:valAx>
    </c:plotArea>
    <c:legend>
      <c:legendPos val="b"/>
      <c:legendEntry>
        <c:idx val="1"/>
        <c:delete val="1"/>
      </c:legendEntry>
      <c:layout>
        <c:manualLayout>
          <c:xMode val="edge"/>
          <c:yMode val="edge"/>
          <c:x val="0.34565686133673917"/>
          <c:y val="0.94734178281190784"/>
          <c:w val="0.3041590815358638"/>
          <c:h val="5.2658216051527831E-2"/>
        </c:manualLayout>
      </c:layout>
      <c:overlay val="0"/>
      <c:txPr>
        <a:bodyPr/>
        <a:lstStyle/>
        <a:p>
          <a:pPr>
            <a:defRPr sz="800" b="1" i="0">
              <a:latin typeface="Times New Roman" pitchFamily="18" charset="0"/>
              <a:cs typeface="Times New Roman" pitchFamily="18" charset="0"/>
            </a:defRPr>
          </a:pPr>
          <a:endParaRPr lang="es-GT"/>
        </a:p>
      </c:txPr>
    </c:legend>
    <c:plotVisOnly val="1"/>
    <c:dispBlanksAs val="gap"/>
    <c:showDLblsOverMax val="0"/>
  </c:chart>
  <c:spPr>
    <a:solidFill>
      <a:schemeClr val="bg1"/>
    </a:solidFill>
    <a:ln>
      <a:no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BD838A-4234-4BA0-955C-688852652860}" type="doc">
      <dgm:prSet loTypeId="urn:microsoft.com/office/officeart/2005/8/layout/hierarchy3" loCatId="relationship" qsTypeId="urn:microsoft.com/office/officeart/2005/8/quickstyle/simple1" qsCatId="simple" csTypeId="urn:microsoft.com/office/officeart/2005/8/colors/accent1_2" csCatId="accent1" phldr="1"/>
      <dgm:spPr/>
      <dgm:t>
        <a:bodyPr/>
        <a:lstStyle/>
        <a:p>
          <a:endParaRPr lang="es-GT"/>
        </a:p>
      </dgm:t>
    </dgm:pt>
    <dgm:pt modelId="{E9C13116-2CD3-4FF3-B827-0EB367E63747}">
      <dgm:prSet phldrT="[Texto]" custT="1">
        <dgm:style>
          <a:lnRef idx="2">
            <a:schemeClr val="accent1"/>
          </a:lnRef>
          <a:fillRef idx="1">
            <a:schemeClr val="lt1"/>
          </a:fillRef>
          <a:effectRef idx="0">
            <a:schemeClr val="accent1"/>
          </a:effectRef>
          <a:fontRef idx="minor">
            <a:schemeClr val="dk1"/>
          </a:fontRef>
        </dgm:style>
      </dgm:prSet>
      <dgm:spPr/>
      <dgm:t>
        <a:bodyPr anchor="t"/>
        <a:lstStyle/>
        <a:p>
          <a:r>
            <a:rPr lang="es-ES" sz="1000" b="1" dirty="0">
              <a:latin typeface="Times New Roman" panose="02020603050405020304" pitchFamily="18" charset="0"/>
              <a:cs typeface="Times New Roman" panose="02020603050405020304" pitchFamily="18" charset="0"/>
            </a:rPr>
            <a:t>Respuesta</a:t>
          </a:r>
        </a:p>
        <a:p>
          <a:r>
            <a:rPr lang="es-ES" sz="900" dirty="0">
              <a:latin typeface="Times New Roman" panose="02020603050405020304" pitchFamily="18" charset="0"/>
              <a:cs typeface="Times New Roman" panose="02020603050405020304" pitchFamily="18" charset="0"/>
            </a:rPr>
            <a:t>Responder a la emergencia de salud y apoyar a las  personas y empresas vulnerables </a:t>
          </a:r>
          <a:endParaRPr lang="es-GT" sz="900" dirty="0">
            <a:latin typeface="Times New Roman" panose="02020603050405020304" pitchFamily="18" charset="0"/>
            <a:cs typeface="Times New Roman" panose="02020603050405020304" pitchFamily="18" charset="0"/>
          </a:endParaRPr>
        </a:p>
      </dgm:t>
    </dgm:pt>
    <dgm:pt modelId="{F04E5778-08B2-452E-9FED-7AF7F1BAA846}" type="parTrans" cxnId="{FC71891F-4D8E-45A5-8384-CAE082797334}">
      <dgm:prSet/>
      <dgm:spPr/>
      <dgm:t>
        <a:bodyPr/>
        <a:lstStyle/>
        <a:p>
          <a:endParaRPr lang="es-GT" sz="1400">
            <a:latin typeface="Times New Roman" panose="02020603050405020304" pitchFamily="18" charset="0"/>
            <a:cs typeface="Times New Roman" panose="02020603050405020304" pitchFamily="18" charset="0"/>
          </a:endParaRPr>
        </a:p>
      </dgm:t>
    </dgm:pt>
    <dgm:pt modelId="{1CF80FE0-6E37-461A-BF1C-4D3DB2922A29}" type="sibTrans" cxnId="{FC71891F-4D8E-45A5-8384-CAE082797334}">
      <dgm:prSet/>
      <dgm:spPr/>
      <dgm:t>
        <a:bodyPr/>
        <a:lstStyle/>
        <a:p>
          <a:endParaRPr lang="es-GT" sz="1400">
            <a:latin typeface="Times New Roman" panose="02020603050405020304" pitchFamily="18" charset="0"/>
            <a:cs typeface="Times New Roman" panose="02020603050405020304" pitchFamily="18" charset="0"/>
          </a:endParaRPr>
        </a:p>
      </dgm:t>
    </dgm:pt>
    <dgm:pt modelId="{C77BC8D2-8368-4CFF-B561-76F88DA3F026}">
      <dgm:prSet phldrT="[Texto]" custT="1"/>
      <dgm:spPr/>
      <dgm:t>
        <a:bodyPr anchor="t"/>
        <a:lstStyle/>
        <a:p>
          <a:pPr algn="just">
            <a:buNone/>
          </a:pPr>
          <a:r>
            <a:rPr lang="es-ES" sz="800" b="0" i="0" dirty="0">
              <a:latin typeface="Times New Roman" panose="02020603050405020304" pitchFamily="18" charset="0"/>
              <a:cs typeface="Times New Roman" panose="02020603050405020304" pitchFamily="18" charset="0"/>
            </a:rPr>
            <a:t>Asistir a la crisis de salud, hacer cumplir el confinamiento y distanciamiento social.</a:t>
          </a:r>
        </a:p>
        <a:p>
          <a:pPr algn="just">
            <a:buNone/>
          </a:pPr>
          <a:r>
            <a:rPr lang="es-ES" sz="800" b="0" i="0" dirty="0">
              <a:latin typeface="Times New Roman" panose="02020603050405020304" pitchFamily="18" charset="0"/>
              <a:cs typeface="Times New Roman" panose="02020603050405020304" pitchFamily="18" charset="0"/>
            </a:rPr>
            <a:t>Aumento de gastos para atención de la emergencia sanitaria.</a:t>
          </a:r>
        </a:p>
        <a:p>
          <a:pPr algn="just">
            <a:buNone/>
          </a:pPr>
          <a:endParaRPr lang="es-ES" sz="200" b="0" i="0" dirty="0">
            <a:latin typeface="Times New Roman" panose="02020603050405020304" pitchFamily="18" charset="0"/>
            <a:cs typeface="Times New Roman" panose="02020603050405020304" pitchFamily="18" charset="0"/>
          </a:endParaRPr>
        </a:p>
        <a:p>
          <a:pPr algn="just">
            <a:buNone/>
          </a:pPr>
          <a:r>
            <a:rPr lang="es-ES" sz="800" b="0" i="0" dirty="0">
              <a:latin typeface="Times New Roman" panose="02020603050405020304" pitchFamily="18" charset="0"/>
              <a:cs typeface="Times New Roman" panose="02020603050405020304" pitchFamily="18" charset="0"/>
            </a:rPr>
            <a:t>Constituir fondos específicos para atención de la emergencia y realizar transferencias de emergencia:</a:t>
          </a:r>
        </a:p>
        <a:p>
          <a:pPr algn="just">
            <a:buNone/>
          </a:pPr>
          <a:endParaRPr lang="es-ES" sz="500" b="0" i="0" dirty="0">
            <a:latin typeface="Times New Roman" panose="02020603050405020304" pitchFamily="18" charset="0"/>
            <a:cs typeface="Times New Roman" panose="02020603050405020304" pitchFamily="18" charset="0"/>
          </a:endParaRPr>
        </a:p>
        <a:p>
          <a:pPr algn="just">
            <a:buFont typeface="Wingdings" panose="05000000000000000000" pitchFamily="2" charset="2"/>
            <a:buChar char="§"/>
          </a:pPr>
          <a:r>
            <a:rPr lang="es-ES" sz="800" b="0" i="0" dirty="0">
              <a:latin typeface="Times New Roman" panose="02020603050405020304" pitchFamily="18" charset="0"/>
              <a:cs typeface="Times New Roman" panose="02020603050405020304" pitchFamily="18" charset="0"/>
            </a:rPr>
            <a:t> Apoyo a ciudadanos   vulnerables.</a:t>
          </a:r>
        </a:p>
        <a:p>
          <a:pPr algn="just">
            <a:buFont typeface="Wingdings" panose="05000000000000000000" pitchFamily="2" charset="2"/>
            <a:buChar char="§"/>
          </a:pPr>
          <a:r>
            <a:rPr lang="es-ES" sz="800" b="0" i="0" dirty="0">
              <a:latin typeface="Times New Roman" panose="02020603050405020304" pitchFamily="18" charset="0"/>
              <a:cs typeface="Times New Roman" panose="02020603050405020304" pitchFamily="18" charset="0"/>
            </a:rPr>
            <a:t> Apoyo al empleo.</a:t>
          </a:r>
        </a:p>
        <a:p>
          <a:pPr algn="just">
            <a:buFont typeface="Wingdings" panose="05000000000000000000" pitchFamily="2" charset="2"/>
            <a:buChar char="§"/>
          </a:pPr>
          <a:r>
            <a:rPr lang="es-ES" sz="800" b="0" i="0" dirty="0">
              <a:latin typeface="Times New Roman" panose="02020603050405020304" pitchFamily="18" charset="0"/>
              <a:cs typeface="Times New Roman" panose="02020603050405020304" pitchFamily="18" charset="0"/>
            </a:rPr>
            <a:t> Apoyo a </a:t>
          </a:r>
          <a:r>
            <a:rPr lang="es-ES" sz="800" b="0" i="0" dirty="0" err="1">
              <a:latin typeface="Times New Roman" panose="02020603050405020304" pitchFamily="18" charset="0"/>
              <a:cs typeface="Times New Roman" panose="02020603050405020304" pitchFamily="18" charset="0"/>
            </a:rPr>
            <a:t>Mipymes</a:t>
          </a:r>
          <a:r>
            <a:rPr lang="es-ES" sz="800" b="0" i="0" dirty="0">
              <a:latin typeface="Times New Roman" panose="02020603050405020304" pitchFamily="18" charset="0"/>
              <a:cs typeface="Times New Roman" panose="02020603050405020304" pitchFamily="18" charset="0"/>
            </a:rPr>
            <a:t>.</a:t>
          </a:r>
        </a:p>
        <a:p>
          <a:pPr algn="just">
            <a:buFont typeface="Wingdings" panose="05000000000000000000" pitchFamily="2" charset="2"/>
            <a:buChar char="§"/>
          </a:pPr>
          <a:r>
            <a:rPr lang="es-GT" sz="800" b="0" i="0" dirty="0">
              <a:latin typeface="Times New Roman" panose="02020603050405020304" pitchFamily="18" charset="0"/>
              <a:cs typeface="Times New Roman" panose="02020603050405020304" pitchFamily="18" charset="0"/>
            </a:rPr>
            <a:t> Agilizar la devolución del crédito fiscal a los exportadores.</a:t>
          </a:r>
          <a:endParaRPr lang="es-GT" sz="900" dirty="0">
            <a:latin typeface="Times New Roman" panose="02020603050405020304" pitchFamily="18" charset="0"/>
            <a:cs typeface="Times New Roman" panose="02020603050405020304" pitchFamily="18" charset="0"/>
          </a:endParaRPr>
        </a:p>
      </dgm:t>
    </dgm:pt>
    <dgm:pt modelId="{3CD45809-FE7C-4B58-9060-F1A388C992B3}" type="parTrans" cxnId="{C4D47431-C0AA-4776-B922-FB3E721A42F2}">
      <dgm:prSet/>
      <dgm:spPr/>
      <dgm:t>
        <a:bodyPr/>
        <a:lstStyle/>
        <a:p>
          <a:endParaRPr lang="es-GT" sz="1400">
            <a:latin typeface="Times New Roman" panose="02020603050405020304" pitchFamily="18" charset="0"/>
            <a:cs typeface="Times New Roman" panose="02020603050405020304" pitchFamily="18" charset="0"/>
          </a:endParaRPr>
        </a:p>
      </dgm:t>
    </dgm:pt>
    <dgm:pt modelId="{9984B808-5785-4726-BF3B-A1F8F455DF8B}" type="sibTrans" cxnId="{C4D47431-C0AA-4776-B922-FB3E721A42F2}">
      <dgm:prSet/>
      <dgm:spPr/>
      <dgm:t>
        <a:bodyPr/>
        <a:lstStyle/>
        <a:p>
          <a:endParaRPr lang="es-GT" sz="1400">
            <a:latin typeface="Times New Roman" panose="02020603050405020304" pitchFamily="18" charset="0"/>
            <a:cs typeface="Times New Roman" panose="02020603050405020304" pitchFamily="18" charset="0"/>
          </a:endParaRPr>
        </a:p>
      </dgm:t>
    </dgm:pt>
    <dgm:pt modelId="{AAD2A0F6-E88C-4E5D-BC05-CF2DD772F5E1}">
      <dgm:prSet phldrT="[Texto]" custT="1">
        <dgm:style>
          <a:lnRef idx="2">
            <a:schemeClr val="accent1"/>
          </a:lnRef>
          <a:fillRef idx="1">
            <a:schemeClr val="lt1"/>
          </a:fillRef>
          <a:effectRef idx="0">
            <a:schemeClr val="accent1"/>
          </a:effectRef>
          <a:fontRef idx="minor">
            <a:schemeClr val="dk1"/>
          </a:fontRef>
        </dgm:style>
      </dgm:prSet>
      <dgm:spPr/>
      <dgm:t>
        <a:bodyPr anchor="t"/>
        <a:lstStyle/>
        <a:p>
          <a:r>
            <a:rPr lang="es-ES" sz="1000" b="1" dirty="0">
              <a:latin typeface="Times New Roman" panose="02020603050405020304" pitchFamily="18" charset="0"/>
              <a:cs typeface="Times New Roman" panose="02020603050405020304" pitchFamily="18" charset="0"/>
            </a:rPr>
            <a:t>Reconstrucción </a:t>
          </a:r>
        </a:p>
        <a:p>
          <a:r>
            <a:rPr lang="es-ES" sz="900" dirty="0">
              <a:latin typeface="Times New Roman" panose="02020603050405020304" pitchFamily="18" charset="0"/>
              <a:cs typeface="Times New Roman" panose="02020603050405020304" pitchFamily="18" charset="0"/>
            </a:rPr>
            <a:t> Restauración de las finanzas públicas y recuperación de la estabilidad macroeconómica</a:t>
          </a:r>
          <a:endParaRPr lang="es-GT" sz="900" dirty="0">
            <a:latin typeface="Times New Roman" panose="02020603050405020304" pitchFamily="18" charset="0"/>
            <a:cs typeface="Times New Roman" panose="02020603050405020304" pitchFamily="18" charset="0"/>
          </a:endParaRPr>
        </a:p>
      </dgm:t>
    </dgm:pt>
    <dgm:pt modelId="{0502F7BE-7BA4-44CA-8256-0C400FAE4231}" type="parTrans" cxnId="{3B6A1519-A0EA-45D0-BDE2-2F8FE4B4EC25}">
      <dgm:prSet/>
      <dgm:spPr/>
      <dgm:t>
        <a:bodyPr/>
        <a:lstStyle/>
        <a:p>
          <a:endParaRPr lang="es-GT" sz="1400">
            <a:latin typeface="Times New Roman" panose="02020603050405020304" pitchFamily="18" charset="0"/>
            <a:cs typeface="Times New Roman" panose="02020603050405020304" pitchFamily="18" charset="0"/>
          </a:endParaRPr>
        </a:p>
      </dgm:t>
    </dgm:pt>
    <dgm:pt modelId="{16B259E3-92DA-422E-8BAA-FE581FCB763A}" type="sibTrans" cxnId="{3B6A1519-A0EA-45D0-BDE2-2F8FE4B4EC25}">
      <dgm:prSet/>
      <dgm:spPr/>
      <dgm:t>
        <a:bodyPr/>
        <a:lstStyle/>
        <a:p>
          <a:endParaRPr lang="es-GT" sz="1400">
            <a:latin typeface="Times New Roman" panose="02020603050405020304" pitchFamily="18" charset="0"/>
            <a:cs typeface="Times New Roman" panose="02020603050405020304" pitchFamily="18" charset="0"/>
          </a:endParaRPr>
        </a:p>
      </dgm:t>
    </dgm:pt>
    <dgm:pt modelId="{4AD5CEDA-DE72-403B-AA3A-FD5274D44574}">
      <dgm:prSet phldrT="[Texto]" custT="1"/>
      <dgm:spPr/>
      <dgm:t>
        <a:bodyPr anchor="t"/>
        <a:lstStyle/>
        <a:p>
          <a:pPr algn="just"/>
          <a:r>
            <a:rPr lang="es-ES" sz="800" b="0" i="0" dirty="0">
              <a:latin typeface="Times New Roman" panose="02020603050405020304" pitchFamily="18" charset="0"/>
              <a:cs typeface="Times New Roman" panose="02020603050405020304" pitchFamily="18" charset="0"/>
            </a:rPr>
            <a:t>Del lado del gasto, llevar a cabo revisiones por tipo de gasto, evaluación de políticas, evaluaciones de impacto para priorizar gastos.</a:t>
          </a:r>
        </a:p>
        <a:p>
          <a:pPr algn="just"/>
          <a:endParaRPr lang="es-ES" sz="200" b="0" i="0" dirty="0">
            <a:latin typeface="Times New Roman" panose="02020603050405020304" pitchFamily="18" charset="0"/>
            <a:cs typeface="Times New Roman" panose="02020603050405020304" pitchFamily="18" charset="0"/>
          </a:endParaRPr>
        </a:p>
        <a:p>
          <a:pPr algn="just"/>
          <a:r>
            <a:rPr lang="es-ES" sz="800" b="0" i="0" dirty="0">
              <a:latin typeface="Times New Roman" panose="02020603050405020304" pitchFamily="18" charset="0"/>
              <a:cs typeface="Times New Roman" panose="02020603050405020304" pitchFamily="18" charset="0"/>
            </a:rPr>
            <a:t>Por el lado de los ingresos, retomar los esfuerzos y las necesidades nacionales de reforma fiscal.</a:t>
          </a:r>
        </a:p>
        <a:p>
          <a:pPr algn="just"/>
          <a:endParaRPr lang="es-ES" sz="200" b="0" i="0" dirty="0">
            <a:latin typeface="Times New Roman" panose="02020603050405020304" pitchFamily="18" charset="0"/>
            <a:cs typeface="Times New Roman" panose="02020603050405020304" pitchFamily="18" charset="0"/>
          </a:endParaRPr>
        </a:p>
        <a:p>
          <a:pPr algn="just"/>
          <a:r>
            <a:rPr lang="es-ES" sz="800" b="0" i="0" dirty="0">
              <a:latin typeface="Times New Roman" panose="02020603050405020304" pitchFamily="18" charset="0"/>
              <a:cs typeface="Times New Roman" panose="02020603050405020304" pitchFamily="18" charset="0"/>
            </a:rPr>
            <a:t>Impulsar proyectos de inversión pública o bien esquemas de participación público-privada, que permitan una senda más alta de crecimiento de mediano plazo.</a:t>
          </a:r>
        </a:p>
        <a:p>
          <a:pPr algn="just"/>
          <a:endParaRPr lang="es-ES" sz="200" b="0" i="0" dirty="0">
            <a:latin typeface="Times New Roman" panose="02020603050405020304" pitchFamily="18" charset="0"/>
            <a:cs typeface="Times New Roman" panose="02020603050405020304" pitchFamily="18" charset="0"/>
          </a:endParaRPr>
        </a:p>
        <a:p>
          <a:pPr algn="just"/>
          <a:r>
            <a:rPr lang="es-ES_tradnl" sz="800">
              <a:latin typeface="Times New Roman" panose="02020603050405020304" pitchFamily="18" charset="0"/>
              <a:cs typeface="Times New Roman" panose="02020603050405020304" pitchFamily="18" charset="0"/>
            </a:rPr>
            <a:t>Reformar el sistema de contrataciones del Estado, priorizando la eficiencia y eficacia en los procesos de contratación.</a:t>
          </a:r>
          <a:endParaRPr lang="es-ES" sz="800" b="0" i="0" dirty="0">
            <a:latin typeface="Times New Roman" panose="02020603050405020304" pitchFamily="18" charset="0"/>
            <a:cs typeface="Times New Roman" panose="02020603050405020304" pitchFamily="18" charset="0"/>
          </a:endParaRPr>
        </a:p>
        <a:p>
          <a:pPr algn="just"/>
          <a:endParaRPr lang="es-GT" sz="800" dirty="0">
            <a:latin typeface="Times New Roman" panose="02020603050405020304" pitchFamily="18" charset="0"/>
            <a:cs typeface="Times New Roman" panose="02020603050405020304" pitchFamily="18" charset="0"/>
          </a:endParaRPr>
        </a:p>
      </dgm:t>
    </dgm:pt>
    <dgm:pt modelId="{ACB73B5F-4130-44BA-A9DC-5721646B5F83}" type="parTrans" cxnId="{1A6FF5E8-7EA7-4C97-8D7B-098DB4486885}">
      <dgm:prSet/>
      <dgm:spPr/>
      <dgm:t>
        <a:bodyPr/>
        <a:lstStyle/>
        <a:p>
          <a:endParaRPr lang="es-GT" sz="1400">
            <a:latin typeface="Times New Roman" panose="02020603050405020304" pitchFamily="18" charset="0"/>
            <a:cs typeface="Times New Roman" panose="02020603050405020304" pitchFamily="18" charset="0"/>
          </a:endParaRPr>
        </a:p>
      </dgm:t>
    </dgm:pt>
    <dgm:pt modelId="{57C7A20C-DA21-4983-A951-DC5B217F31E1}" type="sibTrans" cxnId="{1A6FF5E8-7EA7-4C97-8D7B-098DB4486885}">
      <dgm:prSet/>
      <dgm:spPr/>
      <dgm:t>
        <a:bodyPr/>
        <a:lstStyle/>
        <a:p>
          <a:endParaRPr lang="es-GT" sz="1400">
            <a:latin typeface="Times New Roman" panose="02020603050405020304" pitchFamily="18" charset="0"/>
            <a:cs typeface="Times New Roman" panose="02020603050405020304" pitchFamily="18" charset="0"/>
          </a:endParaRPr>
        </a:p>
      </dgm:t>
    </dgm:pt>
    <dgm:pt modelId="{713CA4A1-5A09-41B1-8C3B-42A840A560B1}">
      <dgm:prSet custT="1">
        <dgm:style>
          <a:lnRef idx="2">
            <a:schemeClr val="accent1"/>
          </a:lnRef>
          <a:fillRef idx="1">
            <a:schemeClr val="lt1"/>
          </a:fillRef>
          <a:effectRef idx="0">
            <a:schemeClr val="accent1"/>
          </a:effectRef>
          <a:fontRef idx="minor">
            <a:schemeClr val="dk1"/>
          </a:fontRef>
        </dgm:style>
      </dgm:prSet>
      <dgm:spPr/>
      <dgm:t>
        <a:bodyPr anchor="t"/>
        <a:lstStyle/>
        <a:p>
          <a:r>
            <a:rPr lang="es-ES" sz="1000" b="1" dirty="0">
              <a:latin typeface="Times New Roman" panose="02020603050405020304" pitchFamily="18" charset="0"/>
              <a:cs typeface="Times New Roman" panose="02020603050405020304" pitchFamily="18" charset="0"/>
            </a:rPr>
            <a:t>Rehabilitación</a:t>
          </a:r>
        </a:p>
        <a:p>
          <a:r>
            <a:rPr lang="es-ES" sz="900" dirty="0">
              <a:latin typeface="Times New Roman" panose="02020603050405020304" pitchFamily="18" charset="0"/>
              <a:cs typeface="Times New Roman" panose="02020603050405020304" pitchFamily="18" charset="0"/>
            </a:rPr>
            <a:t>Apoyar la actividad económica para acortar y reducir el impacto económico de la crisis</a:t>
          </a:r>
          <a:endParaRPr lang="es-GT" sz="900" dirty="0">
            <a:latin typeface="Times New Roman" panose="02020603050405020304" pitchFamily="18" charset="0"/>
            <a:cs typeface="Times New Roman" panose="02020603050405020304" pitchFamily="18" charset="0"/>
          </a:endParaRPr>
        </a:p>
      </dgm:t>
    </dgm:pt>
    <dgm:pt modelId="{063BA21B-A4B2-45E0-9205-3736640696D6}" type="parTrans" cxnId="{6E31233C-02A0-4768-B046-75ABB75A7CED}">
      <dgm:prSet/>
      <dgm:spPr/>
      <dgm:t>
        <a:bodyPr/>
        <a:lstStyle/>
        <a:p>
          <a:endParaRPr lang="es-GT" sz="1400">
            <a:latin typeface="Times New Roman" panose="02020603050405020304" pitchFamily="18" charset="0"/>
            <a:cs typeface="Times New Roman" panose="02020603050405020304" pitchFamily="18" charset="0"/>
          </a:endParaRPr>
        </a:p>
      </dgm:t>
    </dgm:pt>
    <dgm:pt modelId="{5E83A6BF-4312-491A-8C08-CA658C8F9DD1}" type="sibTrans" cxnId="{6E31233C-02A0-4768-B046-75ABB75A7CED}">
      <dgm:prSet/>
      <dgm:spPr/>
      <dgm:t>
        <a:bodyPr/>
        <a:lstStyle/>
        <a:p>
          <a:endParaRPr lang="es-GT" sz="1400">
            <a:latin typeface="Times New Roman" panose="02020603050405020304" pitchFamily="18" charset="0"/>
            <a:cs typeface="Times New Roman" panose="02020603050405020304" pitchFamily="18" charset="0"/>
          </a:endParaRPr>
        </a:p>
      </dgm:t>
    </dgm:pt>
    <dgm:pt modelId="{502F9B55-6194-45B1-9D82-BD76E3058726}">
      <dgm:prSet custT="1"/>
      <dgm:spPr/>
      <dgm:t>
        <a:bodyPr anchor="t"/>
        <a:lstStyle/>
        <a:p>
          <a:pPr algn="l"/>
          <a:r>
            <a:rPr lang="es-ES" sz="8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rPr>
            <a:t>Mantener la inversión pública en infraestructura y equipamiento de salud.</a:t>
          </a:r>
        </a:p>
        <a:p>
          <a:pPr algn="l"/>
          <a:r>
            <a:rPr lang="es-ES" sz="8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rPr>
            <a:t>Sostener el empleo y brindar apoyo de protección social a quienes perdieron sus empleos o sus fuentes de ingresos.</a:t>
          </a:r>
        </a:p>
        <a:p>
          <a:pPr algn="l"/>
          <a:endParaRPr lang="es-ES" sz="1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endParaRPr>
        </a:p>
        <a:p>
          <a:pPr algn="l"/>
          <a:r>
            <a:rPr lang="es-ES" sz="800" b="0" i="0" kern="1200" dirty="0">
              <a:latin typeface="Times New Roman" panose="02020603050405020304" pitchFamily="18" charset="0"/>
              <a:cs typeface="Times New Roman" panose="02020603050405020304" pitchFamily="18" charset="0"/>
            </a:rPr>
            <a:t>Asegurar la coordinación de las acciones para el restablecimiento de la actividad económica. </a:t>
          </a:r>
        </a:p>
        <a:p>
          <a:pPr algn="l"/>
          <a:endParaRPr lang="es-ES" sz="100" b="0" i="0" kern="1200" dirty="0">
            <a:latin typeface="Times New Roman" panose="02020603050405020304" pitchFamily="18" charset="0"/>
            <a:cs typeface="Times New Roman" panose="02020603050405020304" pitchFamily="18" charset="0"/>
          </a:endParaRPr>
        </a:p>
        <a:p>
          <a:pPr algn="l"/>
          <a:r>
            <a:rPr lang="es-ES" sz="800" b="0" i="0" kern="1200" dirty="0">
              <a:latin typeface="Times New Roman" panose="02020603050405020304" pitchFamily="18" charset="0"/>
              <a:cs typeface="Times New Roman" panose="02020603050405020304" pitchFamily="18" charset="0"/>
            </a:rPr>
            <a:t>Garantizar recursos suficientes para los fondos y programas especiales.</a:t>
          </a:r>
        </a:p>
        <a:p>
          <a:pPr algn="l"/>
          <a:endParaRPr lang="es-ES" sz="100" b="0" i="0" kern="1200" dirty="0">
            <a:latin typeface="Times New Roman" panose="02020603050405020304" pitchFamily="18" charset="0"/>
            <a:cs typeface="Times New Roman" panose="02020603050405020304" pitchFamily="18" charset="0"/>
          </a:endParaRPr>
        </a:p>
        <a:p>
          <a:pPr algn="l"/>
          <a:r>
            <a:rPr lang="es-ES" sz="800" b="0" i="0" kern="1200" dirty="0">
              <a:latin typeface="Times New Roman" panose="02020603050405020304" pitchFamily="18" charset="0"/>
              <a:cs typeface="Times New Roman" panose="02020603050405020304" pitchFamily="18" charset="0"/>
            </a:rPr>
            <a:t>Brindar apoyo financiero específico a los sectores económicos más afectados.</a:t>
          </a:r>
        </a:p>
      </dgm:t>
    </dgm:pt>
    <dgm:pt modelId="{5C35D054-3A2D-4D0F-83F5-F81F16B4AA3D}" type="parTrans" cxnId="{B10EE2BB-6940-4A50-B79E-3846EF964389}">
      <dgm:prSet/>
      <dgm:spPr/>
      <dgm:t>
        <a:bodyPr/>
        <a:lstStyle/>
        <a:p>
          <a:endParaRPr lang="es-GT" sz="1400">
            <a:latin typeface="Times New Roman" panose="02020603050405020304" pitchFamily="18" charset="0"/>
            <a:cs typeface="Times New Roman" panose="02020603050405020304" pitchFamily="18" charset="0"/>
          </a:endParaRPr>
        </a:p>
      </dgm:t>
    </dgm:pt>
    <dgm:pt modelId="{2008AD90-DAB6-4EB3-BF97-899598A81D94}" type="sibTrans" cxnId="{B10EE2BB-6940-4A50-B79E-3846EF964389}">
      <dgm:prSet/>
      <dgm:spPr/>
      <dgm:t>
        <a:bodyPr/>
        <a:lstStyle/>
        <a:p>
          <a:endParaRPr lang="es-GT" sz="1400">
            <a:latin typeface="Times New Roman" panose="02020603050405020304" pitchFamily="18" charset="0"/>
            <a:cs typeface="Times New Roman" panose="02020603050405020304" pitchFamily="18" charset="0"/>
          </a:endParaRPr>
        </a:p>
      </dgm:t>
    </dgm:pt>
    <dgm:pt modelId="{95B7ED29-715D-4CA1-8D15-FFBA04C940B1}" type="pres">
      <dgm:prSet presAssocID="{95BD838A-4234-4BA0-955C-688852652860}" presName="diagram" presStyleCnt="0">
        <dgm:presLayoutVars>
          <dgm:chPref val="1"/>
          <dgm:dir/>
          <dgm:animOne val="branch"/>
          <dgm:animLvl val="lvl"/>
          <dgm:resizeHandles/>
        </dgm:presLayoutVars>
      </dgm:prSet>
      <dgm:spPr/>
      <dgm:t>
        <a:bodyPr/>
        <a:lstStyle/>
        <a:p>
          <a:endParaRPr lang="es-GT"/>
        </a:p>
      </dgm:t>
    </dgm:pt>
    <dgm:pt modelId="{6863893E-4E2E-47B9-A52D-ADD0E686941A}" type="pres">
      <dgm:prSet presAssocID="{E9C13116-2CD3-4FF3-B827-0EB367E63747}" presName="root" presStyleCnt="0"/>
      <dgm:spPr/>
    </dgm:pt>
    <dgm:pt modelId="{465F16BC-EAFA-4469-9DA2-1151CE95CF03}" type="pres">
      <dgm:prSet presAssocID="{E9C13116-2CD3-4FF3-B827-0EB367E63747}" presName="rootComposite" presStyleCnt="0"/>
      <dgm:spPr/>
    </dgm:pt>
    <dgm:pt modelId="{AE150743-140A-4AB1-9452-EB2F91793599}" type="pres">
      <dgm:prSet presAssocID="{E9C13116-2CD3-4FF3-B827-0EB367E63747}" presName="rootText" presStyleLbl="node1" presStyleIdx="0" presStyleCnt="3"/>
      <dgm:spPr/>
      <dgm:t>
        <a:bodyPr/>
        <a:lstStyle/>
        <a:p>
          <a:endParaRPr lang="es-GT"/>
        </a:p>
      </dgm:t>
    </dgm:pt>
    <dgm:pt modelId="{B64FB37F-CDB2-400B-886E-020E4292236A}" type="pres">
      <dgm:prSet presAssocID="{E9C13116-2CD3-4FF3-B827-0EB367E63747}" presName="rootConnector" presStyleLbl="node1" presStyleIdx="0" presStyleCnt="3"/>
      <dgm:spPr/>
      <dgm:t>
        <a:bodyPr/>
        <a:lstStyle/>
        <a:p>
          <a:endParaRPr lang="es-GT"/>
        </a:p>
      </dgm:t>
    </dgm:pt>
    <dgm:pt modelId="{83BC6424-FE71-4100-8BA0-E6FE17ED2EB0}" type="pres">
      <dgm:prSet presAssocID="{E9C13116-2CD3-4FF3-B827-0EB367E63747}" presName="childShape" presStyleCnt="0"/>
      <dgm:spPr/>
    </dgm:pt>
    <dgm:pt modelId="{2A89A244-2048-40F9-9C41-83A86244ED36}" type="pres">
      <dgm:prSet presAssocID="{3CD45809-FE7C-4B58-9060-F1A388C992B3}" presName="Name13" presStyleLbl="parChTrans1D2" presStyleIdx="0" presStyleCnt="3"/>
      <dgm:spPr/>
      <dgm:t>
        <a:bodyPr/>
        <a:lstStyle/>
        <a:p>
          <a:endParaRPr lang="es-GT"/>
        </a:p>
      </dgm:t>
    </dgm:pt>
    <dgm:pt modelId="{EED6E890-C884-4ADD-8A50-4CBF424847A9}" type="pres">
      <dgm:prSet presAssocID="{C77BC8D2-8368-4CFF-B561-76F88DA3F026}" presName="childText" presStyleLbl="bgAcc1" presStyleIdx="0" presStyleCnt="3" custScaleX="117292" custScaleY="283719">
        <dgm:presLayoutVars>
          <dgm:bulletEnabled val="1"/>
        </dgm:presLayoutVars>
      </dgm:prSet>
      <dgm:spPr/>
      <dgm:t>
        <a:bodyPr/>
        <a:lstStyle/>
        <a:p>
          <a:endParaRPr lang="es-GT"/>
        </a:p>
      </dgm:t>
    </dgm:pt>
    <dgm:pt modelId="{2852CE78-EBD1-48E4-B083-3C000FEE00BE}" type="pres">
      <dgm:prSet presAssocID="{713CA4A1-5A09-41B1-8C3B-42A840A560B1}" presName="root" presStyleCnt="0"/>
      <dgm:spPr/>
    </dgm:pt>
    <dgm:pt modelId="{E56B6C2B-E6B6-44F0-AEFC-6F8C9C04E81C}" type="pres">
      <dgm:prSet presAssocID="{713CA4A1-5A09-41B1-8C3B-42A840A560B1}" presName="rootComposite" presStyleCnt="0"/>
      <dgm:spPr/>
    </dgm:pt>
    <dgm:pt modelId="{E434CD6D-3F42-4C90-8E39-43501DD06823}" type="pres">
      <dgm:prSet presAssocID="{713CA4A1-5A09-41B1-8C3B-42A840A560B1}" presName="rootText" presStyleLbl="node1" presStyleIdx="1" presStyleCnt="3"/>
      <dgm:spPr/>
      <dgm:t>
        <a:bodyPr/>
        <a:lstStyle/>
        <a:p>
          <a:endParaRPr lang="es-GT"/>
        </a:p>
      </dgm:t>
    </dgm:pt>
    <dgm:pt modelId="{03EA548C-0CF3-4A2A-BA74-044356A79E2C}" type="pres">
      <dgm:prSet presAssocID="{713CA4A1-5A09-41B1-8C3B-42A840A560B1}" presName="rootConnector" presStyleLbl="node1" presStyleIdx="1" presStyleCnt="3"/>
      <dgm:spPr/>
      <dgm:t>
        <a:bodyPr/>
        <a:lstStyle/>
        <a:p>
          <a:endParaRPr lang="es-GT"/>
        </a:p>
      </dgm:t>
    </dgm:pt>
    <dgm:pt modelId="{218AFD05-B11F-43B9-A6FC-F4C9AA5F17BC}" type="pres">
      <dgm:prSet presAssocID="{713CA4A1-5A09-41B1-8C3B-42A840A560B1}" presName="childShape" presStyleCnt="0"/>
      <dgm:spPr/>
    </dgm:pt>
    <dgm:pt modelId="{F5FD21A8-DACA-4F08-8D6B-630593F35A53}" type="pres">
      <dgm:prSet presAssocID="{5C35D054-3A2D-4D0F-83F5-F81F16B4AA3D}" presName="Name13" presStyleLbl="parChTrans1D2" presStyleIdx="1" presStyleCnt="3"/>
      <dgm:spPr/>
      <dgm:t>
        <a:bodyPr/>
        <a:lstStyle/>
        <a:p>
          <a:endParaRPr lang="es-GT"/>
        </a:p>
      </dgm:t>
    </dgm:pt>
    <dgm:pt modelId="{6E2B3684-C614-48F7-BF0B-5D51CF810ABB}" type="pres">
      <dgm:prSet presAssocID="{502F9B55-6194-45B1-9D82-BD76E3058726}" presName="childText" presStyleLbl="bgAcc1" presStyleIdx="1" presStyleCnt="3" custScaleX="117478" custScaleY="280730">
        <dgm:presLayoutVars>
          <dgm:bulletEnabled val="1"/>
        </dgm:presLayoutVars>
      </dgm:prSet>
      <dgm:spPr/>
      <dgm:t>
        <a:bodyPr/>
        <a:lstStyle/>
        <a:p>
          <a:endParaRPr lang="es-GT"/>
        </a:p>
      </dgm:t>
    </dgm:pt>
    <dgm:pt modelId="{5D37C2B1-3CE6-48EA-9CA9-9EDDC56F9309}" type="pres">
      <dgm:prSet presAssocID="{AAD2A0F6-E88C-4E5D-BC05-CF2DD772F5E1}" presName="root" presStyleCnt="0"/>
      <dgm:spPr/>
    </dgm:pt>
    <dgm:pt modelId="{FF0DBB66-A9C3-46D7-AD18-F0DD858F320B}" type="pres">
      <dgm:prSet presAssocID="{AAD2A0F6-E88C-4E5D-BC05-CF2DD772F5E1}" presName="rootComposite" presStyleCnt="0"/>
      <dgm:spPr/>
    </dgm:pt>
    <dgm:pt modelId="{19608D5C-527C-437F-8F17-E14AFF8F8E25}" type="pres">
      <dgm:prSet presAssocID="{AAD2A0F6-E88C-4E5D-BC05-CF2DD772F5E1}" presName="rootText" presStyleLbl="node1" presStyleIdx="2" presStyleCnt="3"/>
      <dgm:spPr/>
      <dgm:t>
        <a:bodyPr/>
        <a:lstStyle/>
        <a:p>
          <a:endParaRPr lang="es-GT"/>
        </a:p>
      </dgm:t>
    </dgm:pt>
    <dgm:pt modelId="{D559115E-6071-4038-B7C0-647F9E5D4DD9}" type="pres">
      <dgm:prSet presAssocID="{AAD2A0F6-E88C-4E5D-BC05-CF2DD772F5E1}" presName="rootConnector" presStyleLbl="node1" presStyleIdx="2" presStyleCnt="3"/>
      <dgm:spPr/>
      <dgm:t>
        <a:bodyPr/>
        <a:lstStyle/>
        <a:p>
          <a:endParaRPr lang="es-GT"/>
        </a:p>
      </dgm:t>
    </dgm:pt>
    <dgm:pt modelId="{C4AD16A7-7BBF-4E21-B749-AB7BD673C59B}" type="pres">
      <dgm:prSet presAssocID="{AAD2A0F6-E88C-4E5D-BC05-CF2DD772F5E1}" presName="childShape" presStyleCnt="0"/>
      <dgm:spPr/>
    </dgm:pt>
    <dgm:pt modelId="{D1F4293E-E58A-4060-8858-5956BDB6AAFF}" type="pres">
      <dgm:prSet presAssocID="{ACB73B5F-4130-44BA-A9DC-5721646B5F83}" presName="Name13" presStyleLbl="parChTrans1D2" presStyleIdx="2" presStyleCnt="3"/>
      <dgm:spPr/>
      <dgm:t>
        <a:bodyPr/>
        <a:lstStyle/>
        <a:p>
          <a:endParaRPr lang="es-GT"/>
        </a:p>
      </dgm:t>
    </dgm:pt>
    <dgm:pt modelId="{6A61CA53-826B-4C55-8156-1509DF73A63B}" type="pres">
      <dgm:prSet presAssocID="{4AD5CEDA-DE72-403B-AA3A-FD5274D44574}" presName="childText" presStyleLbl="bgAcc1" presStyleIdx="2" presStyleCnt="3" custScaleX="114603" custScaleY="290708" custLinFactNeighborY="-9416">
        <dgm:presLayoutVars>
          <dgm:bulletEnabled val="1"/>
        </dgm:presLayoutVars>
      </dgm:prSet>
      <dgm:spPr/>
      <dgm:t>
        <a:bodyPr/>
        <a:lstStyle/>
        <a:p>
          <a:endParaRPr lang="es-GT"/>
        </a:p>
      </dgm:t>
    </dgm:pt>
  </dgm:ptLst>
  <dgm:cxnLst>
    <dgm:cxn modelId="{C4D47431-C0AA-4776-B922-FB3E721A42F2}" srcId="{E9C13116-2CD3-4FF3-B827-0EB367E63747}" destId="{C77BC8D2-8368-4CFF-B561-76F88DA3F026}" srcOrd="0" destOrd="0" parTransId="{3CD45809-FE7C-4B58-9060-F1A388C992B3}" sibTransId="{9984B808-5785-4726-BF3B-A1F8F455DF8B}"/>
    <dgm:cxn modelId="{06354493-8F0D-49F4-B624-15FDC95A1754}" type="presOf" srcId="{5C35D054-3A2D-4D0F-83F5-F81F16B4AA3D}" destId="{F5FD21A8-DACA-4F08-8D6B-630593F35A53}" srcOrd="0" destOrd="0" presId="urn:microsoft.com/office/officeart/2005/8/layout/hierarchy3"/>
    <dgm:cxn modelId="{B10EE2BB-6940-4A50-B79E-3846EF964389}" srcId="{713CA4A1-5A09-41B1-8C3B-42A840A560B1}" destId="{502F9B55-6194-45B1-9D82-BD76E3058726}" srcOrd="0" destOrd="0" parTransId="{5C35D054-3A2D-4D0F-83F5-F81F16B4AA3D}" sibTransId="{2008AD90-DAB6-4EB3-BF97-899598A81D94}"/>
    <dgm:cxn modelId="{8A300318-591F-456B-8650-3F76EF3DE9E4}" type="presOf" srcId="{ACB73B5F-4130-44BA-A9DC-5721646B5F83}" destId="{D1F4293E-E58A-4060-8858-5956BDB6AAFF}" srcOrd="0" destOrd="0" presId="urn:microsoft.com/office/officeart/2005/8/layout/hierarchy3"/>
    <dgm:cxn modelId="{B7D7E700-CFD6-41A4-A564-F6E27F3EAD03}" type="presOf" srcId="{AAD2A0F6-E88C-4E5D-BC05-CF2DD772F5E1}" destId="{D559115E-6071-4038-B7C0-647F9E5D4DD9}" srcOrd="1" destOrd="0" presId="urn:microsoft.com/office/officeart/2005/8/layout/hierarchy3"/>
    <dgm:cxn modelId="{FB1F9C37-CA1D-40C1-A440-A2CD0A189AFA}" type="presOf" srcId="{713CA4A1-5A09-41B1-8C3B-42A840A560B1}" destId="{03EA548C-0CF3-4A2A-BA74-044356A79E2C}" srcOrd="1" destOrd="0" presId="urn:microsoft.com/office/officeart/2005/8/layout/hierarchy3"/>
    <dgm:cxn modelId="{74EEAB1B-0753-49E1-9C5C-4B860CC20C84}" type="presOf" srcId="{713CA4A1-5A09-41B1-8C3B-42A840A560B1}" destId="{E434CD6D-3F42-4C90-8E39-43501DD06823}" srcOrd="0" destOrd="0" presId="urn:microsoft.com/office/officeart/2005/8/layout/hierarchy3"/>
    <dgm:cxn modelId="{B9643B07-4B60-428F-8763-67032BC0E86A}" type="presOf" srcId="{C77BC8D2-8368-4CFF-B561-76F88DA3F026}" destId="{EED6E890-C884-4ADD-8A50-4CBF424847A9}" srcOrd="0" destOrd="0" presId="urn:microsoft.com/office/officeart/2005/8/layout/hierarchy3"/>
    <dgm:cxn modelId="{D9655C72-8191-4ECD-96AA-CDAF2F879A58}" type="presOf" srcId="{502F9B55-6194-45B1-9D82-BD76E3058726}" destId="{6E2B3684-C614-48F7-BF0B-5D51CF810ABB}" srcOrd="0" destOrd="0" presId="urn:microsoft.com/office/officeart/2005/8/layout/hierarchy3"/>
    <dgm:cxn modelId="{3B6A1519-A0EA-45D0-BDE2-2F8FE4B4EC25}" srcId="{95BD838A-4234-4BA0-955C-688852652860}" destId="{AAD2A0F6-E88C-4E5D-BC05-CF2DD772F5E1}" srcOrd="2" destOrd="0" parTransId="{0502F7BE-7BA4-44CA-8256-0C400FAE4231}" sibTransId="{16B259E3-92DA-422E-8BAA-FE581FCB763A}"/>
    <dgm:cxn modelId="{1A6FF5E8-7EA7-4C97-8D7B-098DB4486885}" srcId="{AAD2A0F6-E88C-4E5D-BC05-CF2DD772F5E1}" destId="{4AD5CEDA-DE72-403B-AA3A-FD5274D44574}" srcOrd="0" destOrd="0" parTransId="{ACB73B5F-4130-44BA-A9DC-5721646B5F83}" sibTransId="{57C7A20C-DA21-4983-A951-DC5B217F31E1}"/>
    <dgm:cxn modelId="{7366F2A3-D579-4F20-A5F3-3EF3B65C43C5}" type="presOf" srcId="{E9C13116-2CD3-4FF3-B827-0EB367E63747}" destId="{B64FB37F-CDB2-400B-886E-020E4292236A}" srcOrd="1" destOrd="0" presId="urn:microsoft.com/office/officeart/2005/8/layout/hierarchy3"/>
    <dgm:cxn modelId="{BB40BB07-6EFF-40FD-8E30-499C3F61241A}" type="presOf" srcId="{AAD2A0F6-E88C-4E5D-BC05-CF2DD772F5E1}" destId="{19608D5C-527C-437F-8F17-E14AFF8F8E25}" srcOrd="0" destOrd="0" presId="urn:microsoft.com/office/officeart/2005/8/layout/hierarchy3"/>
    <dgm:cxn modelId="{461B34C6-E949-45E0-8313-35043F02993B}" type="presOf" srcId="{3CD45809-FE7C-4B58-9060-F1A388C992B3}" destId="{2A89A244-2048-40F9-9C41-83A86244ED36}" srcOrd="0" destOrd="0" presId="urn:microsoft.com/office/officeart/2005/8/layout/hierarchy3"/>
    <dgm:cxn modelId="{104E8675-8C04-4C26-A76B-A385FEA6216B}" type="presOf" srcId="{4AD5CEDA-DE72-403B-AA3A-FD5274D44574}" destId="{6A61CA53-826B-4C55-8156-1509DF73A63B}" srcOrd="0" destOrd="0" presId="urn:microsoft.com/office/officeart/2005/8/layout/hierarchy3"/>
    <dgm:cxn modelId="{6E31233C-02A0-4768-B046-75ABB75A7CED}" srcId="{95BD838A-4234-4BA0-955C-688852652860}" destId="{713CA4A1-5A09-41B1-8C3B-42A840A560B1}" srcOrd="1" destOrd="0" parTransId="{063BA21B-A4B2-45E0-9205-3736640696D6}" sibTransId="{5E83A6BF-4312-491A-8C08-CA658C8F9DD1}"/>
    <dgm:cxn modelId="{989834ED-2D8E-46B6-A919-159A69B9BD41}" type="presOf" srcId="{95BD838A-4234-4BA0-955C-688852652860}" destId="{95B7ED29-715D-4CA1-8D15-FFBA04C940B1}" srcOrd="0" destOrd="0" presId="urn:microsoft.com/office/officeart/2005/8/layout/hierarchy3"/>
    <dgm:cxn modelId="{FC71891F-4D8E-45A5-8384-CAE082797334}" srcId="{95BD838A-4234-4BA0-955C-688852652860}" destId="{E9C13116-2CD3-4FF3-B827-0EB367E63747}" srcOrd="0" destOrd="0" parTransId="{F04E5778-08B2-452E-9FED-7AF7F1BAA846}" sibTransId="{1CF80FE0-6E37-461A-BF1C-4D3DB2922A29}"/>
    <dgm:cxn modelId="{8985F20F-D688-4043-8917-5E16849E6FB7}" type="presOf" srcId="{E9C13116-2CD3-4FF3-B827-0EB367E63747}" destId="{AE150743-140A-4AB1-9452-EB2F91793599}" srcOrd="0" destOrd="0" presId="urn:microsoft.com/office/officeart/2005/8/layout/hierarchy3"/>
    <dgm:cxn modelId="{28D0F340-F8DD-4C74-80AF-269F8B8C8F7E}" type="presParOf" srcId="{95B7ED29-715D-4CA1-8D15-FFBA04C940B1}" destId="{6863893E-4E2E-47B9-A52D-ADD0E686941A}" srcOrd="0" destOrd="0" presId="urn:microsoft.com/office/officeart/2005/8/layout/hierarchy3"/>
    <dgm:cxn modelId="{F266BA8F-BBAA-49BB-9741-5843CB60B374}" type="presParOf" srcId="{6863893E-4E2E-47B9-A52D-ADD0E686941A}" destId="{465F16BC-EAFA-4469-9DA2-1151CE95CF03}" srcOrd="0" destOrd="0" presId="urn:microsoft.com/office/officeart/2005/8/layout/hierarchy3"/>
    <dgm:cxn modelId="{396572CE-A4D5-488D-91C1-0AE0EDAD9A2D}" type="presParOf" srcId="{465F16BC-EAFA-4469-9DA2-1151CE95CF03}" destId="{AE150743-140A-4AB1-9452-EB2F91793599}" srcOrd="0" destOrd="0" presId="urn:microsoft.com/office/officeart/2005/8/layout/hierarchy3"/>
    <dgm:cxn modelId="{75D8A5F8-8D6F-487A-B72B-AB55E1204F1A}" type="presParOf" srcId="{465F16BC-EAFA-4469-9DA2-1151CE95CF03}" destId="{B64FB37F-CDB2-400B-886E-020E4292236A}" srcOrd="1" destOrd="0" presId="urn:microsoft.com/office/officeart/2005/8/layout/hierarchy3"/>
    <dgm:cxn modelId="{F7B99C0F-59AA-49DC-AC76-6FE666A61BB8}" type="presParOf" srcId="{6863893E-4E2E-47B9-A52D-ADD0E686941A}" destId="{83BC6424-FE71-4100-8BA0-E6FE17ED2EB0}" srcOrd="1" destOrd="0" presId="urn:microsoft.com/office/officeart/2005/8/layout/hierarchy3"/>
    <dgm:cxn modelId="{2E816ABF-BE30-4D80-9CC9-4F40B1419474}" type="presParOf" srcId="{83BC6424-FE71-4100-8BA0-E6FE17ED2EB0}" destId="{2A89A244-2048-40F9-9C41-83A86244ED36}" srcOrd="0" destOrd="0" presId="urn:microsoft.com/office/officeart/2005/8/layout/hierarchy3"/>
    <dgm:cxn modelId="{8DC6C146-45A7-4CA9-8E3E-743182BBD13C}" type="presParOf" srcId="{83BC6424-FE71-4100-8BA0-E6FE17ED2EB0}" destId="{EED6E890-C884-4ADD-8A50-4CBF424847A9}" srcOrd="1" destOrd="0" presId="urn:microsoft.com/office/officeart/2005/8/layout/hierarchy3"/>
    <dgm:cxn modelId="{AE477440-475B-4044-9A2B-AFDF7BFA82E7}" type="presParOf" srcId="{95B7ED29-715D-4CA1-8D15-FFBA04C940B1}" destId="{2852CE78-EBD1-48E4-B083-3C000FEE00BE}" srcOrd="1" destOrd="0" presId="urn:microsoft.com/office/officeart/2005/8/layout/hierarchy3"/>
    <dgm:cxn modelId="{4C3896BA-CA0D-4972-AA9E-2AE979A58688}" type="presParOf" srcId="{2852CE78-EBD1-48E4-B083-3C000FEE00BE}" destId="{E56B6C2B-E6B6-44F0-AEFC-6F8C9C04E81C}" srcOrd="0" destOrd="0" presId="urn:microsoft.com/office/officeart/2005/8/layout/hierarchy3"/>
    <dgm:cxn modelId="{A1B39245-46B8-4E75-9E28-D9A17C216E00}" type="presParOf" srcId="{E56B6C2B-E6B6-44F0-AEFC-6F8C9C04E81C}" destId="{E434CD6D-3F42-4C90-8E39-43501DD06823}" srcOrd="0" destOrd="0" presId="urn:microsoft.com/office/officeart/2005/8/layout/hierarchy3"/>
    <dgm:cxn modelId="{A32B40EB-4C10-4442-A09E-B1D54B733445}" type="presParOf" srcId="{E56B6C2B-E6B6-44F0-AEFC-6F8C9C04E81C}" destId="{03EA548C-0CF3-4A2A-BA74-044356A79E2C}" srcOrd="1" destOrd="0" presId="urn:microsoft.com/office/officeart/2005/8/layout/hierarchy3"/>
    <dgm:cxn modelId="{9D6A52D7-BF59-4E21-A864-0E57D9009EEC}" type="presParOf" srcId="{2852CE78-EBD1-48E4-B083-3C000FEE00BE}" destId="{218AFD05-B11F-43B9-A6FC-F4C9AA5F17BC}" srcOrd="1" destOrd="0" presId="urn:microsoft.com/office/officeart/2005/8/layout/hierarchy3"/>
    <dgm:cxn modelId="{3A455503-FD0D-462A-B786-6F67BC115AEE}" type="presParOf" srcId="{218AFD05-B11F-43B9-A6FC-F4C9AA5F17BC}" destId="{F5FD21A8-DACA-4F08-8D6B-630593F35A53}" srcOrd="0" destOrd="0" presId="urn:microsoft.com/office/officeart/2005/8/layout/hierarchy3"/>
    <dgm:cxn modelId="{001B991E-68AC-4089-954A-A457B2238EEF}" type="presParOf" srcId="{218AFD05-B11F-43B9-A6FC-F4C9AA5F17BC}" destId="{6E2B3684-C614-48F7-BF0B-5D51CF810ABB}" srcOrd="1" destOrd="0" presId="urn:microsoft.com/office/officeart/2005/8/layout/hierarchy3"/>
    <dgm:cxn modelId="{CAEA1897-92C0-448C-8B63-0C75FC072371}" type="presParOf" srcId="{95B7ED29-715D-4CA1-8D15-FFBA04C940B1}" destId="{5D37C2B1-3CE6-48EA-9CA9-9EDDC56F9309}" srcOrd="2" destOrd="0" presId="urn:microsoft.com/office/officeart/2005/8/layout/hierarchy3"/>
    <dgm:cxn modelId="{DAC94536-70A0-48BB-994E-3462DA778DEC}" type="presParOf" srcId="{5D37C2B1-3CE6-48EA-9CA9-9EDDC56F9309}" destId="{FF0DBB66-A9C3-46D7-AD18-F0DD858F320B}" srcOrd="0" destOrd="0" presId="urn:microsoft.com/office/officeart/2005/8/layout/hierarchy3"/>
    <dgm:cxn modelId="{2129BA26-9E55-4067-B680-8B5347CF8C9A}" type="presParOf" srcId="{FF0DBB66-A9C3-46D7-AD18-F0DD858F320B}" destId="{19608D5C-527C-437F-8F17-E14AFF8F8E25}" srcOrd="0" destOrd="0" presId="urn:microsoft.com/office/officeart/2005/8/layout/hierarchy3"/>
    <dgm:cxn modelId="{8DB93D31-7952-4D35-AA49-BC5F8EC0123D}" type="presParOf" srcId="{FF0DBB66-A9C3-46D7-AD18-F0DD858F320B}" destId="{D559115E-6071-4038-B7C0-647F9E5D4DD9}" srcOrd="1" destOrd="0" presId="urn:microsoft.com/office/officeart/2005/8/layout/hierarchy3"/>
    <dgm:cxn modelId="{AE274EA7-B7E6-468C-B6A1-7D0A289690F3}" type="presParOf" srcId="{5D37C2B1-3CE6-48EA-9CA9-9EDDC56F9309}" destId="{C4AD16A7-7BBF-4E21-B749-AB7BD673C59B}" srcOrd="1" destOrd="0" presId="urn:microsoft.com/office/officeart/2005/8/layout/hierarchy3"/>
    <dgm:cxn modelId="{BD5091BC-BDF6-43A7-8146-93B36C9F7FB3}" type="presParOf" srcId="{C4AD16A7-7BBF-4E21-B749-AB7BD673C59B}" destId="{D1F4293E-E58A-4060-8858-5956BDB6AAFF}" srcOrd="0" destOrd="0" presId="urn:microsoft.com/office/officeart/2005/8/layout/hierarchy3"/>
    <dgm:cxn modelId="{F406D5E1-CB34-4FC1-A73B-832B79BA8B59}" type="presParOf" srcId="{C4AD16A7-7BBF-4E21-B749-AB7BD673C59B}" destId="{6A61CA53-826B-4C55-8156-1509DF73A63B}" srcOrd="1" destOrd="0" presId="urn:microsoft.com/office/officeart/2005/8/layout/hierarchy3"/>
  </dgm:cxnLst>
  <dgm:bg>
    <a:solidFill>
      <a:schemeClr val="bg1"/>
    </a:solidFill>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150743-140A-4AB1-9452-EB2F91793599}">
      <dsp:nvSpPr>
        <dsp:cNvPr id="0" name=""/>
        <dsp:cNvSpPr/>
      </dsp:nvSpPr>
      <dsp:spPr>
        <a:xfrm>
          <a:off x="1280" y="196348"/>
          <a:ext cx="1651713" cy="825856"/>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19050" tIns="12700" rIns="19050" bIns="12700" numCol="1" spcCol="1270" anchor="t" anchorCtr="0">
          <a:noAutofit/>
        </a:bodyPr>
        <a:lstStyle/>
        <a:p>
          <a:pPr lvl="0" algn="ctr" defTabSz="444500">
            <a:lnSpc>
              <a:spcPct val="90000"/>
            </a:lnSpc>
            <a:spcBef>
              <a:spcPct val="0"/>
            </a:spcBef>
            <a:spcAft>
              <a:spcPct val="35000"/>
            </a:spcAft>
          </a:pPr>
          <a:r>
            <a:rPr lang="es-ES" sz="1000" b="1" kern="1200" dirty="0">
              <a:latin typeface="Times New Roman" panose="02020603050405020304" pitchFamily="18" charset="0"/>
              <a:cs typeface="Times New Roman" panose="02020603050405020304" pitchFamily="18" charset="0"/>
            </a:rPr>
            <a:t>Respuesta</a:t>
          </a:r>
        </a:p>
        <a:p>
          <a:pPr lvl="0" algn="ctr" defTabSz="444500">
            <a:lnSpc>
              <a:spcPct val="90000"/>
            </a:lnSpc>
            <a:spcBef>
              <a:spcPct val="0"/>
            </a:spcBef>
            <a:spcAft>
              <a:spcPct val="35000"/>
            </a:spcAft>
          </a:pPr>
          <a:r>
            <a:rPr lang="es-ES" sz="900" kern="1200" dirty="0">
              <a:latin typeface="Times New Roman" panose="02020603050405020304" pitchFamily="18" charset="0"/>
              <a:cs typeface="Times New Roman" panose="02020603050405020304" pitchFamily="18" charset="0"/>
            </a:rPr>
            <a:t>Responder a la emergencia de salud y apoyar a las  personas y empresas vulnerables </a:t>
          </a:r>
          <a:endParaRPr lang="es-GT" sz="900" kern="1200" dirty="0">
            <a:latin typeface="Times New Roman" panose="02020603050405020304" pitchFamily="18" charset="0"/>
            <a:cs typeface="Times New Roman" panose="02020603050405020304" pitchFamily="18" charset="0"/>
          </a:endParaRPr>
        </a:p>
      </dsp:txBody>
      <dsp:txXfrm>
        <a:off x="25468" y="220536"/>
        <a:ext cx="1603337" cy="777480"/>
      </dsp:txXfrm>
    </dsp:sp>
    <dsp:sp modelId="{2A89A244-2048-40F9-9C41-83A86244ED36}">
      <dsp:nvSpPr>
        <dsp:cNvPr id="0" name=""/>
        <dsp:cNvSpPr/>
      </dsp:nvSpPr>
      <dsp:spPr>
        <a:xfrm>
          <a:off x="166451" y="1022205"/>
          <a:ext cx="165171" cy="1378020"/>
        </a:xfrm>
        <a:custGeom>
          <a:avLst/>
          <a:gdLst/>
          <a:ahLst/>
          <a:cxnLst/>
          <a:rect l="0" t="0" r="0" b="0"/>
          <a:pathLst>
            <a:path>
              <a:moveTo>
                <a:pt x="0" y="0"/>
              </a:moveTo>
              <a:lnTo>
                <a:pt x="0" y="1378020"/>
              </a:lnTo>
              <a:lnTo>
                <a:pt x="165171" y="13780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ED6E890-C884-4ADD-8A50-4CBF424847A9}">
      <dsp:nvSpPr>
        <dsp:cNvPr id="0" name=""/>
        <dsp:cNvSpPr/>
      </dsp:nvSpPr>
      <dsp:spPr>
        <a:xfrm>
          <a:off x="331623" y="1228669"/>
          <a:ext cx="1549862" cy="234311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t" anchorCtr="0">
          <a:noAutofit/>
        </a:bodyPr>
        <a:lstStyle/>
        <a:p>
          <a:pPr lvl="0" algn="just" defTabSz="355600">
            <a:lnSpc>
              <a:spcPct val="90000"/>
            </a:lnSpc>
            <a:spcBef>
              <a:spcPct val="0"/>
            </a:spcBef>
            <a:spcAft>
              <a:spcPct val="35000"/>
            </a:spcAft>
            <a:buNone/>
          </a:pPr>
          <a:r>
            <a:rPr lang="es-ES" sz="800" b="0" i="0" kern="1200" dirty="0">
              <a:latin typeface="Times New Roman" panose="02020603050405020304" pitchFamily="18" charset="0"/>
              <a:cs typeface="Times New Roman" panose="02020603050405020304" pitchFamily="18" charset="0"/>
            </a:rPr>
            <a:t>Asistir a la crisis de salud, hacer cumplir el confinamiento y distanciamiento social.</a:t>
          </a:r>
        </a:p>
        <a:p>
          <a:pPr lvl="0" algn="just" defTabSz="355600">
            <a:lnSpc>
              <a:spcPct val="90000"/>
            </a:lnSpc>
            <a:spcBef>
              <a:spcPct val="0"/>
            </a:spcBef>
            <a:spcAft>
              <a:spcPct val="35000"/>
            </a:spcAft>
            <a:buNone/>
          </a:pPr>
          <a:r>
            <a:rPr lang="es-ES" sz="800" b="0" i="0" kern="1200" dirty="0">
              <a:latin typeface="Times New Roman" panose="02020603050405020304" pitchFamily="18" charset="0"/>
              <a:cs typeface="Times New Roman" panose="02020603050405020304" pitchFamily="18" charset="0"/>
            </a:rPr>
            <a:t>Aumento de gastos para atención de la emergencia sanitaria.</a:t>
          </a:r>
        </a:p>
        <a:p>
          <a:pPr lvl="0" algn="just" defTabSz="355600">
            <a:lnSpc>
              <a:spcPct val="90000"/>
            </a:lnSpc>
            <a:spcBef>
              <a:spcPct val="0"/>
            </a:spcBef>
            <a:spcAft>
              <a:spcPct val="35000"/>
            </a:spcAft>
            <a:buNone/>
          </a:pPr>
          <a:endParaRPr lang="es-ES" sz="200" b="0" i="0" kern="1200" dirty="0">
            <a:latin typeface="Times New Roman" panose="02020603050405020304" pitchFamily="18" charset="0"/>
            <a:cs typeface="Times New Roman" panose="02020603050405020304" pitchFamily="18" charset="0"/>
          </a:endParaRPr>
        </a:p>
        <a:p>
          <a:pPr lvl="0" algn="just" defTabSz="355600">
            <a:lnSpc>
              <a:spcPct val="90000"/>
            </a:lnSpc>
            <a:spcBef>
              <a:spcPct val="0"/>
            </a:spcBef>
            <a:spcAft>
              <a:spcPct val="35000"/>
            </a:spcAft>
            <a:buNone/>
          </a:pPr>
          <a:r>
            <a:rPr lang="es-ES" sz="800" b="0" i="0" kern="1200" dirty="0">
              <a:latin typeface="Times New Roman" panose="02020603050405020304" pitchFamily="18" charset="0"/>
              <a:cs typeface="Times New Roman" panose="02020603050405020304" pitchFamily="18" charset="0"/>
            </a:rPr>
            <a:t>Constituir fondos específicos para atención de la emergencia y realizar transferencias de emergencia:</a:t>
          </a:r>
        </a:p>
        <a:p>
          <a:pPr lvl="0" algn="just" defTabSz="355600">
            <a:lnSpc>
              <a:spcPct val="90000"/>
            </a:lnSpc>
            <a:spcBef>
              <a:spcPct val="0"/>
            </a:spcBef>
            <a:spcAft>
              <a:spcPct val="35000"/>
            </a:spcAft>
            <a:buNone/>
          </a:pPr>
          <a:endParaRPr lang="es-ES" sz="500" b="0" i="0" kern="1200" dirty="0">
            <a:latin typeface="Times New Roman" panose="02020603050405020304" pitchFamily="18" charset="0"/>
            <a:cs typeface="Times New Roman" panose="02020603050405020304" pitchFamily="18" charset="0"/>
          </a:endParaRPr>
        </a:p>
        <a:p>
          <a:pPr lvl="0" algn="just" defTabSz="355600">
            <a:lnSpc>
              <a:spcPct val="90000"/>
            </a:lnSpc>
            <a:spcBef>
              <a:spcPct val="0"/>
            </a:spcBef>
            <a:spcAft>
              <a:spcPct val="35000"/>
            </a:spcAft>
            <a:buFont typeface="Wingdings" panose="05000000000000000000" pitchFamily="2" charset="2"/>
            <a:buChar char="§"/>
          </a:pPr>
          <a:r>
            <a:rPr lang="es-ES" sz="800" b="0" i="0" kern="1200" dirty="0">
              <a:latin typeface="Times New Roman" panose="02020603050405020304" pitchFamily="18" charset="0"/>
              <a:cs typeface="Times New Roman" panose="02020603050405020304" pitchFamily="18" charset="0"/>
            </a:rPr>
            <a:t> Apoyo a ciudadanos   vulnerables.</a:t>
          </a:r>
        </a:p>
        <a:p>
          <a:pPr lvl="0" algn="just" defTabSz="355600">
            <a:lnSpc>
              <a:spcPct val="90000"/>
            </a:lnSpc>
            <a:spcBef>
              <a:spcPct val="0"/>
            </a:spcBef>
            <a:spcAft>
              <a:spcPct val="35000"/>
            </a:spcAft>
            <a:buFont typeface="Wingdings" panose="05000000000000000000" pitchFamily="2" charset="2"/>
            <a:buChar char="§"/>
          </a:pPr>
          <a:r>
            <a:rPr lang="es-ES" sz="800" b="0" i="0" kern="1200" dirty="0">
              <a:latin typeface="Times New Roman" panose="02020603050405020304" pitchFamily="18" charset="0"/>
              <a:cs typeface="Times New Roman" panose="02020603050405020304" pitchFamily="18" charset="0"/>
            </a:rPr>
            <a:t> Apoyo al empleo.</a:t>
          </a:r>
        </a:p>
        <a:p>
          <a:pPr lvl="0" algn="just" defTabSz="355600">
            <a:lnSpc>
              <a:spcPct val="90000"/>
            </a:lnSpc>
            <a:spcBef>
              <a:spcPct val="0"/>
            </a:spcBef>
            <a:spcAft>
              <a:spcPct val="35000"/>
            </a:spcAft>
            <a:buFont typeface="Wingdings" panose="05000000000000000000" pitchFamily="2" charset="2"/>
            <a:buChar char="§"/>
          </a:pPr>
          <a:r>
            <a:rPr lang="es-ES" sz="800" b="0" i="0" kern="1200" dirty="0">
              <a:latin typeface="Times New Roman" panose="02020603050405020304" pitchFamily="18" charset="0"/>
              <a:cs typeface="Times New Roman" panose="02020603050405020304" pitchFamily="18" charset="0"/>
            </a:rPr>
            <a:t> Apoyo a </a:t>
          </a:r>
          <a:r>
            <a:rPr lang="es-ES" sz="800" b="0" i="0" kern="1200" dirty="0" err="1">
              <a:latin typeface="Times New Roman" panose="02020603050405020304" pitchFamily="18" charset="0"/>
              <a:cs typeface="Times New Roman" panose="02020603050405020304" pitchFamily="18" charset="0"/>
            </a:rPr>
            <a:t>Mipymes</a:t>
          </a:r>
          <a:r>
            <a:rPr lang="es-ES" sz="800" b="0" i="0" kern="1200" dirty="0">
              <a:latin typeface="Times New Roman" panose="02020603050405020304" pitchFamily="18" charset="0"/>
              <a:cs typeface="Times New Roman" panose="02020603050405020304" pitchFamily="18" charset="0"/>
            </a:rPr>
            <a:t>.</a:t>
          </a:r>
        </a:p>
        <a:p>
          <a:pPr lvl="0" algn="just" defTabSz="355600">
            <a:lnSpc>
              <a:spcPct val="90000"/>
            </a:lnSpc>
            <a:spcBef>
              <a:spcPct val="0"/>
            </a:spcBef>
            <a:spcAft>
              <a:spcPct val="35000"/>
            </a:spcAft>
            <a:buFont typeface="Wingdings" panose="05000000000000000000" pitchFamily="2" charset="2"/>
            <a:buChar char="§"/>
          </a:pPr>
          <a:r>
            <a:rPr lang="es-GT" sz="800" b="0" i="0" kern="1200" dirty="0">
              <a:latin typeface="Times New Roman" panose="02020603050405020304" pitchFamily="18" charset="0"/>
              <a:cs typeface="Times New Roman" panose="02020603050405020304" pitchFamily="18" charset="0"/>
            </a:rPr>
            <a:t> Agilizar la devolución del crédito fiscal a los exportadores.</a:t>
          </a:r>
          <a:endParaRPr lang="es-GT" sz="900" kern="1200" dirty="0">
            <a:latin typeface="Times New Roman" panose="02020603050405020304" pitchFamily="18" charset="0"/>
            <a:cs typeface="Times New Roman" panose="02020603050405020304" pitchFamily="18" charset="0"/>
          </a:endParaRPr>
        </a:p>
      </dsp:txBody>
      <dsp:txXfrm>
        <a:off x="377017" y="1274063"/>
        <a:ext cx="1459074" cy="2252324"/>
      </dsp:txXfrm>
    </dsp:sp>
    <dsp:sp modelId="{E434CD6D-3F42-4C90-8E39-43501DD06823}">
      <dsp:nvSpPr>
        <dsp:cNvPr id="0" name=""/>
        <dsp:cNvSpPr/>
      </dsp:nvSpPr>
      <dsp:spPr>
        <a:xfrm>
          <a:off x="2065922" y="196348"/>
          <a:ext cx="1651713" cy="825856"/>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19050" tIns="12700" rIns="19050" bIns="12700" numCol="1" spcCol="1270" anchor="t" anchorCtr="0">
          <a:noAutofit/>
        </a:bodyPr>
        <a:lstStyle/>
        <a:p>
          <a:pPr lvl="0" algn="ctr" defTabSz="444500">
            <a:lnSpc>
              <a:spcPct val="90000"/>
            </a:lnSpc>
            <a:spcBef>
              <a:spcPct val="0"/>
            </a:spcBef>
            <a:spcAft>
              <a:spcPct val="35000"/>
            </a:spcAft>
          </a:pPr>
          <a:r>
            <a:rPr lang="es-ES" sz="1000" b="1" kern="1200" dirty="0">
              <a:latin typeface="Times New Roman" panose="02020603050405020304" pitchFamily="18" charset="0"/>
              <a:cs typeface="Times New Roman" panose="02020603050405020304" pitchFamily="18" charset="0"/>
            </a:rPr>
            <a:t>Rehabilitación</a:t>
          </a:r>
        </a:p>
        <a:p>
          <a:pPr lvl="0" algn="ctr" defTabSz="444500">
            <a:lnSpc>
              <a:spcPct val="90000"/>
            </a:lnSpc>
            <a:spcBef>
              <a:spcPct val="0"/>
            </a:spcBef>
            <a:spcAft>
              <a:spcPct val="35000"/>
            </a:spcAft>
          </a:pPr>
          <a:r>
            <a:rPr lang="es-ES" sz="900" kern="1200" dirty="0">
              <a:latin typeface="Times New Roman" panose="02020603050405020304" pitchFamily="18" charset="0"/>
              <a:cs typeface="Times New Roman" panose="02020603050405020304" pitchFamily="18" charset="0"/>
            </a:rPr>
            <a:t>Apoyar la actividad económica para acortar y reducir el impacto económico de la crisis</a:t>
          </a:r>
          <a:endParaRPr lang="es-GT" sz="900" kern="1200" dirty="0">
            <a:latin typeface="Times New Roman" panose="02020603050405020304" pitchFamily="18" charset="0"/>
            <a:cs typeface="Times New Roman" panose="02020603050405020304" pitchFamily="18" charset="0"/>
          </a:endParaRPr>
        </a:p>
      </dsp:txBody>
      <dsp:txXfrm>
        <a:off x="2090110" y="220536"/>
        <a:ext cx="1603337" cy="777480"/>
      </dsp:txXfrm>
    </dsp:sp>
    <dsp:sp modelId="{F5FD21A8-DACA-4F08-8D6B-630593F35A53}">
      <dsp:nvSpPr>
        <dsp:cNvPr id="0" name=""/>
        <dsp:cNvSpPr/>
      </dsp:nvSpPr>
      <dsp:spPr>
        <a:xfrm>
          <a:off x="2231093" y="1022205"/>
          <a:ext cx="165171" cy="1365677"/>
        </a:xfrm>
        <a:custGeom>
          <a:avLst/>
          <a:gdLst/>
          <a:ahLst/>
          <a:cxnLst/>
          <a:rect l="0" t="0" r="0" b="0"/>
          <a:pathLst>
            <a:path>
              <a:moveTo>
                <a:pt x="0" y="0"/>
              </a:moveTo>
              <a:lnTo>
                <a:pt x="0" y="1365677"/>
              </a:lnTo>
              <a:lnTo>
                <a:pt x="165171" y="136567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2B3684-C614-48F7-BF0B-5D51CF810ABB}">
      <dsp:nvSpPr>
        <dsp:cNvPr id="0" name=""/>
        <dsp:cNvSpPr/>
      </dsp:nvSpPr>
      <dsp:spPr>
        <a:xfrm>
          <a:off x="2396265" y="1228669"/>
          <a:ext cx="1552319" cy="231842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t" anchorCtr="0">
          <a:noAutofit/>
        </a:bodyPr>
        <a:lstStyle/>
        <a:p>
          <a:pPr lvl="0" algn="l" defTabSz="355600">
            <a:lnSpc>
              <a:spcPct val="90000"/>
            </a:lnSpc>
            <a:spcBef>
              <a:spcPct val="0"/>
            </a:spcBef>
            <a:spcAft>
              <a:spcPct val="35000"/>
            </a:spcAft>
          </a:pPr>
          <a:r>
            <a:rPr lang="es-ES" sz="8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rPr>
            <a:t>Mantener la inversión pública en infraestructura y equipamiento de salud.</a:t>
          </a:r>
        </a:p>
        <a:p>
          <a:pPr lvl="0" algn="l" defTabSz="355600">
            <a:lnSpc>
              <a:spcPct val="90000"/>
            </a:lnSpc>
            <a:spcBef>
              <a:spcPct val="0"/>
            </a:spcBef>
            <a:spcAft>
              <a:spcPct val="35000"/>
            </a:spcAft>
          </a:pPr>
          <a:r>
            <a:rPr lang="es-ES" sz="8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rPr>
            <a:t>Sostener el empleo y brindar apoyo de protección social a quienes perdieron sus empleos o sus fuentes de ingresos.</a:t>
          </a:r>
        </a:p>
        <a:p>
          <a:pPr lvl="0" algn="l" defTabSz="355600">
            <a:lnSpc>
              <a:spcPct val="90000"/>
            </a:lnSpc>
            <a:spcBef>
              <a:spcPct val="0"/>
            </a:spcBef>
            <a:spcAft>
              <a:spcPct val="35000"/>
            </a:spcAft>
          </a:pPr>
          <a:endParaRPr lang="es-ES" sz="1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endParaRPr>
        </a:p>
        <a:p>
          <a:pPr lvl="0" algn="l"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Asegurar la coordinación de las acciones para el restablecimiento de la actividad económica. </a:t>
          </a:r>
        </a:p>
        <a:p>
          <a:pPr lvl="0" algn="l" defTabSz="355600">
            <a:lnSpc>
              <a:spcPct val="90000"/>
            </a:lnSpc>
            <a:spcBef>
              <a:spcPct val="0"/>
            </a:spcBef>
            <a:spcAft>
              <a:spcPct val="35000"/>
            </a:spcAft>
          </a:pPr>
          <a:endParaRPr lang="es-ES" sz="100" b="0" i="0" kern="1200" dirty="0">
            <a:latin typeface="Times New Roman" panose="02020603050405020304" pitchFamily="18" charset="0"/>
            <a:cs typeface="Times New Roman" panose="02020603050405020304" pitchFamily="18" charset="0"/>
          </a:endParaRPr>
        </a:p>
        <a:p>
          <a:pPr lvl="0" algn="l"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Garantizar recursos suficientes para los fondos y programas especiales.</a:t>
          </a:r>
        </a:p>
        <a:p>
          <a:pPr lvl="0" algn="l" defTabSz="355600">
            <a:lnSpc>
              <a:spcPct val="90000"/>
            </a:lnSpc>
            <a:spcBef>
              <a:spcPct val="0"/>
            </a:spcBef>
            <a:spcAft>
              <a:spcPct val="35000"/>
            </a:spcAft>
          </a:pPr>
          <a:endParaRPr lang="es-ES" sz="100" b="0" i="0" kern="1200" dirty="0">
            <a:latin typeface="Times New Roman" panose="02020603050405020304" pitchFamily="18" charset="0"/>
            <a:cs typeface="Times New Roman" panose="02020603050405020304" pitchFamily="18" charset="0"/>
          </a:endParaRPr>
        </a:p>
        <a:p>
          <a:pPr lvl="0" algn="l"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Brindar apoyo financiero específico a los sectores económicos más afectados.</a:t>
          </a:r>
        </a:p>
      </dsp:txBody>
      <dsp:txXfrm>
        <a:off x="2441731" y="1274135"/>
        <a:ext cx="1461387" cy="2227495"/>
      </dsp:txXfrm>
    </dsp:sp>
    <dsp:sp modelId="{19608D5C-527C-437F-8F17-E14AFF8F8E25}">
      <dsp:nvSpPr>
        <dsp:cNvPr id="0" name=""/>
        <dsp:cNvSpPr/>
      </dsp:nvSpPr>
      <dsp:spPr>
        <a:xfrm>
          <a:off x="4130564" y="196348"/>
          <a:ext cx="1651713" cy="825856"/>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19050" tIns="12700" rIns="19050" bIns="12700" numCol="1" spcCol="1270" anchor="t" anchorCtr="0">
          <a:noAutofit/>
        </a:bodyPr>
        <a:lstStyle/>
        <a:p>
          <a:pPr lvl="0" algn="ctr" defTabSz="444500">
            <a:lnSpc>
              <a:spcPct val="90000"/>
            </a:lnSpc>
            <a:spcBef>
              <a:spcPct val="0"/>
            </a:spcBef>
            <a:spcAft>
              <a:spcPct val="35000"/>
            </a:spcAft>
          </a:pPr>
          <a:r>
            <a:rPr lang="es-ES" sz="1000" b="1" kern="1200" dirty="0">
              <a:latin typeface="Times New Roman" panose="02020603050405020304" pitchFamily="18" charset="0"/>
              <a:cs typeface="Times New Roman" panose="02020603050405020304" pitchFamily="18" charset="0"/>
            </a:rPr>
            <a:t>Reconstrucción </a:t>
          </a:r>
        </a:p>
        <a:p>
          <a:pPr lvl="0" algn="ctr" defTabSz="444500">
            <a:lnSpc>
              <a:spcPct val="90000"/>
            </a:lnSpc>
            <a:spcBef>
              <a:spcPct val="0"/>
            </a:spcBef>
            <a:spcAft>
              <a:spcPct val="35000"/>
            </a:spcAft>
          </a:pPr>
          <a:r>
            <a:rPr lang="es-ES" sz="900" kern="1200" dirty="0">
              <a:latin typeface="Times New Roman" panose="02020603050405020304" pitchFamily="18" charset="0"/>
              <a:cs typeface="Times New Roman" panose="02020603050405020304" pitchFamily="18" charset="0"/>
            </a:rPr>
            <a:t> Restauración de las finanzas públicas y recuperación de la estabilidad macroeconómica</a:t>
          </a:r>
          <a:endParaRPr lang="es-GT" sz="900" kern="1200" dirty="0">
            <a:latin typeface="Times New Roman" panose="02020603050405020304" pitchFamily="18" charset="0"/>
            <a:cs typeface="Times New Roman" panose="02020603050405020304" pitchFamily="18" charset="0"/>
          </a:endParaRPr>
        </a:p>
      </dsp:txBody>
      <dsp:txXfrm>
        <a:off x="4154752" y="220536"/>
        <a:ext cx="1603337" cy="777480"/>
      </dsp:txXfrm>
    </dsp:sp>
    <dsp:sp modelId="{D1F4293E-E58A-4060-8858-5956BDB6AAFF}">
      <dsp:nvSpPr>
        <dsp:cNvPr id="0" name=""/>
        <dsp:cNvSpPr/>
      </dsp:nvSpPr>
      <dsp:spPr>
        <a:xfrm>
          <a:off x="4295735" y="1022205"/>
          <a:ext cx="165171" cy="1329117"/>
        </a:xfrm>
        <a:custGeom>
          <a:avLst/>
          <a:gdLst/>
          <a:ahLst/>
          <a:cxnLst/>
          <a:rect l="0" t="0" r="0" b="0"/>
          <a:pathLst>
            <a:path>
              <a:moveTo>
                <a:pt x="0" y="0"/>
              </a:moveTo>
              <a:lnTo>
                <a:pt x="0" y="1329117"/>
              </a:lnTo>
              <a:lnTo>
                <a:pt x="165171" y="13291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61CA53-826B-4C55-8156-1509DF73A63B}">
      <dsp:nvSpPr>
        <dsp:cNvPr id="0" name=""/>
        <dsp:cNvSpPr/>
      </dsp:nvSpPr>
      <dsp:spPr>
        <a:xfrm>
          <a:off x="4460906" y="1150906"/>
          <a:ext cx="1514330" cy="240083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t" anchorCtr="0">
          <a:noAutofit/>
        </a:bodyPr>
        <a:lstStyle/>
        <a:p>
          <a:pPr lvl="0" algn="just"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Del lado del gasto, llevar a cabo revisiones por tipo de gasto, evaluación de políticas, evaluaciones de impacto para priorizar gastos.</a:t>
          </a:r>
        </a:p>
        <a:p>
          <a:pPr lvl="0" algn="just" defTabSz="355600">
            <a:lnSpc>
              <a:spcPct val="90000"/>
            </a:lnSpc>
            <a:spcBef>
              <a:spcPct val="0"/>
            </a:spcBef>
            <a:spcAft>
              <a:spcPct val="35000"/>
            </a:spcAft>
          </a:pPr>
          <a:endParaRPr lang="es-ES" sz="200" b="0" i="0" kern="1200" dirty="0">
            <a:latin typeface="Times New Roman" panose="02020603050405020304" pitchFamily="18" charset="0"/>
            <a:cs typeface="Times New Roman" panose="02020603050405020304" pitchFamily="18" charset="0"/>
          </a:endParaRPr>
        </a:p>
        <a:p>
          <a:pPr lvl="0" algn="just"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Por el lado de los ingresos, retomar los esfuerzos y las necesidades nacionales de reforma fiscal.</a:t>
          </a:r>
        </a:p>
        <a:p>
          <a:pPr lvl="0" algn="just" defTabSz="355600">
            <a:lnSpc>
              <a:spcPct val="90000"/>
            </a:lnSpc>
            <a:spcBef>
              <a:spcPct val="0"/>
            </a:spcBef>
            <a:spcAft>
              <a:spcPct val="35000"/>
            </a:spcAft>
          </a:pPr>
          <a:endParaRPr lang="es-ES" sz="200" b="0" i="0" kern="1200" dirty="0">
            <a:latin typeface="Times New Roman" panose="02020603050405020304" pitchFamily="18" charset="0"/>
            <a:cs typeface="Times New Roman" panose="02020603050405020304" pitchFamily="18" charset="0"/>
          </a:endParaRPr>
        </a:p>
        <a:p>
          <a:pPr lvl="0" algn="just"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Impulsar proyectos de inversión pública o bien esquemas de participación público-privada, que permitan una senda más alta de crecimiento de mediano plazo.</a:t>
          </a:r>
        </a:p>
        <a:p>
          <a:pPr lvl="0" algn="just" defTabSz="355600">
            <a:lnSpc>
              <a:spcPct val="90000"/>
            </a:lnSpc>
            <a:spcBef>
              <a:spcPct val="0"/>
            </a:spcBef>
            <a:spcAft>
              <a:spcPct val="35000"/>
            </a:spcAft>
          </a:pPr>
          <a:endParaRPr lang="es-ES" sz="200" b="0" i="0" kern="1200" dirty="0">
            <a:latin typeface="Times New Roman" panose="02020603050405020304" pitchFamily="18" charset="0"/>
            <a:cs typeface="Times New Roman" panose="02020603050405020304" pitchFamily="18" charset="0"/>
          </a:endParaRPr>
        </a:p>
        <a:p>
          <a:pPr lvl="0" algn="just" defTabSz="355600">
            <a:lnSpc>
              <a:spcPct val="90000"/>
            </a:lnSpc>
            <a:spcBef>
              <a:spcPct val="0"/>
            </a:spcBef>
            <a:spcAft>
              <a:spcPct val="35000"/>
            </a:spcAft>
          </a:pPr>
          <a:r>
            <a:rPr lang="es-ES_tradnl" sz="800" kern="1200">
              <a:latin typeface="Times New Roman" panose="02020603050405020304" pitchFamily="18" charset="0"/>
              <a:cs typeface="Times New Roman" panose="02020603050405020304" pitchFamily="18" charset="0"/>
            </a:rPr>
            <a:t>Reformar el sistema de contrataciones del Estado, priorizando la eficiencia y eficacia en los procesos de contratación.</a:t>
          </a:r>
          <a:endParaRPr lang="es-ES" sz="800" b="0" i="0" kern="1200" dirty="0">
            <a:latin typeface="Times New Roman" panose="02020603050405020304" pitchFamily="18" charset="0"/>
            <a:cs typeface="Times New Roman" panose="02020603050405020304" pitchFamily="18" charset="0"/>
          </a:endParaRPr>
        </a:p>
        <a:p>
          <a:pPr lvl="0" algn="just" defTabSz="355600">
            <a:lnSpc>
              <a:spcPct val="90000"/>
            </a:lnSpc>
            <a:spcBef>
              <a:spcPct val="0"/>
            </a:spcBef>
            <a:spcAft>
              <a:spcPct val="35000"/>
            </a:spcAft>
          </a:pPr>
          <a:endParaRPr lang="es-GT" sz="800" kern="1200" dirty="0">
            <a:latin typeface="Times New Roman" panose="02020603050405020304" pitchFamily="18" charset="0"/>
            <a:cs typeface="Times New Roman" panose="02020603050405020304" pitchFamily="18" charset="0"/>
          </a:endParaRPr>
        </a:p>
      </dsp:txBody>
      <dsp:txXfrm>
        <a:off x="4505259" y="1195259"/>
        <a:ext cx="1425624" cy="231212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0.04993</cdr:x>
      <cdr:y>0.8148</cdr:y>
    </cdr:from>
    <cdr:to>
      <cdr:x>0.26667</cdr:x>
      <cdr:y>0.9418</cdr:y>
    </cdr:to>
    <cdr:sp macro="" textlink="">
      <cdr:nvSpPr>
        <cdr:cNvPr id="2" name="1 CuadroTexto"/>
        <cdr:cNvSpPr txBox="1"/>
      </cdr:nvSpPr>
      <cdr:spPr>
        <a:xfrm xmlns:a="http://schemas.openxmlformats.org/drawingml/2006/main">
          <a:off x="356687" y="3647671"/>
          <a:ext cx="1548337" cy="56854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GT" sz="1000">
              <a:latin typeface="Times New Roman" pitchFamily="18" charset="0"/>
              <a:ea typeface="+mn-ea"/>
              <a:cs typeface="Times New Roman" pitchFamily="18" charset="0"/>
            </a:rPr>
            <a:t>   </a:t>
          </a:r>
        </a:p>
      </cdr:txBody>
    </cdr:sp>
  </cdr:relSizeAnchor>
  <cdr:relSizeAnchor xmlns:cdr="http://schemas.openxmlformats.org/drawingml/2006/chartDrawing">
    <cdr:from>
      <cdr:x>0.85889</cdr:x>
      <cdr:y>0.33602</cdr:y>
    </cdr:from>
    <cdr:to>
      <cdr:x>1</cdr:x>
      <cdr:y>0.4445</cdr:y>
    </cdr:to>
    <cdr:sp macro="" textlink="">
      <cdr:nvSpPr>
        <cdr:cNvPr id="4" name="3 CuadroTexto"/>
        <cdr:cNvSpPr txBox="1"/>
      </cdr:nvSpPr>
      <cdr:spPr>
        <a:xfrm xmlns:a="http://schemas.openxmlformats.org/drawingml/2006/main">
          <a:off x="5565600" y="1209675"/>
          <a:ext cx="914400"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GT" sz="1100"/>
        </a:p>
      </cdr:txBody>
    </cdr:sp>
  </cdr:relSizeAnchor>
</c:userShape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A9E938-A5D8-4CC6-9BF3-360165C17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3282</TotalTime>
  <Pages>81</Pages>
  <Words>23173</Words>
  <Characters>127453</Characters>
  <Application>Microsoft Office Word</Application>
  <DocSecurity>0</DocSecurity>
  <Lines>1062</Lines>
  <Paragraphs>300</Paragraphs>
  <ScaleCrop>false</ScaleCrop>
  <HeadingPairs>
    <vt:vector size="2" baseType="variant">
      <vt:variant>
        <vt:lpstr>Título</vt:lpstr>
      </vt:variant>
      <vt:variant>
        <vt:i4>1</vt:i4>
      </vt:variant>
    </vt:vector>
  </HeadingPairs>
  <TitlesOfParts>
    <vt:vector size="1" baseType="lpstr">
      <vt:lpstr>Índice de Presupuesto Abierto                                                   Informe de Fin de Año al 31 de diciembre de 2020</vt:lpstr>
    </vt:vector>
  </TitlesOfParts>
  <Company>Microsoft</Company>
  <LinksUpToDate>false</LinksUpToDate>
  <CharactersWithSpaces>150326</CharactersWithSpaces>
  <SharedDoc>false</SharedDoc>
  <HLinks>
    <vt:vector size="36" baseType="variant">
      <vt:variant>
        <vt:i4>5505078</vt:i4>
      </vt:variant>
      <vt:variant>
        <vt:i4>15</vt:i4>
      </vt:variant>
      <vt:variant>
        <vt:i4>0</vt:i4>
      </vt:variant>
      <vt:variant>
        <vt:i4>5</vt:i4>
      </vt:variant>
      <vt:variant>
        <vt:lpwstr>http://portal.sat.gob.gt/sitio/index.php/leyes/doc_details/2683-acuerdodedirectorionumero08-2011face.html</vt:lpwstr>
      </vt:variant>
      <vt:variant>
        <vt:lpwstr/>
      </vt:variant>
      <vt:variant>
        <vt:i4>1114202</vt:i4>
      </vt:variant>
      <vt:variant>
        <vt:i4>12</vt:i4>
      </vt:variant>
      <vt:variant>
        <vt:i4>0</vt:i4>
      </vt:variant>
      <vt:variant>
        <vt:i4>5</vt:i4>
      </vt:variant>
      <vt:variant>
        <vt:lpwstr>http://www.sgp.gob.gt/PaginaWeb/Acuerdos/2011/presidencia/AG-168-2011.pdf</vt:lpwstr>
      </vt:variant>
      <vt:variant>
        <vt:lpwstr/>
      </vt:variant>
      <vt:variant>
        <vt:i4>4653175</vt:i4>
      </vt:variant>
      <vt:variant>
        <vt:i4>9</vt:i4>
      </vt:variant>
      <vt:variant>
        <vt:i4>0</vt:i4>
      </vt:variant>
      <vt:variant>
        <vt:i4>5</vt:i4>
      </vt:variant>
      <vt:variant>
        <vt:lpwstr>http://www.sgp.gob.gt/PaginaWeb/PEsp/AG2011_Esp.htm</vt:lpwstr>
      </vt:variant>
      <vt:variant>
        <vt:lpwstr/>
      </vt:variant>
      <vt:variant>
        <vt:i4>3801144</vt:i4>
      </vt:variant>
      <vt:variant>
        <vt:i4>6</vt:i4>
      </vt:variant>
      <vt:variant>
        <vt:i4>0</vt:i4>
      </vt:variant>
      <vt:variant>
        <vt:i4>5</vt:i4>
      </vt:variant>
      <vt:variant>
        <vt:lpwstr>http://200.12.63.122/archivos/acuerdos/2010/CCLXXXVIII0790300050053201017022010.pdf</vt:lpwstr>
      </vt:variant>
      <vt:variant>
        <vt:lpwstr/>
      </vt:variant>
      <vt:variant>
        <vt:i4>6422584</vt:i4>
      </vt:variant>
      <vt:variant>
        <vt:i4>3</vt:i4>
      </vt:variant>
      <vt:variant>
        <vt:i4>0</vt:i4>
      </vt:variant>
      <vt:variant>
        <vt:i4>5</vt:i4>
      </vt:variant>
      <vt:variant>
        <vt:lpwstr>http://www.oj.gob.gt/es/QueEsOJ/EstructuraOJ/UnidadesAdministrativas/CentroAnalisisDocumentacionJudicial/cds/CDs leyes/2008/pdfs/decretos/D003-2008.pdf</vt:lpwstr>
      </vt:variant>
      <vt:variant>
        <vt:lpwstr/>
      </vt:variant>
      <vt:variant>
        <vt:i4>7667743</vt:i4>
      </vt:variant>
      <vt:variant>
        <vt:i4>0</vt:i4>
      </vt:variant>
      <vt:variant>
        <vt:i4>0</vt:i4>
      </vt:variant>
      <vt:variant>
        <vt:i4>5</vt:i4>
      </vt:variant>
      <vt:variant>
        <vt:lpwstr>http://www.minfin.gob.gt/2011-07-05-18-17-00/proyectospresupuesto/files.html?folder=2012\multianual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Índice de Presupuesto Abierto                                                   Informe de Fin de Año al 31 de diciembre de 2020</dc:title>
  <dc:creator>Saul Enrique De León Meneses</dc:creator>
  <cp:lastModifiedBy>José Antonio Menéndez Letona</cp:lastModifiedBy>
  <cp:revision>242</cp:revision>
  <cp:lastPrinted>2021-03-05T14:29:00Z</cp:lastPrinted>
  <dcterms:created xsi:type="dcterms:W3CDTF">2021-02-15T14:57:00Z</dcterms:created>
  <dcterms:modified xsi:type="dcterms:W3CDTF">2021-03-05T15:25:00Z</dcterms:modified>
</cp:coreProperties>
</file>