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494285746"/>
    <w:bookmarkEnd w:id="0"/>
    <w:p w:rsidR="008B2C6D" w:rsidRPr="009D4D2F" w:rsidRDefault="00021644" w:rsidP="00C34BC3">
      <w:pPr>
        <w:ind w:left="142"/>
        <w:rPr>
          <w:lang w:val="es-GT"/>
        </w:rPr>
      </w:pPr>
      <w:r>
        <w:rPr>
          <w:noProof/>
          <w:lang w:val="es-GT" w:eastAsia="es-GT"/>
        </w:rPr>
        <mc:AlternateContent>
          <mc:Choice Requires="wps">
            <w:drawing>
              <wp:anchor distT="4294967290" distB="4294967290" distL="114300" distR="114300" simplePos="0" relativeHeight="251651072" behindDoc="0" locked="0" layoutInCell="1" allowOverlap="1" wp14:anchorId="51DFA1B7" wp14:editId="0B4BC4E6">
                <wp:simplePos x="0" y="0"/>
                <wp:positionH relativeFrom="column">
                  <wp:posOffset>-335280</wp:posOffset>
                </wp:positionH>
                <wp:positionV relativeFrom="paragraph">
                  <wp:posOffset>48259</wp:posOffset>
                </wp:positionV>
                <wp:extent cx="6373495" cy="0"/>
                <wp:effectExtent l="38100" t="95250" r="103505" b="76200"/>
                <wp:wrapNone/>
                <wp:docPr id="23" name="27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73495" cy="0"/>
                        </a:xfrm>
                        <a:prstGeom prst="line">
                          <a:avLst/>
                        </a:prstGeom>
                        <a:noFill/>
                        <a:ln w="31750" cap="rnd" cmpd="dbl" algn="ctr">
                          <a:solidFill>
                            <a:srgbClr val="4F81BD">
                              <a:shade val="95000"/>
                              <a:satMod val="105000"/>
                            </a:srgbClr>
                          </a:solidFill>
                          <a:prstDash val="solid"/>
                        </a:ln>
                        <a:effectLst>
                          <a:outerShdw blurRad="50800" dist="38100" algn="l" rotWithShape="0">
                            <a:prstClr val="black">
                              <a:alpha val="40000"/>
                            </a:prstClr>
                          </a:outerShdw>
                        </a:effectLst>
                        <a:scene3d>
                          <a:camera prst="orthographicFront"/>
                          <a:lightRig rig="soft" dir="t"/>
                        </a:scene3d>
                        <a:sp3d>
                          <a:bevelT/>
                        </a:sp3d>
                      </wps:spPr>
                      <wps:bodyPr/>
                    </wps:wsp>
                  </a:graphicData>
                </a:graphic>
                <wp14:sizeRelH relativeFrom="page">
                  <wp14:pctWidth>0</wp14:pctWidth>
                </wp14:sizeRelH>
                <wp14:sizeRelV relativeFrom="page">
                  <wp14:pctHeight>0</wp14:pctHeight>
                </wp14:sizeRelV>
              </wp:anchor>
            </w:drawing>
          </mc:Choice>
          <mc:Fallback>
            <w:pict>
              <v:line id="27 Conector recto" o:spid="_x0000_s1026" style="position:absolute;z-index:251651072;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from="-26.4pt,3.8pt" to="475.4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" strokecolor="#4a7ebb" strokeweight="2.5pt">
                <v:stroke linestyle="thinThin" endcap="round"/>
                <v:shadow on="t" color="black" opacity="26214f" origin="-.5" offset="3pt,0"/>
                <o:lock v:ext="edit" shapetype="f"/>
              </v:line>
            </w:pict>
          </mc:Fallback>
        </mc:AlternateContent>
      </w:r>
    </w:p>
    <w:p w:rsidR="008B2C6D" w:rsidRPr="009D4D2F" w:rsidRDefault="008B2C6D" w:rsidP="008B2C6D">
      <w:pPr>
        <w:ind w:left="142"/>
        <w:jc w:val="center"/>
        <w:rPr>
          <w:lang w:val="es-GT"/>
        </w:rPr>
      </w:pPr>
      <w:bookmarkStart w:id="1" w:name="_GoBack"/>
      <w:bookmarkEnd w:id="1"/>
    </w:p>
    <w:p w:rsidR="009B198F" w:rsidRPr="0019245D" w:rsidRDefault="009B198F" w:rsidP="009B198F">
      <w:pPr>
        <w:rPr>
          <w:b/>
          <w:sz w:val="56"/>
        </w:rPr>
      </w:pPr>
    </w:p>
    <w:p w:rsidR="00704EFF" w:rsidRPr="004F48BD" w:rsidRDefault="00704EFF" w:rsidP="004F48BD">
      <w:pPr>
        <w:jc w:val="center"/>
        <w:rPr>
          <w:b/>
          <w:sz w:val="40"/>
          <w:szCs w:val="40"/>
        </w:rPr>
      </w:pPr>
      <w:r w:rsidRPr="004F48BD">
        <w:rPr>
          <w:b/>
          <w:sz w:val="40"/>
          <w:szCs w:val="40"/>
        </w:rPr>
        <w:t>MINISTERIO DE FINANZAS PÚBLICAS</w:t>
      </w:r>
    </w:p>
    <w:p w:rsidR="00704EFF" w:rsidRPr="004F48BD" w:rsidRDefault="00704EFF" w:rsidP="00704EFF">
      <w:pPr>
        <w:spacing w:line="480" w:lineRule="auto"/>
        <w:jc w:val="center"/>
        <w:rPr>
          <w:b/>
          <w:sz w:val="28"/>
          <w:szCs w:val="28"/>
        </w:rPr>
      </w:pPr>
    </w:p>
    <w:p w:rsidR="008B5887" w:rsidRPr="004F48BD" w:rsidRDefault="008B5887" w:rsidP="009B198F">
      <w:pPr>
        <w:jc w:val="center"/>
        <w:rPr>
          <w:b/>
          <w:sz w:val="28"/>
          <w:szCs w:val="28"/>
        </w:rPr>
      </w:pPr>
    </w:p>
    <w:p w:rsidR="008B5887" w:rsidRPr="004F48BD" w:rsidRDefault="008B5887" w:rsidP="009B198F">
      <w:pPr>
        <w:jc w:val="center"/>
        <w:rPr>
          <w:b/>
          <w:sz w:val="28"/>
          <w:szCs w:val="28"/>
        </w:rPr>
      </w:pPr>
    </w:p>
    <w:p w:rsidR="008B5887" w:rsidRPr="004F48BD" w:rsidRDefault="008B5887" w:rsidP="009B198F">
      <w:pPr>
        <w:jc w:val="center"/>
        <w:rPr>
          <w:b/>
        </w:rPr>
      </w:pPr>
    </w:p>
    <w:p w:rsidR="008B5887" w:rsidRPr="004F48BD" w:rsidRDefault="008B5887" w:rsidP="009B198F">
      <w:pPr>
        <w:jc w:val="center"/>
        <w:rPr>
          <w:b/>
        </w:rPr>
      </w:pPr>
    </w:p>
    <w:p w:rsidR="00704EFF" w:rsidRPr="004F48BD" w:rsidRDefault="00704EFF" w:rsidP="009B198F">
      <w:pPr>
        <w:jc w:val="center"/>
        <w:rPr>
          <w:b/>
        </w:rPr>
      </w:pPr>
    </w:p>
    <w:p w:rsidR="008B5887" w:rsidRPr="004F48BD" w:rsidRDefault="008B5887" w:rsidP="009B198F">
      <w:pPr>
        <w:jc w:val="center"/>
        <w:rPr>
          <w:b/>
        </w:rPr>
      </w:pPr>
    </w:p>
    <w:p w:rsidR="009B198F" w:rsidRDefault="009B198F" w:rsidP="009B198F">
      <w:pPr>
        <w:jc w:val="center"/>
        <w:rPr>
          <w:b/>
        </w:rPr>
      </w:pPr>
    </w:p>
    <w:p w:rsidR="0019245D" w:rsidRDefault="0019245D" w:rsidP="009B198F">
      <w:pPr>
        <w:jc w:val="center"/>
        <w:rPr>
          <w:b/>
        </w:rPr>
      </w:pPr>
    </w:p>
    <w:p w:rsidR="0019245D" w:rsidRDefault="0019245D" w:rsidP="009B198F">
      <w:pPr>
        <w:jc w:val="center"/>
        <w:rPr>
          <w:b/>
        </w:rPr>
      </w:pPr>
    </w:p>
    <w:p w:rsidR="0019245D" w:rsidRDefault="0019245D" w:rsidP="009B198F">
      <w:pPr>
        <w:jc w:val="center"/>
        <w:rPr>
          <w:b/>
        </w:rPr>
      </w:pPr>
    </w:p>
    <w:p w:rsidR="0019245D" w:rsidRPr="004F48BD" w:rsidRDefault="0019245D" w:rsidP="009B198F">
      <w:pPr>
        <w:jc w:val="center"/>
        <w:rPr>
          <w:b/>
        </w:rPr>
      </w:pPr>
    </w:p>
    <w:p w:rsidR="009B198F" w:rsidRPr="004F48BD" w:rsidRDefault="009B198F" w:rsidP="009B198F">
      <w:pPr>
        <w:jc w:val="center"/>
        <w:rPr>
          <w:b/>
          <w:sz w:val="40"/>
          <w:szCs w:val="40"/>
        </w:rPr>
      </w:pPr>
    </w:p>
    <w:p w:rsidR="00704EFF" w:rsidRPr="004F48BD" w:rsidRDefault="006071AB" w:rsidP="00612210">
      <w:pPr>
        <w:jc w:val="center"/>
        <w:rPr>
          <w:b/>
          <w:sz w:val="40"/>
          <w:szCs w:val="40"/>
        </w:rPr>
      </w:pPr>
      <w:r w:rsidRPr="004F48BD">
        <w:rPr>
          <w:b/>
          <w:sz w:val="40"/>
          <w:szCs w:val="40"/>
        </w:rPr>
        <w:t>INFORME DEL DESEMPEÑO</w:t>
      </w:r>
      <w:r w:rsidR="00704EFF" w:rsidRPr="004F48BD">
        <w:rPr>
          <w:b/>
          <w:sz w:val="40"/>
          <w:szCs w:val="40"/>
        </w:rPr>
        <w:t xml:space="preserve"> </w:t>
      </w:r>
      <w:r w:rsidRPr="004F48BD">
        <w:rPr>
          <w:b/>
          <w:sz w:val="40"/>
          <w:szCs w:val="40"/>
        </w:rPr>
        <w:t>DE LA POL</w:t>
      </w:r>
      <w:r w:rsidR="00D1409F" w:rsidRPr="004F48BD">
        <w:rPr>
          <w:b/>
          <w:sz w:val="40"/>
          <w:szCs w:val="40"/>
        </w:rPr>
        <w:t>Í</w:t>
      </w:r>
      <w:r w:rsidRPr="004F48BD">
        <w:rPr>
          <w:b/>
          <w:sz w:val="40"/>
          <w:szCs w:val="40"/>
        </w:rPr>
        <w:t xml:space="preserve">TICA FISCAL </w:t>
      </w:r>
      <w:r w:rsidR="00D1409F" w:rsidRPr="004F48BD">
        <w:rPr>
          <w:b/>
          <w:sz w:val="40"/>
          <w:szCs w:val="40"/>
        </w:rPr>
        <w:t xml:space="preserve">Y </w:t>
      </w:r>
      <w:r w:rsidR="00704EFF" w:rsidRPr="004F48BD">
        <w:rPr>
          <w:b/>
          <w:sz w:val="40"/>
          <w:szCs w:val="40"/>
        </w:rPr>
        <w:t>ACTIVIDADES</w:t>
      </w:r>
    </w:p>
    <w:p w:rsidR="00704EFF" w:rsidRPr="004F48BD" w:rsidRDefault="00704EFF" w:rsidP="00612210">
      <w:pPr>
        <w:jc w:val="center"/>
        <w:rPr>
          <w:b/>
          <w:sz w:val="40"/>
          <w:szCs w:val="40"/>
        </w:rPr>
      </w:pPr>
      <w:r w:rsidRPr="004F48BD">
        <w:rPr>
          <w:b/>
          <w:sz w:val="40"/>
          <w:szCs w:val="40"/>
        </w:rPr>
        <w:t>DE</w:t>
      </w:r>
      <w:r w:rsidR="00BF4FFC" w:rsidRPr="004F48BD">
        <w:rPr>
          <w:b/>
          <w:sz w:val="40"/>
          <w:szCs w:val="40"/>
        </w:rPr>
        <w:t>L PRIMER SEMESTRE</w:t>
      </w:r>
    </w:p>
    <w:p w:rsidR="00704EFF" w:rsidRPr="004F48BD" w:rsidRDefault="00704EFF" w:rsidP="00612210">
      <w:pPr>
        <w:jc w:val="center"/>
        <w:rPr>
          <w:b/>
          <w:sz w:val="40"/>
          <w:szCs w:val="40"/>
        </w:rPr>
      </w:pPr>
      <w:r w:rsidRPr="004F48BD">
        <w:rPr>
          <w:b/>
          <w:sz w:val="40"/>
          <w:szCs w:val="40"/>
        </w:rPr>
        <w:t>201</w:t>
      </w:r>
      <w:r w:rsidR="004152EF">
        <w:rPr>
          <w:b/>
          <w:sz w:val="40"/>
          <w:szCs w:val="40"/>
        </w:rPr>
        <w:t>8</w:t>
      </w:r>
    </w:p>
    <w:p w:rsidR="009B198F" w:rsidRPr="004F48BD" w:rsidRDefault="009B198F" w:rsidP="009B198F">
      <w:pPr>
        <w:jc w:val="center"/>
        <w:rPr>
          <w:b/>
          <w:sz w:val="40"/>
          <w:szCs w:val="40"/>
        </w:rPr>
      </w:pPr>
    </w:p>
    <w:p w:rsidR="009B198F" w:rsidRPr="004F48BD" w:rsidRDefault="009B198F" w:rsidP="009B198F">
      <w:pPr>
        <w:jc w:val="center"/>
        <w:rPr>
          <w:b/>
          <w:sz w:val="40"/>
          <w:szCs w:val="40"/>
        </w:rPr>
      </w:pPr>
    </w:p>
    <w:p w:rsidR="00704EFF" w:rsidRPr="004F48BD" w:rsidRDefault="00704EFF" w:rsidP="009B198F">
      <w:pPr>
        <w:jc w:val="center"/>
        <w:rPr>
          <w:b/>
          <w:sz w:val="40"/>
          <w:szCs w:val="40"/>
        </w:rPr>
      </w:pPr>
    </w:p>
    <w:p w:rsidR="00704EFF" w:rsidRPr="004F48BD" w:rsidRDefault="00704EFF" w:rsidP="009B198F">
      <w:pPr>
        <w:jc w:val="center"/>
        <w:rPr>
          <w:b/>
          <w:sz w:val="40"/>
          <w:szCs w:val="40"/>
        </w:rPr>
      </w:pPr>
    </w:p>
    <w:p w:rsidR="00704EFF" w:rsidRPr="004F48BD" w:rsidRDefault="00704EFF" w:rsidP="009B198F">
      <w:pPr>
        <w:jc w:val="center"/>
        <w:rPr>
          <w:b/>
          <w:sz w:val="40"/>
          <w:szCs w:val="40"/>
        </w:rPr>
      </w:pPr>
    </w:p>
    <w:p w:rsidR="00704EFF" w:rsidRPr="004F48BD" w:rsidRDefault="00704EFF" w:rsidP="009B198F">
      <w:pPr>
        <w:jc w:val="center"/>
        <w:rPr>
          <w:b/>
          <w:sz w:val="40"/>
          <w:szCs w:val="40"/>
        </w:rPr>
      </w:pPr>
    </w:p>
    <w:p w:rsidR="00704EFF" w:rsidRPr="004F48BD" w:rsidRDefault="00704EFF" w:rsidP="009B198F">
      <w:pPr>
        <w:jc w:val="center"/>
        <w:rPr>
          <w:b/>
          <w:sz w:val="40"/>
          <w:szCs w:val="40"/>
        </w:rPr>
      </w:pPr>
    </w:p>
    <w:p w:rsidR="00704EFF" w:rsidRPr="004F48BD" w:rsidRDefault="00704EFF" w:rsidP="009B198F">
      <w:pPr>
        <w:jc w:val="center"/>
        <w:rPr>
          <w:b/>
          <w:sz w:val="40"/>
          <w:szCs w:val="40"/>
        </w:rPr>
      </w:pPr>
    </w:p>
    <w:p w:rsidR="00704EFF" w:rsidRDefault="00704EFF" w:rsidP="009B198F">
      <w:pPr>
        <w:jc w:val="center"/>
        <w:rPr>
          <w:b/>
        </w:rPr>
      </w:pPr>
    </w:p>
    <w:p w:rsidR="004F48BD" w:rsidRDefault="004F48BD" w:rsidP="009B198F">
      <w:pPr>
        <w:jc w:val="center"/>
        <w:rPr>
          <w:b/>
        </w:rPr>
      </w:pPr>
    </w:p>
    <w:p w:rsidR="004F48BD" w:rsidRPr="004F48BD" w:rsidRDefault="004F48BD" w:rsidP="009B198F">
      <w:pPr>
        <w:jc w:val="center"/>
        <w:rPr>
          <w:b/>
        </w:rPr>
      </w:pPr>
    </w:p>
    <w:p w:rsidR="009B198F" w:rsidRPr="004F48BD" w:rsidRDefault="009B198F" w:rsidP="009B198F">
      <w:pPr>
        <w:jc w:val="center"/>
        <w:rPr>
          <w:b/>
        </w:rPr>
      </w:pPr>
    </w:p>
    <w:p w:rsidR="008B5887" w:rsidRPr="00612210" w:rsidRDefault="000F1729" w:rsidP="004F48BD">
      <w:pPr>
        <w:jc w:val="center"/>
        <w:rPr>
          <w:b/>
          <w:sz w:val="28"/>
        </w:rPr>
      </w:pPr>
      <w:r w:rsidRPr="004F48BD">
        <w:rPr>
          <w:b/>
          <w:sz w:val="28"/>
        </w:rPr>
        <w:t>G</w:t>
      </w:r>
      <w:r w:rsidR="008B5887" w:rsidRPr="004F48BD">
        <w:rPr>
          <w:b/>
          <w:sz w:val="28"/>
        </w:rPr>
        <w:t>uatemala,</w:t>
      </w:r>
      <w:r w:rsidR="00680151" w:rsidRPr="004F48BD">
        <w:rPr>
          <w:b/>
          <w:sz w:val="28"/>
        </w:rPr>
        <w:t xml:space="preserve"> </w:t>
      </w:r>
      <w:r w:rsidR="00CD0AF0">
        <w:rPr>
          <w:b/>
          <w:sz w:val="28"/>
        </w:rPr>
        <w:t>s</w:t>
      </w:r>
      <w:r w:rsidR="004D2D7F">
        <w:rPr>
          <w:b/>
          <w:sz w:val="28"/>
        </w:rPr>
        <w:t xml:space="preserve">eptiembre </w:t>
      </w:r>
      <w:r w:rsidR="00704EFF" w:rsidRPr="004F48BD">
        <w:rPr>
          <w:b/>
          <w:sz w:val="28"/>
        </w:rPr>
        <w:t>de 201</w:t>
      </w:r>
      <w:r w:rsidR="004152EF">
        <w:rPr>
          <w:b/>
          <w:sz w:val="28"/>
        </w:rPr>
        <w:t>8</w:t>
      </w:r>
    </w:p>
    <w:p w:rsidR="009B198F" w:rsidRPr="009D4D2F" w:rsidRDefault="009B198F" w:rsidP="009B198F">
      <w:pPr>
        <w:jc w:val="center"/>
        <w:rPr>
          <w:b/>
        </w:rPr>
      </w:pPr>
    </w:p>
    <w:p w:rsidR="009B198F" w:rsidRDefault="009B198F" w:rsidP="009B198F">
      <w:pPr>
        <w:tabs>
          <w:tab w:val="left" w:pos="0"/>
          <w:tab w:val="left" w:pos="9214"/>
        </w:tabs>
        <w:autoSpaceDE w:val="0"/>
        <w:autoSpaceDN w:val="0"/>
        <w:adjustRightInd w:val="0"/>
        <w:jc w:val="center"/>
        <w:rPr>
          <w:b/>
        </w:rPr>
      </w:pPr>
    </w:p>
    <w:p w:rsidR="00F179B8" w:rsidRPr="009D4D2F" w:rsidRDefault="00F179B8" w:rsidP="009B198F">
      <w:pPr>
        <w:tabs>
          <w:tab w:val="left" w:pos="0"/>
          <w:tab w:val="left" w:pos="9214"/>
        </w:tabs>
        <w:autoSpaceDE w:val="0"/>
        <w:autoSpaceDN w:val="0"/>
        <w:adjustRightInd w:val="0"/>
        <w:jc w:val="center"/>
        <w:rPr>
          <w:b/>
        </w:rPr>
      </w:pPr>
    </w:p>
    <w:p w:rsidR="006358A6" w:rsidRPr="009D4D2F" w:rsidRDefault="006358A6" w:rsidP="009D4D2F">
      <w:pPr>
        <w:tabs>
          <w:tab w:val="left" w:pos="0"/>
          <w:tab w:val="left" w:pos="9214"/>
        </w:tabs>
        <w:autoSpaceDE w:val="0"/>
        <w:autoSpaceDN w:val="0"/>
        <w:adjustRightInd w:val="0"/>
        <w:rPr>
          <w:b/>
        </w:rPr>
      </w:pPr>
    </w:p>
    <w:p w:rsidR="00025E2C" w:rsidRDefault="009B198F" w:rsidP="009B198F">
      <w:pPr>
        <w:tabs>
          <w:tab w:val="left" w:pos="0"/>
          <w:tab w:val="left" w:pos="9214"/>
        </w:tabs>
        <w:autoSpaceDE w:val="0"/>
        <w:autoSpaceDN w:val="0"/>
        <w:adjustRightInd w:val="0"/>
        <w:ind w:firstLine="567"/>
        <w:jc w:val="center"/>
        <w:rPr>
          <w:b/>
        </w:rPr>
      </w:pPr>
      <w:r w:rsidRPr="006837A4">
        <w:rPr>
          <w:b/>
        </w:rPr>
        <w:t>CONTENIDO</w:t>
      </w:r>
    </w:p>
    <w:p w:rsidR="00EB5485" w:rsidRPr="00EB5485" w:rsidRDefault="00EB5485" w:rsidP="009B198F">
      <w:pPr>
        <w:tabs>
          <w:tab w:val="left" w:pos="0"/>
          <w:tab w:val="left" w:pos="9214"/>
        </w:tabs>
        <w:autoSpaceDE w:val="0"/>
        <w:autoSpaceDN w:val="0"/>
        <w:adjustRightInd w:val="0"/>
        <w:ind w:firstLine="567"/>
        <w:jc w:val="center"/>
        <w:rPr>
          <w:b/>
          <w:sz w:val="20"/>
        </w:rPr>
      </w:pPr>
    </w:p>
    <w:p w:rsidR="008E2AE1" w:rsidRPr="008E2AE1" w:rsidRDefault="007C7DEE">
      <w:pPr>
        <w:pStyle w:val="TDC1"/>
        <w:rPr>
          <w:rFonts w:asciiTheme="minorHAnsi" w:eastAsiaTheme="minorEastAsia" w:hAnsiTheme="minorHAnsi" w:cstheme="minorBidi"/>
          <w:noProof/>
          <w:sz w:val="22"/>
          <w:szCs w:val="22"/>
          <w:lang w:val="es-GT" w:eastAsia="es-GT"/>
        </w:rPr>
      </w:pPr>
      <w:r w:rsidRPr="00C87438">
        <w:rPr>
          <w:b/>
          <w:highlight w:val="yellow"/>
        </w:rPr>
        <w:fldChar w:fldCharType="begin"/>
      </w:r>
      <w:r w:rsidR="009C2D46" w:rsidRPr="00C87438">
        <w:rPr>
          <w:b/>
          <w:highlight w:val="yellow"/>
        </w:rPr>
        <w:instrText xml:space="preserve"> TOC \o "1-3" \h \z \u </w:instrText>
      </w:r>
      <w:r w:rsidRPr="00C87438">
        <w:rPr>
          <w:b/>
          <w:highlight w:val="yellow"/>
        </w:rPr>
        <w:fldChar w:fldCharType="separate"/>
      </w:r>
      <w:hyperlink w:anchor="_Toc525824400" w:history="1">
        <w:r w:rsidR="008E2AE1" w:rsidRPr="008E2AE1">
          <w:rPr>
            <w:rStyle w:val="Hipervnculo"/>
            <w:noProof/>
          </w:rPr>
          <w:t>I.</w:t>
        </w:r>
        <w:r w:rsidR="008E2AE1" w:rsidRPr="008E2AE1">
          <w:rPr>
            <w:rFonts w:asciiTheme="minorHAnsi" w:eastAsiaTheme="minorEastAsia" w:hAnsiTheme="minorHAnsi" w:cstheme="minorBidi"/>
            <w:noProof/>
            <w:sz w:val="22"/>
            <w:szCs w:val="22"/>
            <w:lang w:val="es-GT" w:eastAsia="es-GT"/>
          </w:rPr>
          <w:tab/>
        </w:r>
        <w:r w:rsidR="008E2AE1" w:rsidRPr="008E2AE1">
          <w:rPr>
            <w:rStyle w:val="Hipervnculo"/>
            <w:noProof/>
          </w:rPr>
          <w:t>Entorno Macroeconómico</w:t>
        </w:r>
        <w:r w:rsidR="008E2AE1" w:rsidRPr="008E2AE1">
          <w:rPr>
            <w:noProof/>
            <w:webHidden/>
          </w:rPr>
          <w:tab/>
        </w:r>
        <w:r w:rsidR="008E2AE1" w:rsidRPr="008E2AE1">
          <w:rPr>
            <w:noProof/>
            <w:webHidden/>
          </w:rPr>
          <w:fldChar w:fldCharType="begin"/>
        </w:r>
        <w:r w:rsidR="008E2AE1" w:rsidRPr="008E2AE1">
          <w:rPr>
            <w:noProof/>
            <w:webHidden/>
          </w:rPr>
          <w:instrText xml:space="preserve"> PAGEREF _Toc525824400 \h </w:instrText>
        </w:r>
        <w:r w:rsidR="008E2AE1" w:rsidRPr="008E2AE1">
          <w:rPr>
            <w:noProof/>
            <w:webHidden/>
          </w:rPr>
        </w:r>
        <w:r w:rsidR="008E2AE1" w:rsidRPr="008E2AE1">
          <w:rPr>
            <w:noProof/>
            <w:webHidden/>
          </w:rPr>
          <w:fldChar w:fldCharType="separate"/>
        </w:r>
        <w:r w:rsidR="00DF7350">
          <w:rPr>
            <w:noProof/>
            <w:webHidden/>
          </w:rPr>
          <w:t>3</w:t>
        </w:r>
        <w:r w:rsidR="008E2AE1" w:rsidRPr="008E2AE1">
          <w:rPr>
            <w:noProof/>
            <w:webHidden/>
          </w:rPr>
          <w:fldChar w:fldCharType="end"/>
        </w:r>
      </w:hyperlink>
    </w:p>
    <w:p w:rsidR="008E2AE1" w:rsidRPr="008E2AE1" w:rsidRDefault="00BC3433">
      <w:pPr>
        <w:pStyle w:val="TDC2"/>
        <w:rPr>
          <w:rFonts w:asciiTheme="minorHAnsi" w:eastAsiaTheme="minorEastAsia" w:hAnsiTheme="minorHAnsi" w:cstheme="minorBidi"/>
          <w:noProof/>
          <w:sz w:val="22"/>
          <w:szCs w:val="22"/>
          <w:lang w:val="es-GT" w:eastAsia="es-GT"/>
        </w:rPr>
      </w:pPr>
      <w:hyperlink w:anchor="_Toc525824401" w:history="1">
        <w:r w:rsidR="008E2AE1" w:rsidRPr="008E2AE1">
          <w:rPr>
            <w:rStyle w:val="Hipervnculo"/>
            <w:noProof/>
            <w:lang w:val="es-MX"/>
          </w:rPr>
          <w:t>A.</w:t>
        </w:r>
        <w:r w:rsidR="008E2AE1" w:rsidRPr="008E2AE1">
          <w:rPr>
            <w:rFonts w:asciiTheme="minorHAnsi" w:eastAsiaTheme="minorEastAsia" w:hAnsiTheme="minorHAnsi" w:cstheme="minorBidi"/>
            <w:noProof/>
            <w:sz w:val="22"/>
            <w:szCs w:val="22"/>
            <w:lang w:val="es-GT" w:eastAsia="es-GT"/>
          </w:rPr>
          <w:tab/>
        </w:r>
        <w:r w:rsidR="008E2AE1" w:rsidRPr="008E2AE1">
          <w:rPr>
            <w:rStyle w:val="Hipervnculo"/>
            <w:noProof/>
            <w:lang w:val="es-MX"/>
          </w:rPr>
          <w:t>La Economía Mundial durante 2018</w:t>
        </w:r>
        <w:r w:rsidR="008E2AE1" w:rsidRPr="008E2AE1">
          <w:rPr>
            <w:noProof/>
            <w:webHidden/>
          </w:rPr>
          <w:tab/>
        </w:r>
        <w:r w:rsidR="008E2AE1" w:rsidRPr="008E2AE1">
          <w:rPr>
            <w:noProof/>
            <w:webHidden/>
          </w:rPr>
          <w:fldChar w:fldCharType="begin"/>
        </w:r>
        <w:r w:rsidR="008E2AE1" w:rsidRPr="008E2AE1">
          <w:rPr>
            <w:noProof/>
            <w:webHidden/>
          </w:rPr>
          <w:instrText xml:space="preserve"> PAGEREF _Toc525824401 \h </w:instrText>
        </w:r>
        <w:r w:rsidR="008E2AE1" w:rsidRPr="008E2AE1">
          <w:rPr>
            <w:noProof/>
            <w:webHidden/>
          </w:rPr>
        </w:r>
        <w:r w:rsidR="008E2AE1" w:rsidRPr="008E2AE1">
          <w:rPr>
            <w:noProof/>
            <w:webHidden/>
          </w:rPr>
          <w:fldChar w:fldCharType="separate"/>
        </w:r>
        <w:r w:rsidR="00DF7350">
          <w:rPr>
            <w:noProof/>
            <w:webHidden/>
          </w:rPr>
          <w:t>3</w:t>
        </w:r>
        <w:r w:rsidR="008E2AE1" w:rsidRPr="008E2AE1">
          <w:rPr>
            <w:noProof/>
            <w:webHidden/>
          </w:rPr>
          <w:fldChar w:fldCharType="end"/>
        </w:r>
      </w:hyperlink>
    </w:p>
    <w:p w:rsidR="008E2AE1" w:rsidRPr="008E2AE1" w:rsidRDefault="00BC3433">
      <w:pPr>
        <w:pStyle w:val="TDC2"/>
        <w:rPr>
          <w:rFonts w:asciiTheme="minorHAnsi" w:eastAsiaTheme="minorEastAsia" w:hAnsiTheme="minorHAnsi" w:cstheme="minorBidi"/>
          <w:noProof/>
          <w:sz w:val="22"/>
          <w:szCs w:val="22"/>
          <w:lang w:val="es-GT" w:eastAsia="es-GT"/>
        </w:rPr>
      </w:pPr>
      <w:hyperlink w:anchor="_Toc525824402" w:history="1">
        <w:r w:rsidR="008E2AE1" w:rsidRPr="008E2AE1">
          <w:rPr>
            <w:rStyle w:val="Hipervnculo"/>
            <w:noProof/>
            <w:lang w:val="es-MX"/>
          </w:rPr>
          <w:t>B.</w:t>
        </w:r>
        <w:r w:rsidR="008E2AE1" w:rsidRPr="008E2AE1">
          <w:rPr>
            <w:rFonts w:asciiTheme="minorHAnsi" w:eastAsiaTheme="minorEastAsia" w:hAnsiTheme="minorHAnsi" w:cstheme="minorBidi"/>
            <w:noProof/>
            <w:sz w:val="22"/>
            <w:szCs w:val="22"/>
            <w:lang w:val="es-GT" w:eastAsia="es-GT"/>
          </w:rPr>
          <w:tab/>
        </w:r>
        <w:r w:rsidR="008E2AE1" w:rsidRPr="008E2AE1">
          <w:rPr>
            <w:rStyle w:val="Hipervnculo"/>
            <w:noProof/>
            <w:lang w:val="es-MX"/>
          </w:rPr>
          <w:t>Economía Nacional</w:t>
        </w:r>
        <w:r w:rsidR="008E2AE1" w:rsidRPr="008E2AE1">
          <w:rPr>
            <w:noProof/>
            <w:webHidden/>
          </w:rPr>
          <w:tab/>
        </w:r>
        <w:r w:rsidR="008E2AE1" w:rsidRPr="008E2AE1">
          <w:rPr>
            <w:noProof/>
            <w:webHidden/>
          </w:rPr>
          <w:fldChar w:fldCharType="begin"/>
        </w:r>
        <w:r w:rsidR="008E2AE1" w:rsidRPr="008E2AE1">
          <w:rPr>
            <w:noProof/>
            <w:webHidden/>
          </w:rPr>
          <w:instrText xml:space="preserve"> PAGEREF _Toc525824402 \h </w:instrText>
        </w:r>
        <w:r w:rsidR="008E2AE1" w:rsidRPr="008E2AE1">
          <w:rPr>
            <w:noProof/>
            <w:webHidden/>
          </w:rPr>
        </w:r>
        <w:r w:rsidR="008E2AE1" w:rsidRPr="008E2AE1">
          <w:rPr>
            <w:noProof/>
            <w:webHidden/>
          </w:rPr>
          <w:fldChar w:fldCharType="separate"/>
        </w:r>
        <w:r w:rsidR="00DF7350">
          <w:rPr>
            <w:noProof/>
            <w:webHidden/>
          </w:rPr>
          <w:t>6</w:t>
        </w:r>
        <w:r w:rsidR="008E2AE1" w:rsidRPr="008E2AE1">
          <w:rPr>
            <w:noProof/>
            <w:webHidden/>
          </w:rPr>
          <w:fldChar w:fldCharType="end"/>
        </w:r>
      </w:hyperlink>
    </w:p>
    <w:p w:rsidR="008E2AE1" w:rsidRPr="008E2AE1" w:rsidRDefault="00BC3433">
      <w:pPr>
        <w:pStyle w:val="TDC1"/>
        <w:rPr>
          <w:rFonts w:asciiTheme="minorHAnsi" w:eastAsiaTheme="minorEastAsia" w:hAnsiTheme="minorHAnsi" w:cstheme="minorBidi"/>
          <w:noProof/>
          <w:sz w:val="22"/>
          <w:szCs w:val="22"/>
          <w:lang w:val="es-GT" w:eastAsia="es-GT"/>
        </w:rPr>
      </w:pPr>
      <w:hyperlink w:anchor="_Toc525824403" w:history="1">
        <w:r w:rsidR="008E2AE1" w:rsidRPr="008E2AE1">
          <w:rPr>
            <w:rStyle w:val="Hipervnculo"/>
            <w:noProof/>
          </w:rPr>
          <w:t>II.</w:t>
        </w:r>
        <w:r w:rsidR="008E2AE1" w:rsidRPr="008E2AE1">
          <w:rPr>
            <w:rFonts w:asciiTheme="minorHAnsi" w:eastAsiaTheme="minorEastAsia" w:hAnsiTheme="minorHAnsi" w:cstheme="minorBidi"/>
            <w:noProof/>
            <w:sz w:val="22"/>
            <w:szCs w:val="22"/>
            <w:lang w:val="es-GT" w:eastAsia="es-GT"/>
          </w:rPr>
          <w:tab/>
        </w:r>
        <w:r w:rsidR="008E2AE1" w:rsidRPr="008E2AE1">
          <w:rPr>
            <w:rStyle w:val="Hipervnculo"/>
            <w:noProof/>
          </w:rPr>
          <w:t>Situación Financiera de la Administración Central</w:t>
        </w:r>
        <w:r w:rsidR="008E2AE1" w:rsidRPr="008E2AE1">
          <w:rPr>
            <w:noProof/>
            <w:webHidden/>
          </w:rPr>
          <w:tab/>
        </w:r>
        <w:r w:rsidR="008E2AE1" w:rsidRPr="008E2AE1">
          <w:rPr>
            <w:noProof/>
            <w:webHidden/>
          </w:rPr>
          <w:fldChar w:fldCharType="begin"/>
        </w:r>
        <w:r w:rsidR="008E2AE1" w:rsidRPr="008E2AE1">
          <w:rPr>
            <w:noProof/>
            <w:webHidden/>
          </w:rPr>
          <w:instrText xml:space="preserve"> PAGEREF _Toc525824403 \h </w:instrText>
        </w:r>
        <w:r w:rsidR="008E2AE1" w:rsidRPr="008E2AE1">
          <w:rPr>
            <w:noProof/>
            <w:webHidden/>
          </w:rPr>
        </w:r>
        <w:r w:rsidR="008E2AE1" w:rsidRPr="008E2AE1">
          <w:rPr>
            <w:noProof/>
            <w:webHidden/>
          </w:rPr>
          <w:fldChar w:fldCharType="separate"/>
        </w:r>
        <w:r w:rsidR="00DF7350">
          <w:rPr>
            <w:noProof/>
            <w:webHidden/>
          </w:rPr>
          <w:t>9</w:t>
        </w:r>
        <w:r w:rsidR="008E2AE1" w:rsidRPr="008E2AE1">
          <w:rPr>
            <w:noProof/>
            <w:webHidden/>
          </w:rPr>
          <w:fldChar w:fldCharType="end"/>
        </w:r>
      </w:hyperlink>
    </w:p>
    <w:p w:rsidR="008E2AE1" w:rsidRPr="008E2AE1" w:rsidRDefault="00BC3433">
      <w:pPr>
        <w:pStyle w:val="TDC2"/>
        <w:rPr>
          <w:rFonts w:asciiTheme="minorHAnsi" w:eastAsiaTheme="minorEastAsia" w:hAnsiTheme="minorHAnsi" w:cstheme="minorBidi"/>
          <w:noProof/>
          <w:sz w:val="22"/>
          <w:szCs w:val="22"/>
          <w:lang w:val="es-GT" w:eastAsia="es-GT"/>
        </w:rPr>
      </w:pPr>
      <w:hyperlink w:anchor="_Toc525824404" w:history="1">
        <w:r w:rsidR="008E2AE1" w:rsidRPr="008E2AE1">
          <w:rPr>
            <w:rStyle w:val="Hipervnculo"/>
            <w:noProof/>
          </w:rPr>
          <w:t>A.</w:t>
        </w:r>
        <w:r w:rsidR="008E2AE1" w:rsidRPr="008E2AE1">
          <w:rPr>
            <w:rFonts w:asciiTheme="minorHAnsi" w:eastAsiaTheme="minorEastAsia" w:hAnsiTheme="minorHAnsi" w:cstheme="minorBidi"/>
            <w:noProof/>
            <w:sz w:val="22"/>
            <w:szCs w:val="22"/>
            <w:lang w:val="es-GT" w:eastAsia="es-GT"/>
          </w:rPr>
          <w:tab/>
        </w:r>
        <w:r w:rsidR="008E2AE1" w:rsidRPr="008E2AE1">
          <w:rPr>
            <w:rStyle w:val="Hipervnculo"/>
            <w:noProof/>
          </w:rPr>
          <w:t>Ingresos</w:t>
        </w:r>
        <w:r w:rsidR="008E2AE1" w:rsidRPr="008E2AE1">
          <w:rPr>
            <w:noProof/>
            <w:webHidden/>
          </w:rPr>
          <w:tab/>
        </w:r>
        <w:r w:rsidR="008E2AE1" w:rsidRPr="008E2AE1">
          <w:rPr>
            <w:noProof/>
            <w:webHidden/>
          </w:rPr>
          <w:fldChar w:fldCharType="begin"/>
        </w:r>
        <w:r w:rsidR="008E2AE1" w:rsidRPr="008E2AE1">
          <w:rPr>
            <w:noProof/>
            <w:webHidden/>
          </w:rPr>
          <w:instrText xml:space="preserve"> PAGEREF _Toc525824404 \h </w:instrText>
        </w:r>
        <w:r w:rsidR="008E2AE1" w:rsidRPr="008E2AE1">
          <w:rPr>
            <w:noProof/>
            <w:webHidden/>
          </w:rPr>
        </w:r>
        <w:r w:rsidR="008E2AE1" w:rsidRPr="008E2AE1">
          <w:rPr>
            <w:noProof/>
            <w:webHidden/>
          </w:rPr>
          <w:fldChar w:fldCharType="separate"/>
        </w:r>
        <w:r w:rsidR="00DF7350">
          <w:rPr>
            <w:noProof/>
            <w:webHidden/>
          </w:rPr>
          <w:t>9</w:t>
        </w:r>
        <w:r w:rsidR="008E2AE1" w:rsidRPr="008E2AE1">
          <w:rPr>
            <w:noProof/>
            <w:webHidden/>
          </w:rPr>
          <w:fldChar w:fldCharType="end"/>
        </w:r>
      </w:hyperlink>
    </w:p>
    <w:p w:rsidR="008E2AE1" w:rsidRPr="008E2AE1" w:rsidRDefault="00BC3433">
      <w:pPr>
        <w:pStyle w:val="TDC2"/>
        <w:rPr>
          <w:rFonts w:asciiTheme="minorHAnsi" w:eastAsiaTheme="minorEastAsia" w:hAnsiTheme="minorHAnsi" w:cstheme="minorBidi"/>
          <w:noProof/>
          <w:sz w:val="22"/>
          <w:szCs w:val="22"/>
          <w:lang w:val="es-GT" w:eastAsia="es-GT"/>
        </w:rPr>
      </w:pPr>
      <w:hyperlink w:anchor="_Toc525824405" w:history="1">
        <w:r w:rsidR="008E2AE1" w:rsidRPr="008E2AE1">
          <w:rPr>
            <w:rStyle w:val="Hipervnculo"/>
            <w:noProof/>
          </w:rPr>
          <w:t>B.</w:t>
        </w:r>
        <w:r w:rsidR="008E2AE1" w:rsidRPr="008E2AE1">
          <w:rPr>
            <w:rFonts w:asciiTheme="minorHAnsi" w:eastAsiaTheme="minorEastAsia" w:hAnsiTheme="minorHAnsi" w:cstheme="minorBidi"/>
            <w:noProof/>
            <w:sz w:val="22"/>
            <w:szCs w:val="22"/>
            <w:lang w:val="es-GT" w:eastAsia="es-GT"/>
          </w:rPr>
          <w:tab/>
        </w:r>
        <w:r w:rsidR="008E2AE1" w:rsidRPr="008E2AE1">
          <w:rPr>
            <w:rStyle w:val="Hipervnculo"/>
            <w:noProof/>
          </w:rPr>
          <w:t>Gastos</w:t>
        </w:r>
        <w:r w:rsidR="008E2AE1" w:rsidRPr="008E2AE1">
          <w:rPr>
            <w:noProof/>
            <w:webHidden/>
          </w:rPr>
          <w:tab/>
        </w:r>
        <w:r w:rsidR="008E2AE1" w:rsidRPr="008E2AE1">
          <w:rPr>
            <w:noProof/>
            <w:webHidden/>
          </w:rPr>
          <w:fldChar w:fldCharType="begin"/>
        </w:r>
        <w:r w:rsidR="008E2AE1" w:rsidRPr="008E2AE1">
          <w:rPr>
            <w:noProof/>
            <w:webHidden/>
          </w:rPr>
          <w:instrText xml:space="preserve"> PAGEREF _Toc525824405 \h </w:instrText>
        </w:r>
        <w:r w:rsidR="008E2AE1" w:rsidRPr="008E2AE1">
          <w:rPr>
            <w:noProof/>
            <w:webHidden/>
          </w:rPr>
        </w:r>
        <w:r w:rsidR="008E2AE1" w:rsidRPr="008E2AE1">
          <w:rPr>
            <w:noProof/>
            <w:webHidden/>
          </w:rPr>
          <w:fldChar w:fldCharType="separate"/>
        </w:r>
        <w:r w:rsidR="00DF7350">
          <w:rPr>
            <w:noProof/>
            <w:webHidden/>
          </w:rPr>
          <w:t>11</w:t>
        </w:r>
        <w:r w:rsidR="008E2AE1" w:rsidRPr="008E2AE1">
          <w:rPr>
            <w:noProof/>
            <w:webHidden/>
          </w:rPr>
          <w:fldChar w:fldCharType="end"/>
        </w:r>
      </w:hyperlink>
    </w:p>
    <w:p w:rsidR="008E2AE1" w:rsidRPr="008E2AE1" w:rsidRDefault="00BC3433">
      <w:pPr>
        <w:pStyle w:val="TDC3"/>
        <w:rPr>
          <w:rFonts w:asciiTheme="minorHAnsi" w:eastAsiaTheme="minorEastAsia" w:hAnsiTheme="minorHAnsi" w:cstheme="minorBidi"/>
          <w:noProof/>
          <w:sz w:val="22"/>
          <w:szCs w:val="22"/>
          <w:lang w:val="es-GT" w:eastAsia="es-GT"/>
        </w:rPr>
      </w:pPr>
      <w:hyperlink w:anchor="_Toc525824406" w:history="1">
        <w:r w:rsidR="008E2AE1" w:rsidRPr="008E2AE1">
          <w:rPr>
            <w:rStyle w:val="Hipervnculo"/>
            <w:bCs/>
            <w:noProof/>
            <w:lang w:val="es-MX"/>
          </w:rPr>
          <w:t>1.</w:t>
        </w:r>
        <w:r w:rsidR="008E2AE1" w:rsidRPr="008E2AE1">
          <w:rPr>
            <w:rFonts w:asciiTheme="minorHAnsi" w:eastAsiaTheme="minorEastAsia" w:hAnsiTheme="minorHAnsi" w:cstheme="minorBidi"/>
            <w:noProof/>
            <w:sz w:val="22"/>
            <w:szCs w:val="22"/>
            <w:lang w:val="es-GT" w:eastAsia="es-GT"/>
          </w:rPr>
          <w:tab/>
        </w:r>
        <w:r w:rsidR="008E2AE1" w:rsidRPr="008E2AE1">
          <w:rPr>
            <w:rStyle w:val="Hipervnculo"/>
            <w:bCs/>
            <w:noProof/>
            <w:lang w:val="es-MX"/>
          </w:rPr>
          <w:t>Destino del Gasto por Cuenta Económica</w:t>
        </w:r>
        <w:r w:rsidR="008E2AE1" w:rsidRPr="008E2AE1">
          <w:rPr>
            <w:noProof/>
            <w:webHidden/>
          </w:rPr>
          <w:tab/>
        </w:r>
        <w:r w:rsidR="008E2AE1" w:rsidRPr="008E2AE1">
          <w:rPr>
            <w:noProof/>
            <w:webHidden/>
          </w:rPr>
          <w:fldChar w:fldCharType="begin"/>
        </w:r>
        <w:r w:rsidR="008E2AE1" w:rsidRPr="008E2AE1">
          <w:rPr>
            <w:noProof/>
            <w:webHidden/>
          </w:rPr>
          <w:instrText xml:space="preserve"> PAGEREF _Toc525824406 \h </w:instrText>
        </w:r>
        <w:r w:rsidR="008E2AE1" w:rsidRPr="008E2AE1">
          <w:rPr>
            <w:noProof/>
            <w:webHidden/>
          </w:rPr>
        </w:r>
        <w:r w:rsidR="008E2AE1" w:rsidRPr="008E2AE1">
          <w:rPr>
            <w:noProof/>
            <w:webHidden/>
          </w:rPr>
          <w:fldChar w:fldCharType="separate"/>
        </w:r>
        <w:r w:rsidR="00DF7350">
          <w:rPr>
            <w:noProof/>
            <w:webHidden/>
          </w:rPr>
          <w:t>12</w:t>
        </w:r>
        <w:r w:rsidR="008E2AE1" w:rsidRPr="008E2AE1">
          <w:rPr>
            <w:noProof/>
            <w:webHidden/>
          </w:rPr>
          <w:fldChar w:fldCharType="end"/>
        </w:r>
      </w:hyperlink>
    </w:p>
    <w:p w:rsidR="008E2AE1" w:rsidRPr="008E2AE1" w:rsidRDefault="00BC3433">
      <w:pPr>
        <w:pStyle w:val="TDC3"/>
        <w:rPr>
          <w:rFonts w:asciiTheme="minorHAnsi" w:eastAsiaTheme="minorEastAsia" w:hAnsiTheme="minorHAnsi" w:cstheme="minorBidi"/>
          <w:noProof/>
          <w:sz w:val="22"/>
          <w:szCs w:val="22"/>
          <w:lang w:val="es-GT" w:eastAsia="es-GT"/>
        </w:rPr>
      </w:pPr>
      <w:hyperlink w:anchor="_Toc525824407" w:history="1">
        <w:r w:rsidR="008E2AE1" w:rsidRPr="008E2AE1">
          <w:rPr>
            <w:rStyle w:val="Hipervnculo"/>
            <w:bCs/>
            <w:noProof/>
            <w:lang w:val="es-MX"/>
          </w:rPr>
          <w:t>2.</w:t>
        </w:r>
        <w:r w:rsidR="008E2AE1" w:rsidRPr="008E2AE1">
          <w:rPr>
            <w:rFonts w:asciiTheme="minorHAnsi" w:eastAsiaTheme="minorEastAsia" w:hAnsiTheme="minorHAnsi" w:cstheme="minorBidi"/>
            <w:noProof/>
            <w:sz w:val="22"/>
            <w:szCs w:val="22"/>
            <w:lang w:val="es-GT" w:eastAsia="es-GT"/>
          </w:rPr>
          <w:tab/>
        </w:r>
        <w:r w:rsidR="008E2AE1" w:rsidRPr="008E2AE1">
          <w:rPr>
            <w:rStyle w:val="Hipervnculo"/>
            <w:bCs/>
            <w:noProof/>
            <w:lang w:val="es-MX"/>
          </w:rPr>
          <w:t>Ejecución Presupuestaria Institucional</w:t>
        </w:r>
        <w:r w:rsidR="008E2AE1" w:rsidRPr="008E2AE1">
          <w:rPr>
            <w:noProof/>
            <w:webHidden/>
          </w:rPr>
          <w:tab/>
        </w:r>
        <w:r w:rsidR="008E2AE1" w:rsidRPr="008E2AE1">
          <w:rPr>
            <w:noProof/>
            <w:webHidden/>
          </w:rPr>
          <w:fldChar w:fldCharType="begin"/>
        </w:r>
        <w:r w:rsidR="008E2AE1" w:rsidRPr="008E2AE1">
          <w:rPr>
            <w:noProof/>
            <w:webHidden/>
          </w:rPr>
          <w:instrText xml:space="preserve"> PAGEREF _Toc525824407 \h </w:instrText>
        </w:r>
        <w:r w:rsidR="008E2AE1" w:rsidRPr="008E2AE1">
          <w:rPr>
            <w:noProof/>
            <w:webHidden/>
          </w:rPr>
        </w:r>
        <w:r w:rsidR="008E2AE1" w:rsidRPr="008E2AE1">
          <w:rPr>
            <w:noProof/>
            <w:webHidden/>
          </w:rPr>
          <w:fldChar w:fldCharType="separate"/>
        </w:r>
        <w:r w:rsidR="00DF7350">
          <w:rPr>
            <w:noProof/>
            <w:webHidden/>
          </w:rPr>
          <w:t>13</w:t>
        </w:r>
        <w:r w:rsidR="008E2AE1" w:rsidRPr="008E2AE1">
          <w:rPr>
            <w:noProof/>
            <w:webHidden/>
          </w:rPr>
          <w:fldChar w:fldCharType="end"/>
        </w:r>
      </w:hyperlink>
    </w:p>
    <w:p w:rsidR="008E2AE1" w:rsidRPr="008E2AE1" w:rsidRDefault="00BC3433">
      <w:pPr>
        <w:pStyle w:val="TDC3"/>
        <w:rPr>
          <w:rFonts w:asciiTheme="minorHAnsi" w:eastAsiaTheme="minorEastAsia" w:hAnsiTheme="minorHAnsi" w:cstheme="minorBidi"/>
          <w:noProof/>
          <w:sz w:val="22"/>
          <w:szCs w:val="22"/>
          <w:lang w:val="es-GT" w:eastAsia="es-GT"/>
        </w:rPr>
      </w:pPr>
      <w:hyperlink w:anchor="_Toc525824408" w:history="1">
        <w:r w:rsidR="008E2AE1" w:rsidRPr="008E2AE1">
          <w:rPr>
            <w:rStyle w:val="Hipervnculo"/>
            <w:bCs/>
            <w:noProof/>
            <w:lang w:val="es-MX"/>
          </w:rPr>
          <w:t>3.</w:t>
        </w:r>
        <w:r w:rsidR="008E2AE1" w:rsidRPr="008E2AE1">
          <w:rPr>
            <w:rFonts w:asciiTheme="minorHAnsi" w:eastAsiaTheme="minorEastAsia" w:hAnsiTheme="minorHAnsi" w:cstheme="minorBidi"/>
            <w:noProof/>
            <w:sz w:val="22"/>
            <w:szCs w:val="22"/>
            <w:lang w:val="es-GT" w:eastAsia="es-GT"/>
          </w:rPr>
          <w:tab/>
        </w:r>
        <w:r w:rsidR="008E2AE1" w:rsidRPr="008E2AE1">
          <w:rPr>
            <w:rStyle w:val="Hipervnculo"/>
            <w:bCs/>
            <w:noProof/>
            <w:lang w:val="es-MX"/>
          </w:rPr>
          <w:t>Gasto Público por Fuente de Financiamiento</w:t>
        </w:r>
        <w:r w:rsidR="008E2AE1" w:rsidRPr="008E2AE1">
          <w:rPr>
            <w:noProof/>
            <w:webHidden/>
          </w:rPr>
          <w:tab/>
        </w:r>
        <w:r w:rsidR="008E2AE1" w:rsidRPr="008E2AE1">
          <w:rPr>
            <w:noProof/>
            <w:webHidden/>
          </w:rPr>
          <w:fldChar w:fldCharType="begin"/>
        </w:r>
        <w:r w:rsidR="008E2AE1" w:rsidRPr="008E2AE1">
          <w:rPr>
            <w:noProof/>
            <w:webHidden/>
          </w:rPr>
          <w:instrText xml:space="preserve"> PAGEREF _Toc525824408 \h </w:instrText>
        </w:r>
        <w:r w:rsidR="008E2AE1" w:rsidRPr="008E2AE1">
          <w:rPr>
            <w:noProof/>
            <w:webHidden/>
          </w:rPr>
        </w:r>
        <w:r w:rsidR="008E2AE1" w:rsidRPr="008E2AE1">
          <w:rPr>
            <w:noProof/>
            <w:webHidden/>
          </w:rPr>
          <w:fldChar w:fldCharType="separate"/>
        </w:r>
        <w:r w:rsidR="00DF7350">
          <w:rPr>
            <w:noProof/>
            <w:webHidden/>
          </w:rPr>
          <w:t>15</w:t>
        </w:r>
        <w:r w:rsidR="008E2AE1" w:rsidRPr="008E2AE1">
          <w:rPr>
            <w:noProof/>
            <w:webHidden/>
          </w:rPr>
          <w:fldChar w:fldCharType="end"/>
        </w:r>
      </w:hyperlink>
    </w:p>
    <w:p w:rsidR="008E2AE1" w:rsidRPr="008E2AE1" w:rsidRDefault="00BC3433">
      <w:pPr>
        <w:pStyle w:val="TDC3"/>
        <w:rPr>
          <w:rFonts w:asciiTheme="minorHAnsi" w:eastAsiaTheme="minorEastAsia" w:hAnsiTheme="minorHAnsi" w:cstheme="minorBidi"/>
          <w:noProof/>
          <w:sz w:val="22"/>
          <w:szCs w:val="22"/>
          <w:lang w:val="es-GT" w:eastAsia="es-GT"/>
        </w:rPr>
      </w:pPr>
      <w:hyperlink w:anchor="_Toc525824409" w:history="1">
        <w:r w:rsidR="008E2AE1" w:rsidRPr="008E2AE1">
          <w:rPr>
            <w:rStyle w:val="Hipervnculo"/>
            <w:bCs/>
            <w:noProof/>
            <w:lang w:val="es-MX"/>
          </w:rPr>
          <w:t>4.</w:t>
        </w:r>
        <w:r w:rsidR="008E2AE1" w:rsidRPr="008E2AE1">
          <w:rPr>
            <w:rFonts w:asciiTheme="minorHAnsi" w:eastAsiaTheme="minorEastAsia" w:hAnsiTheme="minorHAnsi" w:cstheme="minorBidi"/>
            <w:noProof/>
            <w:sz w:val="22"/>
            <w:szCs w:val="22"/>
            <w:lang w:val="es-GT" w:eastAsia="es-GT"/>
          </w:rPr>
          <w:tab/>
        </w:r>
        <w:r w:rsidR="008E2AE1" w:rsidRPr="008E2AE1">
          <w:rPr>
            <w:rStyle w:val="Hipervnculo"/>
            <w:bCs/>
            <w:noProof/>
            <w:lang w:val="es-MX"/>
          </w:rPr>
          <w:t>Gasto Social y Acuerdos de Paz</w:t>
        </w:r>
        <w:r w:rsidR="008E2AE1" w:rsidRPr="008E2AE1">
          <w:rPr>
            <w:noProof/>
            <w:webHidden/>
          </w:rPr>
          <w:tab/>
        </w:r>
        <w:r w:rsidR="008E2AE1" w:rsidRPr="008E2AE1">
          <w:rPr>
            <w:noProof/>
            <w:webHidden/>
          </w:rPr>
          <w:fldChar w:fldCharType="begin"/>
        </w:r>
        <w:r w:rsidR="008E2AE1" w:rsidRPr="008E2AE1">
          <w:rPr>
            <w:noProof/>
            <w:webHidden/>
          </w:rPr>
          <w:instrText xml:space="preserve"> PAGEREF _Toc525824409 \h </w:instrText>
        </w:r>
        <w:r w:rsidR="008E2AE1" w:rsidRPr="008E2AE1">
          <w:rPr>
            <w:noProof/>
            <w:webHidden/>
          </w:rPr>
        </w:r>
        <w:r w:rsidR="008E2AE1" w:rsidRPr="008E2AE1">
          <w:rPr>
            <w:noProof/>
            <w:webHidden/>
          </w:rPr>
          <w:fldChar w:fldCharType="separate"/>
        </w:r>
        <w:r w:rsidR="00DF7350">
          <w:rPr>
            <w:noProof/>
            <w:webHidden/>
          </w:rPr>
          <w:t>16</w:t>
        </w:r>
        <w:r w:rsidR="008E2AE1" w:rsidRPr="008E2AE1">
          <w:rPr>
            <w:noProof/>
            <w:webHidden/>
          </w:rPr>
          <w:fldChar w:fldCharType="end"/>
        </w:r>
      </w:hyperlink>
    </w:p>
    <w:p w:rsidR="008E2AE1" w:rsidRPr="008E2AE1" w:rsidRDefault="00BC3433">
      <w:pPr>
        <w:pStyle w:val="TDC3"/>
        <w:rPr>
          <w:rFonts w:asciiTheme="minorHAnsi" w:eastAsiaTheme="minorEastAsia" w:hAnsiTheme="minorHAnsi" w:cstheme="minorBidi"/>
          <w:noProof/>
          <w:sz w:val="22"/>
          <w:szCs w:val="22"/>
          <w:lang w:val="es-GT" w:eastAsia="es-GT"/>
        </w:rPr>
      </w:pPr>
      <w:hyperlink w:anchor="_Toc525824410" w:history="1">
        <w:r w:rsidR="008E2AE1" w:rsidRPr="008E2AE1">
          <w:rPr>
            <w:rStyle w:val="Hipervnculo"/>
            <w:bCs/>
            <w:noProof/>
            <w:lang w:val="es-MX"/>
          </w:rPr>
          <w:t>5.</w:t>
        </w:r>
        <w:r w:rsidR="008E2AE1" w:rsidRPr="008E2AE1">
          <w:rPr>
            <w:rFonts w:asciiTheme="minorHAnsi" w:eastAsiaTheme="minorEastAsia" w:hAnsiTheme="minorHAnsi" w:cstheme="minorBidi"/>
            <w:noProof/>
            <w:sz w:val="22"/>
            <w:szCs w:val="22"/>
            <w:lang w:val="es-GT" w:eastAsia="es-GT"/>
          </w:rPr>
          <w:tab/>
        </w:r>
        <w:r w:rsidR="008E2AE1" w:rsidRPr="008E2AE1">
          <w:rPr>
            <w:rStyle w:val="Hipervnculo"/>
            <w:bCs/>
            <w:noProof/>
            <w:lang w:val="es-MX"/>
          </w:rPr>
          <w:t>Gasto Ejecutado a través de Fideicomisos</w:t>
        </w:r>
        <w:r w:rsidR="008E2AE1" w:rsidRPr="008E2AE1">
          <w:rPr>
            <w:noProof/>
            <w:webHidden/>
          </w:rPr>
          <w:tab/>
        </w:r>
        <w:r w:rsidR="008E2AE1" w:rsidRPr="008E2AE1">
          <w:rPr>
            <w:noProof/>
            <w:webHidden/>
          </w:rPr>
          <w:fldChar w:fldCharType="begin"/>
        </w:r>
        <w:r w:rsidR="008E2AE1" w:rsidRPr="008E2AE1">
          <w:rPr>
            <w:noProof/>
            <w:webHidden/>
          </w:rPr>
          <w:instrText xml:space="preserve"> PAGEREF _Toc525824410 \h </w:instrText>
        </w:r>
        <w:r w:rsidR="008E2AE1" w:rsidRPr="008E2AE1">
          <w:rPr>
            <w:noProof/>
            <w:webHidden/>
          </w:rPr>
        </w:r>
        <w:r w:rsidR="008E2AE1" w:rsidRPr="008E2AE1">
          <w:rPr>
            <w:noProof/>
            <w:webHidden/>
          </w:rPr>
          <w:fldChar w:fldCharType="separate"/>
        </w:r>
        <w:r w:rsidR="00DF7350">
          <w:rPr>
            <w:noProof/>
            <w:webHidden/>
          </w:rPr>
          <w:t>18</w:t>
        </w:r>
        <w:r w:rsidR="008E2AE1" w:rsidRPr="008E2AE1">
          <w:rPr>
            <w:noProof/>
            <w:webHidden/>
          </w:rPr>
          <w:fldChar w:fldCharType="end"/>
        </w:r>
      </w:hyperlink>
    </w:p>
    <w:p w:rsidR="008E2AE1" w:rsidRPr="008E2AE1" w:rsidRDefault="00BC3433">
      <w:pPr>
        <w:pStyle w:val="TDC3"/>
        <w:rPr>
          <w:rFonts w:asciiTheme="minorHAnsi" w:eastAsiaTheme="minorEastAsia" w:hAnsiTheme="minorHAnsi" w:cstheme="minorBidi"/>
          <w:noProof/>
          <w:sz w:val="22"/>
          <w:szCs w:val="22"/>
          <w:lang w:val="es-GT" w:eastAsia="es-GT"/>
        </w:rPr>
      </w:pPr>
      <w:hyperlink w:anchor="_Toc525824411" w:history="1">
        <w:r w:rsidR="008E2AE1" w:rsidRPr="008E2AE1">
          <w:rPr>
            <w:rStyle w:val="Hipervnculo"/>
            <w:bCs/>
            <w:noProof/>
            <w:lang w:val="es-MX"/>
          </w:rPr>
          <w:t>6.</w:t>
        </w:r>
        <w:r w:rsidR="008E2AE1" w:rsidRPr="008E2AE1">
          <w:rPr>
            <w:rFonts w:asciiTheme="minorHAnsi" w:eastAsiaTheme="minorEastAsia" w:hAnsiTheme="minorHAnsi" w:cstheme="minorBidi"/>
            <w:noProof/>
            <w:sz w:val="22"/>
            <w:szCs w:val="22"/>
            <w:lang w:val="es-GT" w:eastAsia="es-GT"/>
          </w:rPr>
          <w:tab/>
        </w:r>
        <w:r w:rsidR="008E2AE1" w:rsidRPr="008E2AE1">
          <w:rPr>
            <w:rStyle w:val="Hipervnculo"/>
            <w:bCs/>
            <w:noProof/>
            <w:lang w:val="es-MX"/>
          </w:rPr>
          <w:t>Gasto Ejecutado a través de Organizaciones No Gubernamentales</w:t>
        </w:r>
        <w:r w:rsidR="008E2AE1" w:rsidRPr="008E2AE1">
          <w:rPr>
            <w:noProof/>
            <w:webHidden/>
          </w:rPr>
          <w:tab/>
        </w:r>
        <w:r w:rsidR="008E2AE1" w:rsidRPr="008E2AE1">
          <w:rPr>
            <w:noProof/>
            <w:webHidden/>
          </w:rPr>
          <w:fldChar w:fldCharType="begin"/>
        </w:r>
        <w:r w:rsidR="008E2AE1" w:rsidRPr="008E2AE1">
          <w:rPr>
            <w:noProof/>
            <w:webHidden/>
          </w:rPr>
          <w:instrText xml:space="preserve"> PAGEREF _Toc525824411 \h </w:instrText>
        </w:r>
        <w:r w:rsidR="008E2AE1" w:rsidRPr="008E2AE1">
          <w:rPr>
            <w:noProof/>
            <w:webHidden/>
          </w:rPr>
        </w:r>
        <w:r w:rsidR="008E2AE1" w:rsidRPr="008E2AE1">
          <w:rPr>
            <w:noProof/>
            <w:webHidden/>
          </w:rPr>
          <w:fldChar w:fldCharType="separate"/>
        </w:r>
        <w:r w:rsidR="00DF7350">
          <w:rPr>
            <w:noProof/>
            <w:webHidden/>
          </w:rPr>
          <w:t>19</w:t>
        </w:r>
        <w:r w:rsidR="008E2AE1" w:rsidRPr="008E2AE1">
          <w:rPr>
            <w:noProof/>
            <w:webHidden/>
          </w:rPr>
          <w:fldChar w:fldCharType="end"/>
        </w:r>
      </w:hyperlink>
    </w:p>
    <w:p w:rsidR="008E2AE1" w:rsidRPr="008E2AE1" w:rsidRDefault="00BC3433">
      <w:pPr>
        <w:pStyle w:val="TDC3"/>
        <w:rPr>
          <w:rFonts w:asciiTheme="minorHAnsi" w:eastAsiaTheme="minorEastAsia" w:hAnsiTheme="minorHAnsi" w:cstheme="minorBidi"/>
          <w:noProof/>
          <w:sz w:val="22"/>
          <w:szCs w:val="22"/>
          <w:lang w:val="es-GT" w:eastAsia="es-GT"/>
        </w:rPr>
      </w:pPr>
      <w:hyperlink w:anchor="_Toc525824412" w:history="1">
        <w:r w:rsidR="008E2AE1" w:rsidRPr="008E2AE1">
          <w:rPr>
            <w:rStyle w:val="Hipervnculo"/>
            <w:bCs/>
            <w:noProof/>
            <w:lang w:val="es-MX"/>
          </w:rPr>
          <w:t>7.</w:t>
        </w:r>
        <w:r w:rsidR="008E2AE1" w:rsidRPr="008E2AE1">
          <w:rPr>
            <w:rFonts w:asciiTheme="minorHAnsi" w:eastAsiaTheme="minorEastAsia" w:hAnsiTheme="minorHAnsi" w:cstheme="minorBidi"/>
            <w:noProof/>
            <w:sz w:val="22"/>
            <w:szCs w:val="22"/>
            <w:lang w:val="es-GT" w:eastAsia="es-GT"/>
          </w:rPr>
          <w:tab/>
        </w:r>
        <w:r w:rsidR="008E2AE1" w:rsidRPr="008E2AE1">
          <w:rPr>
            <w:rStyle w:val="Hipervnculo"/>
            <w:bCs/>
            <w:noProof/>
            <w:lang w:val="es-MX"/>
          </w:rPr>
          <w:t>Déficit Fiscal</w:t>
        </w:r>
        <w:r w:rsidR="008E2AE1" w:rsidRPr="008E2AE1">
          <w:rPr>
            <w:noProof/>
            <w:webHidden/>
          </w:rPr>
          <w:tab/>
        </w:r>
        <w:r w:rsidR="008E2AE1" w:rsidRPr="008E2AE1">
          <w:rPr>
            <w:noProof/>
            <w:webHidden/>
          </w:rPr>
          <w:fldChar w:fldCharType="begin"/>
        </w:r>
        <w:r w:rsidR="008E2AE1" w:rsidRPr="008E2AE1">
          <w:rPr>
            <w:noProof/>
            <w:webHidden/>
          </w:rPr>
          <w:instrText xml:space="preserve"> PAGEREF _Toc525824412 \h </w:instrText>
        </w:r>
        <w:r w:rsidR="008E2AE1" w:rsidRPr="008E2AE1">
          <w:rPr>
            <w:noProof/>
            <w:webHidden/>
          </w:rPr>
        </w:r>
        <w:r w:rsidR="008E2AE1" w:rsidRPr="008E2AE1">
          <w:rPr>
            <w:noProof/>
            <w:webHidden/>
          </w:rPr>
          <w:fldChar w:fldCharType="separate"/>
        </w:r>
        <w:r w:rsidR="00DF7350">
          <w:rPr>
            <w:noProof/>
            <w:webHidden/>
          </w:rPr>
          <w:t>20</w:t>
        </w:r>
        <w:r w:rsidR="008E2AE1" w:rsidRPr="008E2AE1">
          <w:rPr>
            <w:noProof/>
            <w:webHidden/>
          </w:rPr>
          <w:fldChar w:fldCharType="end"/>
        </w:r>
      </w:hyperlink>
    </w:p>
    <w:p w:rsidR="008E2AE1" w:rsidRDefault="00BC3433">
      <w:pPr>
        <w:pStyle w:val="TDC3"/>
        <w:rPr>
          <w:rFonts w:asciiTheme="minorHAnsi" w:eastAsiaTheme="minorEastAsia" w:hAnsiTheme="minorHAnsi" w:cstheme="minorBidi"/>
          <w:noProof/>
          <w:sz w:val="22"/>
          <w:szCs w:val="22"/>
          <w:lang w:val="es-GT" w:eastAsia="es-GT"/>
        </w:rPr>
      </w:pPr>
      <w:hyperlink w:anchor="_Toc525824413" w:history="1">
        <w:r w:rsidR="008E2AE1" w:rsidRPr="008E2AE1">
          <w:rPr>
            <w:rStyle w:val="Hipervnculo"/>
            <w:bCs/>
            <w:noProof/>
            <w:lang w:val="es-MX"/>
          </w:rPr>
          <w:t>8.</w:t>
        </w:r>
        <w:r w:rsidR="008E2AE1" w:rsidRPr="008E2AE1">
          <w:rPr>
            <w:rFonts w:asciiTheme="minorHAnsi" w:eastAsiaTheme="minorEastAsia" w:hAnsiTheme="minorHAnsi" w:cstheme="minorBidi"/>
            <w:noProof/>
            <w:sz w:val="22"/>
            <w:szCs w:val="22"/>
            <w:lang w:val="es-GT" w:eastAsia="es-GT"/>
          </w:rPr>
          <w:tab/>
        </w:r>
        <w:r w:rsidR="008E2AE1" w:rsidRPr="008E2AE1">
          <w:rPr>
            <w:rStyle w:val="Hipervnculo"/>
            <w:bCs/>
            <w:noProof/>
            <w:lang w:val="es-MX"/>
          </w:rPr>
          <w:t>Servicios de la Deuda Pública</w:t>
        </w:r>
        <w:r w:rsidR="008E2AE1" w:rsidRPr="008E2AE1">
          <w:rPr>
            <w:noProof/>
            <w:webHidden/>
          </w:rPr>
          <w:tab/>
        </w:r>
        <w:r w:rsidR="008E2AE1" w:rsidRPr="008E2AE1">
          <w:rPr>
            <w:noProof/>
            <w:webHidden/>
          </w:rPr>
          <w:fldChar w:fldCharType="begin"/>
        </w:r>
        <w:r w:rsidR="008E2AE1" w:rsidRPr="008E2AE1">
          <w:rPr>
            <w:noProof/>
            <w:webHidden/>
          </w:rPr>
          <w:instrText xml:space="preserve"> PAGEREF _Toc525824413 \h </w:instrText>
        </w:r>
        <w:r w:rsidR="008E2AE1" w:rsidRPr="008E2AE1">
          <w:rPr>
            <w:noProof/>
            <w:webHidden/>
          </w:rPr>
        </w:r>
        <w:r w:rsidR="008E2AE1" w:rsidRPr="008E2AE1">
          <w:rPr>
            <w:noProof/>
            <w:webHidden/>
          </w:rPr>
          <w:fldChar w:fldCharType="separate"/>
        </w:r>
        <w:r w:rsidR="00DF7350">
          <w:rPr>
            <w:noProof/>
            <w:webHidden/>
          </w:rPr>
          <w:t>22</w:t>
        </w:r>
        <w:r w:rsidR="008E2AE1" w:rsidRPr="008E2AE1">
          <w:rPr>
            <w:noProof/>
            <w:webHidden/>
          </w:rPr>
          <w:fldChar w:fldCharType="end"/>
        </w:r>
      </w:hyperlink>
    </w:p>
    <w:p w:rsidR="008E2AE1" w:rsidRDefault="00BC3433">
      <w:pPr>
        <w:pStyle w:val="TDC1"/>
        <w:rPr>
          <w:rFonts w:asciiTheme="minorHAnsi" w:eastAsiaTheme="minorEastAsia" w:hAnsiTheme="minorHAnsi" w:cstheme="minorBidi"/>
          <w:noProof/>
          <w:sz w:val="22"/>
          <w:szCs w:val="22"/>
          <w:lang w:val="es-GT" w:eastAsia="es-GT"/>
        </w:rPr>
      </w:pPr>
      <w:hyperlink w:anchor="_Toc525824414" w:history="1">
        <w:r w:rsidR="008E2AE1" w:rsidRPr="00BF512B">
          <w:rPr>
            <w:rStyle w:val="Hipervnculo"/>
            <w:noProof/>
          </w:rPr>
          <w:t>III.</w:t>
        </w:r>
        <w:r w:rsidR="008E2AE1">
          <w:rPr>
            <w:rFonts w:asciiTheme="minorHAnsi" w:eastAsiaTheme="minorEastAsia" w:hAnsiTheme="minorHAnsi" w:cstheme="minorBidi"/>
            <w:noProof/>
            <w:sz w:val="22"/>
            <w:szCs w:val="22"/>
            <w:lang w:val="es-GT" w:eastAsia="es-GT"/>
          </w:rPr>
          <w:tab/>
        </w:r>
        <w:r w:rsidR="008E2AE1" w:rsidRPr="00BF512B">
          <w:rPr>
            <w:rStyle w:val="Hipervnculo"/>
            <w:noProof/>
          </w:rPr>
          <w:t>Perspectivas de Cierre del Ejercicio Fiscal 2018</w:t>
        </w:r>
        <w:r w:rsidR="008E2AE1">
          <w:rPr>
            <w:noProof/>
            <w:webHidden/>
          </w:rPr>
          <w:tab/>
        </w:r>
        <w:r w:rsidR="008E2AE1">
          <w:rPr>
            <w:noProof/>
            <w:webHidden/>
          </w:rPr>
          <w:fldChar w:fldCharType="begin"/>
        </w:r>
        <w:r w:rsidR="008E2AE1">
          <w:rPr>
            <w:noProof/>
            <w:webHidden/>
          </w:rPr>
          <w:instrText xml:space="preserve"> PAGEREF _Toc525824414 \h </w:instrText>
        </w:r>
        <w:r w:rsidR="008E2AE1">
          <w:rPr>
            <w:noProof/>
            <w:webHidden/>
          </w:rPr>
        </w:r>
        <w:r w:rsidR="008E2AE1">
          <w:rPr>
            <w:noProof/>
            <w:webHidden/>
          </w:rPr>
          <w:fldChar w:fldCharType="separate"/>
        </w:r>
        <w:r w:rsidR="00DF7350">
          <w:rPr>
            <w:noProof/>
            <w:webHidden/>
          </w:rPr>
          <w:t>23</w:t>
        </w:r>
        <w:r w:rsidR="008E2AE1">
          <w:rPr>
            <w:noProof/>
            <w:webHidden/>
          </w:rPr>
          <w:fldChar w:fldCharType="end"/>
        </w:r>
      </w:hyperlink>
    </w:p>
    <w:p w:rsidR="008E2AE1" w:rsidRDefault="00BC3433">
      <w:pPr>
        <w:pStyle w:val="TDC2"/>
        <w:rPr>
          <w:rFonts w:asciiTheme="minorHAnsi" w:eastAsiaTheme="minorEastAsia" w:hAnsiTheme="minorHAnsi" w:cstheme="minorBidi"/>
          <w:noProof/>
          <w:sz w:val="22"/>
          <w:szCs w:val="22"/>
          <w:lang w:val="es-GT" w:eastAsia="es-GT"/>
        </w:rPr>
      </w:pPr>
      <w:hyperlink w:anchor="_Toc525824415" w:history="1">
        <w:r w:rsidR="008E2AE1" w:rsidRPr="00BF512B">
          <w:rPr>
            <w:rStyle w:val="Hipervnculo"/>
            <w:noProof/>
          </w:rPr>
          <w:t>A.</w:t>
        </w:r>
        <w:r w:rsidR="008E2AE1">
          <w:rPr>
            <w:rFonts w:asciiTheme="minorHAnsi" w:eastAsiaTheme="minorEastAsia" w:hAnsiTheme="minorHAnsi" w:cstheme="minorBidi"/>
            <w:noProof/>
            <w:sz w:val="22"/>
            <w:szCs w:val="22"/>
            <w:lang w:val="es-GT" w:eastAsia="es-GT"/>
          </w:rPr>
          <w:tab/>
        </w:r>
        <w:r w:rsidR="008E2AE1" w:rsidRPr="00BF512B">
          <w:rPr>
            <w:rStyle w:val="Hipervnculo"/>
            <w:noProof/>
          </w:rPr>
          <w:t>Ingresos Totales</w:t>
        </w:r>
        <w:r w:rsidR="008E2AE1">
          <w:rPr>
            <w:noProof/>
            <w:webHidden/>
          </w:rPr>
          <w:tab/>
        </w:r>
        <w:r w:rsidR="008E2AE1">
          <w:rPr>
            <w:noProof/>
            <w:webHidden/>
          </w:rPr>
          <w:fldChar w:fldCharType="begin"/>
        </w:r>
        <w:r w:rsidR="008E2AE1">
          <w:rPr>
            <w:noProof/>
            <w:webHidden/>
          </w:rPr>
          <w:instrText xml:space="preserve"> PAGEREF _Toc525824415 \h </w:instrText>
        </w:r>
        <w:r w:rsidR="008E2AE1">
          <w:rPr>
            <w:noProof/>
            <w:webHidden/>
          </w:rPr>
        </w:r>
        <w:r w:rsidR="008E2AE1">
          <w:rPr>
            <w:noProof/>
            <w:webHidden/>
          </w:rPr>
          <w:fldChar w:fldCharType="separate"/>
        </w:r>
        <w:r w:rsidR="00DF7350">
          <w:rPr>
            <w:noProof/>
            <w:webHidden/>
          </w:rPr>
          <w:t>24</w:t>
        </w:r>
        <w:r w:rsidR="008E2AE1">
          <w:rPr>
            <w:noProof/>
            <w:webHidden/>
          </w:rPr>
          <w:fldChar w:fldCharType="end"/>
        </w:r>
      </w:hyperlink>
    </w:p>
    <w:p w:rsidR="008E2AE1" w:rsidRDefault="00BC3433">
      <w:pPr>
        <w:pStyle w:val="TDC2"/>
        <w:rPr>
          <w:rFonts w:asciiTheme="minorHAnsi" w:eastAsiaTheme="minorEastAsia" w:hAnsiTheme="minorHAnsi" w:cstheme="minorBidi"/>
          <w:noProof/>
          <w:sz w:val="22"/>
          <w:szCs w:val="22"/>
          <w:lang w:val="es-GT" w:eastAsia="es-GT"/>
        </w:rPr>
      </w:pPr>
      <w:hyperlink w:anchor="_Toc525824416" w:history="1">
        <w:r w:rsidR="008E2AE1" w:rsidRPr="00BF512B">
          <w:rPr>
            <w:rStyle w:val="Hipervnculo"/>
            <w:noProof/>
          </w:rPr>
          <w:t>B.</w:t>
        </w:r>
        <w:r w:rsidR="008E2AE1">
          <w:rPr>
            <w:rFonts w:asciiTheme="minorHAnsi" w:eastAsiaTheme="minorEastAsia" w:hAnsiTheme="minorHAnsi" w:cstheme="minorBidi"/>
            <w:noProof/>
            <w:sz w:val="22"/>
            <w:szCs w:val="22"/>
            <w:lang w:val="es-GT" w:eastAsia="es-GT"/>
          </w:rPr>
          <w:tab/>
        </w:r>
        <w:r w:rsidR="008E2AE1" w:rsidRPr="00BF512B">
          <w:rPr>
            <w:rStyle w:val="Hipervnculo"/>
            <w:noProof/>
          </w:rPr>
          <w:t>Ingresos Tributarios</w:t>
        </w:r>
        <w:r w:rsidR="008E2AE1">
          <w:rPr>
            <w:noProof/>
            <w:webHidden/>
          </w:rPr>
          <w:tab/>
        </w:r>
        <w:r w:rsidR="008E2AE1">
          <w:rPr>
            <w:noProof/>
            <w:webHidden/>
          </w:rPr>
          <w:fldChar w:fldCharType="begin"/>
        </w:r>
        <w:r w:rsidR="008E2AE1">
          <w:rPr>
            <w:noProof/>
            <w:webHidden/>
          </w:rPr>
          <w:instrText xml:space="preserve"> PAGEREF _Toc525824416 \h </w:instrText>
        </w:r>
        <w:r w:rsidR="008E2AE1">
          <w:rPr>
            <w:noProof/>
            <w:webHidden/>
          </w:rPr>
        </w:r>
        <w:r w:rsidR="008E2AE1">
          <w:rPr>
            <w:noProof/>
            <w:webHidden/>
          </w:rPr>
          <w:fldChar w:fldCharType="separate"/>
        </w:r>
        <w:r w:rsidR="00DF7350">
          <w:rPr>
            <w:noProof/>
            <w:webHidden/>
          </w:rPr>
          <w:t>25</w:t>
        </w:r>
        <w:r w:rsidR="008E2AE1">
          <w:rPr>
            <w:noProof/>
            <w:webHidden/>
          </w:rPr>
          <w:fldChar w:fldCharType="end"/>
        </w:r>
      </w:hyperlink>
    </w:p>
    <w:p w:rsidR="008E2AE1" w:rsidRDefault="00BC3433">
      <w:pPr>
        <w:pStyle w:val="TDC2"/>
        <w:rPr>
          <w:rFonts w:asciiTheme="minorHAnsi" w:eastAsiaTheme="minorEastAsia" w:hAnsiTheme="minorHAnsi" w:cstheme="minorBidi"/>
          <w:noProof/>
          <w:sz w:val="22"/>
          <w:szCs w:val="22"/>
          <w:lang w:val="es-GT" w:eastAsia="es-GT"/>
        </w:rPr>
      </w:pPr>
      <w:hyperlink w:anchor="_Toc525824417" w:history="1">
        <w:r w:rsidR="008E2AE1" w:rsidRPr="00BF512B">
          <w:rPr>
            <w:rStyle w:val="Hipervnculo"/>
            <w:noProof/>
          </w:rPr>
          <w:t>C.</w:t>
        </w:r>
        <w:r w:rsidR="008E2AE1">
          <w:rPr>
            <w:rFonts w:asciiTheme="minorHAnsi" w:eastAsiaTheme="minorEastAsia" w:hAnsiTheme="minorHAnsi" w:cstheme="minorBidi"/>
            <w:noProof/>
            <w:sz w:val="22"/>
            <w:szCs w:val="22"/>
            <w:lang w:val="es-GT" w:eastAsia="es-GT"/>
          </w:rPr>
          <w:tab/>
        </w:r>
        <w:r w:rsidR="008E2AE1" w:rsidRPr="00BF512B">
          <w:rPr>
            <w:rStyle w:val="Hipervnculo"/>
            <w:noProof/>
          </w:rPr>
          <w:t>Gasto Corriente y Gasto de Capital</w:t>
        </w:r>
        <w:r w:rsidR="008E2AE1">
          <w:rPr>
            <w:noProof/>
            <w:webHidden/>
          </w:rPr>
          <w:tab/>
        </w:r>
        <w:r w:rsidR="008E2AE1">
          <w:rPr>
            <w:noProof/>
            <w:webHidden/>
          </w:rPr>
          <w:fldChar w:fldCharType="begin"/>
        </w:r>
        <w:r w:rsidR="008E2AE1">
          <w:rPr>
            <w:noProof/>
            <w:webHidden/>
          </w:rPr>
          <w:instrText xml:space="preserve"> PAGEREF _Toc525824417 \h </w:instrText>
        </w:r>
        <w:r w:rsidR="008E2AE1">
          <w:rPr>
            <w:noProof/>
            <w:webHidden/>
          </w:rPr>
        </w:r>
        <w:r w:rsidR="008E2AE1">
          <w:rPr>
            <w:noProof/>
            <w:webHidden/>
          </w:rPr>
          <w:fldChar w:fldCharType="separate"/>
        </w:r>
        <w:r w:rsidR="00DF7350">
          <w:rPr>
            <w:noProof/>
            <w:webHidden/>
          </w:rPr>
          <w:t>28</w:t>
        </w:r>
        <w:r w:rsidR="008E2AE1">
          <w:rPr>
            <w:noProof/>
            <w:webHidden/>
          </w:rPr>
          <w:fldChar w:fldCharType="end"/>
        </w:r>
      </w:hyperlink>
    </w:p>
    <w:p w:rsidR="008E2AE1" w:rsidRDefault="00BC3433">
      <w:pPr>
        <w:pStyle w:val="TDC2"/>
        <w:rPr>
          <w:rFonts w:asciiTheme="minorHAnsi" w:eastAsiaTheme="minorEastAsia" w:hAnsiTheme="minorHAnsi" w:cstheme="minorBidi"/>
          <w:noProof/>
          <w:sz w:val="22"/>
          <w:szCs w:val="22"/>
          <w:lang w:val="es-GT" w:eastAsia="es-GT"/>
        </w:rPr>
      </w:pPr>
      <w:hyperlink w:anchor="_Toc525824418" w:history="1">
        <w:r w:rsidR="008E2AE1" w:rsidRPr="00BF512B">
          <w:rPr>
            <w:rStyle w:val="Hipervnculo"/>
            <w:noProof/>
          </w:rPr>
          <w:t>D.</w:t>
        </w:r>
        <w:r w:rsidR="008E2AE1">
          <w:rPr>
            <w:rFonts w:asciiTheme="minorHAnsi" w:eastAsiaTheme="minorEastAsia" w:hAnsiTheme="minorHAnsi" w:cstheme="minorBidi"/>
            <w:noProof/>
            <w:sz w:val="22"/>
            <w:szCs w:val="22"/>
            <w:lang w:val="es-GT" w:eastAsia="es-GT"/>
          </w:rPr>
          <w:tab/>
        </w:r>
        <w:r w:rsidR="008E2AE1" w:rsidRPr="00BF512B">
          <w:rPr>
            <w:rStyle w:val="Hipervnculo"/>
            <w:noProof/>
          </w:rPr>
          <w:t>Gasto Institucional</w:t>
        </w:r>
        <w:r w:rsidR="008E2AE1">
          <w:rPr>
            <w:noProof/>
            <w:webHidden/>
          </w:rPr>
          <w:tab/>
        </w:r>
        <w:r w:rsidR="008E2AE1">
          <w:rPr>
            <w:noProof/>
            <w:webHidden/>
          </w:rPr>
          <w:fldChar w:fldCharType="begin"/>
        </w:r>
        <w:r w:rsidR="008E2AE1">
          <w:rPr>
            <w:noProof/>
            <w:webHidden/>
          </w:rPr>
          <w:instrText xml:space="preserve"> PAGEREF _Toc525824418 \h </w:instrText>
        </w:r>
        <w:r w:rsidR="008E2AE1">
          <w:rPr>
            <w:noProof/>
            <w:webHidden/>
          </w:rPr>
        </w:r>
        <w:r w:rsidR="008E2AE1">
          <w:rPr>
            <w:noProof/>
            <w:webHidden/>
          </w:rPr>
          <w:fldChar w:fldCharType="separate"/>
        </w:r>
        <w:r w:rsidR="00DF7350">
          <w:rPr>
            <w:noProof/>
            <w:webHidden/>
          </w:rPr>
          <w:t>31</w:t>
        </w:r>
        <w:r w:rsidR="008E2AE1">
          <w:rPr>
            <w:noProof/>
            <w:webHidden/>
          </w:rPr>
          <w:fldChar w:fldCharType="end"/>
        </w:r>
      </w:hyperlink>
    </w:p>
    <w:p w:rsidR="008E2AE1" w:rsidRDefault="00BC3433">
      <w:pPr>
        <w:pStyle w:val="TDC2"/>
        <w:rPr>
          <w:rFonts w:asciiTheme="minorHAnsi" w:eastAsiaTheme="minorEastAsia" w:hAnsiTheme="minorHAnsi" w:cstheme="minorBidi"/>
          <w:noProof/>
          <w:sz w:val="22"/>
          <w:szCs w:val="22"/>
          <w:lang w:val="es-GT" w:eastAsia="es-GT"/>
        </w:rPr>
      </w:pPr>
      <w:hyperlink w:anchor="_Toc525824419" w:history="1">
        <w:r w:rsidR="008E2AE1" w:rsidRPr="00BF512B">
          <w:rPr>
            <w:rStyle w:val="Hipervnculo"/>
            <w:noProof/>
          </w:rPr>
          <w:t>E.</w:t>
        </w:r>
        <w:r w:rsidR="008E2AE1">
          <w:rPr>
            <w:rFonts w:asciiTheme="minorHAnsi" w:eastAsiaTheme="minorEastAsia" w:hAnsiTheme="minorHAnsi" w:cstheme="minorBidi"/>
            <w:noProof/>
            <w:sz w:val="22"/>
            <w:szCs w:val="22"/>
            <w:lang w:val="es-GT" w:eastAsia="es-GT"/>
          </w:rPr>
          <w:tab/>
        </w:r>
        <w:r w:rsidR="008E2AE1" w:rsidRPr="00BF512B">
          <w:rPr>
            <w:rStyle w:val="Hipervnculo"/>
            <w:noProof/>
          </w:rPr>
          <w:t>Gasto por Finalidad</w:t>
        </w:r>
        <w:r w:rsidR="008E2AE1">
          <w:rPr>
            <w:noProof/>
            <w:webHidden/>
          </w:rPr>
          <w:tab/>
        </w:r>
        <w:r w:rsidR="008E2AE1">
          <w:rPr>
            <w:noProof/>
            <w:webHidden/>
          </w:rPr>
          <w:fldChar w:fldCharType="begin"/>
        </w:r>
        <w:r w:rsidR="008E2AE1">
          <w:rPr>
            <w:noProof/>
            <w:webHidden/>
          </w:rPr>
          <w:instrText xml:space="preserve"> PAGEREF _Toc525824419 \h </w:instrText>
        </w:r>
        <w:r w:rsidR="008E2AE1">
          <w:rPr>
            <w:noProof/>
            <w:webHidden/>
          </w:rPr>
        </w:r>
        <w:r w:rsidR="008E2AE1">
          <w:rPr>
            <w:noProof/>
            <w:webHidden/>
          </w:rPr>
          <w:fldChar w:fldCharType="separate"/>
        </w:r>
        <w:r w:rsidR="00DF7350">
          <w:rPr>
            <w:noProof/>
            <w:webHidden/>
          </w:rPr>
          <w:t>33</w:t>
        </w:r>
        <w:r w:rsidR="008E2AE1">
          <w:rPr>
            <w:noProof/>
            <w:webHidden/>
          </w:rPr>
          <w:fldChar w:fldCharType="end"/>
        </w:r>
      </w:hyperlink>
    </w:p>
    <w:p w:rsidR="008E2AE1" w:rsidRDefault="00BC3433">
      <w:pPr>
        <w:pStyle w:val="TDC2"/>
        <w:rPr>
          <w:rFonts w:asciiTheme="minorHAnsi" w:eastAsiaTheme="minorEastAsia" w:hAnsiTheme="minorHAnsi" w:cstheme="minorBidi"/>
          <w:noProof/>
          <w:sz w:val="22"/>
          <w:szCs w:val="22"/>
          <w:lang w:val="es-GT" w:eastAsia="es-GT"/>
        </w:rPr>
      </w:pPr>
      <w:hyperlink w:anchor="_Toc525824420" w:history="1">
        <w:r w:rsidR="008E2AE1" w:rsidRPr="00BF512B">
          <w:rPr>
            <w:rStyle w:val="Hipervnculo"/>
            <w:noProof/>
          </w:rPr>
          <w:t>F.</w:t>
        </w:r>
        <w:r w:rsidR="008E2AE1">
          <w:rPr>
            <w:rFonts w:asciiTheme="minorHAnsi" w:eastAsiaTheme="minorEastAsia" w:hAnsiTheme="minorHAnsi" w:cstheme="minorBidi"/>
            <w:noProof/>
            <w:sz w:val="22"/>
            <w:szCs w:val="22"/>
            <w:lang w:val="es-GT" w:eastAsia="es-GT"/>
          </w:rPr>
          <w:tab/>
        </w:r>
        <w:r w:rsidR="008E2AE1" w:rsidRPr="00BF512B">
          <w:rPr>
            <w:rStyle w:val="Hipervnculo"/>
            <w:noProof/>
          </w:rPr>
          <w:t>Déficit Fiscal y su Financiamiento</w:t>
        </w:r>
        <w:r w:rsidR="008E2AE1">
          <w:rPr>
            <w:noProof/>
            <w:webHidden/>
          </w:rPr>
          <w:tab/>
        </w:r>
        <w:r w:rsidR="008E2AE1">
          <w:rPr>
            <w:noProof/>
            <w:webHidden/>
          </w:rPr>
          <w:fldChar w:fldCharType="begin"/>
        </w:r>
        <w:r w:rsidR="008E2AE1">
          <w:rPr>
            <w:noProof/>
            <w:webHidden/>
          </w:rPr>
          <w:instrText xml:space="preserve"> PAGEREF _Toc525824420 \h </w:instrText>
        </w:r>
        <w:r w:rsidR="008E2AE1">
          <w:rPr>
            <w:noProof/>
            <w:webHidden/>
          </w:rPr>
        </w:r>
        <w:r w:rsidR="008E2AE1">
          <w:rPr>
            <w:noProof/>
            <w:webHidden/>
          </w:rPr>
          <w:fldChar w:fldCharType="separate"/>
        </w:r>
        <w:r w:rsidR="00DF7350">
          <w:rPr>
            <w:noProof/>
            <w:webHidden/>
          </w:rPr>
          <w:t>35</w:t>
        </w:r>
        <w:r w:rsidR="008E2AE1">
          <w:rPr>
            <w:noProof/>
            <w:webHidden/>
          </w:rPr>
          <w:fldChar w:fldCharType="end"/>
        </w:r>
      </w:hyperlink>
    </w:p>
    <w:p w:rsidR="008E2AE1" w:rsidRDefault="00BC3433">
      <w:pPr>
        <w:pStyle w:val="TDC2"/>
        <w:rPr>
          <w:rFonts w:asciiTheme="minorHAnsi" w:eastAsiaTheme="minorEastAsia" w:hAnsiTheme="minorHAnsi" w:cstheme="minorBidi"/>
          <w:noProof/>
          <w:sz w:val="22"/>
          <w:szCs w:val="22"/>
          <w:lang w:val="es-GT" w:eastAsia="es-GT"/>
        </w:rPr>
      </w:pPr>
      <w:hyperlink w:anchor="_Toc525824421" w:history="1">
        <w:r w:rsidR="008E2AE1" w:rsidRPr="00BF512B">
          <w:rPr>
            <w:rStyle w:val="Hipervnculo"/>
            <w:noProof/>
          </w:rPr>
          <w:t>G.</w:t>
        </w:r>
        <w:r w:rsidR="008E2AE1">
          <w:rPr>
            <w:rFonts w:asciiTheme="minorHAnsi" w:eastAsiaTheme="minorEastAsia" w:hAnsiTheme="minorHAnsi" w:cstheme="minorBidi"/>
            <w:noProof/>
            <w:sz w:val="22"/>
            <w:szCs w:val="22"/>
            <w:lang w:val="es-GT" w:eastAsia="es-GT"/>
          </w:rPr>
          <w:tab/>
        </w:r>
        <w:r w:rsidR="008E2AE1" w:rsidRPr="00BF512B">
          <w:rPr>
            <w:rStyle w:val="Hipervnculo"/>
            <w:noProof/>
          </w:rPr>
          <w:t>Deuda Pública</w:t>
        </w:r>
        <w:r w:rsidR="008E2AE1">
          <w:rPr>
            <w:noProof/>
            <w:webHidden/>
          </w:rPr>
          <w:tab/>
        </w:r>
        <w:r w:rsidR="008E2AE1">
          <w:rPr>
            <w:noProof/>
            <w:webHidden/>
          </w:rPr>
          <w:fldChar w:fldCharType="begin"/>
        </w:r>
        <w:r w:rsidR="008E2AE1">
          <w:rPr>
            <w:noProof/>
            <w:webHidden/>
          </w:rPr>
          <w:instrText xml:space="preserve"> PAGEREF _Toc525824421 \h </w:instrText>
        </w:r>
        <w:r w:rsidR="008E2AE1">
          <w:rPr>
            <w:noProof/>
            <w:webHidden/>
          </w:rPr>
        </w:r>
        <w:r w:rsidR="008E2AE1">
          <w:rPr>
            <w:noProof/>
            <w:webHidden/>
          </w:rPr>
          <w:fldChar w:fldCharType="separate"/>
        </w:r>
        <w:r w:rsidR="00DF7350">
          <w:rPr>
            <w:noProof/>
            <w:webHidden/>
          </w:rPr>
          <w:t>35</w:t>
        </w:r>
        <w:r w:rsidR="008E2AE1">
          <w:rPr>
            <w:noProof/>
            <w:webHidden/>
          </w:rPr>
          <w:fldChar w:fldCharType="end"/>
        </w:r>
      </w:hyperlink>
    </w:p>
    <w:p w:rsidR="008E2AE1" w:rsidRDefault="00BC3433">
      <w:pPr>
        <w:pStyle w:val="TDC1"/>
        <w:rPr>
          <w:rFonts w:asciiTheme="minorHAnsi" w:eastAsiaTheme="minorEastAsia" w:hAnsiTheme="minorHAnsi" w:cstheme="minorBidi"/>
          <w:noProof/>
          <w:sz w:val="22"/>
          <w:szCs w:val="22"/>
          <w:lang w:val="es-GT" w:eastAsia="es-GT"/>
        </w:rPr>
      </w:pPr>
      <w:hyperlink w:anchor="_Toc525824422" w:history="1">
        <w:r w:rsidR="008E2AE1" w:rsidRPr="00BF512B">
          <w:rPr>
            <w:rStyle w:val="Hipervnculo"/>
            <w:noProof/>
          </w:rPr>
          <w:t>IV.</w:t>
        </w:r>
        <w:r w:rsidR="008E2AE1">
          <w:rPr>
            <w:rFonts w:asciiTheme="minorHAnsi" w:eastAsiaTheme="minorEastAsia" w:hAnsiTheme="minorHAnsi" w:cstheme="minorBidi"/>
            <w:noProof/>
            <w:sz w:val="22"/>
            <w:szCs w:val="22"/>
            <w:lang w:val="es-GT" w:eastAsia="es-GT"/>
          </w:rPr>
          <w:tab/>
        </w:r>
        <w:r w:rsidR="008E2AE1" w:rsidRPr="00BF512B">
          <w:rPr>
            <w:rStyle w:val="Hipervnculo"/>
            <w:noProof/>
          </w:rPr>
          <w:t>Aspectos Relevantes del Primer Semestre de 2018</w:t>
        </w:r>
        <w:r w:rsidR="008E2AE1">
          <w:rPr>
            <w:noProof/>
            <w:webHidden/>
          </w:rPr>
          <w:tab/>
        </w:r>
        <w:r w:rsidR="008E2AE1">
          <w:rPr>
            <w:noProof/>
            <w:webHidden/>
          </w:rPr>
          <w:fldChar w:fldCharType="begin"/>
        </w:r>
        <w:r w:rsidR="008E2AE1">
          <w:rPr>
            <w:noProof/>
            <w:webHidden/>
          </w:rPr>
          <w:instrText xml:space="preserve"> PAGEREF _Toc525824422 \h </w:instrText>
        </w:r>
        <w:r w:rsidR="008E2AE1">
          <w:rPr>
            <w:noProof/>
            <w:webHidden/>
          </w:rPr>
        </w:r>
        <w:r w:rsidR="008E2AE1">
          <w:rPr>
            <w:noProof/>
            <w:webHidden/>
          </w:rPr>
          <w:fldChar w:fldCharType="separate"/>
        </w:r>
        <w:r w:rsidR="00DF7350">
          <w:rPr>
            <w:noProof/>
            <w:webHidden/>
          </w:rPr>
          <w:t>37</w:t>
        </w:r>
        <w:r w:rsidR="008E2AE1">
          <w:rPr>
            <w:noProof/>
            <w:webHidden/>
          </w:rPr>
          <w:fldChar w:fldCharType="end"/>
        </w:r>
      </w:hyperlink>
    </w:p>
    <w:p w:rsidR="008E2AE1" w:rsidRDefault="00BC3433">
      <w:pPr>
        <w:pStyle w:val="TDC2"/>
        <w:rPr>
          <w:rFonts w:asciiTheme="minorHAnsi" w:eastAsiaTheme="minorEastAsia" w:hAnsiTheme="minorHAnsi" w:cstheme="minorBidi"/>
          <w:noProof/>
          <w:sz w:val="22"/>
          <w:szCs w:val="22"/>
          <w:lang w:val="es-GT" w:eastAsia="es-GT"/>
        </w:rPr>
      </w:pPr>
      <w:hyperlink w:anchor="_Toc525824423" w:history="1">
        <w:r w:rsidR="008E2AE1" w:rsidRPr="00BF512B">
          <w:rPr>
            <w:rStyle w:val="Hipervnculo"/>
            <w:noProof/>
          </w:rPr>
          <w:t>A.</w:t>
        </w:r>
        <w:r w:rsidR="008E2AE1">
          <w:rPr>
            <w:rFonts w:asciiTheme="minorHAnsi" w:eastAsiaTheme="minorEastAsia" w:hAnsiTheme="minorHAnsi" w:cstheme="minorBidi"/>
            <w:noProof/>
            <w:sz w:val="22"/>
            <w:szCs w:val="22"/>
            <w:lang w:val="es-GT" w:eastAsia="es-GT"/>
          </w:rPr>
          <w:tab/>
        </w:r>
        <w:r w:rsidR="008E2AE1" w:rsidRPr="00BF512B">
          <w:rPr>
            <w:rStyle w:val="Hipervnculo"/>
            <w:noProof/>
          </w:rPr>
          <w:t>Logros de Transparencia Fiscal</w:t>
        </w:r>
        <w:r w:rsidR="008E2AE1">
          <w:rPr>
            <w:noProof/>
            <w:webHidden/>
          </w:rPr>
          <w:tab/>
        </w:r>
        <w:r w:rsidR="008E2AE1">
          <w:rPr>
            <w:noProof/>
            <w:webHidden/>
          </w:rPr>
          <w:fldChar w:fldCharType="begin"/>
        </w:r>
        <w:r w:rsidR="008E2AE1">
          <w:rPr>
            <w:noProof/>
            <w:webHidden/>
          </w:rPr>
          <w:instrText xml:space="preserve"> PAGEREF _Toc525824423 \h </w:instrText>
        </w:r>
        <w:r w:rsidR="008E2AE1">
          <w:rPr>
            <w:noProof/>
            <w:webHidden/>
          </w:rPr>
        </w:r>
        <w:r w:rsidR="008E2AE1">
          <w:rPr>
            <w:noProof/>
            <w:webHidden/>
          </w:rPr>
          <w:fldChar w:fldCharType="separate"/>
        </w:r>
        <w:r w:rsidR="00DF7350">
          <w:rPr>
            <w:noProof/>
            <w:webHidden/>
          </w:rPr>
          <w:t>37</w:t>
        </w:r>
        <w:r w:rsidR="008E2AE1">
          <w:rPr>
            <w:noProof/>
            <w:webHidden/>
          </w:rPr>
          <w:fldChar w:fldCharType="end"/>
        </w:r>
      </w:hyperlink>
    </w:p>
    <w:p w:rsidR="008E2AE1" w:rsidRDefault="00BC3433">
      <w:pPr>
        <w:pStyle w:val="TDC2"/>
        <w:rPr>
          <w:rFonts w:asciiTheme="minorHAnsi" w:eastAsiaTheme="minorEastAsia" w:hAnsiTheme="minorHAnsi" w:cstheme="minorBidi"/>
          <w:noProof/>
          <w:sz w:val="22"/>
          <w:szCs w:val="22"/>
          <w:lang w:val="es-GT" w:eastAsia="es-GT"/>
        </w:rPr>
      </w:pPr>
      <w:hyperlink w:anchor="_Toc525824424" w:history="1">
        <w:r w:rsidR="008E2AE1" w:rsidRPr="00BF512B">
          <w:rPr>
            <w:rStyle w:val="Hipervnculo"/>
            <w:noProof/>
          </w:rPr>
          <w:t>B.</w:t>
        </w:r>
        <w:r w:rsidR="008E2AE1">
          <w:rPr>
            <w:rFonts w:asciiTheme="minorHAnsi" w:eastAsiaTheme="minorEastAsia" w:hAnsiTheme="minorHAnsi" w:cstheme="minorBidi"/>
            <w:noProof/>
            <w:sz w:val="22"/>
            <w:szCs w:val="22"/>
            <w:lang w:val="es-GT" w:eastAsia="es-GT"/>
          </w:rPr>
          <w:tab/>
        </w:r>
        <w:r w:rsidR="008E2AE1" w:rsidRPr="00BF512B">
          <w:rPr>
            <w:rStyle w:val="Hipervnculo"/>
            <w:noProof/>
          </w:rPr>
          <w:t>Compromisos y Metas a cargo del Ministerio de Finanzas Públicas</w:t>
        </w:r>
        <w:r w:rsidR="008E2AE1">
          <w:rPr>
            <w:noProof/>
            <w:webHidden/>
          </w:rPr>
          <w:tab/>
        </w:r>
        <w:r w:rsidR="008E2AE1">
          <w:rPr>
            <w:noProof/>
            <w:webHidden/>
          </w:rPr>
          <w:fldChar w:fldCharType="begin"/>
        </w:r>
        <w:r w:rsidR="008E2AE1">
          <w:rPr>
            <w:noProof/>
            <w:webHidden/>
          </w:rPr>
          <w:instrText xml:space="preserve"> PAGEREF _Toc525824424 \h </w:instrText>
        </w:r>
        <w:r w:rsidR="008E2AE1">
          <w:rPr>
            <w:noProof/>
            <w:webHidden/>
          </w:rPr>
        </w:r>
        <w:r w:rsidR="008E2AE1">
          <w:rPr>
            <w:noProof/>
            <w:webHidden/>
          </w:rPr>
          <w:fldChar w:fldCharType="separate"/>
        </w:r>
        <w:r w:rsidR="00DF7350">
          <w:rPr>
            <w:noProof/>
            <w:webHidden/>
          </w:rPr>
          <w:t>37</w:t>
        </w:r>
        <w:r w:rsidR="008E2AE1">
          <w:rPr>
            <w:noProof/>
            <w:webHidden/>
          </w:rPr>
          <w:fldChar w:fldCharType="end"/>
        </w:r>
      </w:hyperlink>
    </w:p>
    <w:p w:rsidR="009C2D46" w:rsidRPr="002414D8" w:rsidRDefault="007C7DEE" w:rsidP="002414D8">
      <w:pPr>
        <w:ind w:right="-142"/>
        <w:jc w:val="both"/>
      </w:pPr>
      <w:r w:rsidRPr="00C87438">
        <w:rPr>
          <w:b/>
          <w:bCs/>
          <w:highlight w:val="yellow"/>
        </w:rPr>
        <w:fldChar w:fldCharType="end"/>
      </w:r>
      <w:r w:rsidR="002414D8" w:rsidRPr="002414D8">
        <w:rPr>
          <w:bCs/>
        </w:rPr>
        <w:t>V</w:t>
      </w:r>
      <w:r w:rsidR="002414D8">
        <w:rPr>
          <w:bCs/>
        </w:rPr>
        <w:t>.    Anexos……………………………………………………………………………………43</w:t>
      </w:r>
    </w:p>
    <w:p w:rsidR="00700218" w:rsidRPr="00C87438" w:rsidRDefault="00700218" w:rsidP="0090230E">
      <w:pPr>
        <w:pStyle w:val="Prrafodelista"/>
        <w:tabs>
          <w:tab w:val="left" w:pos="870"/>
        </w:tabs>
        <w:ind w:left="720"/>
        <w:contextualSpacing/>
        <w:jc w:val="right"/>
        <w:rPr>
          <w:highlight w:val="yellow"/>
        </w:rPr>
      </w:pPr>
    </w:p>
    <w:p w:rsidR="00612210" w:rsidRPr="00C87438" w:rsidRDefault="00612210">
      <w:pPr>
        <w:rPr>
          <w:highlight w:val="yellow"/>
          <w:lang w:val="es-MX"/>
        </w:rPr>
      </w:pPr>
      <w:r w:rsidRPr="00C87438">
        <w:rPr>
          <w:highlight w:val="yellow"/>
          <w:lang w:val="es-MX"/>
        </w:rPr>
        <w:br w:type="page"/>
      </w:r>
    </w:p>
    <w:p w:rsidR="005A6477" w:rsidRPr="00D36C57" w:rsidRDefault="005A6477" w:rsidP="00942106">
      <w:pPr>
        <w:pStyle w:val="Ttulo1"/>
        <w:numPr>
          <w:ilvl w:val="0"/>
          <w:numId w:val="2"/>
        </w:numPr>
        <w:suppressAutoHyphens/>
        <w:ind w:left="709"/>
      </w:pPr>
      <w:bookmarkStart w:id="2" w:name="_Toc441140273"/>
      <w:bookmarkStart w:id="3" w:name="_Toc525824400"/>
      <w:r w:rsidRPr="00D36C57">
        <w:lastRenderedPageBreak/>
        <w:t>Entorno Macroeconómico</w:t>
      </w:r>
      <w:bookmarkEnd w:id="2"/>
      <w:bookmarkEnd w:id="3"/>
    </w:p>
    <w:p w:rsidR="005A6477" w:rsidRPr="003313CE" w:rsidRDefault="005A6477" w:rsidP="005A6477">
      <w:pPr>
        <w:rPr>
          <w:b/>
          <w:sz w:val="10"/>
        </w:rPr>
      </w:pPr>
    </w:p>
    <w:p w:rsidR="005A6477" w:rsidRPr="00D36C57" w:rsidRDefault="005A6477" w:rsidP="00942106">
      <w:pPr>
        <w:pStyle w:val="Ttulo2"/>
        <w:numPr>
          <w:ilvl w:val="0"/>
          <w:numId w:val="3"/>
        </w:numPr>
        <w:ind w:left="426"/>
        <w:rPr>
          <w:rFonts w:ascii="Times New Roman" w:hAnsi="Times New Roman"/>
          <w:color w:val="auto"/>
          <w:sz w:val="24"/>
          <w:szCs w:val="24"/>
          <w:lang w:val="es-MX"/>
        </w:rPr>
      </w:pPr>
      <w:bookmarkStart w:id="4" w:name="_Toc441140274"/>
      <w:bookmarkStart w:id="5" w:name="_Toc525824401"/>
      <w:r w:rsidRPr="00D36C57">
        <w:rPr>
          <w:rFonts w:ascii="Times New Roman" w:hAnsi="Times New Roman"/>
          <w:color w:val="auto"/>
          <w:sz w:val="24"/>
          <w:szCs w:val="24"/>
          <w:lang w:val="es-MX"/>
        </w:rPr>
        <w:t xml:space="preserve">La </w:t>
      </w:r>
      <w:r w:rsidR="00B20C2F">
        <w:rPr>
          <w:rFonts w:ascii="Times New Roman" w:hAnsi="Times New Roman"/>
          <w:color w:val="auto"/>
          <w:sz w:val="24"/>
          <w:szCs w:val="24"/>
          <w:lang w:val="es-MX"/>
        </w:rPr>
        <w:t>E</w:t>
      </w:r>
      <w:r w:rsidRPr="00D36C57">
        <w:rPr>
          <w:rFonts w:ascii="Times New Roman" w:hAnsi="Times New Roman"/>
          <w:color w:val="auto"/>
          <w:sz w:val="24"/>
          <w:szCs w:val="24"/>
          <w:lang w:val="es-MX"/>
        </w:rPr>
        <w:t xml:space="preserve">conomía </w:t>
      </w:r>
      <w:r w:rsidR="00B20C2F">
        <w:rPr>
          <w:rFonts w:ascii="Times New Roman" w:hAnsi="Times New Roman"/>
          <w:color w:val="auto"/>
          <w:sz w:val="24"/>
          <w:szCs w:val="24"/>
          <w:lang w:val="es-MX"/>
        </w:rPr>
        <w:t>M</w:t>
      </w:r>
      <w:r w:rsidRPr="00D36C57">
        <w:rPr>
          <w:rFonts w:ascii="Times New Roman" w:hAnsi="Times New Roman"/>
          <w:color w:val="auto"/>
          <w:sz w:val="24"/>
          <w:szCs w:val="24"/>
          <w:lang w:val="es-MX"/>
        </w:rPr>
        <w:t>undial durante 201</w:t>
      </w:r>
      <w:bookmarkEnd w:id="4"/>
      <w:r w:rsidR="00E950B4">
        <w:rPr>
          <w:rFonts w:ascii="Times New Roman" w:hAnsi="Times New Roman"/>
          <w:color w:val="auto"/>
          <w:sz w:val="24"/>
          <w:szCs w:val="24"/>
          <w:lang w:val="es-MX"/>
        </w:rPr>
        <w:t>8</w:t>
      </w:r>
      <w:bookmarkEnd w:id="5"/>
    </w:p>
    <w:p w:rsidR="005A6477" w:rsidRPr="00D36C57" w:rsidRDefault="005A6477" w:rsidP="005A6477">
      <w:pPr>
        <w:pStyle w:val="Ttulo2"/>
        <w:numPr>
          <w:ilvl w:val="0"/>
          <w:numId w:val="0"/>
        </w:numPr>
        <w:spacing w:before="0"/>
        <w:ind w:left="426"/>
        <w:rPr>
          <w:rFonts w:ascii="Times New Roman" w:hAnsi="Times New Roman"/>
          <w:color w:val="auto"/>
          <w:sz w:val="24"/>
          <w:szCs w:val="24"/>
          <w:lang w:val="es-MX"/>
        </w:rPr>
      </w:pPr>
    </w:p>
    <w:p w:rsidR="005A6477" w:rsidRDefault="005A6477" w:rsidP="005A6477">
      <w:pPr>
        <w:jc w:val="both"/>
        <w:rPr>
          <w:lang w:val="es-MX"/>
        </w:rPr>
      </w:pPr>
      <w:r w:rsidRPr="007A2D2A">
        <w:rPr>
          <w:lang w:val="es-MX"/>
        </w:rPr>
        <w:t>Las perspectivas sobre la economía internacional</w:t>
      </w:r>
      <w:r>
        <w:rPr>
          <w:lang w:val="es-MX"/>
        </w:rPr>
        <w:t xml:space="preserve"> de</w:t>
      </w:r>
      <w:r w:rsidRPr="007A2D2A">
        <w:rPr>
          <w:lang w:val="es-MX"/>
        </w:rPr>
        <w:t xml:space="preserve"> los principales </w:t>
      </w:r>
      <w:r w:rsidR="00105181">
        <w:rPr>
          <w:lang w:val="es-MX"/>
        </w:rPr>
        <w:t xml:space="preserve">organismos internacionales, situaban </w:t>
      </w:r>
      <w:r>
        <w:rPr>
          <w:lang w:val="es-MX"/>
        </w:rPr>
        <w:t xml:space="preserve">el crecimiento del Producto Mundial para el 2017 en torno al </w:t>
      </w:r>
      <w:r w:rsidR="00E950B4">
        <w:rPr>
          <w:lang w:val="es-MX"/>
        </w:rPr>
        <w:t>3.5</w:t>
      </w:r>
      <w:r>
        <w:rPr>
          <w:lang w:val="es-MX"/>
        </w:rPr>
        <w:t>%; mientras que en 2018</w:t>
      </w:r>
      <w:r w:rsidR="00A10761">
        <w:rPr>
          <w:lang w:val="es-MX"/>
        </w:rPr>
        <w:t>,</w:t>
      </w:r>
      <w:r>
        <w:rPr>
          <w:lang w:val="es-MX"/>
        </w:rPr>
        <w:t xml:space="preserve"> se espera </w:t>
      </w:r>
      <w:r w:rsidR="00E950B4">
        <w:rPr>
          <w:lang w:val="es-MX"/>
        </w:rPr>
        <w:t>un crecimiento en el orden del 3.4</w:t>
      </w:r>
      <w:r>
        <w:rPr>
          <w:lang w:val="es-MX"/>
        </w:rPr>
        <w:t>% e</w:t>
      </w:r>
      <w:r w:rsidRPr="007A2D2A">
        <w:rPr>
          <w:lang w:val="es-MX"/>
        </w:rPr>
        <w:t xml:space="preserve">xplicado por el </w:t>
      </w:r>
      <w:r w:rsidR="00105181">
        <w:rPr>
          <w:lang w:val="es-MX"/>
        </w:rPr>
        <w:t>dinamismo</w:t>
      </w:r>
      <w:r w:rsidRPr="007A2D2A">
        <w:rPr>
          <w:lang w:val="es-MX"/>
        </w:rPr>
        <w:t xml:space="preserve"> que ha</w:t>
      </w:r>
      <w:r>
        <w:rPr>
          <w:lang w:val="es-MX"/>
        </w:rPr>
        <w:t>n</w:t>
      </w:r>
      <w:r w:rsidRPr="007A2D2A">
        <w:rPr>
          <w:lang w:val="es-MX"/>
        </w:rPr>
        <w:t xml:space="preserve"> mostrado </w:t>
      </w:r>
      <w:r>
        <w:rPr>
          <w:lang w:val="es-MX"/>
        </w:rPr>
        <w:t xml:space="preserve">los países emergentes </w:t>
      </w:r>
      <w:r w:rsidRPr="007A2D2A">
        <w:rPr>
          <w:lang w:val="es-MX"/>
        </w:rPr>
        <w:t xml:space="preserve">principalmente </w:t>
      </w:r>
      <w:r>
        <w:rPr>
          <w:lang w:val="es-MX"/>
        </w:rPr>
        <w:t>India</w:t>
      </w:r>
      <w:r w:rsidRPr="007A2D2A">
        <w:rPr>
          <w:lang w:val="es-MX"/>
        </w:rPr>
        <w:t xml:space="preserve"> y China, en contraste con las perspectivas menos optimistas de crecimiento </w:t>
      </w:r>
      <w:r w:rsidR="008152B1">
        <w:rPr>
          <w:lang w:val="es-MX"/>
        </w:rPr>
        <w:t>para</w:t>
      </w:r>
      <w:r>
        <w:rPr>
          <w:lang w:val="es-MX"/>
        </w:rPr>
        <w:t xml:space="preserve"> </w:t>
      </w:r>
      <w:r w:rsidRPr="007A2D2A">
        <w:rPr>
          <w:lang w:val="es-MX"/>
        </w:rPr>
        <w:t xml:space="preserve">América Latina y el Caribe, </w:t>
      </w:r>
      <w:r w:rsidR="008152B1">
        <w:rPr>
          <w:lang w:val="es-MX"/>
        </w:rPr>
        <w:t xml:space="preserve">la cual </w:t>
      </w:r>
      <w:r>
        <w:rPr>
          <w:lang w:val="es-MX"/>
        </w:rPr>
        <w:t>se</w:t>
      </w:r>
      <w:r w:rsidRPr="007A2D2A">
        <w:rPr>
          <w:lang w:val="es-MX"/>
        </w:rPr>
        <w:t xml:space="preserve"> estima </w:t>
      </w:r>
      <w:r>
        <w:rPr>
          <w:lang w:val="es-MX"/>
        </w:rPr>
        <w:t>cercan</w:t>
      </w:r>
      <w:r w:rsidR="00DA6F65">
        <w:rPr>
          <w:lang w:val="es-MX"/>
        </w:rPr>
        <w:t>a</w:t>
      </w:r>
      <w:r>
        <w:rPr>
          <w:lang w:val="es-MX"/>
        </w:rPr>
        <w:t xml:space="preserve"> al </w:t>
      </w:r>
      <w:r w:rsidR="008152B1">
        <w:rPr>
          <w:lang w:val="es-MX"/>
        </w:rPr>
        <w:t>1.9</w:t>
      </w:r>
      <w:r>
        <w:rPr>
          <w:lang w:val="es-MX"/>
        </w:rPr>
        <w:t>%.</w:t>
      </w:r>
    </w:p>
    <w:p w:rsidR="005A6477" w:rsidRDefault="005A6477" w:rsidP="005A6477">
      <w:pPr>
        <w:jc w:val="both"/>
        <w:rPr>
          <w:lang w:val="es-MX"/>
        </w:rPr>
      </w:pPr>
    </w:p>
    <w:p w:rsidR="005A6477" w:rsidRPr="0088577C" w:rsidRDefault="00E950B4" w:rsidP="005A6477">
      <w:pPr>
        <w:pStyle w:val="Prrafodelista"/>
        <w:ind w:left="360"/>
        <w:jc w:val="center"/>
        <w:rPr>
          <w:b/>
          <w:sz w:val="22"/>
          <w:lang w:val="es-MX"/>
        </w:rPr>
      </w:pPr>
      <w:r>
        <w:rPr>
          <w:b/>
          <w:sz w:val="22"/>
          <w:lang w:val="es-MX"/>
        </w:rPr>
        <w:t>Gráfica</w:t>
      </w:r>
      <w:r w:rsidR="005A6477" w:rsidRPr="0088577C">
        <w:rPr>
          <w:b/>
          <w:sz w:val="22"/>
          <w:lang w:val="es-MX"/>
        </w:rPr>
        <w:t xml:space="preserve"> 1</w:t>
      </w:r>
    </w:p>
    <w:p w:rsidR="005A6477" w:rsidRPr="0088577C" w:rsidRDefault="005A6477" w:rsidP="005A6477">
      <w:pPr>
        <w:pStyle w:val="Prrafodelista"/>
        <w:ind w:left="360"/>
        <w:jc w:val="center"/>
        <w:rPr>
          <w:b/>
          <w:sz w:val="22"/>
          <w:lang w:val="es-MX"/>
        </w:rPr>
      </w:pPr>
      <w:r w:rsidRPr="0088577C">
        <w:rPr>
          <w:b/>
          <w:sz w:val="22"/>
          <w:lang w:val="es-MX"/>
        </w:rPr>
        <w:t xml:space="preserve">Crecimiento </w:t>
      </w:r>
      <w:r w:rsidR="00E950B4">
        <w:rPr>
          <w:b/>
          <w:sz w:val="22"/>
          <w:lang w:val="es-MX"/>
        </w:rPr>
        <w:t xml:space="preserve">Económico </w:t>
      </w:r>
      <w:r w:rsidRPr="0088577C">
        <w:rPr>
          <w:b/>
          <w:sz w:val="22"/>
          <w:lang w:val="es-MX"/>
        </w:rPr>
        <w:t>Mundial</w:t>
      </w:r>
    </w:p>
    <w:p w:rsidR="005A6477" w:rsidRPr="0088577C" w:rsidRDefault="0025165B" w:rsidP="005A6477">
      <w:pPr>
        <w:pStyle w:val="Prrafodelista"/>
        <w:ind w:left="360"/>
        <w:jc w:val="center"/>
        <w:rPr>
          <w:b/>
          <w:sz w:val="22"/>
          <w:lang w:val="es-MX"/>
        </w:rPr>
      </w:pPr>
      <w:r>
        <w:rPr>
          <w:b/>
          <w:sz w:val="22"/>
          <w:lang w:val="es-MX"/>
        </w:rPr>
        <w:t xml:space="preserve">Período </w:t>
      </w:r>
      <w:r w:rsidR="005A6477" w:rsidRPr="0088577C">
        <w:rPr>
          <w:b/>
          <w:sz w:val="22"/>
          <w:lang w:val="es-MX"/>
        </w:rPr>
        <w:t>201</w:t>
      </w:r>
      <w:r w:rsidR="00E950B4">
        <w:rPr>
          <w:b/>
          <w:sz w:val="22"/>
          <w:lang w:val="es-MX"/>
        </w:rPr>
        <w:t>6</w:t>
      </w:r>
      <w:r>
        <w:rPr>
          <w:b/>
          <w:sz w:val="22"/>
          <w:lang w:val="es-MX"/>
        </w:rPr>
        <w:t>-</w:t>
      </w:r>
      <w:r w:rsidR="005A6477" w:rsidRPr="0088577C">
        <w:rPr>
          <w:b/>
          <w:sz w:val="22"/>
          <w:lang w:val="es-MX"/>
        </w:rPr>
        <w:t>2018</w:t>
      </w:r>
    </w:p>
    <w:p w:rsidR="005A6477" w:rsidRPr="0088577C" w:rsidRDefault="0025165B" w:rsidP="005A6477">
      <w:pPr>
        <w:pStyle w:val="Prrafodelista"/>
        <w:ind w:left="360"/>
        <w:jc w:val="center"/>
        <w:rPr>
          <w:b/>
          <w:sz w:val="22"/>
          <w:lang w:val="es-MX"/>
        </w:rPr>
      </w:pPr>
      <w:r>
        <w:rPr>
          <w:b/>
          <w:sz w:val="22"/>
          <w:lang w:val="es-MX"/>
        </w:rPr>
        <w:t>(</w:t>
      </w:r>
      <w:r w:rsidR="005A6477" w:rsidRPr="0088577C">
        <w:rPr>
          <w:b/>
          <w:sz w:val="22"/>
          <w:lang w:val="es-MX"/>
        </w:rPr>
        <w:t>Cifras en Porcen</w:t>
      </w:r>
      <w:r w:rsidR="00E5644C">
        <w:rPr>
          <w:b/>
          <w:sz w:val="22"/>
          <w:lang w:val="es-MX"/>
        </w:rPr>
        <w:t>tajes</w:t>
      </w:r>
      <w:r>
        <w:rPr>
          <w:b/>
          <w:sz w:val="22"/>
          <w:lang w:val="es-MX"/>
        </w:rPr>
        <w:t>)</w:t>
      </w:r>
    </w:p>
    <w:p w:rsidR="005A6477" w:rsidRPr="0025165B" w:rsidRDefault="00E950B4" w:rsidP="00E950B4">
      <w:pPr>
        <w:jc w:val="center"/>
        <w:rPr>
          <w:sz w:val="10"/>
          <w:lang w:val="es-MX"/>
        </w:rPr>
      </w:pPr>
      <w:r>
        <w:rPr>
          <w:noProof/>
          <w:lang w:val="es-GT" w:eastAsia="es-GT"/>
        </w:rPr>
        <w:drawing>
          <wp:inline distT="0" distB="0" distL="0" distR="0" wp14:anchorId="74CD4FBE" wp14:editId="037921F7">
            <wp:extent cx="5351228" cy="3108960"/>
            <wp:effectExtent l="0" t="0" r="1905"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A6477" w:rsidRPr="00E021FF" w:rsidRDefault="0025165B" w:rsidP="005A6477">
      <w:pPr>
        <w:jc w:val="both"/>
        <w:rPr>
          <w:sz w:val="16"/>
          <w:lang w:val="es-MX"/>
        </w:rPr>
      </w:pPr>
      <w:r>
        <w:rPr>
          <w:sz w:val="16"/>
          <w:lang w:val="es-MX"/>
        </w:rPr>
        <w:t xml:space="preserve">           </w:t>
      </w:r>
      <w:r w:rsidR="008152B1" w:rsidRPr="00E021FF">
        <w:rPr>
          <w:sz w:val="16"/>
          <w:lang w:val="es-MX"/>
        </w:rPr>
        <w:t xml:space="preserve">Fuente: </w:t>
      </w:r>
      <w:r w:rsidR="007F6188" w:rsidRPr="00E021FF">
        <w:rPr>
          <w:sz w:val="16"/>
          <w:lang w:val="es-MX"/>
        </w:rPr>
        <w:t>M</w:t>
      </w:r>
      <w:r w:rsidR="007C26CD">
        <w:rPr>
          <w:sz w:val="16"/>
          <w:lang w:val="es-MX"/>
        </w:rPr>
        <w:t>INFIN</w:t>
      </w:r>
      <w:r w:rsidR="007F6188" w:rsidRPr="00E021FF">
        <w:rPr>
          <w:sz w:val="16"/>
          <w:lang w:val="es-MX"/>
        </w:rPr>
        <w:t>, 2017. Exposición General del Motivos, Proyecto de Presupuesto 2018</w:t>
      </w:r>
      <w:r>
        <w:rPr>
          <w:sz w:val="16"/>
          <w:lang w:val="es-MX"/>
        </w:rPr>
        <w:t>.</w:t>
      </w:r>
    </w:p>
    <w:p w:rsidR="005A6477" w:rsidRDefault="005A6477" w:rsidP="005A6477">
      <w:pPr>
        <w:jc w:val="both"/>
        <w:rPr>
          <w:lang w:val="es-MX"/>
        </w:rPr>
      </w:pPr>
    </w:p>
    <w:p w:rsidR="0025165B" w:rsidRDefault="0025165B" w:rsidP="005A6477">
      <w:pPr>
        <w:jc w:val="both"/>
        <w:rPr>
          <w:lang w:val="es-MX"/>
        </w:rPr>
      </w:pPr>
    </w:p>
    <w:p w:rsidR="00E249B3" w:rsidRDefault="00E249B3" w:rsidP="005A6477">
      <w:pPr>
        <w:jc w:val="both"/>
        <w:rPr>
          <w:lang w:val="es-MX"/>
        </w:rPr>
      </w:pPr>
      <w:r w:rsidRPr="00E249B3">
        <w:rPr>
          <w:lang w:val="es-MX"/>
        </w:rPr>
        <w:t xml:space="preserve">Este </w:t>
      </w:r>
      <w:r>
        <w:rPr>
          <w:lang w:val="es-MX"/>
        </w:rPr>
        <w:t>comportamiento</w:t>
      </w:r>
      <w:r w:rsidRPr="00E249B3">
        <w:rPr>
          <w:lang w:val="es-MX"/>
        </w:rPr>
        <w:t xml:space="preserve"> es explicado principalmente por el </w:t>
      </w:r>
      <w:r>
        <w:rPr>
          <w:lang w:val="es-MX"/>
        </w:rPr>
        <w:t xml:space="preserve">desempeño del comercio internacional y </w:t>
      </w:r>
      <w:r w:rsidRPr="00E249B3">
        <w:rPr>
          <w:lang w:val="es-MX"/>
        </w:rPr>
        <w:t xml:space="preserve">el alza reflejada en los mercados financieros </w:t>
      </w:r>
      <w:r>
        <w:rPr>
          <w:lang w:val="es-MX"/>
        </w:rPr>
        <w:t>tras</w:t>
      </w:r>
      <w:r w:rsidRPr="00E249B3">
        <w:rPr>
          <w:lang w:val="es-MX"/>
        </w:rPr>
        <w:t xml:space="preserve"> la recuperación cíclica de la industria manufacturera. Adicionalmente, se ha evidenciado un repunte en el precio de las materias primas, lo cual ha contribuido en gran medida a que los países exportadores de éstas, inicien el proceso de recuperación, solventando la baja en su economía luego del desplome </w:t>
      </w:r>
      <w:r>
        <w:rPr>
          <w:lang w:val="es-MX"/>
        </w:rPr>
        <w:t>del costo de dichas mercaderías (M</w:t>
      </w:r>
      <w:r w:rsidR="00EB50F5">
        <w:rPr>
          <w:lang w:val="es-MX"/>
        </w:rPr>
        <w:t>INFIN</w:t>
      </w:r>
      <w:r>
        <w:rPr>
          <w:lang w:val="es-MX"/>
        </w:rPr>
        <w:t>, 2017. Exposición General del Motivos, Proyecto de Presupuesto 2018).</w:t>
      </w:r>
    </w:p>
    <w:p w:rsidR="00E249B3" w:rsidRDefault="00E249B3" w:rsidP="005A6477">
      <w:pPr>
        <w:jc w:val="both"/>
        <w:rPr>
          <w:lang w:val="es-MX"/>
        </w:rPr>
      </w:pPr>
    </w:p>
    <w:p w:rsidR="007F6188" w:rsidRDefault="00105181" w:rsidP="007F6188">
      <w:pPr>
        <w:jc w:val="both"/>
        <w:rPr>
          <w:lang w:val="es-MX"/>
        </w:rPr>
      </w:pPr>
      <w:r w:rsidRPr="00105181">
        <w:rPr>
          <w:lang w:val="es-MX"/>
        </w:rPr>
        <w:t>En cuanto al desempeño de los principales socios comerciales del país, se estima</w:t>
      </w:r>
      <w:r w:rsidR="007F6188">
        <w:rPr>
          <w:lang w:val="es-MX"/>
        </w:rPr>
        <w:t>ba</w:t>
      </w:r>
      <w:r w:rsidRPr="00105181">
        <w:rPr>
          <w:lang w:val="es-MX"/>
        </w:rPr>
        <w:t xml:space="preserve"> que la economía de </w:t>
      </w:r>
      <w:r w:rsidR="00D301CE">
        <w:rPr>
          <w:lang w:val="es-MX"/>
        </w:rPr>
        <w:t xml:space="preserve">los </w:t>
      </w:r>
      <w:r w:rsidRPr="00105181">
        <w:rPr>
          <w:lang w:val="es-MX"/>
        </w:rPr>
        <w:t>Estados Unidos</w:t>
      </w:r>
      <w:r w:rsidR="00D301CE">
        <w:rPr>
          <w:lang w:val="es-MX"/>
        </w:rPr>
        <w:t xml:space="preserve"> de América</w:t>
      </w:r>
      <w:r w:rsidRPr="00105181">
        <w:rPr>
          <w:lang w:val="es-MX"/>
        </w:rPr>
        <w:t xml:space="preserve">, </w:t>
      </w:r>
      <w:r w:rsidR="007F6188">
        <w:rPr>
          <w:lang w:val="es-MX"/>
        </w:rPr>
        <w:t>tuviera</w:t>
      </w:r>
      <w:r w:rsidRPr="00105181">
        <w:rPr>
          <w:lang w:val="es-MX"/>
        </w:rPr>
        <w:t xml:space="preserve"> una tendencia al alza</w:t>
      </w:r>
      <w:r w:rsidR="00DA6F65">
        <w:rPr>
          <w:lang w:val="es-MX"/>
        </w:rPr>
        <w:t>,</w:t>
      </w:r>
      <w:r w:rsidRPr="00105181">
        <w:rPr>
          <w:lang w:val="es-MX"/>
        </w:rPr>
        <w:t xml:space="preserve"> de tal cuenta, se prev</w:t>
      </w:r>
      <w:r w:rsidR="007F6188">
        <w:rPr>
          <w:lang w:val="es-MX"/>
        </w:rPr>
        <w:t>ió</w:t>
      </w:r>
      <w:r w:rsidRPr="00105181">
        <w:rPr>
          <w:lang w:val="es-MX"/>
        </w:rPr>
        <w:t xml:space="preserve"> </w:t>
      </w:r>
      <w:r w:rsidR="007F6188">
        <w:rPr>
          <w:lang w:val="es-MX"/>
        </w:rPr>
        <w:t xml:space="preserve">un crecimiento de 2.1% tanto </w:t>
      </w:r>
      <w:r w:rsidRPr="00105181">
        <w:rPr>
          <w:lang w:val="es-MX"/>
        </w:rPr>
        <w:t xml:space="preserve">para 2017 </w:t>
      </w:r>
      <w:r w:rsidR="007F6188">
        <w:rPr>
          <w:lang w:val="es-MX"/>
        </w:rPr>
        <w:t>como para</w:t>
      </w:r>
      <w:r w:rsidRPr="00105181">
        <w:rPr>
          <w:lang w:val="es-MX"/>
        </w:rPr>
        <w:t xml:space="preserve"> 2018. Este comportamiento se debe </w:t>
      </w:r>
      <w:r w:rsidRPr="00105181">
        <w:rPr>
          <w:lang w:val="es-MX"/>
        </w:rPr>
        <w:lastRenderedPageBreak/>
        <w:t>a la recuperación en la producción y oferta interna</w:t>
      </w:r>
      <w:r w:rsidR="00DA6F65">
        <w:rPr>
          <w:lang w:val="es-MX"/>
        </w:rPr>
        <w:t>s</w:t>
      </w:r>
      <w:r w:rsidRPr="00105181">
        <w:rPr>
          <w:lang w:val="es-MX"/>
        </w:rPr>
        <w:t xml:space="preserve">, </w:t>
      </w:r>
      <w:r>
        <w:rPr>
          <w:lang w:val="es-MX"/>
        </w:rPr>
        <w:t xml:space="preserve">y el </w:t>
      </w:r>
      <w:r w:rsidRPr="00105181">
        <w:rPr>
          <w:lang w:val="es-MX"/>
        </w:rPr>
        <w:t>aumento en el consumo local y los cambios en la política fiscal, que han estimulado los mercados financieros, así como la mejoría en la confianza de los inversor</w:t>
      </w:r>
      <w:r w:rsidR="007F6188">
        <w:rPr>
          <w:lang w:val="es-MX"/>
        </w:rPr>
        <w:t>es y de los mismos consumidores (M</w:t>
      </w:r>
      <w:r w:rsidR="00D301CE">
        <w:rPr>
          <w:lang w:val="es-MX"/>
        </w:rPr>
        <w:t>INFIN</w:t>
      </w:r>
      <w:r w:rsidR="007F6188">
        <w:rPr>
          <w:lang w:val="es-MX"/>
        </w:rPr>
        <w:t>, 2017. ibíd.).</w:t>
      </w:r>
    </w:p>
    <w:p w:rsidR="00105181" w:rsidRPr="00105181" w:rsidRDefault="00105181" w:rsidP="00105181">
      <w:pPr>
        <w:pStyle w:val="Default"/>
        <w:jc w:val="both"/>
        <w:rPr>
          <w:rFonts w:ascii="Times New Roman" w:hAnsi="Times New Roman" w:cs="Times New Roman"/>
          <w:color w:val="auto"/>
          <w:lang w:val="es-MX"/>
        </w:rPr>
      </w:pPr>
      <w:r w:rsidRPr="00105181">
        <w:rPr>
          <w:rFonts w:ascii="Times New Roman" w:hAnsi="Times New Roman" w:cs="Times New Roman"/>
          <w:color w:val="auto"/>
          <w:lang w:val="es-MX"/>
        </w:rPr>
        <w:t xml:space="preserve"> </w:t>
      </w:r>
    </w:p>
    <w:p w:rsidR="007F6188" w:rsidRPr="007F6188" w:rsidRDefault="007F6188" w:rsidP="007F6188">
      <w:pPr>
        <w:jc w:val="both"/>
        <w:rPr>
          <w:lang w:val="es-MX"/>
        </w:rPr>
      </w:pPr>
      <w:r>
        <w:rPr>
          <w:lang w:val="es-MX"/>
        </w:rPr>
        <w:t>Respecto de</w:t>
      </w:r>
      <w:r w:rsidR="00105181" w:rsidRPr="00105181">
        <w:rPr>
          <w:lang w:val="es-MX"/>
        </w:rPr>
        <w:t xml:space="preserve"> la Zona del Euro, </w:t>
      </w:r>
      <w:r>
        <w:rPr>
          <w:lang w:val="es-MX"/>
        </w:rPr>
        <w:t xml:space="preserve">se esperaba un crecimiento en el orden del </w:t>
      </w:r>
      <w:r w:rsidR="00105181" w:rsidRPr="00105181">
        <w:rPr>
          <w:lang w:val="es-MX"/>
        </w:rPr>
        <w:t xml:space="preserve">1.9 </w:t>
      </w:r>
      <w:r>
        <w:rPr>
          <w:lang w:val="es-MX"/>
        </w:rPr>
        <w:t xml:space="preserve">% </w:t>
      </w:r>
      <w:r w:rsidR="00105181" w:rsidRPr="00105181">
        <w:rPr>
          <w:lang w:val="es-MX"/>
        </w:rPr>
        <w:t>para 2017 y 1.7</w:t>
      </w:r>
      <w:r>
        <w:rPr>
          <w:lang w:val="es-MX"/>
        </w:rPr>
        <w:t>%</w:t>
      </w:r>
      <w:r w:rsidR="00105181" w:rsidRPr="00105181">
        <w:rPr>
          <w:lang w:val="es-MX"/>
        </w:rPr>
        <w:t xml:space="preserve"> para 2018, principalmente por las tasas de crecimiento de países como Alemania (1.8% para 2017 y 1.6% para 2018); España (3.1% en 2017 y 2.4% en 2018); Francia (1.5% para 2017 y 1.7% para 2018); </w:t>
      </w:r>
      <w:r w:rsidR="00D301CE">
        <w:rPr>
          <w:lang w:val="es-MX"/>
        </w:rPr>
        <w:t>p</w:t>
      </w:r>
      <w:r>
        <w:rPr>
          <w:lang w:val="es-MX"/>
        </w:rPr>
        <w:t xml:space="preserve">ara el caso de México, </w:t>
      </w:r>
      <w:r w:rsidRPr="007F6188">
        <w:rPr>
          <w:lang w:val="es-MX"/>
        </w:rPr>
        <w:t>se estima</w:t>
      </w:r>
      <w:r>
        <w:rPr>
          <w:lang w:val="es-MX"/>
        </w:rPr>
        <w:t>ron</w:t>
      </w:r>
      <w:r w:rsidRPr="007F6188">
        <w:rPr>
          <w:lang w:val="es-MX"/>
        </w:rPr>
        <w:t xml:space="preserve"> tasas de crecimiento de 1.9 </w:t>
      </w:r>
      <w:r>
        <w:rPr>
          <w:lang w:val="es-MX"/>
        </w:rPr>
        <w:t>%</w:t>
      </w:r>
      <w:r w:rsidRPr="007F6188">
        <w:rPr>
          <w:lang w:val="es-MX"/>
        </w:rPr>
        <w:t xml:space="preserve"> y 2.0</w:t>
      </w:r>
      <w:r>
        <w:rPr>
          <w:lang w:val="es-MX"/>
        </w:rPr>
        <w:t>%</w:t>
      </w:r>
      <w:r w:rsidRPr="007F6188">
        <w:rPr>
          <w:lang w:val="es-MX"/>
        </w:rPr>
        <w:t>, para 2017 y 2018</w:t>
      </w:r>
      <w:r w:rsidR="00D301CE">
        <w:rPr>
          <w:lang w:val="es-MX"/>
        </w:rPr>
        <w:t>,</w:t>
      </w:r>
      <w:r w:rsidRPr="007F6188">
        <w:rPr>
          <w:lang w:val="es-MX"/>
        </w:rPr>
        <w:t xml:space="preserve"> respectivamente. </w:t>
      </w:r>
      <w:r>
        <w:rPr>
          <w:lang w:val="es-MX"/>
        </w:rPr>
        <w:t>Finalmente, p</w:t>
      </w:r>
      <w:r w:rsidRPr="007F6188">
        <w:rPr>
          <w:lang w:val="es-MX"/>
        </w:rPr>
        <w:t xml:space="preserve">ara el istmo centroamericano se </w:t>
      </w:r>
      <w:r>
        <w:rPr>
          <w:lang w:val="es-MX"/>
        </w:rPr>
        <w:t xml:space="preserve">estimaron </w:t>
      </w:r>
      <w:r w:rsidRPr="007F6188">
        <w:rPr>
          <w:lang w:val="es-MX"/>
        </w:rPr>
        <w:t>tasas de crecimiento del 3.8</w:t>
      </w:r>
      <w:r>
        <w:rPr>
          <w:lang w:val="es-MX"/>
        </w:rPr>
        <w:t>%</w:t>
      </w:r>
      <w:r w:rsidRPr="007F6188">
        <w:rPr>
          <w:lang w:val="es-MX"/>
        </w:rPr>
        <w:t xml:space="preserve"> para 2017 y 3.7</w:t>
      </w:r>
      <w:r>
        <w:rPr>
          <w:lang w:val="es-MX"/>
        </w:rPr>
        <w:t>%</w:t>
      </w:r>
      <w:r w:rsidRPr="007F6188">
        <w:rPr>
          <w:lang w:val="es-MX"/>
        </w:rPr>
        <w:t xml:space="preserve"> para 2018</w:t>
      </w:r>
      <w:r>
        <w:rPr>
          <w:lang w:val="es-MX"/>
        </w:rPr>
        <w:t>,</w:t>
      </w:r>
      <w:r w:rsidRPr="007F6188">
        <w:rPr>
          <w:lang w:val="es-MX"/>
        </w:rPr>
        <w:t xml:space="preserve"> motivado por la recuperación del mercado estadounidense, que se constituye </w:t>
      </w:r>
      <w:r w:rsidR="00D301CE">
        <w:rPr>
          <w:lang w:val="es-MX"/>
        </w:rPr>
        <w:t>en</w:t>
      </w:r>
      <w:r w:rsidRPr="007F6188">
        <w:rPr>
          <w:lang w:val="es-MX"/>
        </w:rPr>
        <w:t xml:space="preserve"> el principal socio comercial de la región </w:t>
      </w:r>
      <w:r>
        <w:rPr>
          <w:lang w:val="es-MX"/>
        </w:rPr>
        <w:t>y</w:t>
      </w:r>
      <w:r w:rsidRPr="007F6188">
        <w:rPr>
          <w:lang w:val="es-MX"/>
        </w:rPr>
        <w:t xml:space="preserve"> por la cantidad de remesas que envían los migrantes que trabajan en el país norteamericano, particularmente </w:t>
      </w:r>
      <w:r w:rsidR="00D301CE">
        <w:rPr>
          <w:lang w:val="es-MX"/>
        </w:rPr>
        <w:t>hacia</w:t>
      </w:r>
      <w:r w:rsidRPr="007F6188">
        <w:rPr>
          <w:lang w:val="es-MX"/>
        </w:rPr>
        <w:t xml:space="preserve"> Gua</w:t>
      </w:r>
      <w:r>
        <w:rPr>
          <w:lang w:val="es-MX"/>
        </w:rPr>
        <w:t>temala, El Salvador y Honduras</w:t>
      </w:r>
      <w:r w:rsidRPr="007F6188">
        <w:rPr>
          <w:lang w:val="es-MX"/>
        </w:rPr>
        <w:t xml:space="preserve"> </w:t>
      </w:r>
      <w:r>
        <w:rPr>
          <w:lang w:val="es-MX"/>
        </w:rPr>
        <w:t>(M</w:t>
      </w:r>
      <w:r w:rsidR="00D301CE">
        <w:rPr>
          <w:lang w:val="es-MX"/>
        </w:rPr>
        <w:t>INFIN</w:t>
      </w:r>
      <w:r>
        <w:rPr>
          <w:lang w:val="es-MX"/>
        </w:rPr>
        <w:t>, 2017. ibídem.).</w:t>
      </w:r>
    </w:p>
    <w:p w:rsidR="007F6188" w:rsidRPr="007F6188" w:rsidRDefault="007F6188" w:rsidP="007F6188">
      <w:pPr>
        <w:pStyle w:val="Default"/>
        <w:jc w:val="both"/>
        <w:rPr>
          <w:rFonts w:ascii="Times New Roman" w:hAnsi="Times New Roman" w:cs="Times New Roman"/>
          <w:color w:val="auto"/>
          <w:lang w:val="es-MX"/>
        </w:rPr>
      </w:pPr>
    </w:p>
    <w:p w:rsidR="007F6188" w:rsidRPr="00E635A3" w:rsidRDefault="007F6188" w:rsidP="007F6188">
      <w:pPr>
        <w:pStyle w:val="Prrafodelista"/>
        <w:ind w:left="360"/>
        <w:jc w:val="center"/>
        <w:rPr>
          <w:b/>
          <w:sz w:val="22"/>
          <w:szCs w:val="22"/>
          <w:lang w:val="es-MX"/>
        </w:rPr>
      </w:pPr>
      <w:r w:rsidRPr="00E635A3">
        <w:rPr>
          <w:b/>
          <w:sz w:val="22"/>
          <w:szCs w:val="22"/>
          <w:lang w:val="es-MX"/>
        </w:rPr>
        <w:t>Gráfica 2</w:t>
      </w:r>
    </w:p>
    <w:p w:rsidR="007F6188" w:rsidRPr="00E635A3" w:rsidRDefault="007F6188" w:rsidP="007F6188">
      <w:pPr>
        <w:pStyle w:val="Prrafodelista"/>
        <w:ind w:left="360"/>
        <w:jc w:val="center"/>
        <w:rPr>
          <w:b/>
          <w:sz w:val="22"/>
          <w:szCs w:val="22"/>
          <w:lang w:val="es-MX"/>
        </w:rPr>
      </w:pPr>
      <w:r w:rsidRPr="00E635A3">
        <w:rPr>
          <w:b/>
          <w:sz w:val="22"/>
          <w:szCs w:val="22"/>
          <w:lang w:val="es-MX"/>
        </w:rPr>
        <w:t xml:space="preserve">Crecimiento Económico </w:t>
      </w:r>
    </w:p>
    <w:p w:rsidR="007F6188" w:rsidRPr="00E635A3" w:rsidRDefault="007F6188" w:rsidP="007F6188">
      <w:pPr>
        <w:pStyle w:val="Prrafodelista"/>
        <w:ind w:left="360"/>
        <w:jc w:val="center"/>
        <w:rPr>
          <w:b/>
          <w:sz w:val="22"/>
          <w:szCs w:val="22"/>
          <w:lang w:val="es-MX"/>
        </w:rPr>
      </w:pPr>
      <w:r w:rsidRPr="00E635A3">
        <w:rPr>
          <w:b/>
          <w:sz w:val="22"/>
          <w:szCs w:val="22"/>
          <w:lang w:val="es-MX"/>
        </w:rPr>
        <w:t xml:space="preserve">Principales Socios Comerciales de Guatemala </w:t>
      </w:r>
    </w:p>
    <w:p w:rsidR="007F6188" w:rsidRPr="00E635A3" w:rsidRDefault="007F6188" w:rsidP="007F6188">
      <w:pPr>
        <w:pStyle w:val="Prrafodelista"/>
        <w:ind w:left="360"/>
        <w:jc w:val="center"/>
        <w:rPr>
          <w:b/>
          <w:sz w:val="22"/>
          <w:szCs w:val="22"/>
          <w:lang w:val="es-MX"/>
        </w:rPr>
      </w:pPr>
      <w:r w:rsidRPr="00E635A3">
        <w:rPr>
          <w:b/>
          <w:sz w:val="22"/>
          <w:szCs w:val="22"/>
          <w:lang w:val="es-MX"/>
        </w:rPr>
        <w:t xml:space="preserve">Período 2016-2018 </w:t>
      </w:r>
    </w:p>
    <w:p w:rsidR="00105181" w:rsidRPr="00E635A3" w:rsidRDefault="0025165B" w:rsidP="007F6188">
      <w:pPr>
        <w:pStyle w:val="Prrafodelista"/>
        <w:ind w:left="360"/>
        <w:jc w:val="center"/>
        <w:rPr>
          <w:b/>
          <w:sz w:val="22"/>
          <w:szCs w:val="22"/>
          <w:lang w:val="es-MX"/>
        </w:rPr>
      </w:pPr>
      <w:r>
        <w:rPr>
          <w:b/>
          <w:sz w:val="22"/>
          <w:szCs w:val="22"/>
          <w:lang w:val="es-MX"/>
        </w:rPr>
        <w:t>(</w:t>
      </w:r>
      <w:r w:rsidR="00E5644C">
        <w:rPr>
          <w:b/>
          <w:sz w:val="22"/>
          <w:szCs w:val="22"/>
          <w:lang w:val="es-MX"/>
        </w:rPr>
        <w:t>Cifras en Porcentajes</w:t>
      </w:r>
      <w:r>
        <w:rPr>
          <w:b/>
          <w:sz w:val="22"/>
          <w:szCs w:val="22"/>
          <w:lang w:val="es-MX"/>
        </w:rPr>
        <w:t>)</w:t>
      </w:r>
    </w:p>
    <w:p w:rsidR="007F6188" w:rsidRPr="00105181" w:rsidRDefault="007F6188" w:rsidP="007F6188">
      <w:pPr>
        <w:pStyle w:val="Prrafodelista"/>
        <w:ind w:left="360"/>
        <w:jc w:val="center"/>
        <w:rPr>
          <w:b/>
          <w:lang w:val="es-MX"/>
        </w:rPr>
      </w:pPr>
    </w:p>
    <w:p w:rsidR="00105181" w:rsidRDefault="007F6188" w:rsidP="007F6188">
      <w:pPr>
        <w:pStyle w:val="Prrafodelista"/>
        <w:ind w:left="360"/>
        <w:rPr>
          <w:lang w:val="es-MX"/>
        </w:rPr>
      </w:pPr>
      <w:r>
        <w:rPr>
          <w:noProof/>
          <w:lang w:val="es-GT" w:eastAsia="es-GT"/>
        </w:rPr>
        <w:drawing>
          <wp:inline distT="0" distB="0" distL="0" distR="0" wp14:anchorId="5918B075" wp14:editId="23366D65">
            <wp:extent cx="5612130" cy="3281045"/>
            <wp:effectExtent l="0" t="0" r="7620" b="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5165B" w:rsidRPr="0025165B" w:rsidRDefault="0025165B" w:rsidP="007F6188">
      <w:pPr>
        <w:jc w:val="both"/>
        <w:rPr>
          <w:sz w:val="10"/>
          <w:lang w:val="es-MX"/>
        </w:rPr>
      </w:pPr>
    </w:p>
    <w:p w:rsidR="007F6188" w:rsidRPr="00E021FF" w:rsidRDefault="0025165B" w:rsidP="007F6188">
      <w:pPr>
        <w:jc w:val="both"/>
        <w:rPr>
          <w:sz w:val="16"/>
          <w:lang w:val="es-MX"/>
        </w:rPr>
      </w:pPr>
      <w:r>
        <w:rPr>
          <w:sz w:val="16"/>
          <w:lang w:val="es-MX"/>
        </w:rPr>
        <w:t xml:space="preserve">         </w:t>
      </w:r>
      <w:r w:rsidR="007F6188" w:rsidRPr="00E021FF">
        <w:rPr>
          <w:sz w:val="16"/>
          <w:lang w:val="es-MX"/>
        </w:rPr>
        <w:t>Fuente: M</w:t>
      </w:r>
      <w:r w:rsidR="00D301CE">
        <w:rPr>
          <w:sz w:val="16"/>
          <w:lang w:val="es-MX"/>
        </w:rPr>
        <w:t>INFIN</w:t>
      </w:r>
      <w:r w:rsidR="007F6188" w:rsidRPr="00E021FF">
        <w:rPr>
          <w:sz w:val="16"/>
          <w:lang w:val="es-MX"/>
        </w:rPr>
        <w:t>, 2017. Exposición General del Motivos, Proyecto de Presupuesto 2018</w:t>
      </w:r>
      <w:r w:rsidR="00D301CE">
        <w:rPr>
          <w:sz w:val="16"/>
          <w:lang w:val="es-MX"/>
        </w:rPr>
        <w:t>.</w:t>
      </w:r>
    </w:p>
    <w:p w:rsidR="007F6188" w:rsidRDefault="007F6188" w:rsidP="005A6477">
      <w:pPr>
        <w:jc w:val="both"/>
        <w:rPr>
          <w:lang w:val="es-MX"/>
        </w:rPr>
      </w:pPr>
    </w:p>
    <w:p w:rsidR="00704846" w:rsidRDefault="00704846">
      <w:pPr>
        <w:rPr>
          <w:lang w:val="es-MX"/>
        </w:rPr>
      </w:pPr>
      <w:r>
        <w:rPr>
          <w:lang w:val="es-MX"/>
        </w:rPr>
        <w:br w:type="page"/>
      </w:r>
    </w:p>
    <w:p w:rsidR="005A6477" w:rsidRPr="007A11D0" w:rsidRDefault="005A6477" w:rsidP="005A6477">
      <w:pPr>
        <w:jc w:val="both"/>
        <w:rPr>
          <w:lang w:val="es-MX"/>
        </w:rPr>
      </w:pPr>
      <w:r w:rsidRPr="007A11D0">
        <w:rPr>
          <w:lang w:val="es-MX"/>
        </w:rPr>
        <w:lastRenderedPageBreak/>
        <w:t xml:space="preserve">En referencia a los precios internacionales del petróleo, </w:t>
      </w:r>
      <w:r w:rsidR="00907816">
        <w:rPr>
          <w:lang w:val="es-MX"/>
        </w:rPr>
        <w:t xml:space="preserve">a partir del </w:t>
      </w:r>
      <w:r w:rsidR="00907816" w:rsidRPr="007A11D0">
        <w:rPr>
          <w:lang w:val="es-MX"/>
        </w:rPr>
        <w:t>primer semestre de 2017</w:t>
      </w:r>
      <w:r w:rsidR="00907816">
        <w:rPr>
          <w:lang w:val="es-MX"/>
        </w:rPr>
        <w:t xml:space="preserve"> se muestra un incremento importante</w:t>
      </w:r>
      <w:r w:rsidRPr="007A11D0">
        <w:rPr>
          <w:lang w:val="es-MX"/>
        </w:rPr>
        <w:t xml:space="preserve">, ubicándose </w:t>
      </w:r>
      <w:r w:rsidR="00907816" w:rsidRPr="007A11D0">
        <w:rPr>
          <w:lang w:val="es-MX"/>
        </w:rPr>
        <w:t>durante</w:t>
      </w:r>
      <w:r w:rsidR="00907816">
        <w:rPr>
          <w:lang w:val="es-MX"/>
        </w:rPr>
        <w:t xml:space="preserve"> el primer semestre de 2018, con un precio por barril para el</w:t>
      </w:r>
      <w:r w:rsidRPr="007A11D0">
        <w:rPr>
          <w:lang w:val="es-MX"/>
        </w:rPr>
        <w:t xml:space="preserve"> WTI-NY </w:t>
      </w:r>
      <w:r>
        <w:rPr>
          <w:lang w:val="es-MX"/>
        </w:rPr>
        <w:t>entre US</w:t>
      </w:r>
      <w:r w:rsidR="00907816">
        <w:rPr>
          <w:lang w:val="es-MX"/>
        </w:rPr>
        <w:t>$58.0</w:t>
      </w:r>
      <w:r>
        <w:rPr>
          <w:lang w:val="es-MX"/>
        </w:rPr>
        <w:t xml:space="preserve"> </w:t>
      </w:r>
      <w:r w:rsidR="00D301CE">
        <w:rPr>
          <w:lang w:val="es-MX"/>
        </w:rPr>
        <w:t xml:space="preserve"> </w:t>
      </w:r>
      <w:r>
        <w:rPr>
          <w:lang w:val="es-MX"/>
        </w:rPr>
        <w:t>y</w:t>
      </w:r>
      <w:r w:rsidR="00D301CE">
        <w:rPr>
          <w:lang w:val="es-MX"/>
        </w:rPr>
        <w:t xml:space="preserve"> </w:t>
      </w:r>
      <w:r w:rsidRPr="007A11D0">
        <w:rPr>
          <w:lang w:val="es-MX"/>
        </w:rPr>
        <w:t xml:space="preserve"> US</w:t>
      </w:r>
      <w:r w:rsidR="00907816" w:rsidRPr="007A11D0">
        <w:rPr>
          <w:lang w:val="es-MX"/>
        </w:rPr>
        <w:t>$</w:t>
      </w:r>
      <w:r w:rsidR="00704846">
        <w:rPr>
          <w:lang w:val="es-MX"/>
        </w:rPr>
        <w:t>67.9</w:t>
      </w:r>
      <w:r w:rsidRPr="007A11D0">
        <w:rPr>
          <w:lang w:val="es-MX"/>
        </w:rPr>
        <w:t xml:space="preserve"> mientras que el Brent se cotizó en</w:t>
      </w:r>
      <w:r>
        <w:rPr>
          <w:lang w:val="es-MX"/>
        </w:rPr>
        <w:t>tre</w:t>
      </w:r>
      <w:r w:rsidRPr="007A11D0">
        <w:rPr>
          <w:lang w:val="es-MX"/>
        </w:rPr>
        <w:t xml:space="preserve"> </w:t>
      </w:r>
      <w:r>
        <w:rPr>
          <w:lang w:val="es-MX"/>
        </w:rPr>
        <w:t>US</w:t>
      </w:r>
      <w:r w:rsidR="00907816">
        <w:rPr>
          <w:lang w:val="es-MX"/>
        </w:rPr>
        <w:t>$</w:t>
      </w:r>
      <w:r>
        <w:rPr>
          <w:lang w:val="es-MX"/>
        </w:rPr>
        <w:t>4</w:t>
      </w:r>
      <w:r w:rsidR="00907816">
        <w:rPr>
          <w:lang w:val="es-MX"/>
        </w:rPr>
        <w:t>6</w:t>
      </w:r>
      <w:r>
        <w:rPr>
          <w:lang w:val="es-MX"/>
        </w:rPr>
        <w:t>.0</w:t>
      </w:r>
      <w:r w:rsidR="00D301CE">
        <w:rPr>
          <w:lang w:val="es-MX"/>
        </w:rPr>
        <w:t xml:space="preserve"> </w:t>
      </w:r>
      <w:r>
        <w:rPr>
          <w:lang w:val="es-MX"/>
        </w:rPr>
        <w:t xml:space="preserve"> y</w:t>
      </w:r>
      <w:r w:rsidR="00D301CE">
        <w:rPr>
          <w:lang w:val="es-MX"/>
        </w:rPr>
        <w:t xml:space="preserve"> </w:t>
      </w:r>
      <w:r w:rsidRPr="007A11D0">
        <w:rPr>
          <w:lang w:val="es-MX"/>
        </w:rPr>
        <w:t xml:space="preserve"> US</w:t>
      </w:r>
      <w:r w:rsidR="00907816" w:rsidRPr="007A11D0">
        <w:rPr>
          <w:lang w:val="es-MX"/>
        </w:rPr>
        <w:t>$</w:t>
      </w:r>
      <w:r w:rsidR="00907816">
        <w:rPr>
          <w:lang w:val="es-MX"/>
        </w:rPr>
        <w:t>74.</w:t>
      </w:r>
      <w:r w:rsidR="00704846">
        <w:rPr>
          <w:lang w:val="es-MX"/>
        </w:rPr>
        <w:t>4</w:t>
      </w:r>
      <w:r w:rsidR="00907816">
        <w:rPr>
          <w:lang w:val="es-MX"/>
        </w:rPr>
        <w:t xml:space="preserve"> durante el mismo período.</w:t>
      </w:r>
    </w:p>
    <w:p w:rsidR="005A6477" w:rsidRPr="00907816" w:rsidRDefault="005A6477" w:rsidP="005A6477">
      <w:pPr>
        <w:jc w:val="center"/>
        <w:rPr>
          <w:b/>
          <w:bCs/>
          <w:lang w:val="es-MX"/>
        </w:rPr>
      </w:pPr>
    </w:p>
    <w:p w:rsidR="005A6477" w:rsidRPr="0088577C" w:rsidRDefault="005A6477" w:rsidP="0088577C">
      <w:pPr>
        <w:pStyle w:val="Prrafodelista"/>
        <w:ind w:left="360"/>
        <w:jc w:val="center"/>
        <w:rPr>
          <w:b/>
          <w:sz w:val="22"/>
          <w:lang w:val="es-MX"/>
        </w:rPr>
      </w:pPr>
      <w:r w:rsidRPr="0088577C">
        <w:rPr>
          <w:b/>
          <w:sz w:val="22"/>
          <w:lang w:val="es-MX"/>
        </w:rPr>
        <w:t xml:space="preserve">Gráfica </w:t>
      </w:r>
      <w:r w:rsidR="008E70F5">
        <w:rPr>
          <w:b/>
          <w:sz w:val="22"/>
          <w:lang w:val="es-MX"/>
        </w:rPr>
        <w:t>3</w:t>
      </w:r>
    </w:p>
    <w:p w:rsidR="005A6477" w:rsidRPr="0088577C" w:rsidRDefault="005A6477" w:rsidP="0088577C">
      <w:pPr>
        <w:pStyle w:val="Prrafodelista"/>
        <w:ind w:left="360"/>
        <w:jc w:val="center"/>
        <w:rPr>
          <w:b/>
          <w:sz w:val="22"/>
          <w:lang w:val="es-MX"/>
        </w:rPr>
      </w:pPr>
      <w:r w:rsidRPr="0088577C">
        <w:rPr>
          <w:b/>
          <w:sz w:val="22"/>
          <w:lang w:val="es-MX"/>
        </w:rPr>
        <w:t xml:space="preserve">Precio del </w:t>
      </w:r>
      <w:r w:rsidR="00E6017A">
        <w:rPr>
          <w:b/>
          <w:sz w:val="22"/>
          <w:lang w:val="es-MX"/>
        </w:rPr>
        <w:t>P</w:t>
      </w:r>
      <w:r w:rsidRPr="0088577C">
        <w:rPr>
          <w:b/>
          <w:sz w:val="22"/>
          <w:lang w:val="es-MX"/>
        </w:rPr>
        <w:t>etróleo WTI-NY y Brent</w:t>
      </w:r>
    </w:p>
    <w:p w:rsidR="005A6477" w:rsidRPr="0088577C" w:rsidRDefault="005A6477" w:rsidP="0088577C">
      <w:pPr>
        <w:pStyle w:val="Prrafodelista"/>
        <w:ind w:left="360"/>
        <w:jc w:val="center"/>
        <w:rPr>
          <w:b/>
          <w:sz w:val="22"/>
          <w:lang w:val="es-MX"/>
        </w:rPr>
      </w:pPr>
      <w:r w:rsidRPr="0088577C">
        <w:rPr>
          <w:b/>
          <w:sz w:val="22"/>
          <w:lang w:val="es-MX"/>
        </w:rPr>
        <w:t>US$ por Barril</w:t>
      </w:r>
    </w:p>
    <w:p w:rsidR="005A6477" w:rsidRDefault="00704846" w:rsidP="005A6477">
      <w:pPr>
        <w:jc w:val="center"/>
        <w:rPr>
          <w:highlight w:val="yellow"/>
          <w:lang w:val="es-MX"/>
        </w:rPr>
      </w:pPr>
      <w:r>
        <w:rPr>
          <w:noProof/>
          <w:lang w:val="es-GT" w:eastAsia="es-GT"/>
        </w:rPr>
        <w:drawing>
          <wp:inline distT="0" distB="0" distL="0" distR="0" wp14:anchorId="7A0F7CF3" wp14:editId="3F397E7F">
            <wp:extent cx="5520519" cy="3330054"/>
            <wp:effectExtent l="0" t="0" r="4445" b="381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A6477" w:rsidRPr="00E021FF" w:rsidRDefault="0025165B" w:rsidP="005A6477">
      <w:pPr>
        <w:jc w:val="both"/>
        <w:rPr>
          <w:sz w:val="16"/>
          <w:lang w:val="es-MX"/>
        </w:rPr>
      </w:pPr>
      <w:r>
        <w:rPr>
          <w:sz w:val="16"/>
          <w:lang w:val="es-MX"/>
        </w:rPr>
        <w:t xml:space="preserve">        </w:t>
      </w:r>
      <w:r w:rsidR="005A6477" w:rsidRPr="00E021FF">
        <w:rPr>
          <w:sz w:val="16"/>
          <w:lang w:val="es-MX"/>
        </w:rPr>
        <w:t xml:space="preserve">Fuente: </w:t>
      </w:r>
      <w:r w:rsidR="00DA6F65" w:rsidRPr="00E021FF">
        <w:rPr>
          <w:sz w:val="16"/>
          <w:lang w:val="es-MX"/>
        </w:rPr>
        <w:t xml:space="preserve">Secretaría del Consejo Monetario Centroamericano </w:t>
      </w:r>
      <w:r w:rsidR="005A6477" w:rsidRPr="00E021FF">
        <w:rPr>
          <w:sz w:val="16"/>
          <w:lang w:val="es-MX"/>
        </w:rPr>
        <w:t>SEMCA</w:t>
      </w:r>
      <w:r w:rsidR="00E635A3" w:rsidRPr="00E021FF">
        <w:rPr>
          <w:sz w:val="16"/>
          <w:lang w:val="es-MX"/>
        </w:rPr>
        <w:t>, 2018.</w:t>
      </w:r>
    </w:p>
    <w:p w:rsidR="005A6477" w:rsidRDefault="005A6477" w:rsidP="005A6477">
      <w:pPr>
        <w:jc w:val="both"/>
        <w:rPr>
          <w:lang w:val="es-MX"/>
        </w:rPr>
      </w:pPr>
    </w:p>
    <w:p w:rsidR="00844079" w:rsidRDefault="00844079" w:rsidP="00844079">
      <w:pPr>
        <w:jc w:val="both"/>
        <w:rPr>
          <w:lang w:val="es-MX"/>
        </w:rPr>
      </w:pPr>
      <w:r w:rsidRPr="00844079">
        <w:rPr>
          <w:lang w:val="es-MX"/>
        </w:rPr>
        <w:t xml:space="preserve">En los últimos tres años el mercado del petróleo ha experimentado variaciones sustanciales en sus dinámicas que han generado grandes fluctuaciones en el precio del crudo. A mediados de 2014, el precio entró en el mayor ciclo </w:t>
      </w:r>
      <w:r w:rsidR="008565D0">
        <w:rPr>
          <w:lang w:val="es-MX"/>
        </w:rPr>
        <w:t xml:space="preserve">a la baja </w:t>
      </w:r>
      <w:r w:rsidRPr="00844079">
        <w:rPr>
          <w:lang w:val="es-MX"/>
        </w:rPr>
        <w:t xml:space="preserve">de las últimas décadas, como consecuencia de un aumento significativo de la producción de </w:t>
      </w:r>
      <w:r w:rsidR="0077729F">
        <w:rPr>
          <w:lang w:val="es-MX"/>
        </w:rPr>
        <w:t>los Estados Unidos de América</w:t>
      </w:r>
      <w:r w:rsidRPr="00844079">
        <w:rPr>
          <w:lang w:val="es-MX"/>
        </w:rPr>
        <w:t xml:space="preserve">, pero sobre todo por la falta de acuerdo entre los miembros de la Organización de Países Exportadores de </w:t>
      </w:r>
      <w:r>
        <w:rPr>
          <w:lang w:val="es-MX"/>
        </w:rPr>
        <w:t>Crudo</w:t>
      </w:r>
      <w:r w:rsidRPr="00844079">
        <w:rPr>
          <w:lang w:val="es-MX"/>
        </w:rPr>
        <w:t xml:space="preserve"> (OPE</w:t>
      </w:r>
      <w:r>
        <w:rPr>
          <w:lang w:val="es-MX"/>
        </w:rPr>
        <w:t>C</w:t>
      </w:r>
      <w:r w:rsidRPr="00844079">
        <w:rPr>
          <w:lang w:val="es-MX"/>
        </w:rPr>
        <w:t>) para reducir</w:t>
      </w:r>
      <w:r w:rsidR="001511EB">
        <w:rPr>
          <w:lang w:val="es-MX"/>
        </w:rPr>
        <w:t xml:space="preserve"> la</w:t>
      </w:r>
      <w:r w:rsidRPr="00844079">
        <w:rPr>
          <w:lang w:val="es-MX"/>
        </w:rPr>
        <w:t xml:space="preserve"> producción y equilibrar el mercado a finales de ese año. </w:t>
      </w:r>
    </w:p>
    <w:p w:rsidR="00844079" w:rsidRDefault="00844079" w:rsidP="00844079">
      <w:pPr>
        <w:jc w:val="both"/>
        <w:rPr>
          <w:lang w:val="es-MX"/>
        </w:rPr>
      </w:pPr>
    </w:p>
    <w:p w:rsidR="005A6477" w:rsidRDefault="00844079" w:rsidP="00844079">
      <w:pPr>
        <w:jc w:val="both"/>
        <w:rPr>
          <w:lang w:val="es-MX"/>
        </w:rPr>
      </w:pPr>
      <w:r w:rsidRPr="00844079">
        <w:rPr>
          <w:lang w:val="es-MX"/>
        </w:rPr>
        <w:t xml:space="preserve">A principios de 2016 el </w:t>
      </w:r>
      <w:r>
        <w:rPr>
          <w:lang w:val="es-MX"/>
        </w:rPr>
        <w:t>precio del crudo</w:t>
      </w:r>
      <w:r w:rsidRPr="00844079">
        <w:rPr>
          <w:lang w:val="es-MX"/>
        </w:rPr>
        <w:t xml:space="preserve"> había perdido un 75</w:t>
      </w:r>
      <w:r w:rsidR="001511EB">
        <w:rPr>
          <w:lang w:val="es-MX"/>
        </w:rPr>
        <w:t>.0</w:t>
      </w:r>
      <w:r w:rsidRPr="00844079">
        <w:rPr>
          <w:lang w:val="es-MX"/>
        </w:rPr>
        <w:t xml:space="preserve">% de su valor desde el comienzo del ciclo bajista, hasta situarse alrededor de los </w:t>
      </w:r>
      <w:r w:rsidR="001511EB">
        <w:rPr>
          <w:lang w:val="es-MX"/>
        </w:rPr>
        <w:t>US$</w:t>
      </w:r>
      <w:r>
        <w:rPr>
          <w:lang w:val="es-MX"/>
        </w:rPr>
        <w:t>30</w:t>
      </w:r>
      <w:r w:rsidR="001511EB">
        <w:rPr>
          <w:lang w:val="es-MX"/>
        </w:rPr>
        <w:t>.0</w:t>
      </w:r>
      <w:r>
        <w:rPr>
          <w:lang w:val="es-MX"/>
        </w:rPr>
        <w:t xml:space="preserve"> por barril. </w:t>
      </w:r>
      <w:r w:rsidRPr="00844079">
        <w:rPr>
          <w:lang w:val="es-MX"/>
        </w:rPr>
        <w:t>Finalmente, desde mediados de 2017 las dinámicas de oferta y demanda han llevado al reequilibrio del balance. El precio desde entonces ha subido un 50</w:t>
      </w:r>
      <w:r w:rsidR="001511EB">
        <w:rPr>
          <w:lang w:val="es-MX"/>
        </w:rPr>
        <w:t>.0</w:t>
      </w:r>
      <w:r w:rsidRPr="00844079">
        <w:rPr>
          <w:lang w:val="es-MX"/>
        </w:rPr>
        <w:t xml:space="preserve">%, situándose en abril de 2018 en el entorno de los </w:t>
      </w:r>
      <w:r w:rsidR="001511EB">
        <w:rPr>
          <w:lang w:val="es-MX"/>
        </w:rPr>
        <w:t>US$</w:t>
      </w:r>
      <w:r w:rsidRPr="00844079">
        <w:rPr>
          <w:lang w:val="es-MX"/>
        </w:rPr>
        <w:t>7</w:t>
      </w:r>
      <w:r>
        <w:rPr>
          <w:lang w:val="es-MX"/>
        </w:rPr>
        <w:t>4</w:t>
      </w:r>
      <w:r w:rsidR="001511EB">
        <w:rPr>
          <w:lang w:val="es-MX"/>
        </w:rPr>
        <w:t>.0</w:t>
      </w:r>
      <w:r w:rsidRPr="00844079">
        <w:rPr>
          <w:lang w:val="es-MX"/>
        </w:rPr>
        <w:t xml:space="preserve"> </w:t>
      </w:r>
      <w:r>
        <w:rPr>
          <w:lang w:val="es-MX"/>
        </w:rPr>
        <w:t>por barril</w:t>
      </w:r>
      <w:r w:rsidRPr="00844079">
        <w:rPr>
          <w:lang w:val="es-MX"/>
        </w:rPr>
        <w:t xml:space="preserve">. Esos niveles han sorprendido a la mayoría de los analistas ya que el consenso apuntaba </w:t>
      </w:r>
      <w:r w:rsidR="00920AFE">
        <w:rPr>
          <w:lang w:val="es-MX"/>
        </w:rPr>
        <w:t>entre</w:t>
      </w:r>
      <w:r w:rsidRPr="00844079">
        <w:rPr>
          <w:lang w:val="es-MX"/>
        </w:rPr>
        <w:t xml:space="preserve"> </w:t>
      </w:r>
      <w:r w:rsidR="00920AFE">
        <w:rPr>
          <w:lang w:val="es-MX"/>
        </w:rPr>
        <w:t>US$</w:t>
      </w:r>
      <w:r w:rsidRPr="00844079">
        <w:rPr>
          <w:lang w:val="es-MX"/>
        </w:rPr>
        <w:t>60</w:t>
      </w:r>
      <w:r w:rsidR="00920AFE">
        <w:rPr>
          <w:lang w:val="es-MX"/>
        </w:rPr>
        <w:t>.0 y US$</w:t>
      </w:r>
      <w:r w:rsidRPr="00844079">
        <w:rPr>
          <w:lang w:val="es-MX"/>
        </w:rPr>
        <w:t>65</w:t>
      </w:r>
      <w:r w:rsidR="00920AFE">
        <w:rPr>
          <w:lang w:val="es-MX"/>
        </w:rPr>
        <w:t>.0</w:t>
      </w:r>
      <w:r w:rsidRPr="00844079">
        <w:rPr>
          <w:lang w:val="es-MX"/>
        </w:rPr>
        <w:t xml:space="preserve"> en el primer trimestre de 2018. La recuperación de los precios ha venido de la mano de un contexto económico favorable y, como se ha mencionado, de un mercado más equilibr</w:t>
      </w:r>
      <w:r w:rsidR="00920AFE">
        <w:rPr>
          <w:lang w:val="es-MX"/>
        </w:rPr>
        <w:t>ado</w:t>
      </w:r>
      <w:r w:rsidRPr="00844079">
        <w:rPr>
          <w:lang w:val="es-MX"/>
        </w:rPr>
        <w:t xml:space="preserve"> que en años anteriores consecuencia de las dinámicas de la demanda, pero </w:t>
      </w:r>
      <w:r w:rsidR="004B7C4C">
        <w:rPr>
          <w:lang w:val="es-MX"/>
        </w:rPr>
        <w:t>sobre todo de las de la oferta (Merino, Antonio. “</w:t>
      </w:r>
      <w:r w:rsidR="004B7C4C">
        <w:t>El mercado del petróleo: evolución reciente y perspectivas a corto plazo”</w:t>
      </w:r>
      <w:r w:rsidR="00920AFE">
        <w:t>,</w:t>
      </w:r>
      <w:r w:rsidR="004B7C4C">
        <w:t xml:space="preserve"> Cuadernos de Energía, mayo 2018</w:t>
      </w:r>
      <w:r w:rsidR="004B7C4C">
        <w:rPr>
          <w:lang w:val="es-MX"/>
        </w:rPr>
        <w:t>)</w:t>
      </w:r>
      <w:r w:rsidR="00920AFE">
        <w:rPr>
          <w:lang w:val="es-MX"/>
        </w:rPr>
        <w:t>.</w:t>
      </w:r>
      <w:r w:rsidR="005A6477">
        <w:rPr>
          <w:lang w:val="es-MX"/>
        </w:rPr>
        <w:br w:type="page"/>
      </w:r>
    </w:p>
    <w:p w:rsidR="005A6477" w:rsidRDefault="005A6477" w:rsidP="00942106">
      <w:pPr>
        <w:pStyle w:val="Ttulo2"/>
        <w:numPr>
          <w:ilvl w:val="0"/>
          <w:numId w:val="3"/>
        </w:numPr>
        <w:ind w:left="426"/>
        <w:jc w:val="both"/>
        <w:rPr>
          <w:rFonts w:ascii="Times New Roman" w:hAnsi="Times New Roman"/>
          <w:color w:val="auto"/>
          <w:sz w:val="24"/>
          <w:szCs w:val="24"/>
          <w:lang w:val="es-MX"/>
        </w:rPr>
      </w:pPr>
      <w:bookmarkStart w:id="6" w:name="_Toc441140275"/>
      <w:bookmarkStart w:id="7" w:name="_Toc525824402"/>
      <w:r w:rsidRPr="000767CE">
        <w:rPr>
          <w:rFonts w:ascii="Times New Roman" w:hAnsi="Times New Roman"/>
          <w:color w:val="auto"/>
          <w:sz w:val="24"/>
          <w:szCs w:val="24"/>
          <w:lang w:val="es-MX"/>
        </w:rPr>
        <w:lastRenderedPageBreak/>
        <w:t xml:space="preserve">Economía </w:t>
      </w:r>
      <w:r>
        <w:rPr>
          <w:rFonts w:ascii="Times New Roman" w:hAnsi="Times New Roman"/>
          <w:color w:val="auto"/>
          <w:sz w:val="24"/>
          <w:szCs w:val="24"/>
          <w:lang w:val="es-MX"/>
        </w:rPr>
        <w:t>N</w:t>
      </w:r>
      <w:r w:rsidRPr="000767CE">
        <w:rPr>
          <w:rFonts w:ascii="Times New Roman" w:hAnsi="Times New Roman"/>
          <w:color w:val="auto"/>
          <w:sz w:val="24"/>
          <w:szCs w:val="24"/>
          <w:lang w:val="es-MX"/>
        </w:rPr>
        <w:t>acional</w:t>
      </w:r>
      <w:bookmarkEnd w:id="6"/>
      <w:bookmarkEnd w:id="7"/>
    </w:p>
    <w:p w:rsidR="005A6477" w:rsidRPr="000767CE" w:rsidRDefault="005A6477" w:rsidP="005A6477">
      <w:pPr>
        <w:rPr>
          <w:sz w:val="6"/>
          <w:lang w:val="es-MX" w:eastAsia="x-none"/>
        </w:rPr>
      </w:pPr>
    </w:p>
    <w:p w:rsidR="005A6477" w:rsidRDefault="005A6477" w:rsidP="005A6477">
      <w:pPr>
        <w:pStyle w:val="Default"/>
        <w:jc w:val="both"/>
        <w:rPr>
          <w:rFonts w:ascii="Times New Roman" w:hAnsi="Times New Roman" w:cs="Times New Roman"/>
        </w:rPr>
      </w:pPr>
    </w:p>
    <w:p w:rsidR="005A6477" w:rsidRDefault="005A6477" w:rsidP="005A6477">
      <w:pPr>
        <w:pStyle w:val="Default"/>
        <w:jc w:val="both"/>
        <w:rPr>
          <w:rFonts w:ascii="Times New Roman" w:hAnsi="Times New Roman" w:cs="Times New Roman"/>
        </w:rPr>
      </w:pPr>
      <w:r w:rsidRPr="002B59D6">
        <w:rPr>
          <w:rFonts w:ascii="Times New Roman" w:hAnsi="Times New Roman" w:cs="Times New Roman"/>
        </w:rPr>
        <w:t>La actividad económica en términos reales mostr</w:t>
      </w:r>
      <w:r>
        <w:rPr>
          <w:rFonts w:ascii="Times New Roman" w:hAnsi="Times New Roman" w:cs="Times New Roman"/>
        </w:rPr>
        <w:t xml:space="preserve">ó </w:t>
      </w:r>
      <w:r w:rsidR="005A5F6A">
        <w:rPr>
          <w:rFonts w:ascii="Times New Roman" w:hAnsi="Times New Roman" w:cs="Times New Roman"/>
        </w:rPr>
        <w:t>para 2016 un crecimiento de 3.1</w:t>
      </w:r>
      <w:r w:rsidR="008565D0">
        <w:rPr>
          <w:rFonts w:ascii="Times New Roman" w:hAnsi="Times New Roman" w:cs="Times New Roman"/>
        </w:rPr>
        <w:t>%</w:t>
      </w:r>
      <w:r w:rsidR="006A013F">
        <w:rPr>
          <w:rFonts w:ascii="Times New Roman" w:hAnsi="Times New Roman" w:cs="Times New Roman"/>
        </w:rPr>
        <w:t>.</w:t>
      </w:r>
      <w:r>
        <w:rPr>
          <w:rFonts w:ascii="Times New Roman" w:hAnsi="Times New Roman" w:cs="Times New Roman"/>
        </w:rPr>
        <w:t xml:space="preserve"> </w:t>
      </w:r>
      <w:r w:rsidR="00A10761">
        <w:rPr>
          <w:rFonts w:ascii="Times New Roman" w:hAnsi="Times New Roman" w:cs="Times New Roman"/>
        </w:rPr>
        <w:t xml:space="preserve">De </w:t>
      </w:r>
      <w:r>
        <w:rPr>
          <w:rFonts w:ascii="Times New Roman" w:hAnsi="Times New Roman" w:cs="Times New Roman"/>
        </w:rPr>
        <w:t xml:space="preserve">acuerdo con el </w:t>
      </w:r>
      <w:r w:rsidR="00CC1383">
        <w:rPr>
          <w:rFonts w:ascii="Times New Roman" w:hAnsi="Times New Roman" w:cs="Times New Roman"/>
        </w:rPr>
        <w:t>Ban</w:t>
      </w:r>
      <w:r w:rsidR="006A013F">
        <w:rPr>
          <w:rFonts w:ascii="Times New Roman" w:hAnsi="Times New Roman" w:cs="Times New Roman"/>
        </w:rPr>
        <w:t>co de Guatemala,</w:t>
      </w:r>
      <w:r>
        <w:rPr>
          <w:rFonts w:ascii="Times New Roman" w:hAnsi="Times New Roman" w:cs="Times New Roman"/>
        </w:rPr>
        <w:t xml:space="preserve"> lo anterior se debe</w:t>
      </w:r>
      <w:r w:rsidRPr="00526C78">
        <w:rPr>
          <w:rFonts w:ascii="Times New Roman" w:hAnsi="Times New Roman" w:cs="Times New Roman"/>
        </w:rPr>
        <w:t xml:space="preserve"> entre otros factores, a la moderación en el comportamiento de la demanda externa, resultado de la desaceleración en el ritmo de</w:t>
      </w:r>
      <w:r w:rsidR="006A013F">
        <w:rPr>
          <w:rFonts w:ascii="Times New Roman" w:hAnsi="Times New Roman" w:cs="Times New Roman"/>
        </w:rPr>
        <w:t>l</w:t>
      </w:r>
      <w:r w:rsidRPr="00526C78">
        <w:rPr>
          <w:rFonts w:ascii="Times New Roman" w:hAnsi="Times New Roman" w:cs="Times New Roman"/>
        </w:rPr>
        <w:t xml:space="preserve"> crecimiento de los principales socios comerciales, particularmente de Estados Unidos de América. Por su parte, el comportamiento de la demanda interna fue positivo, aunque menos dinámico que el año anterior, influenciado por la contracción en el consumo del </w:t>
      </w:r>
      <w:r w:rsidR="006A013F">
        <w:rPr>
          <w:rFonts w:ascii="Times New Roman" w:hAnsi="Times New Roman" w:cs="Times New Roman"/>
        </w:rPr>
        <w:t>G</w:t>
      </w:r>
      <w:r w:rsidRPr="00526C78">
        <w:rPr>
          <w:rFonts w:ascii="Times New Roman" w:hAnsi="Times New Roman" w:cs="Times New Roman"/>
        </w:rPr>
        <w:t xml:space="preserve">obierno </w:t>
      </w:r>
      <w:r w:rsidR="006A013F">
        <w:rPr>
          <w:rFonts w:ascii="Times New Roman" w:hAnsi="Times New Roman" w:cs="Times New Roman"/>
        </w:rPr>
        <w:t>G</w:t>
      </w:r>
      <w:r w:rsidRPr="00526C78">
        <w:rPr>
          <w:rFonts w:ascii="Times New Roman" w:hAnsi="Times New Roman" w:cs="Times New Roman"/>
        </w:rPr>
        <w:t xml:space="preserve">eneral, así como por la desaceleración del consumo privado y de la inversión. No obstante, </w:t>
      </w:r>
      <w:r w:rsidR="005A5F6A">
        <w:rPr>
          <w:rFonts w:ascii="Times New Roman" w:hAnsi="Times New Roman" w:cs="Times New Roman"/>
        </w:rPr>
        <w:t>se ha mantenido</w:t>
      </w:r>
      <w:r w:rsidRPr="00526C78">
        <w:rPr>
          <w:rFonts w:ascii="Times New Roman" w:hAnsi="Times New Roman" w:cs="Times New Roman"/>
        </w:rPr>
        <w:t xml:space="preserve"> la estabilidad macroeconómica, </w:t>
      </w:r>
      <w:r w:rsidR="005A5F6A">
        <w:rPr>
          <w:rFonts w:ascii="Times New Roman" w:hAnsi="Times New Roman" w:cs="Times New Roman"/>
        </w:rPr>
        <w:t>producto</w:t>
      </w:r>
      <w:r w:rsidRPr="00526C78">
        <w:rPr>
          <w:rFonts w:ascii="Times New Roman" w:hAnsi="Times New Roman" w:cs="Times New Roman"/>
        </w:rPr>
        <w:t xml:space="preserve"> de la aplicación de </w:t>
      </w:r>
      <w:r w:rsidR="005E2B4B">
        <w:rPr>
          <w:rFonts w:ascii="Times New Roman" w:hAnsi="Times New Roman" w:cs="Times New Roman"/>
        </w:rPr>
        <w:t xml:space="preserve">una política económica </w:t>
      </w:r>
      <w:r w:rsidRPr="00526C78">
        <w:rPr>
          <w:rFonts w:ascii="Times New Roman" w:hAnsi="Times New Roman" w:cs="Times New Roman"/>
        </w:rPr>
        <w:t xml:space="preserve">disciplinada, </w:t>
      </w:r>
      <w:r>
        <w:rPr>
          <w:rFonts w:ascii="Times New Roman" w:hAnsi="Times New Roman" w:cs="Times New Roman"/>
        </w:rPr>
        <w:t>(</w:t>
      </w:r>
      <w:r w:rsidR="00CC1383">
        <w:rPr>
          <w:rFonts w:ascii="Times New Roman" w:hAnsi="Times New Roman" w:cs="Times New Roman"/>
        </w:rPr>
        <w:t>B</w:t>
      </w:r>
      <w:r w:rsidR="006A013F">
        <w:rPr>
          <w:rFonts w:ascii="Times New Roman" w:hAnsi="Times New Roman" w:cs="Times New Roman"/>
        </w:rPr>
        <w:t>ANGUAT</w:t>
      </w:r>
      <w:r>
        <w:rPr>
          <w:rFonts w:ascii="Times New Roman" w:hAnsi="Times New Roman" w:cs="Times New Roman"/>
        </w:rPr>
        <w:t xml:space="preserve">, Estudio de la </w:t>
      </w:r>
      <w:r w:rsidR="006A013F">
        <w:rPr>
          <w:rFonts w:ascii="Times New Roman" w:hAnsi="Times New Roman" w:cs="Times New Roman"/>
        </w:rPr>
        <w:t>E</w:t>
      </w:r>
      <w:r>
        <w:rPr>
          <w:rFonts w:ascii="Times New Roman" w:hAnsi="Times New Roman" w:cs="Times New Roman"/>
        </w:rPr>
        <w:t xml:space="preserve">conomía </w:t>
      </w:r>
      <w:r w:rsidR="006A013F">
        <w:rPr>
          <w:rFonts w:ascii="Times New Roman" w:hAnsi="Times New Roman" w:cs="Times New Roman"/>
        </w:rPr>
        <w:t>N</w:t>
      </w:r>
      <w:r>
        <w:rPr>
          <w:rFonts w:ascii="Times New Roman" w:hAnsi="Times New Roman" w:cs="Times New Roman"/>
        </w:rPr>
        <w:t>acional 2016).</w:t>
      </w:r>
      <w:r w:rsidR="005E2B4B">
        <w:rPr>
          <w:rFonts w:ascii="Times New Roman" w:hAnsi="Times New Roman" w:cs="Times New Roman"/>
        </w:rPr>
        <w:t xml:space="preserve"> Con base en el escenario descrito, el Banco de Guatemala estimó para el 2017 un crecimiento promedio de 3.4</w:t>
      </w:r>
      <w:r w:rsidR="00355A7A">
        <w:rPr>
          <w:rFonts w:ascii="Times New Roman" w:hAnsi="Times New Roman" w:cs="Times New Roman"/>
        </w:rPr>
        <w:t>%,</w:t>
      </w:r>
      <w:r w:rsidR="005E2B4B">
        <w:rPr>
          <w:rFonts w:ascii="Times New Roman" w:hAnsi="Times New Roman" w:cs="Times New Roman"/>
        </w:rPr>
        <w:t xml:space="preserve"> y para el 2018 proyectó en 3.5</w:t>
      </w:r>
      <w:r w:rsidR="00355A7A">
        <w:rPr>
          <w:rFonts w:ascii="Times New Roman" w:hAnsi="Times New Roman" w:cs="Times New Roman"/>
        </w:rPr>
        <w:t>%</w:t>
      </w:r>
      <w:r w:rsidR="005E2B4B">
        <w:rPr>
          <w:rFonts w:ascii="Times New Roman" w:hAnsi="Times New Roman" w:cs="Times New Roman"/>
        </w:rPr>
        <w:t xml:space="preserve"> el crecimiento interanual </w:t>
      </w:r>
      <w:r w:rsidR="005E2B4B" w:rsidRPr="005E2B4B">
        <w:rPr>
          <w:rFonts w:ascii="Times New Roman" w:hAnsi="Times New Roman" w:cs="Times New Roman"/>
        </w:rPr>
        <w:t>(M</w:t>
      </w:r>
      <w:r w:rsidR="00355A7A">
        <w:rPr>
          <w:rFonts w:ascii="Times New Roman" w:hAnsi="Times New Roman" w:cs="Times New Roman"/>
        </w:rPr>
        <w:t>INFIN</w:t>
      </w:r>
      <w:r w:rsidR="005E2B4B" w:rsidRPr="005E2B4B">
        <w:rPr>
          <w:rFonts w:ascii="Times New Roman" w:hAnsi="Times New Roman" w:cs="Times New Roman"/>
        </w:rPr>
        <w:t xml:space="preserve">, </w:t>
      </w:r>
      <w:r w:rsidR="005E2B4B">
        <w:rPr>
          <w:rFonts w:ascii="Times New Roman" w:hAnsi="Times New Roman" w:cs="Times New Roman"/>
        </w:rPr>
        <w:t>óp. cit</w:t>
      </w:r>
      <w:r w:rsidR="005E2B4B" w:rsidRPr="005E2B4B">
        <w:rPr>
          <w:rFonts w:ascii="Times New Roman" w:hAnsi="Times New Roman" w:cs="Times New Roman"/>
        </w:rPr>
        <w:t xml:space="preserve">. </w:t>
      </w:r>
      <w:r w:rsidR="005E2B4B">
        <w:rPr>
          <w:rFonts w:ascii="Times New Roman" w:hAnsi="Times New Roman" w:cs="Times New Roman"/>
        </w:rPr>
        <w:t>p15</w:t>
      </w:r>
      <w:r w:rsidR="005E2B4B" w:rsidRPr="005E2B4B">
        <w:rPr>
          <w:rFonts w:ascii="Times New Roman" w:hAnsi="Times New Roman" w:cs="Times New Roman"/>
        </w:rPr>
        <w:t>.)</w:t>
      </w:r>
      <w:r w:rsidR="00355A7A">
        <w:rPr>
          <w:rFonts w:ascii="Times New Roman" w:hAnsi="Times New Roman" w:cs="Times New Roman"/>
        </w:rPr>
        <w:t>.</w:t>
      </w:r>
    </w:p>
    <w:p w:rsidR="005A6477" w:rsidRPr="00355A7A" w:rsidRDefault="005A6477" w:rsidP="005A6477">
      <w:pPr>
        <w:jc w:val="both"/>
        <w:rPr>
          <w:rFonts w:eastAsia="Constantia"/>
          <w:color w:val="000000"/>
          <w:lang w:eastAsia="en-US"/>
        </w:rPr>
      </w:pPr>
    </w:p>
    <w:p w:rsidR="005A6477" w:rsidRPr="0088577C" w:rsidRDefault="005A6477" w:rsidP="0088577C">
      <w:pPr>
        <w:pStyle w:val="Prrafodelista"/>
        <w:ind w:left="360"/>
        <w:jc w:val="center"/>
        <w:rPr>
          <w:b/>
          <w:sz w:val="22"/>
          <w:lang w:val="es-MX"/>
        </w:rPr>
      </w:pPr>
      <w:r w:rsidRPr="0088577C">
        <w:rPr>
          <w:b/>
          <w:sz w:val="22"/>
          <w:lang w:val="es-MX"/>
        </w:rPr>
        <w:t xml:space="preserve">Gráfica </w:t>
      </w:r>
      <w:r w:rsidR="005A5F6A">
        <w:rPr>
          <w:b/>
          <w:sz w:val="22"/>
          <w:lang w:val="es-MX"/>
        </w:rPr>
        <w:t>4</w:t>
      </w:r>
    </w:p>
    <w:p w:rsidR="005A6477" w:rsidRPr="0088577C" w:rsidRDefault="005A6477" w:rsidP="0088577C">
      <w:pPr>
        <w:pStyle w:val="Prrafodelista"/>
        <w:ind w:left="360"/>
        <w:jc w:val="center"/>
        <w:rPr>
          <w:b/>
          <w:sz w:val="22"/>
          <w:lang w:val="es-MX"/>
        </w:rPr>
      </w:pPr>
      <w:r w:rsidRPr="0088577C">
        <w:rPr>
          <w:b/>
          <w:sz w:val="22"/>
          <w:lang w:val="es-MX"/>
        </w:rPr>
        <w:t>Guatemala: Producto Interno Bruto</w:t>
      </w:r>
    </w:p>
    <w:p w:rsidR="005A6477" w:rsidRPr="0088577C" w:rsidRDefault="005A6477" w:rsidP="0088577C">
      <w:pPr>
        <w:pStyle w:val="Prrafodelista"/>
        <w:ind w:left="360"/>
        <w:jc w:val="center"/>
        <w:rPr>
          <w:b/>
          <w:sz w:val="22"/>
          <w:lang w:val="es-MX"/>
        </w:rPr>
      </w:pPr>
      <w:r w:rsidRPr="0088577C">
        <w:rPr>
          <w:b/>
          <w:sz w:val="22"/>
          <w:lang w:val="es-MX"/>
        </w:rPr>
        <w:t xml:space="preserve">En </w:t>
      </w:r>
      <w:r w:rsidR="00E6017A">
        <w:rPr>
          <w:b/>
          <w:sz w:val="22"/>
          <w:lang w:val="es-MX"/>
        </w:rPr>
        <w:t>T</w:t>
      </w:r>
      <w:r w:rsidRPr="0088577C">
        <w:rPr>
          <w:b/>
          <w:sz w:val="22"/>
          <w:lang w:val="es-MX"/>
        </w:rPr>
        <w:t xml:space="preserve">érminos </w:t>
      </w:r>
      <w:r w:rsidR="00E6017A">
        <w:rPr>
          <w:b/>
          <w:sz w:val="22"/>
          <w:lang w:val="es-MX"/>
        </w:rPr>
        <w:t>R</w:t>
      </w:r>
      <w:r w:rsidRPr="0088577C">
        <w:rPr>
          <w:b/>
          <w:sz w:val="22"/>
          <w:lang w:val="es-MX"/>
        </w:rPr>
        <w:t>eales</w:t>
      </w:r>
    </w:p>
    <w:p w:rsidR="005A6477" w:rsidRPr="0088577C" w:rsidRDefault="00E5644C" w:rsidP="0088577C">
      <w:pPr>
        <w:pStyle w:val="Prrafodelista"/>
        <w:ind w:left="360"/>
        <w:jc w:val="center"/>
        <w:rPr>
          <w:b/>
          <w:sz w:val="22"/>
          <w:lang w:val="es-MX"/>
        </w:rPr>
      </w:pPr>
      <w:r>
        <w:rPr>
          <w:b/>
          <w:sz w:val="22"/>
          <w:lang w:val="es-MX"/>
        </w:rPr>
        <w:t>Tasas de Variación Interanual</w:t>
      </w:r>
    </w:p>
    <w:p w:rsidR="005A6477" w:rsidRDefault="005A5F6A" w:rsidP="005A6477">
      <w:pPr>
        <w:jc w:val="center"/>
        <w:rPr>
          <w:sz w:val="20"/>
          <w:lang w:val="es-MX"/>
        </w:rPr>
      </w:pPr>
      <w:r>
        <w:rPr>
          <w:noProof/>
          <w:lang w:val="es-GT" w:eastAsia="es-GT"/>
        </w:rPr>
        <w:drawing>
          <wp:inline distT="0" distB="0" distL="0" distR="0" wp14:anchorId="1BB6B085" wp14:editId="4A9EA4C0">
            <wp:extent cx="5279666" cy="2695492"/>
            <wp:effectExtent l="0" t="0" r="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A6477" w:rsidRPr="00E021FF" w:rsidRDefault="0025165B" w:rsidP="005A6477">
      <w:pPr>
        <w:jc w:val="both"/>
        <w:rPr>
          <w:sz w:val="16"/>
          <w:lang w:val="es-MX"/>
        </w:rPr>
      </w:pPr>
      <w:r>
        <w:rPr>
          <w:sz w:val="16"/>
          <w:lang w:val="es-MX"/>
        </w:rPr>
        <w:t xml:space="preserve">             </w:t>
      </w:r>
      <w:r w:rsidR="005A6477" w:rsidRPr="00E021FF">
        <w:rPr>
          <w:sz w:val="16"/>
          <w:lang w:val="es-MX"/>
        </w:rPr>
        <w:t xml:space="preserve">Fuente: </w:t>
      </w:r>
      <w:r w:rsidR="005E2B4B" w:rsidRPr="00E021FF">
        <w:rPr>
          <w:sz w:val="16"/>
          <w:lang w:val="es-MX"/>
        </w:rPr>
        <w:t xml:space="preserve">Cifras 2007-2016 </w:t>
      </w:r>
      <w:r w:rsidR="005A6477" w:rsidRPr="00E021FF">
        <w:rPr>
          <w:sz w:val="16"/>
          <w:lang w:val="es-MX"/>
        </w:rPr>
        <w:t>Banco de Guatemala</w:t>
      </w:r>
      <w:r w:rsidR="005E2B4B" w:rsidRPr="00E021FF">
        <w:rPr>
          <w:sz w:val="16"/>
          <w:lang w:val="es-MX"/>
        </w:rPr>
        <w:t>, 2017-2018 M</w:t>
      </w:r>
      <w:r w:rsidR="00EA0323">
        <w:rPr>
          <w:sz w:val="16"/>
          <w:lang w:val="es-MX"/>
        </w:rPr>
        <w:t>INFIN</w:t>
      </w:r>
      <w:r w:rsidR="005E2B4B" w:rsidRPr="00E021FF">
        <w:rPr>
          <w:sz w:val="16"/>
          <w:lang w:val="es-MX"/>
        </w:rPr>
        <w:t xml:space="preserve"> 2017.</w:t>
      </w:r>
    </w:p>
    <w:p w:rsidR="005A6477" w:rsidRPr="00E021FF" w:rsidRDefault="0025165B" w:rsidP="005A6477">
      <w:pPr>
        <w:jc w:val="both"/>
        <w:rPr>
          <w:sz w:val="16"/>
          <w:lang w:val="es-MX"/>
        </w:rPr>
      </w:pPr>
      <w:r>
        <w:rPr>
          <w:sz w:val="16"/>
          <w:lang w:val="es-MX"/>
        </w:rPr>
        <w:t xml:space="preserve">             </w:t>
      </w:r>
      <w:proofErr w:type="spellStart"/>
      <w:proofErr w:type="gramStart"/>
      <w:r w:rsidR="005A6477" w:rsidRPr="00E021FF">
        <w:rPr>
          <w:sz w:val="16"/>
          <w:lang w:val="es-MX"/>
        </w:rPr>
        <w:t>py</w:t>
      </w:r>
      <w:proofErr w:type="spellEnd"/>
      <w:proofErr w:type="gramEnd"/>
      <w:r w:rsidR="005A6477" w:rsidRPr="00E021FF">
        <w:rPr>
          <w:sz w:val="16"/>
          <w:lang w:val="es-MX"/>
        </w:rPr>
        <w:t>/</w:t>
      </w:r>
      <w:r>
        <w:rPr>
          <w:sz w:val="16"/>
          <w:lang w:val="es-MX"/>
        </w:rPr>
        <w:t xml:space="preserve"> </w:t>
      </w:r>
      <w:r w:rsidR="005A6477" w:rsidRPr="00E021FF">
        <w:rPr>
          <w:sz w:val="16"/>
          <w:lang w:val="es-MX"/>
        </w:rPr>
        <w:t>proyectado</w:t>
      </w:r>
      <w:r>
        <w:rPr>
          <w:sz w:val="16"/>
          <w:lang w:val="es-MX"/>
        </w:rPr>
        <w:t>.</w:t>
      </w:r>
    </w:p>
    <w:p w:rsidR="0052219B" w:rsidRDefault="0052219B" w:rsidP="005A6477">
      <w:pPr>
        <w:rPr>
          <w:lang w:val="es-MX"/>
        </w:rPr>
      </w:pPr>
    </w:p>
    <w:p w:rsidR="00BF3487" w:rsidRDefault="0052219B" w:rsidP="0052219B">
      <w:pPr>
        <w:jc w:val="both"/>
        <w:rPr>
          <w:sz w:val="23"/>
          <w:szCs w:val="23"/>
        </w:rPr>
      </w:pPr>
      <w:r>
        <w:rPr>
          <w:sz w:val="23"/>
          <w:szCs w:val="23"/>
        </w:rPr>
        <w:t xml:space="preserve">De acuerdo con el </w:t>
      </w:r>
      <w:r w:rsidR="00CC1383">
        <w:rPr>
          <w:sz w:val="23"/>
          <w:szCs w:val="23"/>
        </w:rPr>
        <w:t>B</w:t>
      </w:r>
      <w:r w:rsidR="00355A7A">
        <w:rPr>
          <w:sz w:val="23"/>
          <w:szCs w:val="23"/>
        </w:rPr>
        <w:t>anco de Guatemala</w:t>
      </w:r>
      <w:r>
        <w:rPr>
          <w:sz w:val="23"/>
          <w:szCs w:val="23"/>
        </w:rPr>
        <w:t xml:space="preserve">, dichas proyecciones se fundamentaban en el comportamiento manifestado en la economía del país, en el cual, el Índice Mensual de la Actividad Económica (IMAE) a mayo de 2017, evidenciaba un crecimiento de 2.4%, en comparación con las cifras reportadas a mayo de 2016. El comportamiento se explicaba principalmente por la actividad reportada en sectores como la explotación de minas y canteras; el comercio al por mayor y menor; y la prestación de servicios privados. </w:t>
      </w:r>
    </w:p>
    <w:p w:rsidR="00BF3487" w:rsidRDefault="00BF3487" w:rsidP="0052219B">
      <w:pPr>
        <w:jc w:val="both"/>
        <w:rPr>
          <w:sz w:val="23"/>
          <w:szCs w:val="23"/>
        </w:rPr>
      </w:pPr>
    </w:p>
    <w:p w:rsidR="005A6477" w:rsidRDefault="00095E08" w:rsidP="0052219B">
      <w:pPr>
        <w:jc w:val="both"/>
      </w:pPr>
      <w:r>
        <w:rPr>
          <w:sz w:val="23"/>
          <w:szCs w:val="23"/>
        </w:rPr>
        <w:t xml:space="preserve">Para </w:t>
      </w:r>
      <w:r w:rsidR="00BF3487">
        <w:rPr>
          <w:sz w:val="23"/>
          <w:szCs w:val="23"/>
        </w:rPr>
        <w:t>ju</w:t>
      </w:r>
      <w:r>
        <w:rPr>
          <w:sz w:val="23"/>
          <w:szCs w:val="23"/>
        </w:rPr>
        <w:t xml:space="preserve">nio de 2018 </w:t>
      </w:r>
      <w:r>
        <w:t xml:space="preserve">el </w:t>
      </w:r>
      <w:r w:rsidR="00CC1383">
        <w:t>Ban</w:t>
      </w:r>
      <w:r w:rsidR="00355A7A">
        <w:t>co de Guatemala</w:t>
      </w:r>
      <w:r>
        <w:t>, a</w:t>
      </w:r>
      <w:r w:rsidR="00355A7A">
        <w:t>ú</w:t>
      </w:r>
      <w:r>
        <w:t xml:space="preserve">n prevé un crecimiento entre 3.0% y 3.8% para 2018. Sin embargo, señala que algunas actividades económicas muestran resultados interanuales a la baja, entre las más importantes se encuentra la </w:t>
      </w:r>
      <w:r w:rsidR="00E750FD">
        <w:t>e</w:t>
      </w:r>
      <w:r>
        <w:t xml:space="preserve">xplotación de minas y </w:t>
      </w:r>
      <w:r>
        <w:lastRenderedPageBreak/>
        <w:t>canteras, derivado del cierre de operaciones de una empresa minera y la suspensión temporal de operaciones de otra.</w:t>
      </w:r>
    </w:p>
    <w:p w:rsidR="00E750FD" w:rsidRDefault="00E750FD" w:rsidP="0052219B">
      <w:pPr>
        <w:jc w:val="both"/>
      </w:pPr>
    </w:p>
    <w:p w:rsidR="005A6477" w:rsidRPr="002E21A2" w:rsidRDefault="002E21A2" w:rsidP="002E21A2">
      <w:pPr>
        <w:pStyle w:val="Default"/>
        <w:jc w:val="both"/>
        <w:rPr>
          <w:rFonts w:ascii="Times New Roman" w:hAnsi="Times New Roman" w:cs="Times New Roman"/>
          <w:color w:val="auto"/>
          <w:sz w:val="23"/>
          <w:szCs w:val="23"/>
        </w:rPr>
      </w:pPr>
      <w:r>
        <w:rPr>
          <w:rFonts w:ascii="Times New Roman" w:hAnsi="Times New Roman" w:cs="Times New Roman"/>
          <w:color w:val="auto"/>
          <w:sz w:val="23"/>
          <w:szCs w:val="23"/>
        </w:rPr>
        <w:t>E</w:t>
      </w:r>
      <w:r w:rsidRPr="002E21A2">
        <w:rPr>
          <w:rFonts w:ascii="Times New Roman" w:hAnsi="Times New Roman" w:cs="Times New Roman"/>
          <w:color w:val="auto"/>
          <w:sz w:val="23"/>
          <w:szCs w:val="23"/>
        </w:rPr>
        <w:t>l Índice de Precios al Consumidor (IPC), al mes de junio de 2017, mostrab</w:t>
      </w:r>
      <w:r>
        <w:rPr>
          <w:rFonts w:ascii="Times New Roman" w:hAnsi="Times New Roman" w:cs="Times New Roman"/>
          <w:color w:val="auto"/>
          <w:sz w:val="23"/>
          <w:szCs w:val="23"/>
        </w:rPr>
        <w:t>a</w:t>
      </w:r>
      <w:r w:rsidRPr="002E21A2">
        <w:rPr>
          <w:rFonts w:ascii="Times New Roman" w:hAnsi="Times New Roman" w:cs="Times New Roman"/>
          <w:color w:val="auto"/>
          <w:sz w:val="23"/>
          <w:szCs w:val="23"/>
        </w:rPr>
        <w:t xml:space="preserve"> una variación interanual en comparación con junio</w:t>
      </w:r>
      <w:r w:rsidR="00E750FD">
        <w:rPr>
          <w:rFonts w:ascii="Times New Roman" w:hAnsi="Times New Roman" w:cs="Times New Roman"/>
          <w:color w:val="auto"/>
          <w:sz w:val="23"/>
          <w:szCs w:val="23"/>
        </w:rPr>
        <w:t xml:space="preserve"> de</w:t>
      </w:r>
      <w:r w:rsidRPr="002E21A2">
        <w:rPr>
          <w:rFonts w:ascii="Times New Roman" w:hAnsi="Times New Roman" w:cs="Times New Roman"/>
          <w:color w:val="auto"/>
          <w:sz w:val="23"/>
          <w:szCs w:val="23"/>
        </w:rPr>
        <w:t xml:space="preserve"> 2016 </w:t>
      </w:r>
      <w:r>
        <w:rPr>
          <w:rFonts w:ascii="Times New Roman" w:hAnsi="Times New Roman" w:cs="Times New Roman"/>
          <w:color w:val="auto"/>
          <w:sz w:val="23"/>
          <w:szCs w:val="23"/>
        </w:rPr>
        <w:t>de</w:t>
      </w:r>
      <w:r w:rsidRPr="002E21A2">
        <w:rPr>
          <w:rFonts w:ascii="Times New Roman" w:hAnsi="Times New Roman" w:cs="Times New Roman"/>
          <w:color w:val="auto"/>
          <w:sz w:val="23"/>
          <w:szCs w:val="23"/>
        </w:rPr>
        <w:t xml:space="preserve"> 4.4</w:t>
      </w:r>
      <w:r>
        <w:rPr>
          <w:rFonts w:ascii="Times New Roman" w:hAnsi="Times New Roman" w:cs="Times New Roman"/>
          <w:color w:val="auto"/>
          <w:sz w:val="23"/>
          <w:szCs w:val="23"/>
        </w:rPr>
        <w:t>%</w:t>
      </w:r>
      <w:r w:rsidRPr="002E21A2">
        <w:rPr>
          <w:rFonts w:ascii="Times New Roman" w:hAnsi="Times New Roman" w:cs="Times New Roman"/>
          <w:color w:val="auto"/>
          <w:sz w:val="23"/>
          <w:szCs w:val="23"/>
        </w:rPr>
        <w:t>, influenciad</w:t>
      </w:r>
      <w:r>
        <w:rPr>
          <w:rFonts w:ascii="Times New Roman" w:hAnsi="Times New Roman" w:cs="Times New Roman"/>
          <w:color w:val="auto"/>
          <w:sz w:val="23"/>
          <w:szCs w:val="23"/>
        </w:rPr>
        <w:t>a</w:t>
      </w:r>
      <w:r w:rsidRPr="002E21A2">
        <w:rPr>
          <w:rFonts w:ascii="Times New Roman" w:hAnsi="Times New Roman" w:cs="Times New Roman"/>
          <w:color w:val="auto"/>
          <w:sz w:val="23"/>
          <w:szCs w:val="23"/>
        </w:rPr>
        <w:t xml:space="preserve"> principalmente por el alza en el precio de </w:t>
      </w:r>
      <w:r w:rsidR="00514939">
        <w:rPr>
          <w:rFonts w:ascii="Times New Roman" w:hAnsi="Times New Roman" w:cs="Times New Roman"/>
          <w:color w:val="auto"/>
          <w:sz w:val="23"/>
          <w:szCs w:val="23"/>
        </w:rPr>
        <w:t xml:space="preserve">los </w:t>
      </w:r>
      <w:r w:rsidRPr="002E21A2">
        <w:rPr>
          <w:rFonts w:ascii="Times New Roman" w:hAnsi="Times New Roman" w:cs="Times New Roman"/>
          <w:color w:val="auto"/>
          <w:sz w:val="23"/>
          <w:szCs w:val="23"/>
        </w:rPr>
        <w:t>alimentos</w:t>
      </w:r>
      <w:r w:rsidR="00E750FD">
        <w:rPr>
          <w:rFonts w:ascii="Times New Roman" w:hAnsi="Times New Roman" w:cs="Times New Roman"/>
          <w:color w:val="auto"/>
          <w:sz w:val="23"/>
          <w:szCs w:val="23"/>
        </w:rPr>
        <w:t xml:space="preserve"> </w:t>
      </w:r>
      <w:r w:rsidRPr="002E21A2">
        <w:rPr>
          <w:rFonts w:ascii="Times New Roman" w:hAnsi="Times New Roman" w:cs="Times New Roman"/>
          <w:color w:val="auto"/>
          <w:sz w:val="23"/>
          <w:szCs w:val="23"/>
        </w:rPr>
        <w:t xml:space="preserve">(9.6%); gastos en salud (2.3%); bebidas alcohólicas (2.2%); y, recreación (2.2%). Bajo este contexto, el </w:t>
      </w:r>
      <w:r w:rsidR="00CC1383">
        <w:rPr>
          <w:rFonts w:ascii="Times New Roman" w:hAnsi="Times New Roman" w:cs="Times New Roman"/>
          <w:color w:val="auto"/>
          <w:sz w:val="23"/>
          <w:szCs w:val="23"/>
        </w:rPr>
        <w:t>Ban</w:t>
      </w:r>
      <w:r w:rsidR="00514939">
        <w:rPr>
          <w:rFonts w:ascii="Times New Roman" w:hAnsi="Times New Roman" w:cs="Times New Roman"/>
          <w:color w:val="auto"/>
          <w:sz w:val="23"/>
          <w:szCs w:val="23"/>
        </w:rPr>
        <w:t>co de Guatemala</w:t>
      </w:r>
      <w:r w:rsidRPr="002E21A2">
        <w:rPr>
          <w:rFonts w:ascii="Times New Roman" w:hAnsi="Times New Roman" w:cs="Times New Roman"/>
          <w:color w:val="auto"/>
          <w:sz w:val="23"/>
          <w:szCs w:val="23"/>
        </w:rPr>
        <w:t xml:space="preserve"> estima</w:t>
      </w:r>
      <w:r>
        <w:rPr>
          <w:rFonts w:ascii="Times New Roman" w:hAnsi="Times New Roman" w:cs="Times New Roman"/>
          <w:color w:val="auto"/>
          <w:sz w:val="23"/>
          <w:szCs w:val="23"/>
        </w:rPr>
        <w:t xml:space="preserve">ba </w:t>
      </w:r>
      <w:r w:rsidRPr="002E21A2">
        <w:rPr>
          <w:rFonts w:ascii="Times New Roman" w:hAnsi="Times New Roman" w:cs="Times New Roman"/>
          <w:color w:val="auto"/>
          <w:sz w:val="23"/>
          <w:szCs w:val="23"/>
        </w:rPr>
        <w:t>que para 2017 la tasa de inflación se posicionar</w:t>
      </w:r>
      <w:r>
        <w:rPr>
          <w:rFonts w:ascii="Times New Roman" w:hAnsi="Times New Roman" w:cs="Times New Roman"/>
          <w:color w:val="auto"/>
          <w:sz w:val="23"/>
          <w:szCs w:val="23"/>
        </w:rPr>
        <w:t>ía</w:t>
      </w:r>
      <w:r w:rsidRPr="002E21A2">
        <w:rPr>
          <w:rFonts w:ascii="Times New Roman" w:hAnsi="Times New Roman" w:cs="Times New Roman"/>
          <w:color w:val="auto"/>
          <w:sz w:val="23"/>
          <w:szCs w:val="23"/>
        </w:rPr>
        <w:t xml:space="preserve"> entre 3.0</w:t>
      </w:r>
      <w:r w:rsidR="00514939">
        <w:rPr>
          <w:rFonts w:ascii="Times New Roman" w:hAnsi="Times New Roman" w:cs="Times New Roman"/>
          <w:color w:val="auto"/>
          <w:sz w:val="23"/>
          <w:szCs w:val="23"/>
        </w:rPr>
        <w:t>%</w:t>
      </w:r>
      <w:r w:rsidRPr="002E21A2">
        <w:rPr>
          <w:rFonts w:ascii="Times New Roman" w:hAnsi="Times New Roman" w:cs="Times New Roman"/>
          <w:color w:val="auto"/>
          <w:sz w:val="23"/>
          <w:szCs w:val="23"/>
        </w:rPr>
        <w:t xml:space="preserve"> y 5.0</w:t>
      </w:r>
      <w:r w:rsidR="00514939">
        <w:rPr>
          <w:rFonts w:ascii="Times New Roman" w:hAnsi="Times New Roman" w:cs="Times New Roman"/>
          <w:color w:val="auto"/>
          <w:sz w:val="23"/>
          <w:szCs w:val="23"/>
        </w:rPr>
        <w:t>%</w:t>
      </w:r>
      <w:r w:rsidRPr="002E21A2">
        <w:rPr>
          <w:rFonts w:ascii="Times New Roman" w:hAnsi="Times New Roman" w:cs="Times New Roman"/>
          <w:color w:val="auto"/>
          <w:sz w:val="23"/>
          <w:szCs w:val="23"/>
        </w:rPr>
        <w:t>, dando cumplimiento a sus metas de inflación</w:t>
      </w:r>
      <w:r w:rsidR="00514939">
        <w:rPr>
          <w:rFonts w:ascii="Times New Roman" w:hAnsi="Times New Roman" w:cs="Times New Roman"/>
          <w:color w:val="auto"/>
          <w:sz w:val="23"/>
          <w:szCs w:val="23"/>
        </w:rPr>
        <w:t>;</w:t>
      </w:r>
      <w:r>
        <w:rPr>
          <w:rFonts w:ascii="Times New Roman" w:hAnsi="Times New Roman" w:cs="Times New Roman"/>
          <w:color w:val="auto"/>
          <w:sz w:val="23"/>
          <w:szCs w:val="23"/>
        </w:rPr>
        <w:t xml:space="preserve"> sin embargo, la misma se ubicó en 5.</w:t>
      </w:r>
      <w:r w:rsidR="00514939">
        <w:rPr>
          <w:rFonts w:ascii="Times New Roman" w:hAnsi="Times New Roman" w:cs="Times New Roman"/>
          <w:color w:val="auto"/>
          <w:sz w:val="23"/>
          <w:szCs w:val="23"/>
        </w:rPr>
        <w:t>7</w:t>
      </w:r>
      <w:r>
        <w:rPr>
          <w:rFonts w:ascii="Times New Roman" w:hAnsi="Times New Roman" w:cs="Times New Roman"/>
          <w:color w:val="auto"/>
          <w:sz w:val="23"/>
          <w:szCs w:val="23"/>
        </w:rPr>
        <w:t>%</w:t>
      </w:r>
      <w:r w:rsidRPr="002E21A2">
        <w:rPr>
          <w:rFonts w:ascii="Times New Roman" w:hAnsi="Times New Roman" w:cs="Times New Roman"/>
          <w:color w:val="auto"/>
          <w:sz w:val="23"/>
          <w:szCs w:val="23"/>
        </w:rPr>
        <w:t xml:space="preserve">. </w:t>
      </w:r>
      <w:r w:rsidR="004346F1" w:rsidRPr="004346F1">
        <w:rPr>
          <w:rFonts w:ascii="Times New Roman" w:hAnsi="Times New Roman" w:cs="Times New Roman"/>
          <w:color w:val="auto"/>
          <w:sz w:val="23"/>
          <w:szCs w:val="23"/>
        </w:rPr>
        <w:t>El ritmo inflacionario a junio de 2018, se situó en 3.</w:t>
      </w:r>
      <w:r w:rsidR="00514939">
        <w:rPr>
          <w:rFonts w:ascii="Times New Roman" w:hAnsi="Times New Roman" w:cs="Times New Roman"/>
          <w:color w:val="auto"/>
          <w:sz w:val="23"/>
          <w:szCs w:val="23"/>
        </w:rPr>
        <w:t>8</w:t>
      </w:r>
      <w:r w:rsidR="004346F1" w:rsidRPr="004346F1">
        <w:rPr>
          <w:rFonts w:ascii="Times New Roman" w:hAnsi="Times New Roman" w:cs="Times New Roman"/>
          <w:color w:val="auto"/>
          <w:sz w:val="23"/>
          <w:szCs w:val="23"/>
        </w:rPr>
        <w:t>%, dentro de la meta determinada por la Junta Monetaria</w:t>
      </w:r>
      <w:r w:rsidR="00514939">
        <w:rPr>
          <w:rFonts w:ascii="Times New Roman" w:hAnsi="Times New Roman" w:cs="Times New Roman"/>
          <w:color w:val="auto"/>
          <w:sz w:val="23"/>
          <w:szCs w:val="23"/>
        </w:rPr>
        <w:t>,</w:t>
      </w:r>
      <w:r w:rsidR="004346F1">
        <w:rPr>
          <w:rFonts w:ascii="Times New Roman" w:hAnsi="Times New Roman" w:cs="Times New Roman"/>
          <w:color w:val="auto"/>
          <w:sz w:val="23"/>
          <w:szCs w:val="23"/>
        </w:rPr>
        <w:t xml:space="preserve"> por lo que se</w:t>
      </w:r>
      <w:r w:rsidRPr="002E21A2">
        <w:rPr>
          <w:rFonts w:ascii="Times New Roman" w:hAnsi="Times New Roman" w:cs="Times New Roman"/>
          <w:color w:val="auto"/>
          <w:sz w:val="23"/>
          <w:szCs w:val="23"/>
        </w:rPr>
        <w:t xml:space="preserve"> considera que en el corto y mediano plazo persistir</w:t>
      </w:r>
      <w:r w:rsidR="004346F1">
        <w:rPr>
          <w:rFonts w:ascii="Times New Roman" w:hAnsi="Times New Roman" w:cs="Times New Roman"/>
          <w:color w:val="auto"/>
          <w:sz w:val="23"/>
          <w:szCs w:val="23"/>
        </w:rPr>
        <w:t>á</w:t>
      </w:r>
      <w:r w:rsidRPr="002E21A2">
        <w:rPr>
          <w:rFonts w:ascii="Times New Roman" w:hAnsi="Times New Roman" w:cs="Times New Roman"/>
          <w:color w:val="auto"/>
          <w:sz w:val="23"/>
          <w:szCs w:val="23"/>
        </w:rPr>
        <w:t xml:space="preserve">n las condiciones actuales, </w:t>
      </w:r>
      <w:r>
        <w:rPr>
          <w:rFonts w:ascii="Times New Roman" w:hAnsi="Times New Roman" w:cs="Times New Roman"/>
          <w:color w:val="auto"/>
          <w:sz w:val="23"/>
          <w:szCs w:val="23"/>
        </w:rPr>
        <w:t>por lo que</w:t>
      </w:r>
      <w:r w:rsidRPr="002E21A2">
        <w:rPr>
          <w:rFonts w:ascii="Times New Roman" w:hAnsi="Times New Roman" w:cs="Times New Roman"/>
          <w:color w:val="auto"/>
          <w:sz w:val="23"/>
          <w:szCs w:val="23"/>
        </w:rPr>
        <w:t xml:space="preserve"> la inflación </w:t>
      </w:r>
      <w:r>
        <w:rPr>
          <w:rFonts w:ascii="Times New Roman" w:hAnsi="Times New Roman" w:cs="Times New Roman"/>
          <w:color w:val="auto"/>
          <w:sz w:val="23"/>
          <w:szCs w:val="23"/>
        </w:rPr>
        <w:t xml:space="preserve">al final de </w:t>
      </w:r>
      <w:r w:rsidRPr="002E21A2">
        <w:rPr>
          <w:rFonts w:ascii="Times New Roman" w:hAnsi="Times New Roman" w:cs="Times New Roman"/>
          <w:color w:val="auto"/>
          <w:sz w:val="23"/>
          <w:szCs w:val="23"/>
        </w:rPr>
        <w:t xml:space="preserve">2018 </w:t>
      </w:r>
      <w:r>
        <w:rPr>
          <w:rFonts w:ascii="Times New Roman" w:hAnsi="Times New Roman" w:cs="Times New Roman"/>
          <w:color w:val="auto"/>
          <w:sz w:val="23"/>
          <w:szCs w:val="23"/>
        </w:rPr>
        <w:t>se mantendrá dentro de la meta establecida</w:t>
      </w:r>
      <w:r w:rsidRPr="002E21A2">
        <w:rPr>
          <w:rFonts w:ascii="Times New Roman" w:hAnsi="Times New Roman" w:cs="Times New Roman"/>
          <w:color w:val="auto"/>
          <w:sz w:val="23"/>
          <w:szCs w:val="23"/>
        </w:rPr>
        <w:t>.</w:t>
      </w:r>
    </w:p>
    <w:p w:rsidR="002E21A2" w:rsidRPr="004346F1" w:rsidRDefault="002E21A2" w:rsidP="0088577C">
      <w:pPr>
        <w:pStyle w:val="Prrafodelista"/>
        <w:ind w:left="360"/>
        <w:jc w:val="center"/>
        <w:rPr>
          <w:sz w:val="23"/>
          <w:szCs w:val="23"/>
        </w:rPr>
      </w:pPr>
    </w:p>
    <w:p w:rsidR="005A6477" w:rsidRPr="0088577C" w:rsidRDefault="005A6477" w:rsidP="0088577C">
      <w:pPr>
        <w:pStyle w:val="Prrafodelista"/>
        <w:ind w:left="360"/>
        <w:jc w:val="center"/>
        <w:rPr>
          <w:b/>
          <w:sz w:val="22"/>
          <w:lang w:val="es-MX"/>
        </w:rPr>
      </w:pPr>
      <w:r w:rsidRPr="0088577C">
        <w:rPr>
          <w:b/>
          <w:sz w:val="22"/>
          <w:lang w:val="es-MX"/>
        </w:rPr>
        <w:t xml:space="preserve">Gráfica </w:t>
      </w:r>
      <w:r w:rsidR="004346F1">
        <w:rPr>
          <w:b/>
          <w:sz w:val="22"/>
          <w:lang w:val="es-MX"/>
        </w:rPr>
        <w:t>5</w:t>
      </w:r>
    </w:p>
    <w:p w:rsidR="005A6477" w:rsidRPr="0088577C" w:rsidRDefault="005A6477" w:rsidP="0088577C">
      <w:pPr>
        <w:pStyle w:val="Prrafodelista"/>
        <w:ind w:left="360"/>
        <w:jc w:val="center"/>
        <w:rPr>
          <w:b/>
          <w:sz w:val="22"/>
          <w:lang w:val="es-MX"/>
        </w:rPr>
      </w:pPr>
      <w:r w:rsidRPr="0088577C">
        <w:rPr>
          <w:b/>
          <w:sz w:val="22"/>
          <w:lang w:val="es-MX"/>
        </w:rPr>
        <w:t>Guatemala: Ritmo Inflacionario</w:t>
      </w:r>
    </w:p>
    <w:p w:rsidR="005A6477" w:rsidRPr="0088577C" w:rsidRDefault="00E5644C" w:rsidP="0088577C">
      <w:pPr>
        <w:pStyle w:val="Prrafodelista"/>
        <w:ind w:left="360"/>
        <w:jc w:val="center"/>
        <w:rPr>
          <w:b/>
          <w:sz w:val="22"/>
          <w:lang w:val="es-MX"/>
        </w:rPr>
      </w:pPr>
      <w:r>
        <w:rPr>
          <w:b/>
          <w:sz w:val="22"/>
          <w:lang w:val="es-MX"/>
        </w:rPr>
        <w:t>Tasas de Variación Interanual</w:t>
      </w:r>
    </w:p>
    <w:p w:rsidR="005A6477" w:rsidRDefault="007E5EF9" w:rsidP="007E5EF9">
      <w:pPr>
        <w:jc w:val="center"/>
        <w:rPr>
          <w:sz w:val="10"/>
          <w:lang w:val="es-MX"/>
        </w:rPr>
      </w:pPr>
      <w:r>
        <w:rPr>
          <w:noProof/>
          <w:lang w:val="es-GT" w:eastAsia="es-GT"/>
        </w:rPr>
        <w:drawing>
          <wp:inline distT="0" distB="0" distL="0" distR="0" wp14:anchorId="432329B3" wp14:editId="37038A99">
            <wp:extent cx="5327374" cy="3283888"/>
            <wp:effectExtent l="0" t="0" r="26035" b="1206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A6477" w:rsidRPr="00E021FF" w:rsidRDefault="0025165B" w:rsidP="005A6477">
      <w:pPr>
        <w:jc w:val="both"/>
        <w:rPr>
          <w:sz w:val="16"/>
          <w:lang w:val="es-MX"/>
        </w:rPr>
      </w:pPr>
      <w:r>
        <w:rPr>
          <w:sz w:val="16"/>
          <w:lang w:val="es-MX"/>
        </w:rPr>
        <w:t xml:space="preserve">               </w:t>
      </w:r>
      <w:r w:rsidR="005A6477" w:rsidRPr="00E021FF">
        <w:rPr>
          <w:sz w:val="16"/>
          <w:lang w:val="es-MX"/>
        </w:rPr>
        <w:t>Fuente: Cifras del Banco de Guatemala.</w:t>
      </w:r>
    </w:p>
    <w:p w:rsidR="005A6477" w:rsidRDefault="005A6477" w:rsidP="005A6477">
      <w:pPr>
        <w:rPr>
          <w:lang w:val="es-MX"/>
        </w:rPr>
      </w:pPr>
    </w:p>
    <w:p w:rsidR="002E21A2" w:rsidRDefault="002E21A2" w:rsidP="002E21A2">
      <w:pPr>
        <w:autoSpaceDE w:val="0"/>
        <w:autoSpaceDN w:val="0"/>
        <w:adjustRightInd w:val="0"/>
        <w:jc w:val="both"/>
        <w:rPr>
          <w:rFonts w:eastAsia="Calibri"/>
          <w:color w:val="000000"/>
          <w:sz w:val="23"/>
          <w:szCs w:val="23"/>
          <w:lang w:val="es-GT" w:eastAsia="es-MX"/>
        </w:rPr>
      </w:pPr>
      <w:r w:rsidRPr="002E21A2">
        <w:rPr>
          <w:rFonts w:eastAsia="Calibri"/>
          <w:color w:val="000000"/>
          <w:sz w:val="23"/>
          <w:szCs w:val="23"/>
          <w:lang w:val="es-GT" w:eastAsia="es-MX"/>
        </w:rPr>
        <w:t xml:space="preserve">Respecto </w:t>
      </w:r>
      <w:r w:rsidR="00514939">
        <w:rPr>
          <w:rFonts w:eastAsia="Calibri"/>
          <w:color w:val="000000"/>
          <w:sz w:val="23"/>
          <w:szCs w:val="23"/>
          <w:lang w:val="es-GT" w:eastAsia="es-MX"/>
        </w:rPr>
        <w:t>del</w:t>
      </w:r>
      <w:r w:rsidRPr="002E21A2">
        <w:rPr>
          <w:rFonts w:eastAsia="Calibri"/>
          <w:color w:val="000000"/>
          <w:sz w:val="23"/>
          <w:szCs w:val="23"/>
          <w:lang w:val="es-GT" w:eastAsia="es-MX"/>
        </w:rPr>
        <w:t xml:space="preserve"> comportamiento de las exportaciones, </w:t>
      </w:r>
      <w:r w:rsidR="00F449F6" w:rsidRPr="002E21A2">
        <w:rPr>
          <w:rFonts w:eastAsia="Calibri"/>
          <w:color w:val="000000"/>
          <w:sz w:val="23"/>
          <w:szCs w:val="23"/>
          <w:lang w:val="es-GT" w:eastAsia="es-MX"/>
        </w:rPr>
        <w:t>a mayo de 2017</w:t>
      </w:r>
      <w:r w:rsidR="00F449F6">
        <w:rPr>
          <w:rFonts w:eastAsia="Calibri"/>
          <w:color w:val="000000"/>
          <w:sz w:val="23"/>
          <w:szCs w:val="23"/>
          <w:lang w:val="es-GT" w:eastAsia="es-MX"/>
        </w:rPr>
        <w:t xml:space="preserve"> </w:t>
      </w:r>
      <w:r w:rsidRPr="002E21A2">
        <w:rPr>
          <w:rFonts w:eastAsia="Calibri"/>
          <w:color w:val="000000"/>
          <w:sz w:val="23"/>
          <w:szCs w:val="23"/>
          <w:lang w:val="es-GT" w:eastAsia="es-MX"/>
        </w:rPr>
        <w:t>éstas se incrementaron en US$415.1 millones, alcanzando el monto de US$4,860.9 millones, siendo los principales productos enviados</w:t>
      </w:r>
      <w:r w:rsidR="00514939">
        <w:rPr>
          <w:rFonts w:eastAsia="Calibri"/>
          <w:color w:val="000000"/>
          <w:sz w:val="23"/>
          <w:szCs w:val="23"/>
          <w:lang w:val="es-GT" w:eastAsia="es-MX"/>
        </w:rPr>
        <w:t>,</w:t>
      </w:r>
      <w:r w:rsidRPr="002E21A2">
        <w:rPr>
          <w:rFonts w:eastAsia="Calibri"/>
          <w:color w:val="000000"/>
          <w:sz w:val="23"/>
          <w:szCs w:val="23"/>
          <w:lang w:val="es-GT" w:eastAsia="es-MX"/>
        </w:rPr>
        <w:t xml:space="preserve"> los artículos de vestuario US$569.1 millones (11.7%); azúcar US$498.1 millones (10.2%); café US$393.3 millones (8.1%); banano US$331.7 millones (6.8%); y, grasas y aceites comest</w:t>
      </w:r>
      <w:r w:rsidR="00E021FF">
        <w:rPr>
          <w:rFonts w:eastAsia="Calibri"/>
          <w:color w:val="000000"/>
          <w:sz w:val="23"/>
          <w:szCs w:val="23"/>
          <w:lang w:val="es-GT" w:eastAsia="es-MX"/>
        </w:rPr>
        <w:t>ibles US$185.0 millones (3.8%)</w:t>
      </w:r>
      <w:r w:rsidR="00514939">
        <w:rPr>
          <w:rFonts w:eastAsia="Calibri"/>
          <w:color w:val="000000"/>
          <w:sz w:val="23"/>
          <w:szCs w:val="23"/>
          <w:lang w:val="es-GT" w:eastAsia="es-MX"/>
        </w:rPr>
        <w:t>.</w:t>
      </w:r>
    </w:p>
    <w:p w:rsidR="002E21A2" w:rsidRPr="002E21A2" w:rsidRDefault="002E21A2" w:rsidP="002E21A2">
      <w:pPr>
        <w:autoSpaceDE w:val="0"/>
        <w:autoSpaceDN w:val="0"/>
        <w:adjustRightInd w:val="0"/>
        <w:rPr>
          <w:rFonts w:eastAsia="Calibri"/>
          <w:color w:val="000000"/>
          <w:sz w:val="23"/>
          <w:szCs w:val="23"/>
          <w:lang w:val="es-GT" w:eastAsia="es-MX"/>
        </w:rPr>
      </w:pPr>
    </w:p>
    <w:p w:rsidR="005A6477" w:rsidRPr="002E21A2" w:rsidRDefault="002E21A2" w:rsidP="002E21A2">
      <w:pPr>
        <w:autoSpaceDE w:val="0"/>
        <w:autoSpaceDN w:val="0"/>
        <w:adjustRightInd w:val="0"/>
        <w:jc w:val="both"/>
        <w:rPr>
          <w:rFonts w:eastAsia="Calibri"/>
          <w:color w:val="000000"/>
          <w:sz w:val="23"/>
          <w:szCs w:val="23"/>
          <w:lang w:val="es-GT" w:eastAsia="es-MX"/>
        </w:rPr>
      </w:pPr>
      <w:r w:rsidRPr="002E21A2">
        <w:rPr>
          <w:rFonts w:eastAsia="Calibri"/>
          <w:color w:val="000000"/>
          <w:sz w:val="23"/>
          <w:szCs w:val="23"/>
          <w:lang w:val="es-GT" w:eastAsia="es-MX"/>
        </w:rPr>
        <w:t>Dichos productos, en su conjunto, representa</w:t>
      </w:r>
      <w:r w:rsidR="00F449F6">
        <w:rPr>
          <w:rFonts w:eastAsia="Calibri"/>
          <w:color w:val="000000"/>
          <w:sz w:val="23"/>
          <w:szCs w:val="23"/>
          <w:lang w:val="es-GT" w:eastAsia="es-MX"/>
        </w:rPr>
        <w:t>ron</w:t>
      </w:r>
      <w:r w:rsidRPr="002E21A2">
        <w:rPr>
          <w:rFonts w:eastAsia="Calibri"/>
          <w:color w:val="000000"/>
          <w:sz w:val="23"/>
          <w:szCs w:val="23"/>
          <w:lang w:val="es-GT" w:eastAsia="es-MX"/>
        </w:rPr>
        <w:t xml:space="preserve"> el 40.6</w:t>
      </w:r>
      <w:r w:rsidR="004277FE">
        <w:rPr>
          <w:rFonts w:eastAsia="Calibri"/>
          <w:color w:val="000000"/>
          <w:sz w:val="23"/>
          <w:szCs w:val="23"/>
          <w:lang w:val="es-GT" w:eastAsia="es-MX"/>
        </w:rPr>
        <w:t>%</w:t>
      </w:r>
      <w:r w:rsidRPr="002E21A2">
        <w:rPr>
          <w:rFonts w:eastAsia="Calibri"/>
          <w:color w:val="000000"/>
          <w:sz w:val="23"/>
          <w:szCs w:val="23"/>
          <w:lang w:val="es-GT" w:eastAsia="es-MX"/>
        </w:rPr>
        <w:t xml:space="preserve"> del total de mercadería</w:t>
      </w:r>
      <w:r w:rsidR="004277FE">
        <w:rPr>
          <w:rFonts w:eastAsia="Calibri"/>
          <w:color w:val="000000"/>
          <w:sz w:val="23"/>
          <w:szCs w:val="23"/>
          <w:lang w:val="es-GT" w:eastAsia="es-MX"/>
        </w:rPr>
        <w:t>s</w:t>
      </w:r>
      <w:r w:rsidRPr="002E21A2">
        <w:rPr>
          <w:rFonts w:eastAsia="Calibri"/>
          <w:color w:val="000000"/>
          <w:sz w:val="23"/>
          <w:szCs w:val="23"/>
          <w:lang w:val="es-GT" w:eastAsia="es-MX"/>
        </w:rPr>
        <w:t xml:space="preserve"> comercializada</w:t>
      </w:r>
      <w:r w:rsidR="004277FE">
        <w:rPr>
          <w:rFonts w:eastAsia="Calibri"/>
          <w:color w:val="000000"/>
          <w:sz w:val="23"/>
          <w:szCs w:val="23"/>
          <w:lang w:val="es-GT" w:eastAsia="es-MX"/>
        </w:rPr>
        <w:t>s</w:t>
      </w:r>
      <w:r w:rsidRPr="002E21A2">
        <w:rPr>
          <w:rFonts w:eastAsia="Calibri"/>
          <w:color w:val="000000"/>
          <w:sz w:val="23"/>
          <w:szCs w:val="23"/>
          <w:lang w:val="es-GT" w:eastAsia="es-MX"/>
        </w:rPr>
        <w:t xml:space="preserve"> a nivel internacional, </w:t>
      </w:r>
      <w:r w:rsidR="00F449F6">
        <w:rPr>
          <w:rFonts w:eastAsia="Calibri"/>
          <w:color w:val="000000"/>
          <w:sz w:val="23"/>
          <w:szCs w:val="23"/>
          <w:lang w:val="es-GT" w:eastAsia="es-MX"/>
        </w:rPr>
        <w:t>teniendo como</w:t>
      </w:r>
      <w:r w:rsidRPr="002E21A2">
        <w:rPr>
          <w:rFonts w:eastAsia="Calibri"/>
          <w:color w:val="000000"/>
          <w:sz w:val="23"/>
          <w:szCs w:val="23"/>
          <w:lang w:val="es-GT" w:eastAsia="es-MX"/>
        </w:rPr>
        <w:t xml:space="preserve"> principales destinos </w:t>
      </w:r>
      <w:r w:rsidR="004277FE">
        <w:rPr>
          <w:rFonts w:eastAsia="Calibri"/>
          <w:color w:val="000000"/>
          <w:sz w:val="23"/>
          <w:szCs w:val="23"/>
          <w:lang w:val="es-GT" w:eastAsia="es-MX"/>
        </w:rPr>
        <w:t xml:space="preserve">los </w:t>
      </w:r>
      <w:r w:rsidRPr="002E21A2">
        <w:rPr>
          <w:rFonts w:eastAsia="Calibri"/>
          <w:color w:val="000000"/>
          <w:sz w:val="23"/>
          <w:szCs w:val="23"/>
          <w:lang w:val="es-GT" w:eastAsia="es-MX"/>
        </w:rPr>
        <w:t xml:space="preserve">Estados Unidos de </w:t>
      </w:r>
      <w:r w:rsidR="004277FE">
        <w:rPr>
          <w:rFonts w:eastAsia="Calibri"/>
          <w:color w:val="000000"/>
          <w:sz w:val="23"/>
          <w:szCs w:val="23"/>
          <w:lang w:val="es-GT" w:eastAsia="es-MX"/>
        </w:rPr>
        <w:t>A</w:t>
      </w:r>
      <w:r w:rsidRPr="002E21A2">
        <w:rPr>
          <w:rFonts w:eastAsia="Calibri"/>
          <w:color w:val="000000"/>
          <w:sz w:val="23"/>
          <w:szCs w:val="23"/>
          <w:lang w:val="es-GT" w:eastAsia="es-MX"/>
        </w:rPr>
        <w:t>mérica US$1,659.5 millones (34.1%); Centroamérica US$1,271.0 millones (26.1%); Zona Euro US$380.8 millones (7.8%); México US$194.9 millones (4.0%); y, Canadá US$128.4 millones (2.7%).</w:t>
      </w:r>
    </w:p>
    <w:p w:rsidR="00CC1383" w:rsidRDefault="00CC1383" w:rsidP="005A6477">
      <w:pPr>
        <w:jc w:val="both"/>
        <w:rPr>
          <w:lang w:val="es-MX"/>
        </w:rPr>
      </w:pPr>
    </w:p>
    <w:p w:rsidR="005A6477" w:rsidRDefault="00F449F6" w:rsidP="005A6477">
      <w:pPr>
        <w:jc w:val="both"/>
        <w:rPr>
          <w:lang w:val="es-MX"/>
        </w:rPr>
      </w:pPr>
      <w:r w:rsidRPr="00F449F6">
        <w:rPr>
          <w:lang w:val="es-MX"/>
        </w:rPr>
        <w:t xml:space="preserve">En virtud de este comportamiento, el </w:t>
      </w:r>
      <w:r w:rsidR="00CC1383">
        <w:rPr>
          <w:lang w:val="es-MX"/>
        </w:rPr>
        <w:t>Ban</w:t>
      </w:r>
      <w:r w:rsidR="00677DE5">
        <w:rPr>
          <w:lang w:val="es-MX"/>
        </w:rPr>
        <w:t>co de Guatemala</w:t>
      </w:r>
      <w:r w:rsidRPr="00F449F6">
        <w:rPr>
          <w:lang w:val="es-MX"/>
        </w:rPr>
        <w:t xml:space="preserve"> estima</w:t>
      </w:r>
      <w:r>
        <w:rPr>
          <w:lang w:val="es-MX"/>
        </w:rPr>
        <w:t>ba</w:t>
      </w:r>
      <w:r w:rsidRPr="00F449F6">
        <w:rPr>
          <w:lang w:val="es-MX"/>
        </w:rPr>
        <w:t xml:space="preserve"> cerrar </w:t>
      </w:r>
      <w:r>
        <w:rPr>
          <w:lang w:val="es-MX"/>
        </w:rPr>
        <w:t xml:space="preserve">el 2017 </w:t>
      </w:r>
      <w:r w:rsidRPr="00F449F6">
        <w:rPr>
          <w:lang w:val="es-MX"/>
        </w:rPr>
        <w:t xml:space="preserve">con exportaciones por un monto total de US$11,161.8 millones, </w:t>
      </w:r>
      <w:r w:rsidR="00FC6367">
        <w:rPr>
          <w:lang w:val="es-MX"/>
        </w:rPr>
        <w:t xml:space="preserve">superior </w:t>
      </w:r>
      <w:r w:rsidRPr="00F449F6">
        <w:rPr>
          <w:lang w:val="es-MX"/>
        </w:rPr>
        <w:t>en 5.5</w:t>
      </w:r>
      <w:r>
        <w:rPr>
          <w:lang w:val="es-MX"/>
        </w:rPr>
        <w:t>%</w:t>
      </w:r>
      <w:r w:rsidRPr="00F449F6">
        <w:rPr>
          <w:lang w:val="es-MX"/>
        </w:rPr>
        <w:t>, con relación al cierre de 2016</w:t>
      </w:r>
      <w:r w:rsidR="00677DE5">
        <w:rPr>
          <w:lang w:val="es-MX"/>
        </w:rPr>
        <w:t>,</w:t>
      </w:r>
      <w:r w:rsidRPr="00F449F6">
        <w:rPr>
          <w:lang w:val="es-MX"/>
        </w:rPr>
        <w:t xml:space="preserve"> </w:t>
      </w:r>
      <w:r w:rsidR="00677DE5">
        <w:rPr>
          <w:lang w:val="es-MX"/>
        </w:rPr>
        <w:t>con</w:t>
      </w:r>
      <w:r>
        <w:rPr>
          <w:lang w:val="es-MX"/>
        </w:rPr>
        <w:t xml:space="preserve"> base </w:t>
      </w:r>
      <w:r w:rsidR="00677DE5">
        <w:rPr>
          <w:lang w:val="es-MX"/>
        </w:rPr>
        <w:t>en</w:t>
      </w:r>
      <w:r>
        <w:rPr>
          <w:lang w:val="es-MX"/>
        </w:rPr>
        <w:t xml:space="preserve"> lo cual estimaba para 2018 un monto cercano a</w:t>
      </w:r>
      <w:r w:rsidRPr="00F449F6">
        <w:rPr>
          <w:lang w:val="es-MX"/>
        </w:rPr>
        <w:t xml:space="preserve"> US$11,831.5 millones</w:t>
      </w:r>
      <w:r>
        <w:rPr>
          <w:lang w:val="es-MX"/>
        </w:rPr>
        <w:t xml:space="preserve">. El cierre de 2017 reportó exportaciones por </w:t>
      </w:r>
      <w:r w:rsidRPr="00F449F6">
        <w:rPr>
          <w:lang w:val="es-MX"/>
        </w:rPr>
        <w:t>un monto total de US$</w:t>
      </w:r>
      <w:r>
        <w:rPr>
          <w:lang w:val="es-MX"/>
        </w:rPr>
        <w:t>10,981.6 superior en 5.1%</w:t>
      </w:r>
      <w:r w:rsidR="00FC6367">
        <w:rPr>
          <w:lang w:val="es-MX"/>
        </w:rPr>
        <w:t xml:space="preserve"> a lo registrado en 2016, por lo que se prevé que para final</w:t>
      </w:r>
      <w:r w:rsidR="00677DE5">
        <w:rPr>
          <w:lang w:val="es-MX"/>
        </w:rPr>
        <w:t>es</w:t>
      </w:r>
      <w:r w:rsidR="00FC6367">
        <w:rPr>
          <w:lang w:val="es-MX"/>
        </w:rPr>
        <w:t xml:space="preserve"> de 2018, se encuentren dentro del rango proyectado.</w:t>
      </w:r>
    </w:p>
    <w:p w:rsidR="00F449F6" w:rsidRDefault="00F449F6" w:rsidP="005A6477">
      <w:pPr>
        <w:jc w:val="both"/>
        <w:rPr>
          <w:lang w:val="es-MX"/>
        </w:rPr>
      </w:pPr>
    </w:p>
    <w:p w:rsidR="00FC6367" w:rsidRDefault="00FC6367" w:rsidP="005A6477">
      <w:pPr>
        <w:shd w:val="clear" w:color="auto" w:fill="FFFFFF"/>
        <w:jc w:val="both"/>
        <w:rPr>
          <w:lang w:val="es-MX"/>
        </w:rPr>
      </w:pPr>
      <w:r>
        <w:rPr>
          <w:lang w:val="es-MX"/>
        </w:rPr>
        <w:t xml:space="preserve">Respecto </w:t>
      </w:r>
      <w:r w:rsidR="005A6477">
        <w:rPr>
          <w:lang w:val="es-MX"/>
        </w:rPr>
        <w:t>de las importaciones</w:t>
      </w:r>
      <w:r>
        <w:rPr>
          <w:lang w:val="es-MX"/>
        </w:rPr>
        <w:t>, de acuerdo con</w:t>
      </w:r>
      <w:r w:rsidR="005A6477">
        <w:rPr>
          <w:lang w:val="es-MX"/>
        </w:rPr>
        <w:t xml:space="preserve"> </w:t>
      </w:r>
      <w:r w:rsidRPr="00FC6367">
        <w:rPr>
          <w:lang w:val="es-MX"/>
        </w:rPr>
        <w:t xml:space="preserve">el </w:t>
      </w:r>
      <w:r w:rsidR="00CC1383">
        <w:rPr>
          <w:lang w:val="es-MX"/>
        </w:rPr>
        <w:t>Ban</w:t>
      </w:r>
      <w:r w:rsidR="00D16254">
        <w:rPr>
          <w:lang w:val="es-MX"/>
        </w:rPr>
        <w:t>co de Guatemala</w:t>
      </w:r>
      <w:r w:rsidRPr="00FC6367">
        <w:rPr>
          <w:lang w:val="es-MX"/>
        </w:rPr>
        <w:t xml:space="preserve"> </w:t>
      </w:r>
      <w:r>
        <w:rPr>
          <w:lang w:val="es-MX"/>
        </w:rPr>
        <w:t>las estimaciones par</w:t>
      </w:r>
      <w:r w:rsidRPr="00FC6367">
        <w:rPr>
          <w:lang w:val="es-MX"/>
        </w:rPr>
        <w:t xml:space="preserve">a </w:t>
      </w:r>
      <w:r w:rsidR="00093969">
        <w:rPr>
          <w:lang w:val="es-MX"/>
        </w:rPr>
        <w:t xml:space="preserve">el </w:t>
      </w:r>
      <w:r w:rsidRPr="00FC6367">
        <w:rPr>
          <w:lang w:val="es-MX"/>
        </w:rPr>
        <w:t xml:space="preserve">2017 </w:t>
      </w:r>
      <w:r>
        <w:rPr>
          <w:lang w:val="es-MX"/>
        </w:rPr>
        <w:t xml:space="preserve">se situaban en </w:t>
      </w:r>
      <w:r w:rsidRPr="00FC6367">
        <w:rPr>
          <w:lang w:val="es-MX"/>
        </w:rPr>
        <w:t xml:space="preserve">US$16,552.5 millones, </w:t>
      </w:r>
      <w:r w:rsidR="005F327E">
        <w:rPr>
          <w:lang w:val="es-MX"/>
        </w:rPr>
        <w:t xml:space="preserve">lo que representaría un incremento del 5.0% respecto de 2016. </w:t>
      </w:r>
      <w:r w:rsidR="00093969" w:rsidRPr="00FC6367">
        <w:rPr>
          <w:lang w:val="es-MX"/>
        </w:rPr>
        <w:t xml:space="preserve">Asimismo, </w:t>
      </w:r>
      <w:r w:rsidR="00093969">
        <w:rPr>
          <w:lang w:val="es-MX"/>
        </w:rPr>
        <w:t xml:space="preserve">el escenario </w:t>
      </w:r>
      <w:r w:rsidR="00093969" w:rsidRPr="00FC6367">
        <w:rPr>
          <w:lang w:val="es-MX"/>
        </w:rPr>
        <w:t>prev</w:t>
      </w:r>
      <w:r w:rsidR="00093969">
        <w:rPr>
          <w:lang w:val="es-MX"/>
        </w:rPr>
        <w:t>eía</w:t>
      </w:r>
      <w:r w:rsidR="00093969" w:rsidRPr="00FC6367">
        <w:rPr>
          <w:lang w:val="es-MX"/>
        </w:rPr>
        <w:t xml:space="preserve"> para 2018 </w:t>
      </w:r>
      <w:r w:rsidR="00093969">
        <w:rPr>
          <w:lang w:val="es-MX"/>
        </w:rPr>
        <w:t xml:space="preserve">un monto de </w:t>
      </w:r>
      <w:r w:rsidR="00093969" w:rsidRPr="00FC6367">
        <w:rPr>
          <w:lang w:val="es-MX"/>
        </w:rPr>
        <w:t>US$17,545.7 millones.</w:t>
      </w:r>
      <w:r w:rsidR="00093969">
        <w:rPr>
          <w:lang w:val="es-MX"/>
        </w:rPr>
        <w:t xml:space="preserve"> </w:t>
      </w:r>
      <w:r w:rsidR="005F327E">
        <w:rPr>
          <w:lang w:val="es-MX"/>
        </w:rPr>
        <w:t>E</w:t>
      </w:r>
      <w:r>
        <w:rPr>
          <w:lang w:val="es-MX"/>
        </w:rPr>
        <w:t xml:space="preserve">l cierre de 2017 registró </w:t>
      </w:r>
      <w:r w:rsidRPr="00FC6367">
        <w:rPr>
          <w:lang w:val="es-MX"/>
        </w:rPr>
        <w:t>US$</w:t>
      </w:r>
      <w:r>
        <w:rPr>
          <w:lang w:val="es-MX"/>
        </w:rPr>
        <w:t xml:space="preserve">18,389.7 </w:t>
      </w:r>
      <w:r w:rsidR="005F327E">
        <w:rPr>
          <w:lang w:val="es-MX"/>
        </w:rPr>
        <w:t xml:space="preserve">que </w:t>
      </w:r>
      <w:r w:rsidRPr="00FC6367">
        <w:rPr>
          <w:lang w:val="es-MX"/>
        </w:rPr>
        <w:t xml:space="preserve">representa un incremento de </w:t>
      </w:r>
      <w:r w:rsidR="005F327E">
        <w:rPr>
          <w:lang w:val="es-MX"/>
        </w:rPr>
        <w:t>8.2</w:t>
      </w:r>
      <w:r w:rsidR="00D16254">
        <w:rPr>
          <w:lang w:val="es-MX"/>
        </w:rPr>
        <w:t>%</w:t>
      </w:r>
      <w:r w:rsidRPr="00FC6367">
        <w:rPr>
          <w:lang w:val="es-MX"/>
        </w:rPr>
        <w:t>, con rela</w:t>
      </w:r>
      <w:r w:rsidR="00093969">
        <w:rPr>
          <w:lang w:val="es-MX"/>
        </w:rPr>
        <w:t xml:space="preserve">ción al total reflejado en 2016, lo que hace previsible que se alcance el monto proyectado </w:t>
      </w:r>
      <w:r w:rsidR="00D16254">
        <w:rPr>
          <w:lang w:val="es-MX"/>
        </w:rPr>
        <w:t>para</w:t>
      </w:r>
      <w:r w:rsidR="00093969">
        <w:rPr>
          <w:lang w:val="es-MX"/>
        </w:rPr>
        <w:t xml:space="preserve"> 2018.</w:t>
      </w:r>
      <w:r w:rsidRPr="00FC6367">
        <w:rPr>
          <w:lang w:val="es-MX"/>
        </w:rPr>
        <w:t xml:space="preserve"> </w:t>
      </w:r>
    </w:p>
    <w:p w:rsidR="00FC6367" w:rsidRDefault="00FC6367" w:rsidP="005A6477">
      <w:pPr>
        <w:shd w:val="clear" w:color="auto" w:fill="FFFFFF"/>
        <w:jc w:val="both"/>
        <w:rPr>
          <w:lang w:val="es-MX"/>
        </w:rPr>
      </w:pPr>
    </w:p>
    <w:p w:rsidR="005A6477" w:rsidRDefault="005A6477" w:rsidP="005A6477">
      <w:pPr>
        <w:autoSpaceDE w:val="0"/>
        <w:autoSpaceDN w:val="0"/>
        <w:adjustRightInd w:val="0"/>
        <w:jc w:val="both"/>
        <w:rPr>
          <w:lang w:val="es-MX"/>
        </w:rPr>
      </w:pPr>
      <w:r>
        <w:rPr>
          <w:lang w:val="es-MX"/>
        </w:rPr>
        <w:t xml:space="preserve">Por su parte, </w:t>
      </w:r>
      <w:r w:rsidR="00817D71">
        <w:rPr>
          <w:lang w:val="es-MX"/>
        </w:rPr>
        <w:t xml:space="preserve">las remesas familiares durante el 2017 </w:t>
      </w:r>
      <w:r>
        <w:rPr>
          <w:lang w:val="es-MX"/>
        </w:rPr>
        <w:t xml:space="preserve">se ubicaron en </w:t>
      </w:r>
      <w:r w:rsidR="007A265A">
        <w:rPr>
          <w:lang w:val="es-MX"/>
        </w:rPr>
        <w:t>US$</w:t>
      </w:r>
      <w:r w:rsidR="00817D71">
        <w:rPr>
          <w:lang w:val="es-MX"/>
        </w:rPr>
        <w:t xml:space="preserve">8,192.2 </w:t>
      </w:r>
      <w:r>
        <w:rPr>
          <w:lang w:val="es-MX"/>
        </w:rPr>
        <w:t>millones, registra</w:t>
      </w:r>
      <w:r w:rsidRPr="002B59D6">
        <w:rPr>
          <w:lang w:val="es-MX"/>
        </w:rPr>
        <w:t>n</w:t>
      </w:r>
      <w:r>
        <w:rPr>
          <w:lang w:val="es-MX"/>
        </w:rPr>
        <w:t xml:space="preserve">do </w:t>
      </w:r>
      <w:r w:rsidRPr="002B59D6">
        <w:rPr>
          <w:lang w:val="es-MX"/>
        </w:rPr>
        <w:t xml:space="preserve">un crecimiento de </w:t>
      </w:r>
      <w:r w:rsidR="00817D71">
        <w:rPr>
          <w:lang w:val="es-MX"/>
        </w:rPr>
        <w:t>14.4</w:t>
      </w:r>
      <w:r w:rsidRPr="002B59D6">
        <w:rPr>
          <w:lang w:val="es-MX"/>
        </w:rPr>
        <w:t xml:space="preserve">%, </w:t>
      </w:r>
      <w:r w:rsidR="00817D71">
        <w:rPr>
          <w:lang w:val="es-MX"/>
        </w:rPr>
        <w:t>producto</w:t>
      </w:r>
      <w:r>
        <w:rPr>
          <w:lang w:val="es-MX"/>
        </w:rPr>
        <w:t xml:space="preserve"> de la recuperación económica y mejora en el empleo en los Estados Unidos de América. Para el primer semestre </w:t>
      </w:r>
      <w:r w:rsidR="007A265A">
        <w:rPr>
          <w:lang w:val="es-MX"/>
        </w:rPr>
        <w:t xml:space="preserve">de </w:t>
      </w:r>
      <w:r>
        <w:rPr>
          <w:lang w:val="es-MX"/>
        </w:rPr>
        <w:t>201</w:t>
      </w:r>
      <w:r w:rsidR="00817D71">
        <w:rPr>
          <w:lang w:val="es-MX"/>
        </w:rPr>
        <w:t>8</w:t>
      </w:r>
      <w:r w:rsidR="007A265A">
        <w:rPr>
          <w:lang w:val="es-MX"/>
        </w:rPr>
        <w:t>,</w:t>
      </w:r>
      <w:r>
        <w:rPr>
          <w:lang w:val="es-MX"/>
        </w:rPr>
        <w:t xml:space="preserve"> se observa un monto acumulado de </w:t>
      </w:r>
      <w:r w:rsidR="007A265A">
        <w:rPr>
          <w:lang w:val="es-MX"/>
        </w:rPr>
        <w:t>US$</w:t>
      </w:r>
      <w:r>
        <w:rPr>
          <w:lang w:val="es-MX"/>
        </w:rPr>
        <w:t>4,</w:t>
      </w:r>
      <w:r w:rsidR="00817D71">
        <w:rPr>
          <w:lang w:val="es-MX"/>
        </w:rPr>
        <w:t>399.0</w:t>
      </w:r>
      <w:r>
        <w:rPr>
          <w:lang w:val="es-MX"/>
        </w:rPr>
        <w:t xml:space="preserve"> millones</w:t>
      </w:r>
      <w:r w:rsidR="00817D71">
        <w:rPr>
          <w:lang w:val="es-MX"/>
        </w:rPr>
        <w:t xml:space="preserve"> que supera en 8.6% el acumulado a junio de 2017</w:t>
      </w:r>
      <w:r w:rsidR="00FE311E">
        <w:rPr>
          <w:lang w:val="es-MX"/>
        </w:rPr>
        <w:t>, por lo que se</w:t>
      </w:r>
      <w:r w:rsidRPr="00365EDA">
        <w:rPr>
          <w:lang w:val="es-MX"/>
        </w:rPr>
        <w:t xml:space="preserve"> </w:t>
      </w:r>
      <w:r>
        <w:rPr>
          <w:lang w:val="es-MX"/>
        </w:rPr>
        <w:t xml:space="preserve">estima </w:t>
      </w:r>
      <w:r w:rsidRPr="00365EDA">
        <w:rPr>
          <w:lang w:val="es-MX"/>
        </w:rPr>
        <w:t xml:space="preserve">que </w:t>
      </w:r>
      <w:r>
        <w:rPr>
          <w:lang w:val="es-MX"/>
        </w:rPr>
        <w:t xml:space="preserve">al final </w:t>
      </w:r>
      <w:r w:rsidRPr="00365EDA">
        <w:rPr>
          <w:lang w:val="es-MX"/>
        </w:rPr>
        <w:t xml:space="preserve">de </w:t>
      </w:r>
      <w:r w:rsidR="00FE311E">
        <w:rPr>
          <w:lang w:val="es-MX"/>
        </w:rPr>
        <w:t xml:space="preserve">2018 </w:t>
      </w:r>
      <w:r>
        <w:rPr>
          <w:lang w:val="es-MX"/>
        </w:rPr>
        <w:t xml:space="preserve">se sitúen </w:t>
      </w:r>
      <w:r w:rsidR="00FE311E">
        <w:rPr>
          <w:lang w:val="es-MX"/>
        </w:rPr>
        <w:t xml:space="preserve">en </w:t>
      </w:r>
      <w:r w:rsidRPr="00365EDA">
        <w:rPr>
          <w:lang w:val="es-MX"/>
        </w:rPr>
        <w:t>alrededor de US$</w:t>
      </w:r>
      <w:r w:rsidR="00FE311E">
        <w:rPr>
          <w:lang w:val="es-MX"/>
        </w:rPr>
        <w:t>9,0</w:t>
      </w:r>
      <w:r w:rsidRPr="00365EDA">
        <w:rPr>
          <w:lang w:val="es-MX"/>
        </w:rPr>
        <w:t>00 millones</w:t>
      </w:r>
      <w:r>
        <w:rPr>
          <w:lang w:val="es-MX"/>
        </w:rPr>
        <w:t>.</w:t>
      </w:r>
    </w:p>
    <w:p w:rsidR="005A6477" w:rsidRDefault="005A6477" w:rsidP="005A6477">
      <w:pPr>
        <w:jc w:val="both"/>
        <w:rPr>
          <w:sz w:val="20"/>
          <w:lang w:val="es-MX"/>
        </w:rPr>
      </w:pPr>
    </w:p>
    <w:p w:rsidR="004277FE" w:rsidRPr="00680C5C" w:rsidRDefault="004277FE" w:rsidP="005A6477">
      <w:pPr>
        <w:jc w:val="both"/>
        <w:rPr>
          <w:sz w:val="20"/>
          <w:lang w:val="es-MX"/>
        </w:rPr>
      </w:pPr>
    </w:p>
    <w:p w:rsidR="005A6477" w:rsidRPr="0088577C" w:rsidRDefault="005A6477" w:rsidP="0088577C">
      <w:pPr>
        <w:pStyle w:val="Prrafodelista"/>
        <w:ind w:left="360"/>
        <w:jc w:val="center"/>
        <w:rPr>
          <w:b/>
          <w:sz w:val="22"/>
          <w:lang w:val="es-MX"/>
        </w:rPr>
      </w:pPr>
      <w:r w:rsidRPr="0088577C">
        <w:rPr>
          <w:b/>
          <w:sz w:val="22"/>
          <w:lang w:val="es-MX"/>
        </w:rPr>
        <w:t xml:space="preserve">Gráfica </w:t>
      </w:r>
      <w:r w:rsidR="004346F1">
        <w:rPr>
          <w:b/>
          <w:sz w:val="22"/>
          <w:lang w:val="es-MX"/>
        </w:rPr>
        <w:t>6</w:t>
      </w:r>
    </w:p>
    <w:p w:rsidR="005A6477" w:rsidRPr="0088577C" w:rsidRDefault="007A265A" w:rsidP="0088577C">
      <w:pPr>
        <w:pStyle w:val="Prrafodelista"/>
        <w:ind w:left="360"/>
        <w:jc w:val="center"/>
        <w:rPr>
          <w:b/>
          <w:sz w:val="22"/>
          <w:lang w:val="es-MX"/>
        </w:rPr>
      </w:pPr>
      <w:r>
        <w:rPr>
          <w:b/>
          <w:sz w:val="22"/>
          <w:lang w:val="es-MX"/>
        </w:rPr>
        <w:t>Guatemala: Remesas Familiares</w:t>
      </w:r>
    </w:p>
    <w:p w:rsidR="005A6477" w:rsidRDefault="00CC1383" w:rsidP="0088577C">
      <w:pPr>
        <w:pStyle w:val="Prrafodelista"/>
        <w:ind w:left="360"/>
        <w:jc w:val="center"/>
        <w:rPr>
          <w:b/>
          <w:sz w:val="22"/>
          <w:lang w:val="es-MX"/>
        </w:rPr>
      </w:pPr>
      <w:r>
        <w:rPr>
          <w:b/>
          <w:sz w:val="22"/>
          <w:lang w:val="es-MX"/>
        </w:rPr>
        <w:t xml:space="preserve">En </w:t>
      </w:r>
      <w:r w:rsidR="00E6017A">
        <w:rPr>
          <w:b/>
          <w:sz w:val="22"/>
          <w:lang w:val="es-MX"/>
        </w:rPr>
        <w:t>M</w:t>
      </w:r>
      <w:r>
        <w:rPr>
          <w:b/>
          <w:sz w:val="22"/>
          <w:lang w:val="es-MX"/>
        </w:rPr>
        <w:t>illones de US</w:t>
      </w:r>
      <w:r w:rsidR="007A265A">
        <w:rPr>
          <w:b/>
          <w:sz w:val="22"/>
          <w:lang w:val="es-MX"/>
        </w:rPr>
        <w:t>$</w:t>
      </w:r>
    </w:p>
    <w:p w:rsidR="005A6477" w:rsidRDefault="00CC1383" w:rsidP="00CC1383">
      <w:pPr>
        <w:jc w:val="center"/>
        <w:rPr>
          <w:noProof/>
        </w:rPr>
      </w:pPr>
      <w:r>
        <w:rPr>
          <w:noProof/>
          <w:lang w:val="es-GT" w:eastAsia="es-GT"/>
        </w:rPr>
        <w:drawing>
          <wp:inline distT="0" distB="0" distL="0" distR="0" wp14:anchorId="1DE8EFDE" wp14:editId="0C46DACA">
            <wp:extent cx="4691269" cy="3530379"/>
            <wp:effectExtent l="0" t="0" r="0"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A6477" w:rsidRPr="00E021FF" w:rsidRDefault="0025165B" w:rsidP="00CC1383">
      <w:pPr>
        <w:jc w:val="both"/>
        <w:rPr>
          <w:sz w:val="16"/>
          <w:lang w:val="es-MX"/>
        </w:rPr>
      </w:pPr>
      <w:r>
        <w:rPr>
          <w:sz w:val="16"/>
          <w:lang w:val="es-MX"/>
        </w:rPr>
        <w:t xml:space="preserve">                </w:t>
      </w:r>
      <w:r w:rsidR="007A265A">
        <w:rPr>
          <w:sz w:val="16"/>
          <w:lang w:val="es-MX"/>
        </w:rPr>
        <w:t xml:space="preserve"> </w:t>
      </w:r>
      <w:r>
        <w:rPr>
          <w:sz w:val="16"/>
          <w:lang w:val="es-MX"/>
        </w:rPr>
        <w:t xml:space="preserve">       </w:t>
      </w:r>
      <w:r w:rsidR="005A6477" w:rsidRPr="00E021FF">
        <w:rPr>
          <w:sz w:val="16"/>
          <w:lang w:val="es-MX"/>
        </w:rPr>
        <w:t>Fuente</w:t>
      </w:r>
      <w:r w:rsidR="00CC1383" w:rsidRPr="00E021FF">
        <w:rPr>
          <w:sz w:val="16"/>
          <w:lang w:val="es-MX"/>
        </w:rPr>
        <w:t>: Cifras del Banco de Guatemala</w:t>
      </w:r>
      <w:r>
        <w:rPr>
          <w:sz w:val="16"/>
          <w:lang w:val="es-MX"/>
        </w:rPr>
        <w:t>.</w:t>
      </w:r>
    </w:p>
    <w:p w:rsidR="00CC1383" w:rsidRPr="00E021FF" w:rsidRDefault="0025165B" w:rsidP="00CC1383">
      <w:pPr>
        <w:jc w:val="both"/>
        <w:rPr>
          <w:sz w:val="16"/>
          <w:lang w:val="es-MX"/>
        </w:rPr>
      </w:pPr>
      <w:r>
        <w:rPr>
          <w:sz w:val="16"/>
          <w:lang w:val="es-MX"/>
        </w:rPr>
        <w:t xml:space="preserve">               </w:t>
      </w:r>
      <w:r w:rsidR="007A265A">
        <w:rPr>
          <w:sz w:val="16"/>
          <w:lang w:val="es-MX"/>
        </w:rPr>
        <w:t xml:space="preserve">  </w:t>
      </w:r>
      <w:r>
        <w:rPr>
          <w:sz w:val="16"/>
          <w:lang w:val="es-MX"/>
        </w:rPr>
        <w:t xml:space="preserve">       </w:t>
      </w:r>
      <w:r w:rsidR="00CC1383" w:rsidRPr="00E021FF">
        <w:rPr>
          <w:sz w:val="16"/>
          <w:lang w:val="es-MX"/>
        </w:rPr>
        <w:t>*</w:t>
      </w:r>
      <w:r w:rsidR="007A265A">
        <w:rPr>
          <w:sz w:val="16"/>
          <w:lang w:val="es-MX"/>
        </w:rPr>
        <w:t>A</w:t>
      </w:r>
      <w:r w:rsidR="00CC1383" w:rsidRPr="00E021FF">
        <w:rPr>
          <w:sz w:val="16"/>
          <w:lang w:val="es-MX"/>
        </w:rPr>
        <w:t>cumulado a junio de 2018.</w:t>
      </w:r>
    </w:p>
    <w:p w:rsidR="00AB0496" w:rsidRDefault="00AB0496" w:rsidP="00CC1383">
      <w:pPr>
        <w:jc w:val="both"/>
        <w:rPr>
          <w:noProof/>
          <w:sz w:val="18"/>
        </w:rPr>
      </w:pPr>
    </w:p>
    <w:p w:rsidR="00AB0496" w:rsidRDefault="00AB0496" w:rsidP="00CC1383">
      <w:pPr>
        <w:jc w:val="both"/>
        <w:rPr>
          <w:noProof/>
          <w:sz w:val="18"/>
        </w:rPr>
      </w:pPr>
    </w:p>
    <w:p w:rsidR="00AB0496" w:rsidRDefault="00AB0496" w:rsidP="00CC1383">
      <w:pPr>
        <w:jc w:val="both"/>
        <w:rPr>
          <w:noProof/>
          <w:sz w:val="18"/>
        </w:rPr>
      </w:pPr>
    </w:p>
    <w:p w:rsidR="00AB0496" w:rsidRDefault="00AB0496" w:rsidP="00CC1383">
      <w:pPr>
        <w:jc w:val="both"/>
        <w:rPr>
          <w:noProof/>
          <w:sz w:val="18"/>
        </w:rPr>
      </w:pPr>
    </w:p>
    <w:p w:rsidR="00AB0496" w:rsidRPr="00680C5C" w:rsidRDefault="00AB0496" w:rsidP="00AB0496">
      <w:pPr>
        <w:pStyle w:val="Ttulo1"/>
        <w:numPr>
          <w:ilvl w:val="0"/>
          <w:numId w:val="2"/>
        </w:numPr>
        <w:suppressAutoHyphens/>
        <w:ind w:left="709"/>
      </w:pPr>
      <w:bookmarkStart w:id="8" w:name="_Toc395534109"/>
      <w:bookmarkStart w:id="9" w:name="_Toc494447076"/>
      <w:bookmarkStart w:id="10" w:name="_Toc525824403"/>
      <w:r w:rsidRPr="00680C5C">
        <w:t>Situación Financiera de la Administración Central</w:t>
      </w:r>
      <w:bookmarkEnd w:id="8"/>
      <w:bookmarkEnd w:id="9"/>
      <w:bookmarkEnd w:id="10"/>
    </w:p>
    <w:p w:rsidR="00AB0496" w:rsidRPr="00835314" w:rsidRDefault="00AB0496" w:rsidP="00AB0496">
      <w:pPr>
        <w:pStyle w:val="Ttulo2"/>
        <w:rPr>
          <w:rFonts w:ascii="Times New Roman" w:hAnsi="Times New Roman"/>
          <w:color w:val="auto"/>
          <w:sz w:val="24"/>
        </w:rPr>
      </w:pPr>
      <w:bookmarkStart w:id="11" w:name="_Toc395534110"/>
      <w:bookmarkStart w:id="12" w:name="_Toc494447077"/>
      <w:bookmarkStart w:id="13" w:name="_Toc525824404"/>
      <w:r w:rsidRPr="00835314">
        <w:rPr>
          <w:rFonts w:ascii="Times New Roman" w:hAnsi="Times New Roman"/>
          <w:color w:val="auto"/>
          <w:sz w:val="24"/>
        </w:rPr>
        <w:t>Ingresos</w:t>
      </w:r>
      <w:bookmarkEnd w:id="11"/>
      <w:bookmarkEnd w:id="12"/>
      <w:bookmarkEnd w:id="13"/>
    </w:p>
    <w:p w:rsidR="00AB0496" w:rsidRDefault="00AB0496" w:rsidP="00AB0496">
      <w:pPr>
        <w:pStyle w:val="Default"/>
        <w:jc w:val="both"/>
        <w:rPr>
          <w:rFonts w:ascii="Times New Roman" w:hAnsi="Times New Roman" w:cs="Times New Roman"/>
        </w:rPr>
      </w:pPr>
    </w:p>
    <w:p w:rsidR="00AB0496" w:rsidRDefault="00AB0496" w:rsidP="00AB0496">
      <w:pPr>
        <w:pStyle w:val="Default"/>
        <w:jc w:val="both"/>
        <w:rPr>
          <w:rFonts w:ascii="Times New Roman" w:hAnsi="Times New Roman" w:cs="Times New Roman"/>
        </w:rPr>
      </w:pPr>
      <w:r w:rsidRPr="00923BF4">
        <w:rPr>
          <w:rFonts w:ascii="Times New Roman" w:hAnsi="Times New Roman" w:cs="Times New Roman"/>
        </w:rPr>
        <w:t>Los ingresos tributarios acumulados al 30 de junio de 201</w:t>
      </w:r>
      <w:r>
        <w:rPr>
          <w:rFonts w:ascii="Times New Roman" w:hAnsi="Times New Roman" w:cs="Times New Roman"/>
        </w:rPr>
        <w:t>8</w:t>
      </w:r>
      <w:r w:rsidRPr="00923BF4">
        <w:rPr>
          <w:rFonts w:ascii="Times New Roman" w:hAnsi="Times New Roman" w:cs="Times New Roman"/>
        </w:rPr>
        <w:t xml:space="preserve"> superaron en </w:t>
      </w:r>
      <w:r>
        <w:rPr>
          <w:rFonts w:ascii="Times New Roman" w:hAnsi="Times New Roman" w:cs="Times New Roman"/>
        </w:rPr>
        <w:t>2.9</w:t>
      </w:r>
      <w:r w:rsidRPr="00923BF4">
        <w:rPr>
          <w:rFonts w:ascii="Times New Roman" w:hAnsi="Times New Roman" w:cs="Times New Roman"/>
        </w:rPr>
        <w:t>% la recaudación observada para el mismo periodo en 201</w:t>
      </w:r>
      <w:r>
        <w:rPr>
          <w:rFonts w:ascii="Times New Roman" w:hAnsi="Times New Roman" w:cs="Times New Roman"/>
        </w:rPr>
        <w:t>7</w:t>
      </w:r>
      <w:r w:rsidRPr="00923BF4">
        <w:rPr>
          <w:rFonts w:ascii="Times New Roman" w:hAnsi="Times New Roman" w:cs="Times New Roman"/>
        </w:rPr>
        <w:t xml:space="preserve">. El comportamiento está explicado en el crecimiento de la recaudación por concepto de impuestos </w:t>
      </w:r>
      <w:r>
        <w:rPr>
          <w:rFonts w:ascii="Times New Roman" w:hAnsi="Times New Roman" w:cs="Times New Roman"/>
        </w:rPr>
        <w:t>al comercio exterior</w:t>
      </w:r>
      <w:r w:rsidRPr="00923BF4">
        <w:rPr>
          <w:rFonts w:ascii="Times New Roman" w:hAnsi="Times New Roman" w:cs="Times New Roman"/>
        </w:rPr>
        <w:t>,</w:t>
      </w:r>
      <w:r>
        <w:rPr>
          <w:rFonts w:ascii="Times New Roman" w:hAnsi="Times New Roman" w:cs="Times New Roman"/>
        </w:rPr>
        <w:t xml:space="preserve"> principalmente el IVA Importaciones, con un aumento de Q</w:t>
      </w:r>
      <w:r w:rsidR="00781BD7">
        <w:rPr>
          <w:rFonts w:ascii="Times New Roman" w:hAnsi="Times New Roman" w:cs="Times New Roman"/>
        </w:rPr>
        <w:t>.</w:t>
      </w:r>
      <w:r>
        <w:rPr>
          <w:rFonts w:ascii="Times New Roman" w:hAnsi="Times New Roman" w:cs="Times New Roman"/>
        </w:rPr>
        <w:t>638.0 millones equivalente</w:t>
      </w:r>
      <w:r w:rsidR="00781BD7">
        <w:rPr>
          <w:rFonts w:ascii="Times New Roman" w:hAnsi="Times New Roman" w:cs="Times New Roman"/>
        </w:rPr>
        <w:t>s</w:t>
      </w:r>
      <w:r>
        <w:rPr>
          <w:rFonts w:ascii="Times New Roman" w:hAnsi="Times New Roman" w:cs="Times New Roman"/>
        </w:rPr>
        <w:t xml:space="preserve"> a</w:t>
      </w:r>
      <w:r w:rsidR="00781BD7">
        <w:rPr>
          <w:rFonts w:ascii="Times New Roman" w:hAnsi="Times New Roman" w:cs="Times New Roman"/>
        </w:rPr>
        <w:t>l</w:t>
      </w:r>
      <w:r>
        <w:rPr>
          <w:rFonts w:ascii="Times New Roman" w:hAnsi="Times New Roman" w:cs="Times New Roman"/>
        </w:rPr>
        <w:t xml:space="preserve"> 10.3% respecto </w:t>
      </w:r>
      <w:r w:rsidR="00781BD7">
        <w:rPr>
          <w:rFonts w:ascii="Times New Roman" w:hAnsi="Times New Roman" w:cs="Times New Roman"/>
        </w:rPr>
        <w:t>de</w:t>
      </w:r>
      <w:r>
        <w:rPr>
          <w:rFonts w:ascii="Times New Roman" w:hAnsi="Times New Roman" w:cs="Times New Roman"/>
        </w:rPr>
        <w:t xml:space="preserve"> lo observado en 2017. </w:t>
      </w:r>
    </w:p>
    <w:p w:rsidR="00AB0496" w:rsidRDefault="00AB0496" w:rsidP="00AB0496">
      <w:pPr>
        <w:pStyle w:val="Default"/>
        <w:jc w:val="both"/>
        <w:rPr>
          <w:rFonts w:ascii="Times New Roman" w:hAnsi="Times New Roman" w:cs="Times New Roman"/>
        </w:rPr>
      </w:pPr>
    </w:p>
    <w:p w:rsidR="00AB0496" w:rsidRPr="00923BF4" w:rsidRDefault="00AB0496" w:rsidP="00AB0496">
      <w:pPr>
        <w:pStyle w:val="Default"/>
        <w:jc w:val="both"/>
        <w:rPr>
          <w:rFonts w:ascii="Times New Roman" w:hAnsi="Times New Roman" w:cs="Times New Roman"/>
        </w:rPr>
      </w:pPr>
      <w:r>
        <w:rPr>
          <w:rFonts w:ascii="Times New Roman" w:hAnsi="Times New Roman" w:cs="Times New Roman"/>
        </w:rPr>
        <w:t>Por el lado de los impuestos internos el crecimiento fue de Q</w:t>
      </w:r>
      <w:r w:rsidR="00F45C0B">
        <w:rPr>
          <w:rFonts w:ascii="Times New Roman" w:hAnsi="Times New Roman" w:cs="Times New Roman"/>
        </w:rPr>
        <w:t>.</w:t>
      </w:r>
      <w:r>
        <w:rPr>
          <w:rFonts w:ascii="Times New Roman" w:hAnsi="Times New Roman" w:cs="Times New Roman"/>
        </w:rPr>
        <w:t xml:space="preserve">145.2 millones respecto </w:t>
      </w:r>
      <w:r w:rsidR="00F45C0B">
        <w:rPr>
          <w:rFonts w:ascii="Times New Roman" w:hAnsi="Times New Roman" w:cs="Times New Roman"/>
        </w:rPr>
        <w:t>del</w:t>
      </w:r>
      <w:r>
        <w:rPr>
          <w:rFonts w:ascii="Times New Roman" w:hAnsi="Times New Roman" w:cs="Times New Roman"/>
        </w:rPr>
        <w:t xml:space="preserve"> mismo período de 2017, equivalentes a</w:t>
      </w:r>
      <w:r w:rsidR="00360013">
        <w:rPr>
          <w:rFonts w:ascii="Times New Roman" w:hAnsi="Times New Roman" w:cs="Times New Roman"/>
        </w:rPr>
        <w:t>l</w:t>
      </w:r>
      <w:r>
        <w:rPr>
          <w:rFonts w:ascii="Times New Roman" w:hAnsi="Times New Roman" w:cs="Times New Roman"/>
        </w:rPr>
        <w:t xml:space="preserve"> 0.7%, de los cuales, las mayores variaciones se observan en el Impuesto de Solidaridad por Q</w:t>
      </w:r>
      <w:r w:rsidR="00360013">
        <w:rPr>
          <w:rFonts w:ascii="Times New Roman" w:hAnsi="Times New Roman" w:cs="Times New Roman"/>
        </w:rPr>
        <w:t>.</w:t>
      </w:r>
      <w:r>
        <w:rPr>
          <w:rFonts w:ascii="Times New Roman" w:hAnsi="Times New Roman" w:cs="Times New Roman"/>
        </w:rPr>
        <w:t>117.2 millones y en el IVA Doméstico con Q</w:t>
      </w:r>
      <w:r w:rsidR="00360013">
        <w:rPr>
          <w:rFonts w:ascii="Times New Roman" w:hAnsi="Times New Roman" w:cs="Times New Roman"/>
        </w:rPr>
        <w:t>.</w:t>
      </w:r>
      <w:r>
        <w:rPr>
          <w:rFonts w:ascii="Times New Roman" w:hAnsi="Times New Roman" w:cs="Times New Roman"/>
        </w:rPr>
        <w:t>113.0 millones, mientras que el Impuesto Sobre la Renta presenta una disminución de Q</w:t>
      </w:r>
      <w:r w:rsidR="00360013">
        <w:rPr>
          <w:rFonts w:ascii="Times New Roman" w:hAnsi="Times New Roman" w:cs="Times New Roman"/>
        </w:rPr>
        <w:t>.</w:t>
      </w:r>
      <w:r>
        <w:rPr>
          <w:rFonts w:ascii="Times New Roman" w:hAnsi="Times New Roman" w:cs="Times New Roman"/>
        </w:rPr>
        <w:t>171.4 millones equivalentes a</w:t>
      </w:r>
      <w:r w:rsidR="00360013">
        <w:rPr>
          <w:rFonts w:ascii="Times New Roman" w:hAnsi="Times New Roman" w:cs="Times New Roman"/>
        </w:rPr>
        <w:t>l</w:t>
      </w:r>
      <w:r>
        <w:rPr>
          <w:rFonts w:ascii="Times New Roman" w:hAnsi="Times New Roman" w:cs="Times New Roman"/>
        </w:rPr>
        <w:t xml:space="preserve"> 2.0%. </w:t>
      </w:r>
    </w:p>
    <w:p w:rsidR="00AB0496" w:rsidRDefault="00AB0496" w:rsidP="00AB0496">
      <w:pPr>
        <w:jc w:val="center"/>
        <w:rPr>
          <w:b/>
          <w:sz w:val="20"/>
          <w:lang w:val="es-MX"/>
        </w:rPr>
      </w:pPr>
    </w:p>
    <w:p w:rsidR="00AB0496" w:rsidRPr="0088577C" w:rsidRDefault="00E635A3" w:rsidP="00AB0496">
      <w:pPr>
        <w:pStyle w:val="Prrafodelista"/>
        <w:ind w:left="360"/>
        <w:jc w:val="center"/>
        <w:rPr>
          <w:b/>
          <w:sz w:val="22"/>
          <w:lang w:val="es-MX"/>
        </w:rPr>
      </w:pPr>
      <w:r>
        <w:rPr>
          <w:b/>
          <w:sz w:val="22"/>
          <w:lang w:val="es-MX"/>
        </w:rPr>
        <w:t>Cuadro</w:t>
      </w:r>
      <w:r w:rsidR="00AB0496">
        <w:rPr>
          <w:b/>
          <w:sz w:val="22"/>
          <w:lang w:val="es-MX"/>
        </w:rPr>
        <w:t xml:space="preserve"> </w:t>
      </w:r>
      <w:r>
        <w:rPr>
          <w:b/>
          <w:sz w:val="22"/>
          <w:lang w:val="es-MX"/>
        </w:rPr>
        <w:t>1</w:t>
      </w:r>
    </w:p>
    <w:p w:rsidR="00AB0496" w:rsidRPr="0088577C" w:rsidRDefault="00AB0496" w:rsidP="00AB0496">
      <w:pPr>
        <w:pStyle w:val="Prrafodelista"/>
        <w:ind w:left="360"/>
        <w:jc w:val="center"/>
        <w:rPr>
          <w:b/>
          <w:sz w:val="22"/>
          <w:lang w:val="es-MX"/>
        </w:rPr>
      </w:pPr>
      <w:r w:rsidRPr="0088577C">
        <w:rPr>
          <w:b/>
          <w:sz w:val="22"/>
          <w:lang w:val="es-MX"/>
        </w:rPr>
        <w:t>Ingresos Tributarios Netos de la Administración Central</w:t>
      </w:r>
    </w:p>
    <w:p w:rsidR="00AB0496" w:rsidRPr="0088577C" w:rsidRDefault="00AB0496" w:rsidP="00AB0496">
      <w:pPr>
        <w:pStyle w:val="Prrafodelista"/>
        <w:ind w:left="360"/>
        <w:jc w:val="center"/>
        <w:rPr>
          <w:b/>
          <w:sz w:val="22"/>
          <w:lang w:val="es-MX"/>
        </w:rPr>
      </w:pPr>
      <w:r w:rsidRPr="0088577C">
        <w:rPr>
          <w:b/>
          <w:sz w:val="22"/>
          <w:lang w:val="es-MX"/>
        </w:rPr>
        <w:t>Estimado al 30 de junio de cada año</w:t>
      </w:r>
    </w:p>
    <w:p w:rsidR="00AB0496" w:rsidRPr="0088577C" w:rsidRDefault="00AB0496" w:rsidP="00AB0496">
      <w:pPr>
        <w:pStyle w:val="Prrafodelista"/>
        <w:ind w:left="360"/>
        <w:jc w:val="center"/>
        <w:rPr>
          <w:b/>
          <w:sz w:val="22"/>
          <w:lang w:val="es-MX"/>
        </w:rPr>
      </w:pPr>
      <w:r w:rsidRPr="0088577C">
        <w:rPr>
          <w:b/>
          <w:sz w:val="22"/>
          <w:lang w:val="es-MX"/>
        </w:rPr>
        <w:t>(Millones de Quetzales y Porcentajes)</w:t>
      </w:r>
    </w:p>
    <w:tbl>
      <w:tblPr>
        <w:tblW w:w="8879" w:type="dxa"/>
        <w:tblInd w:w="55" w:type="dxa"/>
        <w:tblCellMar>
          <w:left w:w="70" w:type="dxa"/>
          <w:right w:w="70" w:type="dxa"/>
        </w:tblCellMar>
        <w:tblLook w:val="04A0" w:firstRow="1" w:lastRow="0" w:firstColumn="1" w:lastColumn="0" w:noHBand="0" w:noVBand="1"/>
      </w:tblPr>
      <w:tblGrid>
        <w:gridCol w:w="4693"/>
        <w:gridCol w:w="1134"/>
        <w:gridCol w:w="1102"/>
        <w:gridCol w:w="1005"/>
        <w:gridCol w:w="945"/>
      </w:tblGrid>
      <w:tr w:rsidR="00AB0496" w:rsidRPr="00B263D7" w:rsidTr="00B263D7">
        <w:trPr>
          <w:trHeight w:val="274"/>
        </w:trPr>
        <w:tc>
          <w:tcPr>
            <w:tcW w:w="4693" w:type="dxa"/>
            <w:vMerge w:val="restart"/>
            <w:tcBorders>
              <w:top w:val="single" w:sz="8" w:space="0" w:color="auto"/>
              <w:left w:val="nil"/>
              <w:bottom w:val="single" w:sz="8" w:space="0" w:color="000000"/>
              <w:right w:val="nil"/>
            </w:tcBorders>
            <w:shd w:val="clear" w:color="000000" w:fill="538DD5"/>
            <w:vAlign w:val="center"/>
            <w:hideMark/>
          </w:tcPr>
          <w:p w:rsidR="00AB0496" w:rsidRPr="00B263D7" w:rsidRDefault="00AB0496" w:rsidP="00AB0496">
            <w:pPr>
              <w:jc w:val="center"/>
              <w:rPr>
                <w:b/>
                <w:bCs/>
                <w:color w:val="000000" w:themeColor="text1"/>
                <w:sz w:val="20"/>
                <w:szCs w:val="20"/>
                <w:lang w:val="es-GT" w:eastAsia="es-GT"/>
              </w:rPr>
            </w:pPr>
            <w:r w:rsidRPr="00B263D7">
              <w:rPr>
                <w:b/>
                <w:bCs/>
                <w:color w:val="000000" w:themeColor="text1"/>
                <w:sz w:val="20"/>
                <w:szCs w:val="20"/>
                <w:lang w:val="es-GT" w:eastAsia="es-GT"/>
              </w:rPr>
              <w:t>Concepto</w:t>
            </w:r>
          </w:p>
        </w:tc>
        <w:tc>
          <w:tcPr>
            <w:tcW w:w="1134" w:type="dxa"/>
            <w:vMerge w:val="restart"/>
            <w:tcBorders>
              <w:top w:val="single" w:sz="8" w:space="0" w:color="auto"/>
              <w:left w:val="nil"/>
              <w:bottom w:val="single" w:sz="8" w:space="0" w:color="000000"/>
              <w:right w:val="nil"/>
            </w:tcBorders>
            <w:shd w:val="clear" w:color="000000" w:fill="538DD5"/>
            <w:vAlign w:val="center"/>
            <w:hideMark/>
          </w:tcPr>
          <w:p w:rsidR="00AB0496" w:rsidRPr="00B263D7" w:rsidRDefault="00AB0496" w:rsidP="00AB0496">
            <w:pPr>
              <w:jc w:val="center"/>
              <w:rPr>
                <w:b/>
                <w:bCs/>
                <w:color w:val="000000" w:themeColor="text1"/>
                <w:sz w:val="20"/>
                <w:szCs w:val="20"/>
                <w:lang w:val="es-GT" w:eastAsia="es-GT"/>
              </w:rPr>
            </w:pPr>
            <w:r w:rsidRPr="00B263D7">
              <w:rPr>
                <w:b/>
                <w:bCs/>
                <w:color w:val="000000" w:themeColor="text1"/>
                <w:sz w:val="20"/>
                <w:szCs w:val="20"/>
                <w:lang w:val="es-GT" w:eastAsia="es-GT"/>
              </w:rPr>
              <w:t>2017</w:t>
            </w:r>
          </w:p>
        </w:tc>
        <w:tc>
          <w:tcPr>
            <w:tcW w:w="1102" w:type="dxa"/>
            <w:vMerge w:val="restart"/>
            <w:tcBorders>
              <w:top w:val="single" w:sz="8" w:space="0" w:color="auto"/>
              <w:left w:val="nil"/>
              <w:bottom w:val="single" w:sz="8" w:space="0" w:color="000000"/>
              <w:right w:val="single" w:sz="8" w:space="0" w:color="auto"/>
            </w:tcBorders>
            <w:shd w:val="clear" w:color="000000" w:fill="538DD5"/>
            <w:vAlign w:val="center"/>
            <w:hideMark/>
          </w:tcPr>
          <w:p w:rsidR="00AB0496" w:rsidRPr="00B263D7" w:rsidRDefault="00AB0496" w:rsidP="00AB0496">
            <w:pPr>
              <w:jc w:val="center"/>
              <w:rPr>
                <w:b/>
                <w:bCs/>
                <w:color w:val="000000" w:themeColor="text1"/>
                <w:sz w:val="20"/>
                <w:szCs w:val="20"/>
                <w:lang w:val="es-GT" w:eastAsia="es-GT"/>
              </w:rPr>
            </w:pPr>
            <w:r w:rsidRPr="00B263D7">
              <w:rPr>
                <w:b/>
                <w:bCs/>
                <w:color w:val="000000" w:themeColor="text1"/>
                <w:sz w:val="20"/>
                <w:szCs w:val="20"/>
                <w:lang w:val="es-GT" w:eastAsia="es-GT"/>
              </w:rPr>
              <w:t>2018</w:t>
            </w:r>
            <w:r w:rsidR="00B263D7" w:rsidRPr="00B263D7">
              <w:rPr>
                <w:b/>
                <w:bCs/>
                <w:color w:val="000000" w:themeColor="text1"/>
                <w:sz w:val="20"/>
                <w:szCs w:val="20"/>
                <w:lang w:val="es-GT" w:eastAsia="es-GT"/>
              </w:rPr>
              <w:t>*</w:t>
            </w:r>
          </w:p>
        </w:tc>
        <w:tc>
          <w:tcPr>
            <w:tcW w:w="1950" w:type="dxa"/>
            <w:gridSpan w:val="2"/>
            <w:tcBorders>
              <w:top w:val="single" w:sz="8" w:space="0" w:color="auto"/>
              <w:left w:val="single" w:sz="8" w:space="0" w:color="auto"/>
              <w:bottom w:val="single" w:sz="4" w:space="0" w:color="auto"/>
              <w:right w:val="nil"/>
            </w:tcBorders>
            <w:shd w:val="clear" w:color="000000" w:fill="538DD5"/>
            <w:noWrap/>
            <w:vAlign w:val="center"/>
            <w:hideMark/>
          </w:tcPr>
          <w:p w:rsidR="00AB0496" w:rsidRPr="00B263D7" w:rsidRDefault="00AB0496" w:rsidP="00AB0496">
            <w:pPr>
              <w:jc w:val="center"/>
              <w:rPr>
                <w:b/>
                <w:color w:val="000000" w:themeColor="text1"/>
                <w:sz w:val="20"/>
                <w:szCs w:val="20"/>
                <w:lang w:val="es-GT" w:eastAsia="es-GT"/>
              </w:rPr>
            </w:pPr>
            <w:r w:rsidRPr="00B263D7">
              <w:rPr>
                <w:b/>
                <w:color w:val="000000" w:themeColor="text1"/>
                <w:sz w:val="20"/>
                <w:szCs w:val="20"/>
                <w:lang w:val="es-GT" w:eastAsia="es-GT"/>
              </w:rPr>
              <w:t>Diferencias</w:t>
            </w:r>
          </w:p>
        </w:tc>
      </w:tr>
      <w:tr w:rsidR="00AB0496" w:rsidRPr="00B263D7" w:rsidTr="00B263D7">
        <w:trPr>
          <w:trHeight w:val="221"/>
        </w:trPr>
        <w:tc>
          <w:tcPr>
            <w:tcW w:w="4693" w:type="dxa"/>
            <w:vMerge/>
            <w:tcBorders>
              <w:top w:val="single" w:sz="8" w:space="0" w:color="auto"/>
              <w:left w:val="nil"/>
              <w:bottom w:val="single" w:sz="8" w:space="0" w:color="000000"/>
              <w:right w:val="nil"/>
            </w:tcBorders>
            <w:vAlign w:val="center"/>
            <w:hideMark/>
          </w:tcPr>
          <w:p w:rsidR="00AB0496" w:rsidRPr="00B263D7" w:rsidRDefault="00AB0496" w:rsidP="00AB0496">
            <w:pPr>
              <w:rPr>
                <w:b/>
                <w:bCs/>
                <w:color w:val="000000" w:themeColor="text1"/>
                <w:sz w:val="20"/>
                <w:szCs w:val="20"/>
                <w:lang w:val="es-GT" w:eastAsia="es-GT"/>
              </w:rPr>
            </w:pPr>
          </w:p>
        </w:tc>
        <w:tc>
          <w:tcPr>
            <w:tcW w:w="1134" w:type="dxa"/>
            <w:vMerge/>
            <w:tcBorders>
              <w:top w:val="single" w:sz="8" w:space="0" w:color="auto"/>
              <w:left w:val="nil"/>
              <w:bottom w:val="single" w:sz="8" w:space="0" w:color="000000"/>
              <w:right w:val="nil"/>
            </w:tcBorders>
            <w:vAlign w:val="center"/>
            <w:hideMark/>
          </w:tcPr>
          <w:p w:rsidR="00AB0496" w:rsidRPr="00B263D7" w:rsidRDefault="00AB0496" w:rsidP="00AB0496">
            <w:pPr>
              <w:rPr>
                <w:b/>
                <w:bCs/>
                <w:color w:val="000000" w:themeColor="text1"/>
                <w:sz w:val="20"/>
                <w:szCs w:val="20"/>
                <w:lang w:val="es-GT" w:eastAsia="es-GT"/>
              </w:rPr>
            </w:pPr>
          </w:p>
        </w:tc>
        <w:tc>
          <w:tcPr>
            <w:tcW w:w="1102" w:type="dxa"/>
            <w:vMerge/>
            <w:tcBorders>
              <w:top w:val="single" w:sz="8" w:space="0" w:color="auto"/>
              <w:left w:val="nil"/>
              <w:bottom w:val="single" w:sz="8" w:space="0" w:color="000000"/>
              <w:right w:val="single" w:sz="8" w:space="0" w:color="auto"/>
            </w:tcBorders>
            <w:vAlign w:val="center"/>
            <w:hideMark/>
          </w:tcPr>
          <w:p w:rsidR="00AB0496" w:rsidRPr="00B263D7" w:rsidRDefault="00AB0496" w:rsidP="00AB0496">
            <w:pPr>
              <w:rPr>
                <w:b/>
                <w:bCs/>
                <w:color w:val="000000" w:themeColor="text1"/>
                <w:sz w:val="20"/>
                <w:szCs w:val="20"/>
                <w:lang w:val="es-GT" w:eastAsia="es-GT"/>
              </w:rPr>
            </w:pPr>
          </w:p>
        </w:tc>
        <w:tc>
          <w:tcPr>
            <w:tcW w:w="1005" w:type="dxa"/>
            <w:tcBorders>
              <w:top w:val="nil"/>
              <w:left w:val="nil"/>
              <w:bottom w:val="single" w:sz="8" w:space="0" w:color="auto"/>
              <w:right w:val="single" w:sz="4" w:space="0" w:color="auto"/>
            </w:tcBorders>
            <w:shd w:val="clear" w:color="000000" w:fill="538DD5"/>
            <w:noWrap/>
            <w:vAlign w:val="center"/>
            <w:hideMark/>
          </w:tcPr>
          <w:p w:rsidR="00AB0496" w:rsidRPr="00B263D7" w:rsidRDefault="00AB0496" w:rsidP="00AB0496">
            <w:pPr>
              <w:jc w:val="center"/>
              <w:rPr>
                <w:b/>
                <w:color w:val="000000" w:themeColor="text1"/>
                <w:sz w:val="20"/>
                <w:szCs w:val="20"/>
                <w:lang w:val="es-GT" w:eastAsia="es-GT"/>
              </w:rPr>
            </w:pPr>
            <w:r w:rsidRPr="00B263D7">
              <w:rPr>
                <w:b/>
                <w:color w:val="000000" w:themeColor="text1"/>
                <w:sz w:val="20"/>
                <w:szCs w:val="20"/>
                <w:lang w:val="es-GT" w:eastAsia="es-GT"/>
              </w:rPr>
              <w:t>Absolutas</w:t>
            </w:r>
          </w:p>
        </w:tc>
        <w:tc>
          <w:tcPr>
            <w:tcW w:w="945" w:type="dxa"/>
            <w:tcBorders>
              <w:top w:val="nil"/>
              <w:left w:val="nil"/>
              <w:bottom w:val="single" w:sz="8" w:space="0" w:color="auto"/>
              <w:right w:val="nil"/>
            </w:tcBorders>
            <w:shd w:val="clear" w:color="000000" w:fill="538DD5"/>
            <w:noWrap/>
            <w:vAlign w:val="center"/>
            <w:hideMark/>
          </w:tcPr>
          <w:p w:rsidR="00AB0496" w:rsidRPr="00B263D7" w:rsidRDefault="00AB0496" w:rsidP="00AB0496">
            <w:pPr>
              <w:jc w:val="center"/>
              <w:rPr>
                <w:b/>
                <w:color w:val="000000" w:themeColor="text1"/>
                <w:sz w:val="20"/>
                <w:szCs w:val="20"/>
                <w:lang w:val="es-GT" w:eastAsia="es-GT"/>
              </w:rPr>
            </w:pPr>
            <w:r w:rsidRPr="00B263D7">
              <w:rPr>
                <w:b/>
                <w:color w:val="000000" w:themeColor="text1"/>
                <w:sz w:val="20"/>
                <w:szCs w:val="20"/>
                <w:lang w:val="es-GT" w:eastAsia="es-GT"/>
              </w:rPr>
              <w:t>Relativas</w:t>
            </w:r>
          </w:p>
        </w:tc>
      </w:tr>
      <w:tr w:rsidR="00AB0496" w:rsidRPr="00B263D7" w:rsidTr="00B263D7">
        <w:trPr>
          <w:trHeight w:val="274"/>
        </w:trPr>
        <w:tc>
          <w:tcPr>
            <w:tcW w:w="4693" w:type="dxa"/>
            <w:tcBorders>
              <w:top w:val="nil"/>
              <w:left w:val="nil"/>
              <w:bottom w:val="nil"/>
              <w:right w:val="nil"/>
            </w:tcBorders>
            <w:shd w:val="clear" w:color="000000" w:fill="FFFFFF"/>
            <w:noWrap/>
            <w:vAlign w:val="bottom"/>
            <w:hideMark/>
          </w:tcPr>
          <w:p w:rsidR="00AB0496" w:rsidRPr="00B263D7" w:rsidRDefault="00AB0496" w:rsidP="00AB0496">
            <w:pPr>
              <w:rPr>
                <w:b/>
                <w:bCs/>
                <w:sz w:val="20"/>
                <w:szCs w:val="20"/>
                <w:lang w:val="es-GT" w:eastAsia="es-GT"/>
              </w:rPr>
            </w:pPr>
            <w:r w:rsidRPr="00B263D7">
              <w:rPr>
                <w:b/>
                <w:bCs/>
                <w:sz w:val="20"/>
                <w:szCs w:val="20"/>
                <w:lang w:val="es-GT" w:eastAsia="es-GT"/>
              </w:rPr>
              <w:t>Total de Ingresos Tributarios</w:t>
            </w:r>
          </w:p>
        </w:tc>
        <w:tc>
          <w:tcPr>
            <w:tcW w:w="1134" w:type="dxa"/>
            <w:tcBorders>
              <w:top w:val="nil"/>
              <w:left w:val="nil"/>
              <w:bottom w:val="nil"/>
              <w:right w:val="nil"/>
            </w:tcBorders>
            <w:shd w:val="clear" w:color="000000" w:fill="FFFFFF"/>
            <w:noWrap/>
            <w:vAlign w:val="bottom"/>
            <w:hideMark/>
          </w:tcPr>
          <w:p w:rsidR="00AB0496" w:rsidRPr="00B263D7" w:rsidRDefault="00AB0496" w:rsidP="00AB0496">
            <w:pPr>
              <w:jc w:val="right"/>
              <w:rPr>
                <w:b/>
                <w:bCs/>
                <w:sz w:val="20"/>
                <w:szCs w:val="20"/>
                <w:lang w:val="es-GT" w:eastAsia="es-GT"/>
              </w:rPr>
            </w:pPr>
            <w:r w:rsidRPr="00B263D7">
              <w:rPr>
                <w:b/>
                <w:bCs/>
                <w:sz w:val="20"/>
                <w:szCs w:val="20"/>
                <w:lang w:val="es-GT" w:eastAsia="es-GT"/>
              </w:rPr>
              <w:t>28,099.6</w:t>
            </w:r>
          </w:p>
        </w:tc>
        <w:tc>
          <w:tcPr>
            <w:tcW w:w="1102" w:type="dxa"/>
            <w:tcBorders>
              <w:top w:val="nil"/>
              <w:left w:val="nil"/>
              <w:bottom w:val="nil"/>
              <w:right w:val="single" w:sz="8" w:space="0" w:color="auto"/>
            </w:tcBorders>
            <w:shd w:val="clear" w:color="000000" w:fill="FFFFFF"/>
            <w:noWrap/>
            <w:vAlign w:val="bottom"/>
            <w:hideMark/>
          </w:tcPr>
          <w:p w:rsidR="00AB0496" w:rsidRPr="00B263D7" w:rsidRDefault="00AB0496" w:rsidP="00AB0496">
            <w:pPr>
              <w:jc w:val="right"/>
              <w:rPr>
                <w:b/>
                <w:bCs/>
                <w:sz w:val="20"/>
                <w:szCs w:val="20"/>
                <w:lang w:val="es-GT" w:eastAsia="es-GT"/>
              </w:rPr>
            </w:pPr>
            <w:r w:rsidRPr="00B263D7">
              <w:rPr>
                <w:b/>
                <w:bCs/>
                <w:sz w:val="20"/>
                <w:szCs w:val="20"/>
                <w:lang w:val="es-GT" w:eastAsia="es-GT"/>
              </w:rPr>
              <w:t>28,909.4</w:t>
            </w:r>
          </w:p>
        </w:tc>
        <w:tc>
          <w:tcPr>
            <w:tcW w:w="1005" w:type="dxa"/>
            <w:tcBorders>
              <w:top w:val="nil"/>
              <w:left w:val="nil"/>
              <w:bottom w:val="nil"/>
              <w:right w:val="single" w:sz="4" w:space="0" w:color="auto"/>
            </w:tcBorders>
            <w:shd w:val="clear" w:color="000000" w:fill="FFFFFF"/>
            <w:noWrap/>
            <w:vAlign w:val="bottom"/>
            <w:hideMark/>
          </w:tcPr>
          <w:p w:rsidR="00AB0496" w:rsidRPr="00B263D7" w:rsidRDefault="00AB0496" w:rsidP="00AB0496">
            <w:pPr>
              <w:jc w:val="right"/>
              <w:rPr>
                <w:b/>
                <w:bCs/>
                <w:sz w:val="20"/>
                <w:szCs w:val="20"/>
                <w:lang w:val="es-GT" w:eastAsia="es-GT"/>
              </w:rPr>
            </w:pPr>
            <w:r w:rsidRPr="00B263D7">
              <w:rPr>
                <w:b/>
                <w:bCs/>
                <w:sz w:val="20"/>
                <w:szCs w:val="20"/>
                <w:lang w:val="es-GT" w:eastAsia="es-GT"/>
              </w:rPr>
              <w:t>809.8</w:t>
            </w:r>
          </w:p>
        </w:tc>
        <w:tc>
          <w:tcPr>
            <w:tcW w:w="945" w:type="dxa"/>
            <w:tcBorders>
              <w:top w:val="nil"/>
              <w:left w:val="nil"/>
              <w:bottom w:val="nil"/>
              <w:right w:val="nil"/>
            </w:tcBorders>
            <w:shd w:val="clear" w:color="000000" w:fill="FFFFFF"/>
            <w:noWrap/>
            <w:vAlign w:val="bottom"/>
            <w:hideMark/>
          </w:tcPr>
          <w:p w:rsidR="00AB0496" w:rsidRPr="00B263D7" w:rsidRDefault="00AB0496" w:rsidP="00AB0496">
            <w:pPr>
              <w:jc w:val="right"/>
              <w:rPr>
                <w:b/>
                <w:bCs/>
                <w:sz w:val="20"/>
                <w:szCs w:val="20"/>
                <w:lang w:val="es-GT" w:eastAsia="es-GT"/>
              </w:rPr>
            </w:pPr>
            <w:r w:rsidRPr="00B263D7">
              <w:rPr>
                <w:b/>
                <w:bCs/>
                <w:sz w:val="20"/>
                <w:szCs w:val="20"/>
                <w:lang w:val="es-GT" w:eastAsia="es-GT"/>
              </w:rPr>
              <w:t>2.9%</w:t>
            </w:r>
          </w:p>
        </w:tc>
      </w:tr>
      <w:tr w:rsidR="00AB0496" w:rsidRPr="00B263D7" w:rsidTr="00B263D7">
        <w:trPr>
          <w:trHeight w:val="275"/>
        </w:trPr>
        <w:tc>
          <w:tcPr>
            <w:tcW w:w="4693" w:type="dxa"/>
            <w:tcBorders>
              <w:top w:val="nil"/>
              <w:left w:val="nil"/>
              <w:bottom w:val="nil"/>
              <w:right w:val="nil"/>
            </w:tcBorders>
            <w:shd w:val="clear" w:color="000000" w:fill="FFFFFF"/>
            <w:noWrap/>
            <w:vAlign w:val="center"/>
            <w:hideMark/>
          </w:tcPr>
          <w:p w:rsidR="00AB0496" w:rsidRPr="00B263D7" w:rsidRDefault="00AB0496" w:rsidP="00B263D7">
            <w:pPr>
              <w:ind w:firstLineChars="200" w:firstLine="402"/>
              <w:rPr>
                <w:b/>
                <w:bCs/>
                <w:sz w:val="20"/>
                <w:szCs w:val="20"/>
                <w:lang w:val="es-GT" w:eastAsia="es-GT"/>
              </w:rPr>
            </w:pPr>
            <w:r w:rsidRPr="00B263D7">
              <w:rPr>
                <w:b/>
                <w:bCs/>
                <w:sz w:val="20"/>
                <w:szCs w:val="20"/>
                <w:lang w:val="es-GT" w:eastAsia="es-GT"/>
              </w:rPr>
              <w:t>Impuestos Asociados al Comercio Exterior</w:t>
            </w:r>
          </w:p>
        </w:tc>
        <w:tc>
          <w:tcPr>
            <w:tcW w:w="1134" w:type="dxa"/>
            <w:tcBorders>
              <w:top w:val="nil"/>
              <w:left w:val="nil"/>
              <w:bottom w:val="nil"/>
              <w:right w:val="nil"/>
            </w:tcBorders>
            <w:shd w:val="clear" w:color="000000" w:fill="FFFFFF"/>
            <w:noWrap/>
            <w:vAlign w:val="center"/>
            <w:hideMark/>
          </w:tcPr>
          <w:p w:rsidR="00AB0496" w:rsidRPr="00B263D7" w:rsidRDefault="00AB0496" w:rsidP="00AB0496">
            <w:pPr>
              <w:jc w:val="right"/>
              <w:rPr>
                <w:b/>
                <w:bCs/>
                <w:sz w:val="20"/>
                <w:szCs w:val="20"/>
                <w:lang w:val="es-GT" w:eastAsia="es-GT"/>
              </w:rPr>
            </w:pPr>
            <w:r w:rsidRPr="00B263D7">
              <w:rPr>
                <w:b/>
                <w:bCs/>
                <w:sz w:val="20"/>
                <w:szCs w:val="20"/>
                <w:lang w:val="es-GT" w:eastAsia="es-GT"/>
              </w:rPr>
              <w:t>7,321.8</w:t>
            </w:r>
          </w:p>
        </w:tc>
        <w:tc>
          <w:tcPr>
            <w:tcW w:w="1102" w:type="dxa"/>
            <w:tcBorders>
              <w:top w:val="nil"/>
              <w:left w:val="nil"/>
              <w:bottom w:val="nil"/>
              <w:right w:val="single" w:sz="8" w:space="0" w:color="auto"/>
            </w:tcBorders>
            <w:shd w:val="clear" w:color="000000" w:fill="FFFFFF"/>
            <w:noWrap/>
            <w:vAlign w:val="center"/>
            <w:hideMark/>
          </w:tcPr>
          <w:p w:rsidR="00AB0496" w:rsidRPr="00B263D7" w:rsidRDefault="00AB0496" w:rsidP="00AB0496">
            <w:pPr>
              <w:jc w:val="right"/>
              <w:rPr>
                <w:b/>
                <w:bCs/>
                <w:sz w:val="20"/>
                <w:szCs w:val="20"/>
                <w:lang w:val="es-GT" w:eastAsia="es-GT"/>
              </w:rPr>
            </w:pPr>
            <w:r w:rsidRPr="00B263D7">
              <w:rPr>
                <w:b/>
                <w:bCs/>
                <w:sz w:val="20"/>
                <w:szCs w:val="20"/>
                <w:lang w:val="es-GT" w:eastAsia="es-GT"/>
              </w:rPr>
              <w:t>7,986.4</w:t>
            </w:r>
          </w:p>
        </w:tc>
        <w:tc>
          <w:tcPr>
            <w:tcW w:w="1005" w:type="dxa"/>
            <w:tcBorders>
              <w:top w:val="nil"/>
              <w:left w:val="nil"/>
              <w:bottom w:val="nil"/>
              <w:right w:val="single" w:sz="4" w:space="0" w:color="auto"/>
            </w:tcBorders>
            <w:shd w:val="clear" w:color="000000" w:fill="FFFFFF"/>
            <w:noWrap/>
            <w:vAlign w:val="center"/>
            <w:hideMark/>
          </w:tcPr>
          <w:p w:rsidR="00AB0496" w:rsidRPr="00B263D7" w:rsidRDefault="00AB0496" w:rsidP="00AB0496">
            <w:pPr>
              <w:jc w:val="right"/>
              <w:rPr>
                <w:b/>
                <w:bCs/>
                <w:sz w:val="20"/>
                <w:szCs w:val="20"/>
                <w:lang w:val="es-GT" w:eastAsia="es-GT"/>
              </w:rPr>
            </w:pPr>
            <w:r w:rsidRPr="00B263D7">
              <w:rPr>
                <w:b/>
                <w:bCs/>
                <w:sz w:val="20"/>
                <w:szCs w:val="20"/>
                <w:lang w:val="es-GT" w:eastAsia="es-GT"/>
              </w:rPr>
              <w:t>664.7</w:t>
            </w:r>
          </w:p>
        </w:tc>
        <w:tc>
          <w:tcPr>
            <w:tcW w:w="945" w:type="dxa"/>
            <w:tcBorders>
              <w:top w:val="nil"/>
              <w:left w:val="nil"/>
              <w:bottom w:val="nil"/>
              <w:right w:val="nil"/>
            </w:tcBorders>
            <w:shd w:val="clear" w:color="000000" w:fill="FFFFFF"/>
            <w:noWrap/>
            <w:vAlign w:val="center"/>
            <w:hideMark/>
          </w:tcPr>
          <w:p w:rsidR="00AB0496" w:rsidRPr="00B263D7" w:rsidRDefault="00AB0496" w:rsidP="00AB0496">
            <w:pPr>
              <w:jc w:val="right"/>
              <w:rPr>
                <w:b/>
                <w:bCs/>
                <w:sz w:val="20"/>
                <w:szCs w:val="20"/>
                <w:lang w:val="es-GT" w:eastAsia="es-GT"/>
              </w:rPr>
            </w:pPr>
            <w:r w:rsidRPr="00B263D7">
              <w:rPr>
                <w:b/>
                <w:bCs/>
                <w:sz w:val="20"/>
                <w:szCs w:val="20"/>
                <w:lang w:val="es-GT" w:eastAsia="es-GT"/>
              </w:rPr>
              <w:t>9.1%</w:t>
            </w:r>
          </w:p>
        </w:tc>
      </w:tr>
      <w:tr w:rsidR="00AB0496" w:rsidRPr="00B263D7" w:rsidTr="00B263D7">
        <w:trPr>
          <w:trHeight w:val="275"/>
        </w:trPr>
        <w:tc>
          <w:tcPr>
            <w:tcW w:w="4693" w:type="dxa"/>
            <w:tcBorders>
              <w:top w:val="nil"/>
              <w:left w:val="nil"/>
              <w:bottom w:val="nil"/>
              <w:right w:val="nil"/>
            </w:tcBorders>
            <w:shd w:val="clear" w:color="000000" w:fill="FFFFFF"/>
            <w:noWrap/>
            <w:vAlign w:val="bottom"/>
            <w:hideMark/>
          </w:tcPr>
          <w:p w:rsidR="00AB0496" w:rsidRPr="00B263D7" w:rsidRDefault="00AB0496" w:rsidP="00B263D7">
            <w:pPr>
              <w:ind w:firstLineChars="400" w:firstLine="800"/>
              <w:rPr>
                <w:sz w:val="20"/>
                <w:szCs w:val="20"/>
                <w:lang w:val="es-GT" w:eastAsia="es-GT"/>
              </w:rPr>
            </w:pPr>
            <w:r w:rsidRPr="00B263D7">
              <w:rPr>
                <w:sz w:val="20"/>
                <w:szCs w:val="20"/>
                <w:lang w:val="es-GT" w:eastAsia="es-GT"/>
              </w:rPr>
              <w:t>IVA Importaciones</w:t>
            </w:r>
          </w:p>
        </w:tc>
        <w:tc>
          <w:tcPr>
            <w:tcW w:w="1134" w:type="dxa"/>
            <w:tcBorders>
              <w:top w:val="nil"/>
              <w:left w:val="nil"/>
              <w:bottom w:val="nil"/>
              <w:right w:val="nil"/>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6,200.5</w:t>
            </w:r>
          </w:p>
        </w:tc>
        <w:tc>
          <w:tcPr>
            <w:tcW w:w="1102" w:type="dxa"/>
            <w:tcBorders>
              <w:top w:val="nil"/>
              <w:left w:val="nil"/>
              <w:bottom w:val="nil"/>
              <w:right w:val="single" w:sz="8" w:space="0" w:color="auto"/>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6,838.6</w:t>
            </w:r>
          </w:p>
        </w:tc>
        <w:tc>
          <w:tcPr>
            <w:tcW w:w="1005" w:type="dxa"/>
            <w:tcBorders>
              <w:top w:val="nil"/>
              <w:left w:val="nil"/>
              <w:bottom w:val="nil"/>
              <w:right w:val="single" w:sz="4" w:space="0" w:color="auto"/>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638.0</w:t>
            </w:r>
          </w:p>
        </w:tc>
        <w:tc>
          <w:tcPr>
            <w:tcW w:w="945" w:type="dxa"/>
            <w:tcBorders>
              <w:top w:val="nil"/>
              <w:left w:val="nil"/>
              <w:bottom w:val="nil"/>
              <w:right w:val="nil"/>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10.3%</w:t>
            </w:r>
          </w:p>
        </w:tc>
      </w:tr>
      <w:tr w:rsidR="00AB0496" w:rsidRPr="00B263D7" w:rsidTr="00B263D7">
        <w:trPr>
          <w:trHeight w:val="323"/>
        </w:trPr>
        <w:tc>
          <w:tcPr>
            <w:tcW w:w="4693" w:type="dxa"/>
            <w:tcBorders>
              <w:top w:val="nil"/>
              <w:left w:val="nil"/>
              <w:bottom w:val="nil"/>
              <w:right w:val="nil"/>
            </w:tcBorders>
            <w:shd w:val="clear" w:color="000000" w:fill="FFFFFF"/>
            <w:noWrap/>
            <w:vAlign w:val="bottom"/>
            <w:hideMark/>
          </w:tcPr>
          <w:p w:rsidR="00AB0496" w:rsidRPr="00B263D7" w:rsidRDefault="00AB0496" w:rsidP="00B263D7">
            <w:pPr>
              <w:ind w:firstLineChars="400" w:firstLine="800"/>
              <w:rPr>
                <w:sz w:val="20"/>
                <w:szCs w:val="20"/>
                <w:lang w:val="es-GT" w:eastAsia="es-GT"/>
              </w:rPr>
            </w:pPr>
            <w:r w:rsidRPr="00B263D7">
              <w:rPr>
                <w:sz w:val="20"/>
                <w:szCs w:val="20"/>
                <w:lang w:val="es-GT" w:eastAsia="es-GT"/>
              </w:rPr>
              <w:t>Derechos Arancelarios</w:t>
            </w:r>
          </w:p>
        </w:tc>
        <w:tc>
          <w:tcPr>
            <w:tcW w:w="1134" w:type="dxa"/>
            <w:tcBorders>
              <w:top w:val="nil"/>
              <w:left w:val="nil"/>
              <w:bottom w:val="nil"/>
              <w:right w:val="nil"/>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1,121.2</w:t>
            </w:r>
          </w:p>
        </w:tc>
        <w:tc>
          <w:tcPr>
            <w:tcW w:w="1102" w:type="dxa"/>
            <w:tcBorders>
              <w:top w:val="nil"/>
              <w:left w:val="nil"/>
              <w:bottom w:val="nil"/>
              <w:right w:val="single" w:sz="8" w:space="0" w:color="auto"/>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1,147.9</w:t>
            </w:r>
          </w:p>
        </w:tc>
        <w:tc>
          <w:tcPr>
            <w:tcW w:w="1005" w:type="dxa"/>
            <w:tcBorders>
              <w:top w:val="nil"/>
              <w:left w:val="nil"/>
              <w:bottom w:val="nil"/>
              <w:right w:val="single" w:sz="4" w:space="0" w:color="auto"/>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26.7</w:t>
            </w:r>
          </w:p>
        </w:tc>
        <w:tc>
          <w:tcPr>
            <w:tcW w:w="945" w:type="dxa"/>
            <w:tcBorders>
              <w:top w:val="nil"/>
              <w:left w:val="nil"/>
              <w:bottom w:val="nil"/>
              <w:right w:val="nil"/>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2.4%</w:t>
            </w:r>
          </w:p>
        </w:tc>
      </w:tr>
      <w:tr w:rsidR="00AB0496" w:rsidRPr="00B263D7" w:rsidTr="00B263D7">
        <w:trPr>
          <w:trHeight w:val="275"/>
        </w:trPr>
        <w:tc>
          <w:tcPr>
            <w:tcW w:w="4693" w:type="dxa"/>
            <w:tcBorders>
              <w:top w:val="nil"/>
              <w:left w:val="nil"/>
              <w:bottom w:val="nil"/>
              <w:right w:val="nil"/>
            </w:tcBorders>
            <w:shd w:val="clear" w:color="000000" w:fill="FFFFFF"/>
            <w:noWrap/>
            <w:vAlign w:val="center"/>
            <w:hideMark/>
          </w:tcPr>
          <w:p w:rsidR="00AB0496" w:rsidRPr="00B263D7" w:rsidRDefault="00AB0496" w:rsidP="00B263D7">
            <w:pPr>
              <w:ind w:firstLineChars="200" w:firstLine="402"/>
              <w:rPr>
                <w:b/>
                <w:bCs/>
                <w:sz w:val="20"/>
                <w:szCs w:val="20"/>
                <w:lang w:val="es-GT" w:eastAsia="es-GT"/>
              </w:rPr>
            </w:pPr>
            <w:r w:rsidRPr="00B263D7">
              <w:rPr>
                <w:b/>
                <w:bCs/>
                <w:sz w:val="20"/>
                <w:szCs w:val="20"/>
                <w:lang w:val="es-GT" w:eastAsia="es-GT"/>
              </w:rPr>
              <w:t>Impuestos Internos</w:t>
            </w:r>
          </w:p>
        </w:tc>
        <w:tc>
          <w:tcPr>
            <w:tcW w:w="1134" w:type="dxa"/>
            <w:tcBorders>
              <w:top w:val="nil"/>
              <w:left w:val="nil"/>
              <w:bottom w:val="nil"/>
              <w:right w:val="nil"/>
            </w:tcBorders>
            <w:shd w:val="clear" w:color="000000" w:fill="FFFFFF"/>
            <w:noWrap/>
            <w:vAlign w:val="center"/>
            <w:hideMark/>
          </w:tcPr>
          <w:p w:rsidR="00AB0496" w:rsidRPr="00B263D7" w:rsidRDefault="00AB0496" w:rsidP="00AB0496">
            <w:pPr>
              <w:jc w:val="right"/>
              <w:rPr>
                <w:b/>
                <w:bCs/>
                <w:sz w:val="20"/>
                <w:szCs w:val="20"/>
                <w:lang w:val="es-GT" w:eastAsia="es-GT"/>
              </w:rPr>
            </w:pPr>
            <w:r w:rsidRPr="00B263D7">
              <w:rPr>
                <w:b/>
                <w:bCs/>
                <w:sz w:val="20"/>
                <w:szCs w:val="20"/>
                <w:lang w:val="es-GT" w:eastAsia="es-GT"/>
              </w:rPr>
              <w:t>20,777.8</w:t>
            </w:r>
          </w:p>
        </w:tc>
        <w:tc>
          <w:tcPr>
            <w:tcW w:w="1102" w:type="dxa"/>
            <w:tcBorders>
              <w:top w:val="nil"/>
              <w:left w:val="nil"/>
              <w:bottom w:val="nil"/>
              <w:right w:val="single" w:sz="8" w:space="0" w:color="auto"/>
            </w:tcBorders>
            <w:shd w:val="clear" w:color="000000" w:fill="FFFFFF"/>
            <w:noWrap/>
            <w:vAlign w:val="center"/>
            <w:hideMark/>
          </w:tcPr>
          <w:p w:rsidR="00AB0496" w:rsidRPr="00B263D7" w:rsidRDefault="00AB0496" w:rsidP="00AB0496">
            <w:pPr>
              <w:jc w:val="right"/>
              <w:rPr>
                <w:b/>
                <w:bCs/>
                <w:sz w:val="20"/>
                <w:szCs w:val="20"/>
                <w:lang w:val="es-GT" w:eastAsia="es-GT"/>
              </w:rPr>
            </w:pPr>
            <w:r w:rsidRPr="00B263D7">
              <w:rPr>
                <w:b/>
                <w:bCs/>
                <w:sz w:val="20"/>
                <w:szCs w:val="20"/>
                <w:lang w:val="es-GT" w:eastAsia="es-GT"/>
              </w:rPr>
              <w:t>20,923.0</w:t>
            </w:r>
          </w:p>
        </w:tc>
        <w:tc>
          <w:tcPr>
            <w:tcW w:w="1005" w:type="dxa"/>
            <w:tcBorders>
              <w:top w:val="nil"/>
              <w:left w:val="nil"/>
              <w:bottom w:val="nil"/>
              <w:right w:val="single" w:sz="4" w:space="0" w:color="auto"/>
            </w:tcBorders>
            <w:shd w:val="clear" w:color="000000" w:fill="FFFFFF"/>
            <w:noWrap/>
            <w:vAlign w:val="center"/>
            <w:hideMark/>
          </w:tcPr>
          <w:p w:rsidR="00AB0496" w:rsidRPr="00B263D7" w:rsidRDefault="00AB0496" w:rsidP="00AB0496">
            <w:pPr>
              <w:jc w:val="right"/>
              <w:rPr>
                <w:b/>
                <w:bCs/>
                <w:sz w:val="20"/>
                <w:szCs w:val="20"/>
                <w:lang w:val="es-GT" w:eastAsia="es-GT"/>
              </w:rPr>
            </w:pPr>
            <w:r w:rsidRPr="00B263D7">
              <w:rPr>
                <w:b/>
                <w:bCs/>
                <w:sz w:val="20"/>
                <w:szCs w:val="20"/>
                <w:lang w:val="es-GT" w:eastAsia="es-GT"/>
              </w:rPr>
              <w:t>145.2</w:t>
            </w:r>
          </w:p>
        </w:tc>
        <w:tc>
          <w:tcPr>
            <w:tcW w:w="945" w:type="dxa"/>
            <w:tcBorders>
              <w:top w:val="nil"/>
              <w:left w:val="nil"/>
              <w:bottom w:val="nil"/>
              <w:right w:val="nil"/>
            </w:tcBorders>
            <w:shd w:val="clear" w:color="000000" w:fill="FFFFFF"/>
            <w:noWrap/>
            <w:vAlign w:val="center"/>
            <w:hideMark/>
          </w:tcPr>
          <w:p w:rsidR="00AB0496" w:rsidRPr="00B263D7" w:rsidRDefault="00AB0496" w:rsidP="00AB0496">
            <w:pPr>
              <w:jc w:val="right"/>
              <w:rPr>
                <w:b/>
                <w:bCs/>
                <w:sz w:val="20"/>
                <w:szCs w:val="20"/>
                <w:lang w:val="es-GT" w:eastAsia="es-GT"/>
              </w:rPr>
            </w:pPr>
            <w:r w:rsidRPr="00B263D7">
              <w:rPr>
                <w:b/>
                <w:bCs/>
                <w:sz w:val="20"/>
                <w:szCs w:val="20"/>
                <w:lang w:val="es-GT" w:eastAsia="es-GT"/>
              </w:rPr>
              <w:t>0.7%</w:t>
            </w:r>
          </w:p>
        </w:tc>
      </w:tr>
      <w:tr w:rsidR="00AB0496" w:rsidRPr="00B263D7" w:rsidTr="00B263D7">
        <w:trPr>
          <w:trHeight w:val="275"/>
        </w:trPr>
        <w:tc>
          <w:tcPr>
            <w:tcW w:w="4693" w:type="dxa"/>
            <w:tcBorders>
              <w:top w:val="nil"/>
              <w:left w:val="nil"/>
              <w:bottom w:val="nil"/>
              <w:right w:val="nil"/>
            </w:tcBorders>
            <w:shd w:val="clear" w:color="000000" w:fill="FFFFFF"/>
            <w:noWrap/>
            <w:vAlign w:val="bottom"/>
            <w:hideMark/>
          </w:tcPr>
          <w:p w:rsidR="00AB0496" w:rsidRPr="00B263D7" w:rsidRDefault="00AB0496" w:rsidP="00B263D7">
            <w:pPr>
              <w:ind w:firstLineChars="400" w:firstLine="800"/>
              <w:rPr>
                <w:sz w:val="20"/>
                <w:szCs w:val="20"/>
                <w:lang w:val="es-GT" w:eastAsia="es-GT"/>
              </w:rPr>
            </w:pPr>
            <w:r w:rsidRPr="00B263D7">
              <w:rPr>
                <w:sz w:val="20"/>
                <w:szCs w:val="20"/>
                <w:lang w:val="es-GT" w:eastAsia="es-GT"/>
              </w:rPr>
              <w:t>Impuesto sobre la Renta</w:t>
            </w:r>
          </w:p>
        </w:tc>
        <w:tc>
          <w:tcPr>
            <w:tcW w:w="1134" w:type="dxa"/>
            <w:tcBorders>
              <w:top w:val="nil"/>
              <w:left w:val="nil"/>
              <w:bottom w:val="nil"/>
              <w:right w:val="nil"/>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8,460.4</w:t>
            </w:r>
          </w:p>
        </w:tc>
        <w:tc>
          <w:tcPr>
            <w:tcW w:w="1102" w:type="dxa"/>
            <w:tcBorders>
              <w:top w:val="nil"/>
              <w:left w:val="nil"/>
              <w:bottom w:val="nil"/>
              <w:right w:val="single" w:sz="8" w:space="0" w:color="auto"/>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8,289.0</w:t>
            </w:r>
          </w:p>
        </w:tc>
        <w:tc>
          <w:tcPr>
            <w:tcW w:w="1005" w:type="dxa"/>
            <w:tcBorders>
              <w:top w:val="nil"/>
              <w:left w:val="nil"/>
              <w:bottom w:val="nil"/>
              <w:right w:val="single" w:sz="4" w:space="0" w:color="auto"/>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-171.4</w:t>
            </w:r>
          </w:p>
        </w:tc>
        <w:tc>
          <w:tcPr>
            <w:tcW w:w="945" w:type="dxa"/>
            <w:tcBorders>
              <w:top w:val="nil"/>
              <w:left w:val="nil"/>
              <w:bottom w:val="nil"/>
              <w:right w:val="nil"/>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-2.0%</w:t>
            </w:r>
          </w:p>
        </w:tc>
      </w:tr>
      <w:tr w:rsidR="00AB0496" w:rsidRPr="00B263D7" w:rsidTr="00B263D7">
        <w:trPr>
          <w:trHeight w:val="275"/>
        </w:trPr>
        <w:tc>
          <w:tcPr>
            <w:tcW w:w="4693" w:type="dxa"/>
            <w:tcBorders>
              <w:top w:val="nil"/>
              <w:left w:val="nil"/>
              <w:bottom w:val="nil"/>
              <w:right w:val="nil"/>
            </w:tcBorders>
            <w:shd w:val="clear" w:color="000000" w:fill="FFFFFF"/>
            <w:noWrap/>
            <w:vAlign w:val="bottom"/>
            <w:hideMark/>
          </w:tcPr>
          <w:p w:rsidR="00AB0496" w:rsidRPr="00B263D7" w:rsidRDefault="00AB0496" w:rsidP="00B263D7">
            <w:pPr>
              <w:ind w:firstLineChars="400" w:firstLine="800"/>
              <w:rPr>
                <w:sz w:val="20"/>
                <w:szCs w:val="20"/>
                <w:lang w:val="es-GT" w:eastAsia="es-GT"/>
              </w:rPr>
            </w:pPr>
            <w:r w:rsidRPr="00B263D7">
              <w:rPr>
                <w:sz w:val="20"/>
                <w:szCs w:val="20"/>
                <w:lang w:val="es-GT" w:eastAsia="es-GT"/>
              </w:rPr>
              <w:t>Impuesto sobre la propiedad y otros</w:t>
            </w:r>
          </w:p>
        </w:tc>
        <w:tc>
          <w:tcPr>
            <w:tcW w:w="1134" w:type="dxa"/>
            <w:tcBorders>
              <w:top w:val="nil"/>
              <w:left w:val="nil"/>
              <w:bottom w:val="nil"/>
              <w:right w:val="nil"/>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18.5</w:t>
            </w:r>
          </w:p>
        </w:tc>
        <w:tc>
          <w:tcPr>
            <w:tcW w:w="1102" w:type="dxa"/>
            <w:tcBorders>
              <w:top w:val="nil"/>
              <w:left w:val="nil"/>
              <w:bottom w:val="nil"/>
              <w:right w:val="single" w:sz="8" w:space="0" w:color="auto"/>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13.5</w:t>
            </w:r>
          </w:p>
        </w:tc>
        <w:tc>
          <w:tcPr>
            <w:tcW w:w="1005" w:type="dxa"/>
            <w:tcBorders>
              <w:top w:val="nil"/>
              <w:left w:val="nil"/>
              <w:bottom w:val="nil"/>
              <w:right w:val="single" w:sz="4" w:space="0" w:color="auto"/>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-5.1</w:t>
            </w:r>
          </w:p>
        </w:tc>
        <w:tc>
          <w:tcPr>
            <w:tcW w:w="945" w:type="dxa"/>
            <w:tcBorders>
              <w:top w:val="nil"/>
              <w:left w:val="nil"/>
              <w:bottom w:val="nil"/>
              <w:right w:val="nil"/>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-27.5%</w:t>
            </w:r>
          </w:p>
        </w:tc>
      </w:tr>
      <w:tr w:rsidR="00AB0496" w:rsidRPr="00B263D7" w:rsidTr="00B263D7">
        <w:trPr>
          <w:trHeight w:val="275"/>
        </w:trPr>
        <w:tc>
          <w:tcPr>
            <w:tcW w:w="4693" w:type="dxa"/>
            <w:tcBorders>
              <w:top w:val="nil"/>
              <w:left w:val="nil"/>
              <w:bottom w:val="nil"/>
              <w:right w:val="nil"/>
            </w:tcBorders>
            <w:shd w:val="clear" w:color="000000" w:fill="FFFFFF"/>
            <w:noWrap/>
            <w:vAlign w:val="bottom"/>
            <w:hideMark/>
          </w:tcPr>
          <w:p w:rsidR="00AB0496" w:rsidRPr="00B263D7" w:rsidRDefault="00AB0496" w:rsidP="00B263D7">
            <w:pPr>
              <w:ind w:firstLineChars="400" w:firstLine="800"/>
              <w:rPr>
                <w:sz w:val="20"/>
                <w:szCs w:val="20"/>
                <w:lang w:val="es-GT" w:eastAsia="es-GT"/>
              </w:rPr>
            </w:pPr>
            <w:r w:rsidRPr="00B263D7">
              <w:rPr>
                <w:sz w:val="20"/>
                <w:szCs w:val="20"/>
                <w:lang w:val="es-GT" w:eastAsia="es-GT"/>
              </w:rPr>
              <w:t>Impuesto a las Empresas Mercantiles</w:t>
            </w:r>
          </w:p>
        </w:tc>
        <w:tc>
          <w:tcPr>
            <w:tcW w:w="1134" w:type="dxa"/>
            <w:tcBorders>
              <w:top w:val="nil"/>
              <w:left w:val="nil"/>
              <w:bottom w:val="nil"/>
              <w:right w:val="nil"/>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3.4</w:t>
            </w:r>
          </w:p>
        </w:tc>
        <w:tc>
          <w:tcPr>
            <w:tcW w:w="1102" w:type="dxa"/>
            <w:tcBorders>
              <w:top w:val="nil"/>
              <w:left w:val="nil"/>
              <w:bottom w:val="nil"/>
              <w:right w:val="single" w:sz="8" w:space="0" w:color="auto"/>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0.0</w:t>
            </w:r>
          </w:p>
        </w:tc>
        <w:tc>
          <w:tcPr>
            <w:tcW w:w="1005" w:type="dxa"/>
            <w:tcBorders>
              <w:top w:val="nil"/>
              <w:left w:val="nil"/>
              <w:bottom w:val="nil"/>
              <w:right w:val="single" w:sz="4" w:space="0" w:color="auto"/>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-3.4</w:t>
            </w:r>
          </w:p>
        </w:tc>
        <w:tc>
          <w:tcPr>
            <w:tcW w:w="945" w:type="dxa"/>
            <w:tcBorders>
              <w:top w:val="nil"/>
              <w:left w:val="nil"/>
              <w:bottom w:val="nil"/>
              <w:right w:val="nil"/>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-100.0%</w:t>
            </w:r>
          </w:p>
        </w:tc>
      </w:tr>
      <w:tr w:rsidR="00AB0496" w:rsidRPr="00B263D7" w:rsidTr="00B263D7">
        <w:trPr>
          <w:trHeight w:val="275"/>
        </w:trPr>
        <w:tc>
          <w:tcPr>
            <w:tcW w:w="4693" w:type="dxa"/>
            <w:tcBorders>
              <w:top w:val="nil"/>
              <w:left w:val="nil"/>
              <w:bottom w:val="nil"/>
              <w:right w:val="nil"/>
            </w:tcBorders>
            <w:shd w:val="clear" w:color="000000" w:fill="FFFFFF"/>
            <w:noWrap/>
            <w:vAlign w:val="center"/>
            <w:hideMark/>
          </w:tcPr>
          <w:p w:rsidR="00AB0496" w:rsidRPr="00B263D7" w:rsidRDefault="00AB0496" w:rsidP="00B263D7">
            <w:pPr>
              <w:ind w:firstLineChars="400" w:firstLine="800"/>
              <w:rPr>
                <w:sz w:val="20"/>
                <w:szCs w:val="20"/>
                <w:lang w:val="es-GT" w:eastAsia="es-GT"/>
              </w:rPr>
            </w:pPr>
            <w:r w:rsidRPr="00B263D7">
              <w:rPr>
                <w:sz w:val="20"/>
                <w:szCs w:val="20"/>
                <w:lang w:val="es-GT" w:eastAsia="es-GT"/>
              </w:rPr>
              <w:t>Extraordinario y Temporal Acuerdos de Paz</w:t>
            </w:r>
          </w:p>
        </w:tc>
        <w:tc>
          <w:tcPr>
            <w:tcW w:w="1134" w:type="dxa"/>
            <w:tcBorders>
              <w:top w:val="nil"/>
              <w:left w:val="nil"/>
              <w:bottom w:val="nil"/>
              <w:right w:val="nil"/>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17.2</w:t>
            </w:r>
          </w:p>
        </w:tc>
        <w:tc>
          <w:tcPr>
            <w:tcW w:w="1102" w:type="dxa"/>
            <w:tcBorders>
              <w:top w:val="nil"/>
              <w:left w:val="nil"/>
              <w:bottom w:val="nil"/>
              <w:right w:val="single" w:sz="8" w:space="0" w:color="auto"/>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5.4</w:t>
            </w:r>
          </w:p>
        </w:tc>
        <w:tc>
          <w:tcPr>
            <w:tcW w:w="1005" w:type="dxa"/>
            <w:tcBorders>
              <w:top w:val="nil"/>
              <w:left w:val="nil"/>
              <w:bottom w:val="nil"/>
              <w:right w:val="single" w:sz="4" w:space="0" w:color="auto"/>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-11.8</w:t>
            </w:r>
          </w:p>
        </w:tc>
        <w:tc>
          <w:tcPr>
            <w:tcW w:w="945" w:type="dxa"/>
            <w:tcBorders>
              <w:top w:val="nil"/>
              <w:left w:val="nil"/>
              <w:bottom w:val="nil"/>
              <w:right w:val="nil"/>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-68.7%</w:t>
            </w:r>
          </w:p>
        </w:tc>
      </w:tr>
      <w:tr w:rsidR="00AB0496" w:rsidRPr="00B263D7" w:rsidTr="00B263D7">
        <w:trPr>
          <w:trHeight w:val="275"/>
        </w:trPr>
        <w:tc>
          <w:tcPr>
            <w:tcW w:w="4693" w:type="dxa"/>
            <w:tcBorders>
              <w:top w:val="nil"/>
              <w:left w:val="nil"/>
              <w:bottom w:val="nil"/>
              <w:right w:val="nil"/>
            </w:tcBorders>
            <w:shd w:val="clear" w:color="000000" w:fill="FFFFFF"/>
            <w:noWrap/>
            <w:vAlign w:val="center"/>
            <w:hideMark/>
          </w:tcPr>
          <w:p w:rsidR="00AB0496" w:rsidRPr="00B263D7" w:rsidRDefault="00AB0496" w:rsidP="00B263D7">
            <w:pPr>
              <w:ind w:firstLineChars="400" w:firstLine="800"/>
              <w:rPr>
                <w:sz w:val="20"/>
                <w:szCs w:val="20"/>
                <w:lang w:val="es-GT" w:eastAsia="es-GT"/>
              </w:rPr>
            </w:pPr>
            <w:r w:rsidRPr="00B263D7">
              <w:rPr>
                <w:sz w:val="20"/>
                <w:szCs w:val="20"/>
                <w:lang w:val="es-GT" w:eastAsia="es-GT"/>
              </w:rPr>
              <w:t>Impuesto de Solidaridad</w:t>
            </w:r>
          </w:p>
        </w:tc>
        <w:tc>
          <w:tcPr>
            <w:tcW w:w="1134" w:type="dxa"/>
            <w:tcBorders>
              <w:top w:val="nil"/>
              <w:left w:val="nil"/>
              <w:bottom w:val="nil"/>
              <w:right w:val="nil"/>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2,161.6</w:t>
            </w:r>
          </w:p>
        </w:tc>
        <w:tc>
          <w:tcPr>
            <w:tcW w:w="1102" w:type="dxa"/>
            <w:tcBorders>
              <w:top w:val="nil"/>
              <w:left w:val="nil"/>
              <w:bottom w:val="nil"/>
              <w:right w:val="single" w:sz="8" w:space="0" w:color="auto"/>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2,278.8</w:t>
            </w:r>
          </w:p>
        </w:tc>
        <w:tc>
          <w:tcPr>
            <w:tcW w:w="1005" w:type="dxa"/>
            <w:tcBorders>
              <w:top w:val="nil"/>
              <w:left w:val="nil"/>
              <w:bottom w:val="nil"/>
              <w:right w:val="single" w:sz="4" w:space="0" w:color="auto"/>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117.2</w:t>
            </w:r>
          </w:p>
        </w:tc>
        <w:tc>
          <w:tcPr>
            <w:tcW w:w="945" w:type="dxa"/>
            <w:tcBorders>
              <w:top w:val="nil"/>
              <w:left w:val="nil"/>
              <w:bottom w:val="nil"/>
              <w:right w:val="nil"/>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5.4%</w:t>
            </w:r>
          </w:p>
        </w:tc>
      </w:tr>
      <w:tr w:rsidR="00AB0496" w:rsidRPr="00B263D7" w:rsidTr="00B263D7">
        <w:trPr>
          <w:trHeight w:val="234"/>
        </w:trPr>
        <w:tc>
          <w:tcPr>
            <w:tcW w:w="4693" w:type="dxa"/>
            <w:tcBorders>
              <w:top w:val="nil"/>
              <w:left w:val="nil"/>
              <w:bottom w:val="nil"/>
              <w:right w:val="nil"/>
            </w:tcBorders>
            <w:shd w:val="clear" w:color="000000" w:fill="FFFFFF"/>
            <w:noWrap/>
            <w:vAlign w:val="bottom"/>
            <w:hideMark/>
          </w:tcPr>
          <w:p w:rsidR="00AB0496" w:rsidRPr="00B263D7" w:rsidRDefault="00AB0496" w:rsidP="00B263D7">
            <w:pPr>
              <w:ind w:firstLineChars="400" w:firstLine="800"/>
              <w:rPr>
                <w:sz w:val="20"/>
                <w:szCs w:val="20"/>
                <w:lang w:val="es-GT" w:eastAsia="es-GT"/>
              </w:rPr>
            </w:pPr>
            <w:r w:rsidRPr="00B263D7">
              <w:rPr>
                <w:sz w:val="20"/>
                <w:szCs w:val="20"/>
                <w:lang w:val="es-GT" w:eastAsia="es-GT"/>
              </w:rPr>
              <w:t>Impuesto al Valor Agregado Doméstico</w:t>
            </w:r>
          </w:p>
        </w:tc>
        <w:tc>
          <w:tcPr>
            <w:tcW w:w="1134" w:type="dxa"/>
            <w:tcBorders>
              <w:top w:val="nil"/>
              <w:left w:val="nil"/>
              <w:bottom w:val="nil"/>
              <w:right w:val="nil"/>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6,546.9</w:t>
            </w:r>
          </w:p>
        </w:tc>
        <w:tc>
          <w:tcPr>
            <w:tcW w:w="1102" w:type="dxa"/>
            <w:tcBorders>
              <w:top w:val="nil"/>
              <w:left w:val="nil"/>
              <w:bottom w:val="nil"/>
              <w:right w:val="single" w:sz="8" w:space="0" w:color="auto"/>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6,659.9</w:t>
            </w:r>
          </w:p>
        </w:tc>
        <w:tc>
          <w:tcPr>
            <w:tcW w:w="1005" w:type="dxa"/>
            <w:tcBorders>
              <w:top w:val="nil"/>
              <w:left w:val="nil"/>
              <w:bottom w:val="nil"/>
              <w:right w:val="single" w:sz="4" w:space="0" w:color="auto"/>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113.0</w:t>
            </w:r>
          </w:p>
        </w:tc>
        <w:tc>
          <w:tcPr>
            <w:tcW w:w="945" w:type="dxa"/>
            <w:tcBorders>
              <w:top w:val="nil"/>
              <w:left w:val="nil"/>
              <w:bottom w:val="nil"/>
              <w:right w:val="nil"/>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1.7%</w:t>
            </w:r>
          </w:p>
        </w:tc>
      </w:tr>
      <w:tr w:rsidR="00AB0496" w:rsidRPr="00B263D7" w:rsidTr="00B263D7">
        <w:trPr>
          <w:trHeight w:val="275"/>
        </w:trPr>
        <w:tc>
          <w:tcPr>
            <w:tcW w:w="4693" w:type="dxa"/>
            <w:tcBorders>
              <w:top w:val="nil"/>
              <w:left w:val="nil"/>
              <w:bottom w:val="nil"/>
              <w:right w:val="nil"/>
            </w:tcBorders>
            <w:shd w:val="clear" w:color="000000" w:fill="FFFFFF"/>
            <w:noWrap/>
            <w:vAlign w:val="bottom"/>
            <w:hideMark/>
          </w:tcPr>
          <w:p w:rsidR="00AB0496" w:rsidRPr="00B263D7" w:rsidRDefault="00AB0496" w:rsidP="00B263D7">
            <w:pPr>
              <w:ind w:firstLineChars="400" w:firstLine="800"/>
              <w:rPr>
                <w:sz w:val="20"/>
                <w:szCs w:val="20"/>
                <w:lang w:val="es-GT" w:eastAsia="es-GT"/>
              </w:rPr>
            </w:pPr>
            <w:r w:rsidRPr="00B263D7">
              <w:rPr>
                <w:sz w:val="20"/>
                <w:szCs w:val="20"/>
                <w:lang w:val="es-GT" w:eastAsia="es-GT"/>
              </w:rPr>
              <w:t>Petróleo</w:t>
            </w:r>
          </w:p>
        </w:tc>
        <w:tc>
          <w:tcPr>
            <w:tcW w:w="1134" w:type="dxa"/>
            <w:tcBorders>
              <w:top w:val="nil"/>
              <w:left w:val="nil"/>
              <w:bottom w:val="nil"/>
              <w:right w:val="nil"/>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1,637.4</w:t>
            </w:r>
          </w:p>
        </w:tc>
        <w:tc>
          <w:tcPr>
            <w:tcW w:w="1102" w:type="dxa"/>
            <w:tcBorders>
              <w:top w:val="nil"/>
              <w:left w:val="nil"/>
              <w:bottom w:val="nil"/>
              <w:right w:val="single" w:sz="8" w:space="0" w:color="auto"/>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1,696.7</w:t>
            </w:r>
          </w:p>
        </w:tc>
        <w:tc>
          <w:tcPr>
            <w:tcW w:w="1005" w:type="dxa"/>
            <w:tcBorders>
              <w:top w:val="nil"/>
              <w:left w:val="nil"/>
              <w:bottom w:val="nil"/>
              <w:right w:val="single" w:sz="4" w:space="0" w:color="auto"/>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59.3</w:t>
            </w:r>
          </w:p>
        </w:tc>
        <w:tc>
          <w:tcPr>
            <w:tcW w:w="945" w:type="dxa"/>
            <w:tcBorders>
              <w:top w:val="nil"/>
              <w:left w:val="nil"/>
              <w:bottom w:val="nil"/>
              <w:right w:val="nil"/>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3.6%</w:t>
            </w:r>
          </w:p>
        </w:tc>
      </w:tr>
      <w:tr w:rsidR="00AB0496" w:rsidRPr="00B263D7" w:rsidTr="00B263D7">
        <w:trPr>
          <w:trHeight w:val="275"/>
        </w:trPr>
        <w:tc>
          <w:tcPr>
            <w:tcW w:w="4693" w:type="dxa"/>
            <w:tcBorders>
              <w:top w:val="nil"/>
              <w:left w:val="nil"/>
              <w:bottom w:val="nil"/>
              <w:right w:val="nil"/>
            </w:tcBorders>
            <w:shd w:val="clear" w:color="000000" w:fill="FFFFFF"/>
            <w:noWrap/>
            <w:vAlign w:val="bottom"/>
            <w:hideMark/>
          </w:tcPr>
          <w:p w:rsidR="00AB0496" w:rsidRPr="00B263D7" w:rsidRDefault="00AB0496" w:rsidP="00B263D7">
            <w:pPr>
              <w:ind w:firstLineChars="400" w:firstLine="800"/>
              <w:rPr>
                <w:sz w:val="20"/>
                <w:szCs w:val="20"/>
                <w:lang w:val="es-GT" w:eastAsia="es-GT"/>
              </w:rPr>
            </w:pPr>
            <w:r w:rsidRPr="00B263D7">
              <w:rPr>
                <w:sz w:val="20"/>
                <w:szCs w:val="20"/>
                <w:lang w:val="es-GT" w:eastAsia="es-GT"/>
              </w:rPr>
              <w:t>Timbres Fiscales</w:t>
            </w:r>
          </w:p>
        </w:tc>
        <w:tc>
          <w:tcPr>
            <w:tcW w:w="1134" w:type="dxa"/>
            <w:tcBorders>
              <w:top w:val="nil"/>
              <w:left w:val="nil"/>
              <w:bottom w:val="nil"/>
              <w:right w:val="nil"/>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262.4</w:t>
            </w:r>
          </w:p>
        </w:tc>
        <w:tc>
          <w:tcPr>
            <w:tcW w:w="1102" w:type="dxa"/>
            <w:tcBorders>
              <w:top w:val="nil"/>
              <w:left w:val="nil"/>
              <w:bottom w:val="nil"/>
              <w:right w:val="single" w:sz="8" w:space="0" w:color="auto"/>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235.8</w:t>
            </w:r>
          </w:p>
        </w:tc>
        <w:tc>
          <w:tcPr>
            <w:tcW w:w="1005" w:type="dxa"/>
            <w:tcBorders>
              <w:top w:val="nil"/>
              <w:left w:val="nil"/>
              <w:bottom w:val="nil"/>
              <w:right w:val="single" w:sz="4" w:space="0" w:color="auto"/>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-26.6</w:t>
            </w:r>
          </w:p>
        </w:tc>
        <w:tc>
          <w:tcPr>
            <w:tcW w:w="945" w:type="dxa"/>
            <w:tcBorders>
              <w:top w:val="nil"/>
              <w:left w:val="nil"/>
              <w:bottom w:val="nil"/>
              <w:right w:val="nil"/>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-10.1%</w:t>
            </w:r>
          </w:p>
        </w:tc>
      </w:tr>
      <w:tr w:rsidR="00AB0496" w:rsidRPr="00B263D7" w:rsidTr="00B263D7">
        <w:trPr>
          <w:trHeight w:val="275"/>
        </w:trPr>
        <w:tc>
          <w:tcPr>
            <w:tcW w:w="4693" w:type="dxa"/>
            <w:tcBorders>
              <w:top w:val="nil"/>
              <w:left w:val="nil"/>
              <w:bottom w:val="nil"/>
              <w:right w:val="nil"/>
            </w:tcBorders>
            <w:shd w:val="clear" w:color="000000" w:fill="FFFFFF"/>
            <w:noWrap/>
            <w:vAlign w:val="bottom"/>
            <w:hideMark/>
          </w:tcPr>
          <w:p w:rsidR="00AB0496" w:rsidRPr="00B263D7" w:rsidRDefault="00AB0496" w:rsidP="00B263D7">
            <w:pPr>
              <w:ind w:firstLineChars="400" w:firstLine="800"/>
              <w:rPr>
                <w:sz w:val="20"/>
                <w:szCs w:val="20"/>
                <w:lang w:val="es-GT" w:eastAsia="es-GT"/>
              </w:rPr>
            </w:pPr>
            <w:r w:rsidRPr="00B263D7">
              <w:rPr>
                <w:sz w:val="20"/>
                <w:szCs w:val="20"/>
                <w:lang w:val="es-GT" w:eastAsia="es-GT"/>
              </w:rPr>
              <w:t>Vehículos</w:t>
            </w:r>
          </w:p>
        </w:tc>
        <w:tc>
          <w:tcPr>
            <w:tcW w:w="1134" w:type="dxa"/>
            <w:tcBorders>
              <w:top w:val="nil"/>
              <w:left w:val="nil"/>
              <w:bottom w:val="nil"/>
              <w:right w:val="nil"/>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352.9</w:t>
            </w:r>
          </w:p>
        </w:tc>
        <w:tc>
          <w:tcPr>
            <w:tcW w:w="1102" w:type="dxa"/>
            <w:tcBorders>
              <w:top w:val="nil"/>
              <w:left w:val="nil"/>
              <w:bottom w:val="nil"/>
              <w:right w:val="single" w:sz="8" w:space="0" w:color="auto"/>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376.7</w:t>
            </w:r>
          </w:p>
        </w:tc>
        <w:tc>
          <w:tcPr>
            <w:tcW w:w="1005" w:type="dxa"/>
            <w:tcBorders>
              <w:top w:val="nil"/>
              <w:left w:val="nil"/>
              <w:bottom w:val="nil"/>
              <w:right w:val="single" w:sz="4" w:space="0" w:color="auto"/>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23.8</w:t>
            </w:r>
          </w:p>
        </w:tc>
        <w:tc>
          <w:tcPr>
            <w:tcW w:w="945" w:type="dxa"/>
            <w:tcBorders>
              <w:top w:val="nil"/>
              <w:left w:val="nil"/>
              <w:bottom w:val="nil"/>
              <w:right w:val="nil"/>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6.7%</w:t>
            </w:r>
          </w:p>
        </w:tc>
      </w:tr>
      <w:tr w:rsidR="00AB0496" w:rsidRPr="00B263D7" w:rsidTr="00B263D7">
        <w:trPr>
          <w:trHeight w:val="275"/>
        </w:trPr>
        <w:tc>
          <w:tcPr>
            <w:tcW w:w="4693" w:type="dxa"/>
            <w:tcBorders>
              <w:top w:val="nil"/>
              <w:left w:val="nil"/>
              <w:bottom w:val="nil"/>
              <w:right w:val="nil"/>
            </w:tcBorders>
            <w:shd w:val="clear" w:color="000000" w:fill="FFFFFF"/>
            <w:noWrap/>
            <w:vAlign w:val="bottom"/>
            <w:hideMark/>
          </w:tcPr>
          <w:p w:rsidR="00AB0496" w:rsidRPr="00B263D7" w:rsidRDefault="00AB0496" w:rsidP="00B263D7">
            <w:pPr>
              <w:ind w:firstLineChars="400" w:firstLine="800"/>
              <w:rPr>
                <w:sz w:val="20"/>
                <w:szCs w:val="20"/>
                <w:lang w:val="es-GT" w:eastAsia="es-GT"/>
              </w:rPr>
            </w:pPr>
            <w:r w:rsidRPr="00B263D7">
              <w:rPr>
                <w:sz w:val="20"/>
                <w:szCs w:val="20"/>
                <w:lang w:val="es-GT" w:eastAsia="es-GT"/>
              </w:rPr>
              <w:t>IPRIMA</w:t>
            </w:r>
          </w:p>
        </w:tc>
        <w:tc>
          <w:tcPr>
            <w:tcW w:w="1134" w:type="dxa"/>
            <w:tcBorders>
              <w:top w:val="nil"/>
              <w:left w:val="nil"/>
              <w:bottom w:val="nil"/>
              <w:right w:val="nil"/>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425.5</w:t>
            </w:r>
          </w:p>
        </w:tc>
        <w:tc>
          <w:tcPr>
            <w:tcW w:w="1102" w:type="dxa"/>
            <w:tcBorders>
              <w:top w:val="nil"/>
              <w:left w:val="nil"/>
              <w:bottom w:val="nil"/>
              <w:right w:val="single" w:sz="8" w:space="0" w:color="auto"/>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437.9</w:t>
            </w:r>
          </w:p>
        </w:tc>
        <w:tc>
          <w:tcPr>
            <w:tcW w:w="1005" w:type="dxa"/>
            <w:tcBorders>
              <w:top w:val="nil"/>
              <w:left w:val="nil"/>
              <w:bottom w:val="nil"/>
              <w:right w:val="single" w:sz="4" w:space="0" w:color="auto"/>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12.5</w:t>
            </w:r>
          </w:p>
        </w:tc>
        <w:tc>
          <w:tcPr>
            <w:tcW w:w="945" w:type="dxa"/>
            <w:tcBorders>
              <w:top w:val="nil"/>
              <w:left w:val="nil"/>
              <w:bottom w:val="nil"/>
              <w:right w:val="nil"/>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2.9%</w:t>
            </w:r>
          </w:p>
        </w:tc>
      </w:tr>
      <w:tr w:rsidR="00AB0496" w:rsidRPr="00B263D7" w:rsidTr="00B263D7">
        <w:trPr>
          <w:trHeight w:val="275"/>
        </w:trPr>
        <w:tc>
          <w:tcPr>
            <w:tcW w:w="4693" w:type="dxa"/>
            <w:tcBorders>
              <w:top w:val="nil"/>
              <w:left w:val="nil"/>
              <w:bottom w:val="nil"/>
              <w:right w:val="nil"/>
            </w:tcBorders>
            <w:shd w:val="clear" w:color="000000" w:fill="FFFFFF"/>
            <w:noWrap/>
            <w:vAlign w:val="bottom"/>
            <w:hideMark/>
          </w:tcPr>
          <w:p w:rsidR="00AB0496" w:rsidRPr="00B263D7" w:rsidRDefault="00AB0496" w:rsidP="00B263D7">
            <w:pPr>
              <w:ind w:firstLineChars="400" w:firstLine="800"/>
              <w:rPr>
                <w:sz w:val="20"/>
                <w:szCs w:val="20"/>
                <w:lang w:val="es-GT" w:eastAsia="es-GT"/>
              </w:rPr>
            </w:pPr>
            <w:r w:rsidRPr="00B263D7">
              <w:rPr>
                <w:sz w:val="20"/>
                <w:szCs w:val="20"/>
                <w:lang w:val="es-GT" w:eastAsia="es-GT"/>
              </w:rPr>
              <w:t>Regalías</w:t>
            </w:r>
          </w:p>
        </w:tc>
        <w:tc>
          <w:tcPr>
            <w:tcW w:w="1134" w:type="dxa"/>
            <w:tcBorders>
              <w:top w:val="nil"/>
              <w:left w:val="nil"/>
              <w:bottom w:val="nil"/>
              <w:right w:val="nil"/>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122.7</w:t>
            </w:r>
          </w:p>
        </w:tc>
        <w:tc>
          <w:tcPr>
            <w:tcW w:w="1102" w:type="dxa"/>
            <w:tcBorders>
              <w:top w:val="nil"/>
              <w:left w:val="nil"/>
              <w:bottom w:val="nil"/>
              <w:right w:val="single" w:sz="8" w:space="0" w:color="auto"/>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150.9</w:t>
            </w:r>
          </w:p>
        </w:tc>
        <w:tc>
          <w:tcPr>
            <w:tcW w:w="1005" w:type="dxa"/>
            <w:tcBorders>
              <w:top w:val="nil"/>
              <w:left w:val="nil"/>
              <w:bottom w:val="nil"/>
              <w:right w:val="single" w:sz="4" w:space="0" w:color="auto"/>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28.2</w:t>
            </w:r>
          </w:p>
        </w:tc>
        <w:tc>
          <w:tcPr>
            <w:tcW w:w="945" w:type="dxa"/>
            <w:tcBorders>
              <w:top w:val="nil"/>
              <w:left w:val="nil"/>
              <w:bottom w:val="nil"/>
              <w:right w:val="nil"/>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23.0%</w:t>
            </w:r>
          </w:p>
        </w:tc>
      </w:tr>
      <w:tr w:rsidR="00AB0496" w:rsidRPr="00B263D7" w:rsidTr="00B263D7">
        <w:trPr>
          <w:trHeight w:val="275"/>
        </w:trPr>
        <w:tc>
          <w:tcPr>
            <w:tcW w:w="4693" w:type="dxa"/>
            <w:tcBorders>
              <w:top w:val="nil"/>
              <w:left w:val="nil"/>
              <w:bottom w:val="nil"/>
              <w:right w:val="nil"/>
            </w:tcBorders>
            <w:shd w:val="clear" w:color="000000" w:fill="FFFFFF"/>
            <w:noWrap/>
            <w:vAlign w:val="bottom"/>
            <w:hideMark/>
          </w:tcPr>
          <w:p w:rsidR="00AB0496" w:rsidRPr="00B263D7" w:rsidRDefault="00AB0496" w:rsidP="00B263D7">
            <w:pPr>
              <w:ind w:firstLineChars="400" w:firstLine="800"/>
              <w:rPr>
                <w:sz w:val="20"/>
                <w:szCs w:val="20"/>
                <w:lang w:val="es-GT" w:eastAsia="es-GT"/>
              </w:rPr>
            </w:pPr>
            <w:r w:rsidRPr="00B263D7">
              <w:rPr>
                <w:sz w:val="20"/>
                <w:szCs w:val="20"/>
                <w:lang w:val="es-GT" w:eastAsia="es-GT"/>
              </w:rPr>
              <w:t>Salida del País</w:t>
            </w:r>
          </w:p>
        </w:tc>
        <w:tc>
          <w:tcPr>
            <w:tcW w:w="1134" w:type="dxa"/>
            <w:tcBorders>
              <w:top w:val="nil"/>
              <w:left w:val="nil"/>
              <w:bottom w:val="nil"/>
              <w:right w:val="nil"/>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148.4</w:t>
            </w:r>
          </w:p>
        </w:tc>
        <w:tc>
          <w:tcPr>
            <w:tcW w:w="1102" w:type="dxa"/>
            <w:tcBorders>
              <w:top w:val="nil"/>
              <w:left w:val="nil"/>
              <w:bottom w:val="nil"/>
              <w:right w:val="single" w:sz="8" w:space="0" w:color="auto"/>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153.9</w:t>
            </w:r>
          </w:p>
        </w:tc>
        <w:tc>
          <w:tcPr>
            <w:tcW w:w="1005" w:type="dxa"/>
            <w:tcBorders>
              <w:top w:val="nil"/>
              <w:left w:val="nil"/>
              <w:bottom w:val="nil"/>
              <w:right w:val="single" w:sz="4" w:space="0" w:color="auto"/>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5.5</w:t>
            </w:r>
          </w:p>
        </w:tc>
        <w:tc>
          <w:tcPr>
            <w:tcW w:w="945" w:type="dxa"/>
            <w:tcBorders>
              <w:top w:val="nil"/>
              <w:left w:val="nil"/>
              <w:bottom w:val="nil"/>
              <w:right w:val="nil"/>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3.7%</w:t>
            </w:r>
          </w:p>
        </w:tc>
      </w:tr>
      <w:tr w:rsidR="00AB0496" w:rsidRPr="00B263D7" w:rsidTr="00B263D7">
        <w:trPr>
          <w:trHeight w:val="275"/>
        </w:trPr>
        <w:tc>
          <w:tcPr>
            <w:tcW w:w="4693" w:type="dxa"/>
            <w:tcBorders>
              <w:top w:val="nil"/>
              <w:left w:val="nil"/>
              <w:bottom w:val="nil"/>
              <w:right w:val="nil"/>
            </w:tcBorders>
            <w:shd w:val="clear" w:color="000000" w:fill="FFFFFF"/>
            <w:noWrap/>
            <w:vAlign w:val="bottom"/>
            <w:hideMark/>
          </w:tcPr>
          <w:p w:rsidR="00AB0496" w:rsidRPr="00B263D7" w:rsidRDefault="00AB0496" w:rsidP="00360013">
            <w:pPr>
              <w:ind w:firstLineChars="400" w:firstLine="800"/>
              <w:rPr>
                <w:sz w:val="20"/>
                <w:szCs w:val="20"/>
                <w:lang w:val="es-GT" w:eastAsia="es-GT"/>
              </w:rPr>
            </w:pPr>
            <w:r w:rsidRPr="00B263D7">
              <w:rPr>
                <w:sz w:val="20"/>
                <w:szCs w:val="20"/>
                <w:lang w:val="es-GT" w:eastAsia="es-GT"/>
              </w:rPr>
              <w:t xml:space="preserve">Alcoholes y </w:t>
            </w:r>
            <w:r w:rsidR="00360013">
              <w:rPr>
                <w:sz w:val="20"/>
                <w:szCs w:val="20"/>
                <w:lang w:val="es-GT" w:eastAsia="es-GT"/>
              </w:rPr>
              <w:t>B</w:t>
            </w:r>
            <w:r w:rsidRPr="00B263D7">
              <w:rPr>
                <w:sz w:val="20"/>
                <w:szCs w:val="20"/>
                <w:lang w:val="es-GT" w:eastAsia="es-GT"/>
              </w:rPr>
              <w:t>ebidas</w:t>
            </w:r>
          </w:p>
        </w:tc>
        <w:tc>
          <w:tcPr>
            <w:tcW w:w="1134" w:type="dxa"/>
            <w:tcBorders>
              <w:top w:val="nil"/>
              <w:left w:val="nil"/>
              <w:bottom w:val="nil"/>
              <w:right w:val="nil"/>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375.7</w:t>
            </w:r>
          </w:p>
        </w:tc>
        <w:tc>
          <w:tcPr>
            <w:tcW w:w="1102" w:type="dxa"/>
            <w:tcBorders>
              <w:top w:val="nil"/>
              <w:left w:val="nil"/>
              <w:bottom w:val="nil"/>
              <w:right w:val="single" w:sz="8" w:space="0" w:color="auto"/>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387.5</w:t>
            </w:r>
          </w:p>
        </w:tc>
        <w:tc>
          <w:tcPr>
            <w:tcW w:w="1005" w:type="dxa"/>
            <w:tcBorders>
              <w:top w:val="nil"/>
              <w:left w:val="nil"/>
              <w:bottom w:val="nil"/>
              <w:right w:val="single" w:sz="4" w:space="0" w:color="auto"/>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11.8</w:t>
            </w:r>
          </w:p>
        </w:tc>
        <w:tc>
          <w:tcPr>
            <w:tcW w:w="945" w:type="dxa"/>
            <w:tcBorders>
              <w:top w:val="nil"/>
              <w:left w:val="nil"/>
              <w:bottom w:val="nil"/>
              <w:right w:val="nil"/>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3.1%</w:t>
            </w:r>
          </w:p>
        </w:tc>
      </w:tr>
      <w:tr w:rsidR="00AB0496" w:rsidRPr="00B263D7" w:rsidTr="00B263D7">
        <w:trPr>
          <w:trHeight w:val="275"/>
        </w:trPr>
        <w:tc>
          <w:tcPr>
            <w:tcW w:w="4693" w:type="dxa"/>
            <w:tcBorders>
              <w:top w:val="nil"/>
              <w:left w:val="nil"/>
              <w:bottom w:val="nil"/>
              <w:right w:val="nil"/>
            </w:tcBorders>
            <w:shd w:val="clear" w:color="000000" w:fill="FFFFFF"/>
            <w:noWrap/>
            <w:vAlign w:val="bottom"/>
            <w:hideMark/>
          </w:tcPr>
          <w:p w:rsidR="00AB0496" w:rsidRPr="00B263D7" w:rsidRDefault="00AB0496" w:rsidP="00B263D7">
            <w:pPr>
              <w:ind w:firstLineChars="400" w:firstLine="800"/>
              <w:rPr>
                <w:sz w:val="20"/>
                <w:szCs w:val="20"/>
                <w:lang w:val="es-GT" w:eastAsia="es-GT"/>
              </w:rPr>
            </w:pPr>
            <w:r w:rsidRPr="00B263D7">
              <w:rPr>
                <w:sz w:val="20"/>
                <w:szCs w:val="20"/>
                <w:lang w:val="es-GT" w:eastAsia="es-GT"/>
              </w:rPr>
              <w:t>Tabaco</w:t>
            </w:r>
          </w:p>
        </w:tc>
        <w:tc>
          <w:tcPr>
            <w:tcW w:w="1134" w:type="dxa"/>
            <w:tcBorders>
              <w:top w:val="nil"/>
              <w:left w:val="nil"/>
              <w:bottom w:val="nil"/>
              <w:right w:val="nil"/>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182.9</w:t>
            </w:r>
          </w:p>
        </w:tc>
        <w:tc>
          <w:tcPr>
            <w:tcW w:w="1102" w:type="dxa"/>
            <w:tcBorders>
              <w:top w:val="nil"/>
              <w:left w:val="nil"/>
              <w:bottom w:val="nil"/>
              <w:right w:val="single" w:sz="8" w:space="0" w:color="auto"/>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170.4</w:t>
            </w:r>
          </w:p>
        </w:tc>
        <w:tc>
          <w:tcPr>
            <w:tcW w:w="1005" w:type="dxa"/>
            <w:tcBorders>
              <w:top w:val="nil"/>
              <w:left w:val="nil"/>
              <w:bottom w:val="nil"/>
              <w:right w:val="single" w:sz="4" w:space="0" w:color="auto"/>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-12.5</w:t>
            </w:r>
          </w:p>
        </w:tc>
        <w:tc>
          <w:tcPr>
            <w:tcW w:w="945" w:type="dxa"/>
            <w:tcBorders>
              <w:top w:val="nil"/>
              <w:left w:val="nil"/>
              <w:bottom w:val="nil"/>
              <w:right w:val="nil"/>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-6.8%</w:t>
            </w:r>
          </w:p>
        </w:tc>
      </w:tr>
      <w:tr w:rsidR="00AB0496" w:rsidRPr="00B263D7" w:rsidTr="00B263D7">
        <w:trPr>
          <w:trHeight w:val="275"/>
        </w:trPr>
        <w:tc>
          <w:tcPr>
            <w:tcW w:w="4693" w:type="dxa"/>
            <w:tcBorders>
              <w:top w:val="nil"/>
              <w:left w:val="nil"/>
              <w:bottom w:val="nil"/>
              <w:right w:val="nil"/>
            </w:tcBorders>
            <w:shd w:val="clear" w:color="000000" w:fill="FFFFFF"/>
            <w:noWrap/>
            <w:vAlign w:val="bottom"/>
            <w:hideMark/>
          </w:tcPr>
          <w:p w:rsidR="00AB0496" w:rsidRPr="00B263D7" w:rsidRDefault="00AB0496" w:rsidP="00B263D7">
            <w:pPr>
              <w:ind w:firstLineChars="400" w:firstLine="800"/>
              <w:rPr>
                <w:sz w:val="20"/>
                <w:szCs w:val="20"/>
                <w:lang w:val="es-GT" w:eastAsia="es-GT"/>
              </w:rPr>
            </w:pPr>
            <w:r w:rsidRPr="00B263D7">
              <w:rPr>
                <w:sz w:val="20"/>
                <w:szCs w:val="20"/>
                <w:lang w:val="es-GT" w:eastAsia="es-GT"/>
              </w:rPr>
              <w:t>Distribución de Cemento</w:t>
            </w:r>
          </w:p>
        </w:tc>
        <w:tc>
          <w:tcPr>
            <w:tcW w:w="1134" w:type="dxa"/>
            <w:tcBorders>
              <w:top w:val="nil"/>
              <w:left w:val="nil"/>
              <w:bottom w:val="nil"/>
              <w:right w:val="nil"/>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58.7</w:t>
            </w:r>
          </w:p>
        </w:tc>
        <w:tc>
          <w:tcPr>
            <w:tcW w:w="1102" w:type="dxa"/>
            <w:tcBorders>
              <w:top w:val="nil"/>
              <w:left w:val="nil"/>
              <w:bottom w:val="nil"/>
              <w:right w:val="single" w:sz="8" w:space="0" w:color="auto"/>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63.0</w:t>
            </w:r>
          </w:p>
        </w:tc>
        <w:tc>
          <w:tcPr>
            <w:tcW w:w="1005" w:type="dxa"/>
            <w:tcBorders>
              <w:top w:val="nil"/>
              <w:left w:val="nil"/>
              <w:bottom w:val="nil"/>
              <w:right w:val="single" w:sz="4" w:space="0" w:color="auto"/>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4.4</w:t>
            </w:r>
          </w:p>
        </w:tc>
        <w:tc>
          <w:tcPr>
            <w:tcW w:w="945" w:type="dxa"/>
            <w:tcBorders>
              <w:top w:val="nil"/>
              <w:left w:val="nil"/>
              <w:bottom w:val="nil"/>
              <w:right w:val="nil"/>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7.4%</w:t>
            </w:r>
          </w:p>
        </w:tc>
      </w:tr>
      <w:tr w:rsidR="00AB0496" w:rsidRPr="00B263D7" w:rsidTr="00B263D7">
        <w:trPr>
          <w:trHeight w:val="275"/>
        </w:trPr>
        <w:tc>
          <w:tcPr>
            <w:tcW w:w="4693" w:type="dxa"/>
            <w:tcBorders>
              <w:top w:val="nil"/>
              <w:left w:val="nil"/>
              <w:bottom w:val="single" w:sz="8" w:space="0" w:color="auto"/>
              <w:right w:val="nil"/>
            </w:tcBorders>
            <w:shd w:val="clear" w:color="000000" w:fill="FFFFFF"/>
            <w:noWrap/>
            <w:vAlign w:val="bottom"/>
            <w:hideMark/>
          </w:tcPr>
          <w:p w:rsidR="00AB0496" w:rsidRPr="00B263D7" w:rsidRDefault="00AB0496" w:rsidP="00B263D7">
            <w:pPr>
              <w:ind w:firstLineChars="400" w:firstLine="800"/>
              <w:rPr>
                <w:sz w:val="20"/>
                <w:szCs w:val="20"/>
                <w:lang w:val="es-GT" w:eastAsia="es-GT"/>
              </w:rPr>
            </w:pPr>
            <w:r w:rsidRPr="00B263D7">
              <w:rPr>
                <w:sz w:val="20"/>
                <w:szCs w:val="20"/>
                <w:lang w:val="es-GT" w:eastAsia="es-GT"/>
              </w:rPr>
              <w:t>Otros</w:t>
            </w:r>
          </w:p>
        </w:tc>
        <w:tc>
          <w:tcPr>
            <w:tcW w:w="1134" w:type="dxa"/>
            <w:tcBorders>
              <w:top w:val="nil"/>
              <w:left w:val="nil"/>
              <w:bottom w:val="single" w:sz="8" w:space="0" w:color="auto"/>
              <w:right w:val="nil"/>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3.1</w:t>
            </w:r>
          </w:p>
        </w:tc>
        <w:tc>
          <w:tcPr>
            <w:tcW w:w="1102" w:type="dxa"/>
            <w:tcBorders>
              <w:top w:val="nil"/>
              <w:left w:val="nil"/>
              <w:bottom w:val="single" w:sz="8" w:space="0" w:color="auto"/>
              <w:right w:val="single" w:sz="8" w:space="0" w:color="auto"/>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3.4</w:t>
            </w:r>
          </w:p>
        </w:tc>
        <w:tc>
          <w:tcPr>
            <w:tcW w:w="1005" w:type="dxa"/>
            <w:tcBorders>
              <w:top w:val="nil"/>
              <w:left w:val="nil"/>
              <w:bottom w:val="single" w:sz="8" w:space="0" w:color="auto"/>
              <w:right w:val="single" w:sz="4" w:space="0" w:color="auto"/>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0.3</w:t>
            </w:r>
          </w:p>
        </w:tc>
        <w:tc>
          <w:tcPr>
            <w:tcW w:w="945" w:type="dxa"/>
            <w:tcBorders>
              <w:top w:val="nil"/>
              <w:left w:val="nil"/>
              <w:bottom w:val="single" w:sz="8" w:space="0" w:color="auto"/>
              <w:right w:val="nil"/>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9.6%</w:t>
            </w:r>
          </w:p>
        </w:tc>
      </w:tr>
    </w:tbl>
    <w:p w:rsidR="00AB0496" w:rsidRPr="00E021FF" w:rsidRDefault="00AB0496" w:rsidP="00E021FF">
      <w:pPr>
        <w:jc w:val="both"/>
        <w:rPr>
          <w:sz w:val="16"/>
          <w:lang w:val="es-MX"/>
        </w:rPr>
      </w:pPr>
      <w:r w:rsidRPr="00E021FF">
        <w:rPr>
          <w:sz w:val="16"/>
          <w:lang w:val="es-MX"/>
        </w:rPr>
        <w:t>*</w:t>
      </w:r>
      <w:r w:rsidR="00B263D7">
        <w:rPr>
          <w:sz w:val="16"/>
          <w:lang w:val="es-MX"/>
        </w:rPr>
        <w:t>C</w:t>
      </w:r>
      <w:r w:rsidRPr="00E021FF">
        <w:rPr>
          <w:sz w:val="16"/>
          <w:lang w:val="es-MX"/>
        </w:rPr>
        <w:t>ifras preliminares</w:t>
      </w:r>
      <w:r w:rsidR="00B263D7">
        <w:rPr>
          <w:sz w:val="16"/>
          <w:lang w:val="es-MX"/>
        </w:rPr>
        <w:t>.</w:t>
      </w:r>
    </w:p>
    <w:p w:rsidR="00AB0496" w:rsidRPr="00E021FF" w:rsidRDefault="00AB0496" w:rsidP="00E021FF">
      <w:pPr>
        <w:jc w:val="both"/>
        <w:rPr>
          <w:sz w:val="16"/>
          <w:lang w:val="es-MX"/>
        </w:rPr>
      </w:pPr>
      <w:r w:rsidRPr="00E021FF">
        <w:rPr>
          <w:sz w:val="16"/>
          <w:lang w:val="es-MX"/>
        </w:rPr>
        <w:t>Fuente: Ministerio de Finanzas Públicas con base al SICOIN.</w:t>
      </w:r>
    </w:p>
    <w:p w:rsidR="00AB0496" w:rsidRDefault="00AB0496" w:rsidP="00AB0496">
      <w:pPr>
        <w:jc w:val="both"/>
      </w:pPr>
    </w:p>
    <w:p w:rsidR="00AB0496" w:rsidRDefault="00360013" w:rsidP="00AB0496">
      <w:pPr>
        <w:jc w:val="both"/>
      </w:pPr>
      <w:r>
        <w:lastRenderedPageBreak/>
        <w:t>Con</w:t>
      </w:r>
      <w:r w:rsidR="00AB0496">
        <w:t xml:space="preserve"> relación a los impuestos asociados al comercio exterior</w:t>
      </w:r>
      <w:r>
        <w:t>,</w:t>
      </w:r>
      <w:r w:rsidR="00AB0496">
        <w:t xml:space="preserve"> al 30 de junio de 2018 estos representaban el 27.6%, mientras que en el 2017 un 26.1%. </w:t>
      </w:r>
      <w:r>
        <w:t xml:space="preserve"> </w:t>
      </w:r>
      <w:r w:rsidR="00AB0496">
        <w:t>Se observa para estos impuestos un aumento de Q</w:t>
      </w:r>
      <w:r>
        <w:t>.</w:t>
      </w:r>
      <w:r w:rsidR="00AB0496">
        <w:t xml:space="preserve">664.7 millones respecto </w:t>
      </w:r>
      <w:r>
        <w:t>de</w:t>
      </w:r>
      <w:r w:rsidR="00AB0496">
        <w:t xml:space="preserve"> lo observado en 2017, especialmente en el IVA Importaciones con Q</w:t>
      </w:r>
      <w:r>
        <w:t>.</w:t>
      </w:r>
      <w:r w:rsidR="00AB0496">
        <w:t>638.0 millones, en tanto que los Derechos Arancelarios aumentaron Q</w:t>
      </w:r>
      <w:r>
        <w:t>.</w:t>
      </w:r>
      <w:r w:rsidR="00AB0496">
        <w:t>26.7 millones.</w:t>
      </w:r>
    </w:p>
    <w:p w:rsidR="00AB0496" w:rsidRDefault="00AB0496" w:rsidP="00AB0496">
      <w:pPr>
        <w:tabs>
          <w:tab w:val="left" w:pos="426"/>
        </w:tabs>
        <w:jc w:val="center"/>
        <w:rPr>
          <w:b/>
          <w:sz w:val="20"/>
        </w:rPr>
      </w:pPr>
    </w:p>
    <w:p w:rsidR="00AB0496" w:rsidRPr="00A226F3" w:rsidRDefault="00AB0496" w:rsidP="00AB0496">
      <w:pPr>
        <w:tabs>
          <w:tab w:val="left" w:pos="426"/>
        </w:tabs>
        <w:jc w:val="center"/>
        <w:rPr>
          <w:b/>
          <w:sz w:val="20"/>
        </w:rPr>
      </w:pPr>
      <w:r w:rsidRPr="00A226F3">
        <w:rPr>
          <w:b/>
          <w:sz w:val="20"/>
        </w:rPr>
        <w:t xml:space="preserve">Gráfica </w:t>
      </w:r>
      <w:r w:rsidR="00E635A3">
        <w:rPr>
          <w:b/>
          <w:sz w:val="20"/>
        </w:rPr>
        <w:t>7</w:t>
      </w:r>
    </w:p>
    <w:p w:rsidR="00AB0496" w:rsidRPr="0088577C" w:rsidRDefault="00AB0496" w:rsidP="00AB0496">
      <w:pPr>
        <w:pStyle w:val="Prrafodelista"/>
        <w:ind w:left="360"/>
        <w:jc w:val="center"/>
        <w:rPr>
          <w:b/>
          <w:sz w:val="22"/>
          <w:lang w:val="es-MX"/>
        </w:rPr>
      </w:pPr>
      <w:r w:rsidRPr="0088577C">
        <w:rPr>
          <w:b/>
          <w:sz w:val="22"/>
          <w:lang w:val="es-MX"/>
        </w:rPr>
        <w:t xml:space="preserve">Estructura </w:t>
      </w:r>
      <w:r w:rsidR="00E6017A">
        <w:rPr>
          <w:b/>
          <w:sz w:val="22"/>
          <w:lang w:val="es-MX"/>
        </w:rPr>
        <w:t>T</w:t>
      </w:r>
      <w:r w:rsidRPr="0088577C">
        <w:rPr>
          <w:b/>
          <w:sz w:val="22"/>
          <w:lang w:val="es-MX"/>
        </w:rPr>
        <w:t xml:space="preserve">ributaria por </w:t>
      </w:r>
      <w:r w:rsidR="00E6017A">
        <w:rPr>
          <w:b/>
          <w:sz w:val="22"/>
          <w:lang w:val="es-MX"/>
        </w:rPr>
        <w:t>O</w:t>
      </w:r>
      <w:r w:rsidRPr="0088577C">
        <w:rPr>
          <w:b/>
          <w:sz w:val="22"/>
          <w:lang w:val="es-MX"/>
        </w:rPr>
        <w:t xml:space="preserve">rigen del </w:t>
      </w:r>
      <w:r w:rsidR="00E6017A">
        <w:rPr>
          <w:b/>
          <w:sz w:val="22"/>
          <w:lang w:val="es-MX"/>
        </w:rPr>
        <w:t>R</w:t>
      </w:r>
      <w:r w:rsidRPr="0088577C">
        <w:rPr>
          <w:b/>
          <w:sz w:val="22"/>
          <w:lang w:val="es-MX"/>
        </w:rPr>
        <w:t>ecaudo</w:t>
      </w:r>
    </w:p>
    <w:p w:rsidR="00AB0496" w:rsidRPr="0088577C" w:rsidRDefault="00AB0496" w:rsidP="00AB0496">
      <w:pPr>
        <w:pStyle w:val="Prrafodelista"/>
        <w:ind w:left="360"/>
        <w:jc w:val="center"/>
        <w:rPr>
          <w:b/>
          <w:sz w:val="22"/>
          <w:lang w:val="es-MX"/>
        </w:rPr>
      </w:pPr>
      <w:r w:rsidRPr="0088577C">
        <w:rPr>
          <w:b/>
          <w:sz w:val="22"/>
          <w:lang w:val="es-MX"/>
        </w:rPr>
        <w:t>Al 30 de junio de cada año</w:t>
      </w:r>
    </w:p>
    <w:p w:rsidR="00AB0496" w:rsidRDefault="00AB0496" w:rsidP="00AB0496">
      <w:pPr>
        <w:tabs>
          <w:tab w:val="left" w:pos="426"/>
        </w:tabs>
        <w:jc w:val="center"/>
        <w:rPr>
          <w:b/>
          <w:sz w:val="20"/>
        </w:rPr>
      </w:pPr>
      <w:r>
        <w:rPr>
          <w:noProof/>
          <w:lang w:val="es-GT" w:eastAsia="es-GT"/>
        </w:rPr>
        <w:drawing>
          <wp:inline distT="0" distB="0" distL="0" distR="0" wp14:anchorId="15442145" wp14:editId="71BD1C25">
            <wp:extent cx="2292824" cy="1712794"/>
            <wp:effectExtent l="0" t="0" r="1270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b/>
          <w:sz w:val="20"/>
        </w:rPr>
        <w:t xml:space="preserve">    </w:t>
      </w:r>
      <w:r>
        <w:rPr>
          <w:noProof/>
          <w:lang w:val="es-GT" w:eastAsia="es-GT"/>
        </w:rPr>
        <w:drawing>
          <wp:inline distT="0" distB="0" distL="0" distR="0" wp14:anchorId="7EEDAD9A" wp14:editId="7F29D804">
            <wp:extent cx="2442949" cy="1712794"/>
            <wp:effectExtent l="0" t="0" r="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B0496" w:rsidRPr="00E021FF" w:rsidRDefault="00AB0496" w:rsidP="00AB0496">
      <w:pPr>
        <w:jc w:val="both"/>
        <w:rPr>
          <w:sz w:val="16"/>
          <w:lang w:val="es-MX"/>
        </w:rPr>
      </w:pPr>
      <w:r w:rsidRPr="00E021FF">
        <w:rPr>
          <w:sz w:val="16"/>
          <w:lang w:val="es-MX"/>
        </w:rPr>
        <w:t>*Cifras preliminares</w:t>
      </w:r>
      <w:r w:rsidR="00360013">
        <w:rPr>
          <w:sz w:val="16"/>
          <w:lang w:val="es-MX"/>
        </w:rPr>
        <w:t>.</w:t>
      </w:r>
    </w:p>
    <w:p w:rsidR="00AB0496" w:rsidRPr="00E021FF" w:rsidRDefault="00AB0496" w:rsidP="00AB0496">
      <w:pPr>
        <w:jc w:val="both"/>
        <w:rPr>
          <w:sz w:val="16"/>
          <w:lang w:val="es-MX"/>
        </w:rPr>
      </w:pPr>
      <w:r w:rsidRPr="00E021FF">
        <w:rPr>
          <w:sz w:val="16"/>
          <w:lang w:val="es-MX"/>
        </w:rPr>
        <w:t>Fuente: Ministerio de Finanzas Públicas con base al SICOIN.</w:t>
      </w:r>
    </w:p>
    <w:p w:rsidR="00AB0496" w:rsidRPr="00D7055A" w:rsidRDefault="00AB0496" w:rsidP="00AB0496">
      <w:pPr>
        <w:jc w:val="both"/>
        <w:rPr>
          <w:sz w:val="2"/>
          <w:lang w:val="es-GT"/>
        </w:rPr>
      </w:pPr>
    </w:p>
    <w:p w:rsidR="00AB0496" w:rsidRDefault="00AB0496" w:rsidP="00AB0496">
      <w:pPr>
        <w:jc w:val="both"/>
        <w:rPr>
          <w:lang w:val="es-GT"/>
        </w:rPr>
      </w:pPr>
    </w:p>
    <w:p w:rsidR="00522477" w:rsidRDefault="00522477" w:rsidP="00AB0496">
      <w:pPr>
        <w:jc w:val="both"/>
        <w:rPr>
          <w:lang w:val="es-GT"/>
        </w:rPr>
      </w:pPr>
    </w:p>
    <w:p w:rsidR="00522477" w:rsidRDefault="00522477" w:rsidP="00AB0496">
      <w:pPr>
        <w:jc w:val="both"/>
        <w:rPr>
          <w:lang w:val="es-GT"/>
        </w:rPr>
      </w:pPr>
    </w:p>
    <w:p w:rsidR="00522477" w:rsidRDefault="00522477" w:rsidP="00AB0496">
      <w:pPr>
        <w:jc w:val="both"/>
        <w:rPr>
          <w:lang w:val="es-GT"/>
        </w:rPr>
      </w:pPr>
    </w:p>
    <w:p w:rsidR="00AB0496" w:rsidRDefault="00AB0496" w:rsidP="00AB0496">
      <w:pPr>
        <w:jc w:val="both"/>
        <w:rPr>
          <w:lang w:val="es-GT"/>
        </w:rPr>
      </w:pPr>
      <w:r>
        <w:rPr>
          <w:lang w:val="es-GT"/>
        </w:rPr>
        <w:t xml:space="preserve">Al observar la recaudación por tipo de impuesto, se puede establecer una estructura tributaria en la cual los impuestos indirectos representan el 62.1% de la recaudación total, mientras que al mismo periodo </w:t>
      </w:r>
      <w:r w:rsidR="009B69AA">
        <w:rPr>
          <w:lang w:val="es-GT"/>
        </w:rPr>
        <w:t>de</w:t>
      </w:r>
      <w:r>
        <w:rPr>
          <w:lang w:val="es-GT"/>
        </w:rPr>
        <w:t xml:space="preserve"> 2017</w:t>
      </w:r>
      <w:r w:rsidR="009B69AA">
        <w:rPr>
          <w:lang w:val="es-GT"/>
        </w:rPr>
        <w:t>,</w:t>
      </w:r>
      <w:r>
        <w:rPr>
          <w:lang w:val="es-GT"/>
        </w:rPr>
        <w:t xml:space="preserve"> estos representaban un 63.4%.  Por su lado, los impuestos directos en 2018 representan el 37.9% y en el mismo periodo de 2017</w:t>
      </w:r>
      <w:r w:rsidR="009B69AA">
        <w:rPr>
          <w:lang w:val="es-GT"/>
        </w:rPr>
        <w:t>,</w:t>
      </w:r>
      <w:r>
        <w:rPr>
          <w:lang w:val="es-GT"/>
        </w:rPr>
        <w:t xml:space="preserve"> el 36.6%.</w:t>
      </w:r>
    </w:p>
    <w:p w:rsidR="00AB0496" w:rsidRPr="00680C5C" w:rsidRDefault="00AB0496" w:rsidP="00AB0496">
      <w:pPr>
        <w:jc w:val="center"/>
        <w:rPr>
          <w:b/>
          <w:sz w:val="20"/>
          <w:lang w:val="es-GT"/>
        </w:rPr>
      </w:pPr>
    </w:p>
    <w:p w:rsidR="00AB0496" w:rsidRPr="0088577C" w:rsidRDefault="00AB0496" w:rsidP="00AB0496">
      <w:pPr>
        <w:jc w:val="center"/>
        <w:rPr>
          <w:b/>
          <w:sz w:val="22"/>
          <w:lang w:val="es-MX"/>
        </w:rPr>
      </w:pPr>
      <w:r w:rsidRPr="0088577C">
        <w:rPr>
          <w:b/>
          <w:sz w:val="22"/>
          <w:lang w:val="es-MX"/>
        </w:rPr>
        <w:t xml:space="preserve">Gráfica </w:t>
      </w:r>
      <w:r w:rsidR="00E635A3">
        <w:rPr>
          <w:b/>
          <w:sz w:val="22"/>
          <w:lang w:val="es-MX"/>
        </w:rPr>
        <w:t>8</w:t>
      </w:r>
    </w:p>
    <w:p w:rsidR="00AB0496" w:rsidRPr="0088577C" w:rsidRDefault="00AB0496" w:rsidP="00AB0496">
      <w:pPr>
        <w:jc w:val="center"/>
        <w:rPr>
          <w:b/>
          <w:sz w:val="22"/>
          <w:lang w:val="es-MX"/>
        </w:rPr>
      </w:pPr>
      <w:r w:rsidRPr="0088577C">
        <w:rPr>
          <w:b/>
          <w:sz w:val="22"/>
          <w:lang w:val="es-MX"/>
        </w:rPr>
        <w:t xml:space="preserve">Estructura </w:t>
      </w:r>
      <w:r w:rsidR="00E6017A">
        <w:rPr>
          <w:b/>
          <w:sz w:val="22"/>
          <w:lang w:val="es-MX"/>
        </w:rPr>
        <w:t>T</w:t>
      </w:r>
      <w:r w:rsidRPr="0088577C">
        <w:rPr>
          <w:b/>
          <w:sz w:val="22"/>
          <w:lang w:val="es-MX"/>
        </w:rPr>
        <w:t xml:space="preserve">ributaria por </w:t>
      </w:r>
      <w:r w:rsidR="00E6017A">
        <w:rPr>
          <w:b/>
          <w:sz w:val="22"/>
          <w:lang w:val="es-MX"/>
        </w:rPr>
        <w:t>T</w:t>
      </w:r>
      <w:r w:rsidRPr="0088577C">
        <w:rPr>
          <w:b/>
          <w:sz w:val="22"/>
          <w:lang w:val="es-MX"/>
        </w:rPr>
        <w:t xml:space="preserve">ipo de </w:t>
      </w:r>
      <w:r w:rsidR="00E6017A">
        <w:rPr>
          <w:b/>
          <w:sz w:val="22"/>
          <w:lang w:val="es-MX"/>
        </w:rPr>
        <w:t>I</w:t>
      </w:r>
      <w:r w:rsidRPr="0088577C">
        <w:rPr>
          <w:b/>
          <w:sz w:val="22"/>
          <w:lang w:val="es-MX"/>
        </w:rPr>
        <w:t>mpuesto</w:t>
      </w:r>
    </w:p>
    <w:p w:rsidR="00AB0496" w:rsidRDefault="00AB0496" w:rsidP="00AB0496">
      <w:pPr>
        <w:jc w:val="center"/>
        <w:rPr>
          <w:b/>
          <w:noProof/>
          <w:lang w:val="es-GT" w:eastAsia="es-GT"/>
        </w:rPr>
      </w:pPr>
      <w:r w:rsidRPr="0088577C">
        <w:rPr>
          <w:b/>
          <w:sz w:val="22"/>
          <w:lang w:val="es-MX"/>
        </w:rPr>
        <w:t>Al 30 de junio de cada año</w:t>
      </w:r>
    </w:p>
    <w:p w:rsidR="00AB0496" w:rsidRDefault="00AB0496" w:rsidP="00AB0496">
      <w:pPr>
        <w:jc w:val="center"/>
        <w:rPr>
          <w:b/>
          <w:sz w:val="20"/>
          <w:lang w:val="es-MX"/>
        </w:rPr>
      </w:pPr>
      <w:r>
        <w:rPr>
          <w:noProof/>
          <w:lang w:val="es-GT" w:eastAsia="es-GT"/>
        </w:rPr>
        <w:drawing>
          <wp:inline distT="0" distB="0" distL="0" distR="0" wp14:anchorId="03510106" wp14:editId="55A1087D">
            <wp:extent cx="2681785" cy="1821976"/>
            <wp:effectExtent l="0" t="0" r="0"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b/>
          <w:sz w:val="20"/>
          <w:lang w:val="es-MX"/>
        </w:rPr>
        <w:t xml:space="preserve">   </w:t>
      </w:r>
      <w:r>
        <w:rPr>
          <w:noProof/>
          <w:lang w:val="es-GT" w:eastAsia="es-GT"/>
        </w:rPr>
        <w:drawing>
          <wp:inline distT="0" distB="0" distL="0" distR="0" wp14:anchorId="1DCF7DEE" wp14:editId="3C1EC7C3">
            <wp:extent cx="2736376" cy="1801505"/>
            <wp:effectExtent l="0" t="0" r="0"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B0496" w:rsidRPr="00E021FF" w:rsidRDefault="00AB0496" w:rsidP="00AB0496">
      <w:pPr>
        <w:jc w:val="both"/>
        <w:rPr>
          <w:sz w:val="16"/>
          <w:lang w:val="es-MX"/>
        </w:rPr>
      </w:pPr>
      <w:r w:rsidRPr="00E021FF">
        <w:rPr>
          <w:sz w:val="16"/>
          <w:lang w:val="es-MX"/>
        </w:rPr>
        <w:t xml:space="preserve">*Cifras preliminares </w:t>
      </w:r>
    </w:p>
    <w:p w:rsidR="00AB0496" w:rsidRPr="00E021FF" w:rsidRDefault="00AB0496" w:rsidP="00AB0496">
      <w:pPr>
        <w:jc w:val="both"/>
        <w:rPr>
          <w:sz w:val="16"/>
          <w:lang w:val="es-MX"/>
        </w:rPr>
      </w:pPr>
      <w:r w:rsidRPr="00E021FF">
        <w:rPr>
          <w:sz w:val="16"/>
          <w:lang w:val="es-MX"/>
        </w:rPr>
        <w:t>Fuente: Ministerio de Finanzas Públicas con base al SICOIN.</w:t>
      </w:r>
    </w:p>
    <w:p w:rsidR="00AB0496" w:rsidRPr="00A76096" w:rsidRDefault="00AB0496" w:rsidP="00AB0496">
      <w:pPr>
        <w:jc w:val="both"/>
        <w:rPr>
          <w:sz w:val="4"/>
          <w:lang w:val="es-GT"/>
        </w:rPr>
      </w:pPr>
    </w:p>
    <w:p w:rsidR="00AB0496" w:rsidRDefault="00AB0496" w:rsidP="00AB0496">
      <w:pPr>
        <w:jc w:val="both"/>
        <w:rPr>
          <w:lang w:val="es-GT"/>
        </w:rPr>
      </w:pPr>
    </w:p>
    <w:p w:rsidR="00E021FF" w:rsidRDefault="00E021FF">
      <w:pPr>
        <w:rPr>
          <w:lang w:val="es-GT"/>
        </w:rPr>
      </w:pPr>
      <w:r>
        <w:rPr>
          <w:lang w:val="es-GT"/>
        </w:rPr>
        <w:br w:type="page"/>
      </w:r>
    </w:p>
    <w:p w:rsidR="00AB0496" w:rsidRDefault="00AB0496" w:rsidP="00AB0496">
      <w:pPr>
        <w:jc w:val="both"/>
        <w:rPr>
          <w:lang w:val="es-GT"/>
        </w:rPr>
      </w:pPr>
      <w:r w:rsidRPr="009A4D94">
        <w:rPr>
          <w:lang w:val="es-GT"/>
        </w:rPr>
        <w:lastRenderedPageBreak/>
        <w:t xml:space="preserve">Al </w:t>
      </w:r>
      <w:r>
        <w:rPr>
          <w:lang w:val="es-GT"/>
        </w:rPr>
        <w:t xml:space="preserve">30 </w:t>
      </w:r>
      <w:r w:rsidRPr="009A4D94">
        <w:rPr>
          <w:lang w:val="es-GT"/>
        </w:rPr>
        <w:t xml:space="preserve">de </w:t>
      </w:r>
      <w:r>
        <w:rPr>
          <w:lang w:val="es-GT"/>
        </w:rPr>
        <w:t xml:space="preserve">junio </w:t>
      </w:r>
      <w:r w:rsidR="009B69AA">
        <w:rPr>
          <w:lang w:val="es-GT"/>
        </w:rPr>
        <w:t xml:space="preserve">de </w:t>
      </w:r>
      <w:r>
        <w:rPr>
          <w:lang w:val="es-GT"/>
        </w:rPr>
        <w:t>2017</w:t>
      </w:r>
      <w:r w:rsidRPr="009A4D94">
        <w:rPr>
          <w:lang w:val="es-GT"/>
        </w:rPr>
        <w:t xml:space="preserve">, los ingresos tributarios </w:t>
      </w:r>
      <w:r>
        <w:rPr>
          <w:lang w:val="es-GT"/>
        </w:rPr>
        <w:t>acumulados netos se situaron en Q</w:t>
      </w:r>
      <w:r w:rsidR="009B69AA">
        <w:rPr>
          <w:lang w:val="es-GT"/>
        </w:rPr>
        <w:t>.</w:t>
      </w:r>
      <w:r>
        <w:rPr>
          <w:lang w:val="es-GT"/>
        </w:rPr>
        <w:t>28</w:t>
      </w:r>
      <w:proofErr w:type="gramStart"/>
      <w:r>
        <w:rPr>
          <w:lang w:val="es-GT"/>
        </w:rPr>
        <w:t>,909.4</w:t>
      </w:r>
      <w:proofErr w:type="gramEnd"/>
      <w:r>
        <w:rPr>
          <w:lang w:val="es-GT"/>
        </w:rPr>
        <w:t xml:space="preserve"> millones</w:t>
      </w:r>
      <w:r w:rsidR="009B69AA">
        <w:rPr>
          <w:lang w:val="es-GT"/>
        </w:rPr>
        <w:t>,</w:t>
      </w:r>
      <w:r>
        <w:rPr>
          <w:lang w:val="es-GT"/>
        </w:rPr>
        <w:t xml:space="preserve"> superior en Q</w:t>
      </w:r>
      <w:r w:rsidR="009B69AA">
        <w:rPr>
          <w:lang w:val="es-GT"/>
        </w:rPr>
        <w:t>.</w:t>
      </w:r>
      <w:r>
        <w:rPr>
          <w:lang w:val="es-GT"/>
        </w:rPr>
        <w:t>809.8 millones, equivalentes a</w:t>
      </w:r>
      <w:r w:rsidR="009B69AA">
        <w:rPr>
          <w:lang w:val="es-GT"/>
        </w:rPr>
        <w:t>l</w:t>
      </w:r>
      <w:r>
        <w:rPr>
          <w:lang w:val="es-GT"/>
        </w:rPr>
        <w:t xml:space="preserve"> 2.9% </w:t>
      </w:r>
      <w:r w:rsidR="009B69AA">
        <w:rPr>
          <w:lang w:val="es-GT"/>
        </w:rPr>
        <w:t xml:space="preserve">con relación </w:t>
      </w:r>
      <w:r>
        <w:rPr>
          <w:lang w:val="es-GT"/>
        </w:rPr>
        <w:t>a lo observado en el mismo periodo de 2017.</w:t>
      </w:r>
      <w:r w:rsidR="009B69AA">
        <w:rPr>
          <w:lang w:val="es-GT"/>
        </w:rPr>
        <w:t xml:space="preserve"> </w:t>
      </w:r>
      <w:r>
        <w:rPr>
          <w:lang w:val="es-GT"/>
        </w:rPr>
        <w:t>Lo anterior es resultado del buen desempeño de los impuestos relacionados al comercio exterior que en su conjunto aumentaron Q</w:t>
      </w:r>
      <w:r w:rsidR="009B69AA">
        <w:rPr>
          <w:lang w:val="es-GT"/>
        </w:rPr>
        <w:t>.</w:t>
      </w:r>
      <w:r>
        <w:rPr>
          <w:lang w:val="es-GT"/>
        </w:rPr>
        <w:t>664.7, en tanto que los impuestos internos tuvieron un aumento neto de Q</w:t>
      </w:r>
      <w:r w:rsidR="009B69AA">
        <w:rPr>
          <w:lang w:val="es-GT"/>
        </w:rPr>
        <w:t>.</w:t>
      </w:r>
      <w:r>
        <w:rPr>
          <w:lang w:val="es-GT"/>
        </w:rPr>
        <w:t>145.2 millones</w:t>
      </w:r>
      <w:bookmarkStart w:id="14" w:name="_Toc387938694"/>
      <w:bookmarkStart w:id="15" w:name="_Toc336603953"/>
      <w:r>
        <w:rPr>
          <w:lang w:val="es-GT"/>
        </w:rPr>
        <w:t>.</w:t>
      </w:r>
    </w:p>
    <w:p w:rsidR="00AB0496" w:rsidRDefault="00AB0496" w:rsidP="00AB0496">
      <w:pPr>
        <w:jc w:val="both"/>
        <w:rPr>
          <w:lang w:val="es-GT"/>
        </w:rPr>
      </w:pPr>
    </w:p>
    <w:p w:rsidR="00522477" w:rsidRDefault="00522477" w:rsidP="00AB0496">
      <w:pPr>
        <w:jc w:val="both"/>
        <w:rPr>
          <w:lang w:val="es-GT"/>
        </w:rPr>
      </w:pPr>
    </w:p>
    <w:p w:rsidR="00AB0496" w:rsidRPr="0088577C" w:rsidRDefault="00AB0496" w:rsidP="00AB0496">
      <w:pPr>
        <w:jc w:val="center"/>
        <w:rPr>
          <w:b/>
          <w:sz w:val="22"/>
          <w:szCs w:val="22"/>
          <w:lang w:val="es-MX"/>
        </w:rPr>
      </w:pPr>
      <w:r w:rsidRPr="0088577C">
        <w:rPr>
          <w:b/>
          <w:sz w:val="22"/>
          <w:szCs w:val="22"/>
          <w:lang w:val="es-MX"/>
        </w:rPr>
        <w:t xml:space="preserve">Gráfica </w:t>
      </w:r>
      <w:r w:rsidR="00E635A3">
        <w:rPr>
          <w:b/>
          <w:sz w:val="22"/>
          <w:szCs w:val="22"/>
          <w:lang w:val="es-MX"/>
        </w:rPr>
        <w:t>9</w:t>
      </w:r>
    </w:p>
    <w:p w:rsidR="00AB0496" w:rsidRPr="0088577C" w:rsidRDefault="00AB0496" w:rsidP="00AB0496">
      <w:pPr>
        <w:jc w:val="center"/>
        <w:rPr>
          <w:b/>
          <w:sz w:val="22"/>
          <w:szCs w:val="22"/>
          <w:lang w:val="es-MX"/>
        </w:rPr>
      </w:pPr>
      <w:r w:rsidRPr="0088577C">
        <w:rPr>
          <w:b/>
          <w:sz w:val="22"/>
          <w:szCs w:val="22"/>
          <w:lang w:val="es-MX"/>
        </w:rPr>
        <w:t xml:space="preserve">Recaudación Neta Acumulada </w:t>
      </w:r>
    </w:p>
    <w:p w:rsidR="00AB0496" w:rsidRPr="0088577C" w:rsidRDefault="005022C9" w:rsidP="00AB0496">
      <w:pPr>
        <w:jc w:val="center"/>
        <w:rPr>
          <w:b/>
          <w:sz w:val="22"/>
          <w:szCs w:val="22"/>
          <w:lang w:val="es-MX"/>
        </w:rPr>
      </w:pPr>
      <w:r>
        <w:rPr>
          <w:b/>
          <w:sz w:val="22"/>
          <w:szCs w:val="22"/>
          <w:lang w:val="es-MX"/>
        </w:rPr>
        <w:t>A</w:t>
      </w:r>
      <w:r w:rsidR="00AB0496" w:rsidRPr="0088577C">
        <w:rPr>
          <w:b/>
          <w:sz w:val="22"/>
          <w:szCs w:val="22"/>
          <w:lang w:val="es-MX"/>
        </w:rPr>
        <w:t>l 30 de junio de cada año</w:t>
      </w:r>
    </w:p>
    <w:p w:rsidR="00AB0496" w:rsidRPr="0088577C" w:rsidRDefault="00AB0496" w:rsidP="00AB0496">
      <w:pPr>
        <w:jc w:val="center"/>
        <w:rPr>
          <w:b/>
          <w:sz w:val="22"/>
          <w:szCs w:val="22"/>
          <w:lang w:val="es-MX"/>
        </w:rPr>
      </w:pPr>
      <w:r w:rsidRPr="0088577C">
        <w:rPr>
          <w:b/>
          <w:sz w:val="22"/>
          <w:szCs w:val="22"/>
          <w:lang w:val="es-MX"/>
        </w:rPr>
        <w:t>Período 201</w:t>
      </w:r>
      <w:r w:rsidR="00E635A3">
        <w:rPr>
          <w:b/>
          <w:sz w:val="22"/>
          <w:szCs w:val="22"/>
          <w:lang w:val="es-MX"/>
        </w:rPr>
        <w:t>0</w:t>
      </w:r>
      <w:r w:rsidRPr="0088577C">
        <w:rPr>
          <w:b/>
          <w:sz w:val="22"/>
          <w:szCs w:val="22"/>
          <w:lang w:val="es-MX"/>
        </w:rPr>
        <w:t>-201</w:t>
      </w:r>
      <w:r>
        <w:rPr>
          <w:b/>
          <w:sz w:val="22"/>
          <w:szCs w:val="22"/>
          <w:lang w:val="es-MX"/>
        </w:rPr>
        <w:t>8</w:t>
      </w:r>
      <w:r w:rsidRPr="0088577C">
        <w:rPr>
          <w:b/>
          <w:sz w:val="22"/>
          <w:szCs w:val="22"/>
          <w:lang w:val="es-MX"/>
        </w:rPr>
        <w:t>*</w:t>
      </w:r>
    </w:p>
    <w:p w:rsidR="00AB0496" w:rsidRDefault="00AB0496" w:rsidP="00AB0496">
      <w:pPr>
        <w:jc w:val="center"/>
        <w:rPr>
          <w:noProof/>
          <w:lang w:val="es-GT" w:eastAsia="es-GT"/>
        </w:rPr>
      </w:pPr>
      <w:r>
        <w:rPr>
          <w:noProof/>
          <w:lang w:val="es-GT" w:eastAsia="es-GT"/>
        </w:rPr>
        <w:drawing>
          <wp:inline distT="0" distB="0" distL="0" distR="0" wp14:anchorId="03E25571" wp14:editId="1CF47C1C">
            <wp:extent cx="4647063" cy="2743200"/>
            <wp:effectExtent l="0" t="0" r="0"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B0496" w:rsidRPr="00E021FF" w:rsidRDefault="009F4D3A" w:rsidP="00AB0496">
      <w:pPr>
        <w:jc w:val="both"/>
        <w:rPr>
          <w:sz w:val="16"/>
          <w:lang w:val="es-MX"/>
        </w:rPr>
      </w:pPr>
      <w:r>
        <w:rPr>
          <w:sz w:val="16"/>
          <w:lang w:val="es-MX"/>
        </w:rPr>
        <w:t xml:space="preserve">                          </w:t>
      </w:r>
      <w:r w:rsidR="00AB0496" w:rsidRPr="00E021FF">
        <w:rPr>
          <w:sz w:val="16"/>
          <w:lang w:val="es-MX"/>
        </w:rPr>
        <w:t>*</w:t>
      </w:r>
      <w:r>
        <w:rPr>
          <w:sz w:val="16"/>
          <w:lang w:val="es-MX"/>
        </w:rPr>
        <w:t>C</w:t>
      </w:r>
      <w:r w:rsidR="00AB0496" w:rsidRPr="00E021FF">
        <w:rPr>
          <w:sz w:val="16"/>
          <w:lang w:val="es-MX"/>
        </w:rPr>
        <w:t>ifras preliminares</w:t>
      </w:r>
      <w:r>
        <w:rPr>
          <w:sz w:val="16"/>
          <w:lang w:val="es-MX"/>
        </w:rPr>
        <w:t>.</w:t>
      </w:r>
    </w:p>
    <w:p w:rsidR="00AB0496" w:rsidRPr="00E021FF" w:rsidRDefault="009F4D3A" w:rsidP="00AB0496">
      <w:pPr>
        <w:jc w:val="both"/>
        <w:rPr>
          <w:sz w:val="16"/>
          <w:lang w:val="es-MX"/>
        </w:rPr>
      </w:pPr>
      <w:r>
        <w:rPr>
          <w:sz w:val="16"/>
          <w:lang w:val="es-MX"/>
        </w:rPr>
        <w:t xml:space="preserve">                          </w:t>
      </w:r>
      <w:r w:rsidR="00AB0496" w:rsidRPr="00E021FF">
        <w:rPr>
          <w:sz w:val="16"/>
          <w:lang w:val="es-MX"/>
        </w:rPr>
        <w:t>Fuente: Ministerio de Finanzas Públicas con base al SICOIN.</w:t>
      </w:r>
      <w:bookmarkEnd w:id="14"/>
      <w:bookmarkEnd w:id="15"/>
    </w:p>
    <w:p w:rsidR="00AB0496" w:rsidRDefault="00AB0496" w:rsidP="00AB0496">
      <w:pPr>
        <w:rPr>
          <w:b/>
          <w:bCs/>
          <w:highlight w:val="yellow"/>
          <w:lang w:val="es-MX"/>
        </w:rPr>
      </w:pPr>
    </w:p>
    <w:p w:rsidR="00522477" w:rsidRDefault="00522477" w:rsidP="00AB0496">
      <w:pPr>
        <w:rPr>
          <w:b/>
          <w:bCs/>
          <w:highlight w:val="yellow"/>
          <w:lang w:val="es-MX"/>
        </w:rPr>
      </w:pPr>
    </w:p>
    <w:p w:rsidR="00522477" w:rsidRDefault="00522477" w:rsidP="00AB0496">
      <w:pPr>
        <w:rPr>
          <w:b/>
          <w:bCs/>
          <w:highlight w:val="yellow"/>
          <w:lang w:val="es-MX"/>
        </w:rPr>
      </w:pPr>
    </w:p>
    <w:p w:rsidR="00AB0496" w:rsidRPr="00835314" w:rsidRDefault="00AB0496" w:rsidP="00AB0496">
      <w:pPr>
        <w:pStyle w:val="Ttulo2"/>
        <w:rPr>
          <w:rFonts w:ascii="Times New Roman" w:hAnsi="Times New Roman"/>
          <w:color w:val="auto"/>
          <w:sz w:val="24"/>
        </w:rPr>
      </w:pPr>
      <w:bookmarkStart w:id="16" w:name="_Toc494447078"/>
      <w:bookmarkStart w:id="17" w:name="_Toc525824405"/>
      <w:r>
        <w:rPr>
          <w:rFonts w:ascii="Times New Roman" w:hAnsi="Times New Roman"/>
          <w:color w:val="auto"/>
          <w:sz w:val="24"/>
        </w:rPr>
        <w:t>Gastos</w:t>
      </w:r>
      <w:bookmarkEnd w:id="16"/>
      <w:bookmarkEnd w:id="17"/>
    </w:p>
    <w:p w:rsidR="00AB0496" w:rsidRPr="00C87438" w:rsidRDefault="00AB0496" w:rsidP="00AB0496">
      <w:pPr>
        <w:rPr>
          <w:b/>
          <w:bCs/>
          <w:highlight w:val="yellow"/>
          <w:lang w:val="es-MX"/>
        </w:rPr>
      </w:pPr>
    </w:p>
    <w:p w:rsidR="00AB0496" w:rsidRDefault="00AB0496" w:rsidP="00AB0496">
      <w:pPr>
        <w:jc w:val="both"/>
        <w:rPr>
          <w:lang w:val="es-MX"/>
        </w:rPr>
      </w:pPr>
      <w:r w:rsidRPr="00FB641E">
        <w:rPr>
          <w:lang w:val="es-MX"/>
        </w:rPr>
        <w:t>Al 30 de junio de 201</w:t>
      </w:r>
      <w:r>
        <w:rPr>
          <w:lang w:val="es-MX"/>
        </w:rPr>
        <w:t>8</w:t>
      </w:r>
      <w:r w:rsidRPr="00FB641E">
        <w:rPr>
          <w:lang w:val="es-MX"/>
        </w:rPr>
        <w:t xml:space="preserve"> se </w:t>
      </w:r>
      <w:r>
        <w:rPr>
          <w:lang w:val="es-MX"/>
        </w:rPr>
        <w:t>ejecutaron</w:t>
      </w:r>
      <w:r w:rsidRPr="00FB641E">
        <w:rPr>
          <w:lang w:val="es-MX"/>
        </w:rPr>
        <w:t xml:space="preserve"> Q</w:t>
      </w:r>
      <w:r w:rsidR="00991F66">
        <w:rPr>
          <w:lang w:val="es-MX"/>
        </w:rPr>
        <w:t>.</w:t>
      </w:r>
      <w:r>
        <w:rPr>
          <w:lang w:val="es-MX"/>
        </w:rPr>
        <w:t>32</w:t>
      </w:r>
      <w:proofErr w:type="gramStart"/>
      <w:r w:rsidRPr="00FB641E">
        <w:rPr>
          <w:lang w:val="es-MX"/>
        </w:rPr>
        <w:t>,</w:t>
      </w:r>
      <w:r>
        <w:rPr>
          <w:lang w:val="es-MX"/>
        </w:rPr>
        <w:t>503.7</w:t>
      </w:r>
      <w:proofErr w:type="gramEnd"/>
      <w:r w:rsidRPr="00FB641E">
        <w:rPr>
          <w:lang w:val="es-MX"/>
        </w:rPr>
        <w:t xml:space="preserve"> millones, </w:t>
      </w:r>
      <w:r>
        <w:rPr>
          <w:lang w:val="es-MX"/>
        </w:rPr>
        <w:t>equivalentes al 42.1</w:t>
      </w:r>
      <w:r w:rsidRPr="00FB641E">
        <w:rPr>
          <w:lang w:val="es-MX"/>
        </w:rPr>
        <w:t xml:space="preserve">% del presupuesto vigente, </w:t>
      </w:r>
      <w:r w:rsidR="00991F66">
        <w:rPr>
          <w:lang w:val="es-MX"/>
        </w:rPr>
        <w:t xml:space="preserve">y </w:t>
      </w:r>
      <w:r>
        <w:rPr>
          <w:lang w:val="es-MX"/>
        </w:rPr>
        <w:t>el gasto es superior en Q</w:t>
      </w:r>
      <w:r w:rsidR="00991F66">
        <w:rPr>
          <w:lang w:val="es-MX"/>
        </w:rPr>
        <w:t>.</w:t>
      </w:r>
      <w:r>
        <w:rPr>
          <w:lang w:val="es-MX"/>
        </w:rPr>
        <w:t>1,859.2 millones a lo observado durante el mismo período de 2017</w:t>
      </w:r>
      <w:r w:rsidRPr="00FB641E">
        <w:rPr>
          <w:lang w:val="es-MX"/>
        </w:rPr>
        <w:t xml:space="preserve">. </w:t>
      </w:r>
      <w:r>
        <w:rPr>
          <w:lang w:val="es-MX"/>
        </w:rPr>
        <w:t xml:space="preserve"> La estructura del aumento refleja que el 74.7% corresponde al gasto en funcionamiento, y el 25.3% al gasto en inversión</w:t>
      </w:r>
      <w:r w:rsidRPr="00FB641E">
        <w:rPr>
          <w:lang w:val="es-MX"/>
        </w:rPr>
        <w:t>.</w:t>
      </w:r>
    </w:p>
    <w:p w:rsidR="00AB0496" w:rsidRDefault="00AB0496" w:rsidP="00AB0496">
      <w:pPr>
        <w:jc w:val="both"/>
        <w:rPr>
          <w:lang w:val="es-MX"/>
        </w:rPr>
      </w:pPr>
    </w:p>
    <w:p w:rsidR="00AB0496" w:rsidRPr="00FB641E" w:rsidRDefault="00AB0496" w:rsidP="00AB0496">
      <w:pPr>
        <w:jc w:val="both"/>
        <w:rPr>
          <w:lang w:val="es-MX"/>
        </w:rPr>
      </w:pPr>
      <w:r>
        <w:rPr>
          <w:lang w:val="es-MX"/>
        </w:rPr>
        <w:t>Al 30 de junio de 2018</w:t>
      </w:r>
      <w:r w:rsidR="00991F66">
        <w:rPr>
          <w:lang w:val="es-MX"/>
        </w:rPr>
        <w:t>,</w:t>
      </w:r>
      <w:r>
        <w:rPr>
          <w:lang w:val="es-MX"/>
        </w:rPr>
        <w:t xml:space="preserve"> el presupuesto vigente es menor en Q</w:t>
      </w:r>
      <w:r w:rsidR="00991F66">
        <w:rPr>
          <w:lang w:val="es-MX"/>
        </w:rPr>
        <w:t>.</w:t>
      </w:r>
      <w:r>
        <w:rPr>
          <w:lang w:val="es-MX"/>
        </w:rPr>
        <w:t>413.3 millones, lo cual genera que el porcentaje de ejecución se vea mayor a lo observado en el mismo período de 2017 que fue de 39.5%, en tanto que el de 2018 se sitúa en 42.1%.</w:t>
      </w:r>
    </w:p>
    <w:p w:rsidR="00AB0496" w:rsidRDefault="00AB0496" w:rsidP="00AB0496">
      <w:pPr>
        <w:jc w:val="both"/>
        <w:rPr>
          <w:sz w:val="18"/>
          <w:lang w:val="es-MX"/>
        </w:rPr>
      </w:pPr>
    </w:p>
    <w:p w:rsidR="00AB0496" w:rsidRDefault="00AB0496" w:rsidP="00AB0496">
      <w:pPr>
        <w:rPr>
          <w:b/>
          <w:sz w:val="22"/>
          <w:szCs w:val="22"/>
          <w:lang w:val="es-MX"/>
        </w:rPr>
      </w:pPr>
      <w:r>
        <w:rPr>
          <w:b/>
          <w:sz w:val="22"/>
          <w:szCs w:val="22"/>
          <w:lang w:val="es-MX"/>
        </w:rPr>
        <w:br w:type="page"/>
      </w:r>
    </w:p>
    <w:p w:rsidR="00AB0496" w:rsidRPr="0088577C" w:rsidRDefault="00AB0496" w:rsidP="00AB0496">
      <w:pPr>
        <w:jc w:val="center"/>
        <w:rPr>
          <w:b/>
          <w:sz w:val="22"/>
          <w:szCs w:val="22"/>
          <w:lang w:val="es-MX"/>
        </w:rPr>
      </w:pPr>
      <w:r w:rsidRPr="0088577C">
        <w:rPr>
          <w:b/>
          <w:sz w:val="22"/>
          <w:szCs w:val="22"/>
          <w:lang w:val="es-MX"/>
        </w:rPr>
        <w:lastRenderedPageBreak/>
        <w:t xml:space="preserve">Cuadro </w:t>
      </w:r>
      <w:r w:rsidR="00E635A3">
        <w:rPr>
          <w:b/>
          <w:sz w:val="22"/>
          <w:szCs w:val="22"/>
          <w:lang w:val="es-MX"/>
        </w:rPr>
        <w:t>2</w:t>
      </w:r>
    </w:p>
    <w:p w:rsidR="00AB0496" w:rsidRPr="0088577C" w:rsidRDefault="00AB0496" w:rsidP="00AB0496">
      <w:pPr>
        <w:jc w:val="center"/>
        <w:rPr>
          <w:b/>
          <w:sz w:val="22"/>
          <w:szCs w:val="22"/>
          <w:lang w:val="es-MX"/>
        </w:rPr>
      </w:pPr>
      <w:r w:rsidRPr="0088577C">
        <w:rPr>
          <w:b/>
          <w:sz w:val="22"/>
          <w:szCs w:val="22"/>
          <w:lang w:val="es-MX"/>
        </w:rPr>
        <w:t>Ejecución Presupuestaria por Tipo de Gasto</w:t>
      </w:r>
    </w:p>
    <w:p w:rsidR="00AB0496" w:rsidRPr="0088577C" w:rsidRDefault="00AB0496" w:rsidP="00AB0496">
      <w:pPr>
        <w:jc w:val="center"/>
        <w:rPr>
          <w:b/>
          <w:sz w:val="22"/>
          <w:szCs w:val="22"/>
          <w:lang w:val="es-MX"/>
        </w:rPr>
      </w:pPr>
      <w:r w:rsidRPr="0088577C">
        <w:rPr>
          <w:b/>
          <w:sz w:val="22"/>
          <w:szCs w:val="22"/>
          <w:lang w:val="es-MX"/>
        </w:rPr>
        <w:t xml:space="preserve">Al 30 de junio de </w:t>
      </w:r>
      <w:r w:rsidR="00E6017A">
        <w:rPr>
          <w:b/>
          <w:sz w:val="22"/>
          <w:szCs w:val="22"/>
          <w:lang w:val="es-MX"/>
        </w:rPr>
        <w:t>cada año</w:t>
      </w:r>
    </w:p>
    <w:p w:rsidR="00AB0496" w:rsidRPr="0088577C" w:rsidRDefault="00AB0496" w:rsidP="00AB0496">
      <w:pPr>
        <w:jc w:val="center"/>
        <w:rPr>
          <w:b/>
          <w:sz w:val="22"/>
          <w:szCs w:val="22"/>
          <w:lang w:val="es-MX"/>
        </w:rPr>
      </w:pPr>
      <w:r w:rsidRPr="0088577C">
        <w:rPr>
          <w:b/>
          <w:sz w:val="22"/>
          <w:szCs w:val="22"/>
          <w:lang w:val="es-MX"/>
        </w:rPr>
        <w:t>(Cifras en Millones de Quetzales)</w:t>
      </w:r>
    </w:p>
    <w:tbl>
      <w:tblPr>
        <w:tblW w:w="8730" w:type="dxa"/>
        <w:tblInd w:w="55" w:type="dxa"/>
        <w:tblCellMar>
          <w:left w:w="70" w:type="dxa"/>
          <w:right w:w="70" w:type="dxa"/>
        </w:tblCellMar>
        <w:tblLook w:val="04A0" w:firstRow="1" w:lastRow="0" w:firstColumn="1" w:lastColumn="0" w:noHBand="0" w:noVBand="1"/>
      </w:tblPr>
      <w:tblGrid>
        <w:gridCol w:w="2709"/>
        <w:gridCol w:w="1209"/>
        <w:gridCol w:w="1200"/>
        <w:gridCol w:w="1132"/>
        <w:gridCol w:w="1174"/>
        <w:gridCol w:w="1306"/>
      </w:tblGrid>
      <w:tr w:rsidR="00AB0496" w:rsidRPr="00C918B2" w:rsidTr="009D6259">
        <w:trPr>
          <w:trHeight w:val="425"/>
        </w:trPr>
        <w:tc>
          <w:tcPr>
            <w:tcW w:w="2709" w:type="dxa"/>
            <w:vMerge w:val="restart"/>
            <w:tcBorders>
              <w:top w:val="single" w:sz="8" w:space="0" w:color="auto"/>
              <w:left w:val="single" w:sz="8" w:space="0" w:color="auto"/>
              <w:bottom w:val="single" w:sz="4" w:space="0" w:color="000000"/>
              <w:right w:val="nil"/>
            </w:tcBorders>
            <w:shd w:val="clear" w:color="000000" w:fill="8DB4E2"/>
            <w:vAlign w:val="center"/>
            <w:hideMark/>
          </w:tcPr>
          <w:p w:rsidR="00AB0496" w:rsidRPr="00C918B2" w:rsidRDefault="00AB0496" w:rsidP="00AB0496">
            <w:pPr>
              <w:jc w:val="center"/>
              <w:rPr>
                <w:b/>
                <w:bCs/>
                <w:color w:val="000000"/>
                <w:sz w:val="20"/>
                <w:szCs w:val="20"/>
                <w:lang w:val="es-GT" w:eastAsia="es-GT"/>
              </w:rPr>
            </w:pPr>
            <w:r w:rsidRPr="00C918B2">
              <w:rPr>
                <w:b/>
                <w:bCs/>
                <w:color w:val="000000"/>
                <w:sz w:val="20"/>
                <w:szCs w:val="20"/>
                <w:lang w:val="es-GT" w:eastAsia="es-GT"/>
              </w:rPr>
              <w:t>Tipo de Gasto</w:t>
            </w:r>
          </w:p>
        </w:tc>
        <w:tc>
          <w:tcPr>
            <w:tcW w:w="1209" w:type="dxa"/>
            <w:vMerge w:val="restart"/>
            <w:tcBorders>
              <w:top w:val="single" w:sz="8" w:space="0" w:color="auto"/>
              <w:left w:val="single" w:sz="4" w:space="0" w:color="auto"/>
              <w:bottom w:val="single" w:sz="4" w:space="0" w:color="000000"/>
              <w:right w:val="single" w:sz="4" w:space="0" w:color="auto"/>
            </w:tcBorders>
            <w:shd w:val="clear" w:color="000000" w:fill="8DB4E2"/>
            <w:vAlign w:val="center"/>
            <w:hideMark/>
          </w:tcPr>
          <w:p w:rsidR="00AB0496" w:rsidRPr="00C918B2" w:rsidRDefault="00AB0496" w:rsidP="00AB0496">
            <w:pPr>
              <w:jc w:val="center"/>
              <w:rPr>
                <w:b/>
                <w:bCs/>
                <w:color w:val="000000"/>
                <w:sz w:val="20"/>
                <w:szCs w:val="20"/>
                <w:lang w:val="es-GT" w:eastAsia="es-GT"/>
              </w:rPr>
            </w:pPr>
            <w:r w:rsidRPr="00C918B2">
              <w:rPr>
                <w:b/>
                <w:bCs/>
                <w:color w:val="000000"/>
                <w:sz w:val="20"/>
                <w:szCs w:val="20"/>
                <w:lang w:val="es-GT" w:eastAsia="es-GT"/>
              </w:rPr>
              <w:t>2017</w:t>
            </w:r>
          </w:p>
        </w:tc>
        <w:tc>
          <w:tcPr>
            <w:tcW w:w="1200" w:type="dxa"/>
            <w:vMerge w:val="restart"/>
            <w:tcBorders>
              <w:top w:val="single" w:sz="8" w:space="0" w:color="auto"/>
              <w:left w:val="single" w:sz="4" w:space="0" w:color="auto"/>
              <w:bottom w:val="single" w:sz="4" w:space="0" w:color="000000"/>
              <w:right w:val="single" w:sz="4" w:space="0" w:color="auto"/>
            </w:tcBorders>
            <w:shd w:val="clear" w:color="000000" w:fill="8DB4E2"/>
            <w:vAlign w:val="center"/>
            <w:hideMark/>
          </w:tcPr>
          <w:p w:rsidR="00AB0496" w:rsidRPr="00C918B2" w:rsidRDefault="00AB0496" w:rsidP="00AB0496">
            <w:pPr>
              <w:jc w:val="center"/>
              <w:rPr>
                <w:b/>
                <w:bCs/>
                <w:color w:val="000000"/>
                <w:sz w:val="20"/>
                <w:szCs w:val="20"/>
                <w:lang w:val="es-GT" w:eastAsia="es-GT"/>
              </w:rPr>
            </w:pPr>
            <w:r w:rsidRPr="00C918B2">
              <w:rPr>
                <w:b/>
                <w:bCs/>
                <w:color w:val="000000"/>
                <w:sz w:val="20"/>
                <w:szCs w:val="20"/>
                <w:lang w:val="es-GT" w:eastAsia="es-GT"/>
              </w:rPr>
              <w:t>2018</w:t>
            </w:r>
          </w:p>
        </w:tc>
        <w:tc>
          <w:tcPr>
            <w:tcW w:w="2306" w:type="dxa"/>
            <w:gridSpan w:val="2"/>
            <w:tcBorders>
              <w:top w:val="single" w:sz="8" w:space="0" w:color="auto"/>
              <w:left w:val="nil"/>
              <w:bottom w:val="nil"/>
              <w:right w:val="single" w:sz="8" w:space="0" w:color="000000"/>
            </w:tcBorders>
            <w:shd w:val="clear" w:color="000000" w:fill="8DB4E2"/>
            <w:noWrap/>
            <w:vAlign w:val="bottom"/>
            <w:hideMark/>
          </w:tcPr>
          <w:p w:rsidR="00AB0496" w:rsidRPr="00C918B2" w:rsidRDefault="00AB0496" w:rsidP="00AB0496">
            <w:pPr>
              <w:jc w:val="center"/>
              <w:rPr>
                <w:b/>
                <w:bCs/>
                <w:color w:val="000000"/>
                <w:sz w:val="22"/>
                <w:szCs w:val="22"/>
                <w:lang w:val="es-GT" w:eastAsia="es-GT"/>
              </w:rPr>
            </w:pPr>
            <w:r w:rsidRPr="00C918B2">
              <w:rPr>
                <w:b/>
                <w:bCs/>
                <w:color w:val="000000"/>
                <w:sz w:val="22"/>
                <w:szCs w:val="22"/>
                <w:lang w:val="es-GT" w:eastAsia="es-GT"/>
              </w:rPr>
              <w:t>Diferencias</w:t>
            </w:r>
          </w:p>
        </w:tc>
        <w:tc>
          <w:tcPr>
            <w:tcW w:w="1306" w:type="dxa"/>
            <w:vMerge w:val="restart"/>
            <w:tcBorders>
              <w:top w:val="single" w:sz="8" w:space="0" w:color="auto"/>
              <w:left w:val="single" w:sz="4" w:space="0" w:color="auto"/>
              <w:bottom w:val="single" w:sz="4" w:space="0" w:color="000000"/>
              <w:right w:val="single" w:sz="8" w:space="0" w:color="auto"/>
            </w:tcBorders>
            <w:shd w:val="clear" w:color="000000" w:fill="8DB4E2"/>
            <w:vAlign w:val="center"/>
            <w:hideMark/>
          </w:tcPr>
          <w:p w:rsidR="00AB0496" w:rsidRPr="00C918B2" w:rsidRDefault="00AB0496" w:rsidP="007438B5">
            <w:pPr>
              <w:jc w:val="center"/>
              <w:rPr>
                <w:b/>
                <w:bCs/>
                <w:color w:val="000000"/>
                <w:sz w:val="22"/>
                <w:szCs w:val="22"/>
                <w:lang w:val="es-GT" w:eastAsia="es-GT"/>
              </w:rPr>
            </w:pPr>
            <w:r w:rsidRPr="00C918B2">
              <w:rPr>
                <w:b/>
                <w:bCs/>
                <w:color w:val="000000"/>
                <w:sz w:val="22"/>
                <w:szCs w:val="22"/>
                <w:lang w:val="es-GT" w:eastAsia="es-GT"/>
              </w:rPr>
              <w:t xml:space="preserve">Estructura </w:t>
            </w:r>
            <w:r w:rsidR="007438B5">
              <w:rPr>
                <w:b/>
                <w:bCs/>
                <w:color w:val="000000"/>
                <w:sz w:val="22"/>
                <w:szCs w:val="22"/>
                <w:lang w:val="es-GT" w:eastAsia="es-GT"/>
              </w:rPr>
              <w:t>Porcentual</w:t>
            </w:r>
            <w:r w:rsidRPr="00C918B2">
              <w:rPr>
                <w:b/>
                <w:bCs/>
                <w:color w:val="000000"/>
                <w:sz w:val="22"/>
                <w:szCs w:val="22"/>
                <w:lang w:val="es-GT" w:eastAsia="es-GT"/>
              </w:rPr>
              <w:t xml:space="preserve"> </w:t>
            </w:r>
            <w:r w:rsidR="007438B5">
              <w:rPr>
                <w:b/>
                <w:bCs/>
                <w:color w:val="000000"/>
                <w:sz w:val="22"/>
                <w:szCs w:val="22"/>
                <w:lang w:val="es-GT" w:eastAsia="es-GT"/>
              </w:rPr>
              <w:t>2018</w:t>
            </w:r>
          </w:p>
        </w:tc>
      </w:tr>
      <w:tr w:rsidR="00AB0496" w:rsidRPr="00C918B2" w:rsidTr="009D6259">
        <w:trPr>
          <w:trHeight w:val="507"/>
        </w:trPr>
        <w:tc>
          <w:tcPr>
            <w:tcW w:w="2709" w:type="dxa"/>
            <w:vMerge/>
            <w:tcBorders>
              <w:top w:val="single" w:sz="8" w:space="0" w:color="auto"/>
              <w:left w:val="single" w:sz="8" w:space="0" w:color="auto"/>
              <w:bottom w:val="single" w:sz="4" w:space="0" w:color="000000"/>
              <w:right w:val="nil"/>
            </w:tcBorders>
            <w:vAlign w:val="center"/>
            <w:hideMark/>
          </w:tcPr>
          <w:p w:rsidR="00AB0496" w:rsidRPr="00C918B2" w:rsidRDefault="00AB0496" w:rsidP="00AB0496">
            <w:pPr>
              <w:rPr>
                <w:b/>
                <w:bCs/>
                <w:color w:val="000000"/>
                <w:sz w:val="20"/>
                <w:szCs w:val="20"/>
                <w:lang w:val="es-GT" w:eastAsia="es-GT"/>
              </w:rPr>
            </w:pPr>
          </w:p>
        </w:tc>
        <w:tc>
          <w:tcPr>
            <w:tcW w:w="1209" w:type="dxa"/>
            <w:vMerge/>
            <w:tcBorders>
              <w:top w:val="single" w:sz="8" w:space="0" w:color="auto"/>
              <w:left w:val="single" w:sz="4" w:space="0" w:color="auto"/>
              <w:bottom w:val="single" w:sz="4" w:space="0" w:color="000000"/>
              <w:right w:val="single" w:sz="4" w:space="0" w:color="auto"/>
            </w:tcBorders>
            <w:vAlign w:val="center"/>
            <w:hideMark/>
          </w:tcPr>
          <w:p w:rsidR="00AB0496" w:rsidRPr="00C918B2" w:rsidRDefault="00AB0496" w:rsidP="00AB0496">
            <w:pPr>
              <w:rPr>
                <w:b/>
                <w:bCs/>
                <w:color w:val="000000"/>
                <w:sz w:val="20"/>
                <w:szCs w:val="20"/>
                <w:lang w:val="es-GT" w:eastAsia="es-GT"/>
              </w:rPr>
            </w:pPr>
          </w:p>
        </w:tc>
        <w:tc>
          <w:tcPr>
            <w:tcW w:w="1200" w:type="dxa"/>
            <w:vMerge/>
            <w:tcBorders>
              <w:top w:val="single" w:sz="8" w:space="0" w:color="auto"/>
              <w:left w:val="single" w:sz="4" w:space="0" w:color="auto"/>
              <w:bottom w:val="single" w:sz="4" w:space="0" w:color="000000"/>
              <w:right w:val="single" w:sz="4" w:space="0" w:color="auto"/>
            </w:tcBorders>
            <w:vAlign w:val="center"/>
            <w:hideMark/>
          </w:tcPr>
          <w:p w:rsidR="00AB0496" w:rsidRPr="00C918B2" w:rsidRDefault="00AB0496" w:rsidP="00AB0496">
            <w:pPr>
              <w:rPr>
                <w:b/>
                <w:bCs/>
                <w:color w:val="000000"/>
                <w:sz w:val="20"/>
                <w:szCs w:val="20"/>
                <w:lang w:val="es-GT" w:eastAsia="es-GT"/>
              </w:rPr>
            </w:pPr>
          </w:p>
        </w:tc>
        <w:tc>
          <w:tcPr>
            <w:tcW w:w="1132" w:type="dxa"/>
            <w:tcBorders>
              <w:top w:val="single" w:sz="4" w:space="0" w:color="auto"/>
              <w:left w:val="nil"/>
              <w:bottom w:val="single" w:sz="4" w:space="0" w:color="auto"/>
              <w:right w:val="single" w:sz="4" w:space="0" w:color="auto"/>
            </w:tcBorders>
            <w:shd w:val="clear" w:color="000000" w:fill="8DB4E2"/>
            <w:noWrap/>
            <w:vAlign w:val="bottom"/>
            <w:hideMark/>
          </w:tcPr>
          <w:p w:rsidR="00AB0496" w:rsidRPr="00C918B2" w:rsidRDefault="00AB0496" w:rsidP="00AB0496">
            <w:pPr>
              <w:jc w:val="center"/>
              <w:rPr>
                <w:b/>
                <w:bCs/>
                <w:color w:val="000000"/>
                <w:sz w:val="22"/>
                <w:szCs w:val="22"/>
                <w:lang w:val="es-GT" w:eastAsia="es-GT"/>
              </w:rPr>
            </w:pPr>
            <w:r w:rsidRPr="00C918B2">
              <w:rPr>
                <w:b/>
                <w:bCs/>
                <w:color w:val="000000"/>
                <w:sz w:val="22"/>
                <w:szCs w:val="22"/>
                <w:lang w:val="es-GT" w:eastAsia="es-GT"/>
              </w:rPr>
              <w:t>Absolutas</w:t>
            </w:r>
          </w:p>
        </w:tc>
        <w:tc>
          <w:tcPr>
            <w:tcW w:w="1174" w:type="dxa"/>
            <w:tcBorders>
              <w:top w:val="single" w:sz="4" w:space="0" w:color="auto"/>
              <w:left w:val="nil"/>
              <w:bottom w:val="single" w:sz="4" w:space="0" w:color="auto"/>
              <w:right w:val="single" w:sz="8" w:space="0" w:color="auto"/>
            </w:tcBorders>
            <w:shd w:val="clear" w:color="000000" w:fill="8DB4E2"/>
            <w:noWrap/>
            <w:vAlign w:val="bottom"/>
            <w:hideMark/>
          </w:tcPr>
          <w:p w:rsidR="00AB0496" w:rsidRPr="00C918B2" w:rsidRDefault="00AB0496" w:rsidP="00AB0496">
            <w:pPr>
              <w:jc w:val="center"/>
              <w:rPr>
                <w:b/>
                <w:bCs/>
                <w:color w:val="000000"/>
                <w:sz w:val="22"/>
                <w:szCs w:val="22"/>
                <w:lang w:val="es-GT" w:eastAsia="es-GT"/>
              </w:rPr>
            </w:pPr>
            <w:r w:rsidRPr="00C918B2">
              <w:rPr>
                <w:b/>
                <w:bCs/>
                <w:color w:val="000000"/>
                <w:sz w:val="22"/>
                <w:szCs w:val="22"/>
                <w:lang w:val="es-GT" w:eastAsia="es-GT"/>
              </w:rPr>
              <w:t>Relativas</w:t>
            </w:r>
          </w:p>
        </w:tc>
        <w:tc>
          <w:tcPr>
            <w:tcW w:w="1306" w:type="dxa"/>
            <w:vMerge/>
            <w:tcBorders>
              <w:top w:val="single" w:sz="8" w:space="0" w:color="auto"/>
              <w:left w:val="single" w:sz="4" w:space="0" w:color="auto"/>
              <w:bottom w:val="single" w:sz="4" w:space="0" w:color="000000"/>
              <w:right w:val="single" w:sz="8" w:space="0" w:color="auto"/>
            </w:tcBorders>
            <w:vAlign w:val="center"/>
            <w:hideMark/>
          </w:tcPr>
          <w:p w:rsidR="00AB0496" w:rsidRPr="00C918B2" w:rsidRDefault="00AB0496" w:rsidP="00AB0496">
            <w:pPr>
              <w:rPr>
                <w:b/>
                <w:bCs/>
                <w:color w:val="000000"/>
                <w:sz w:val="22"/>
                <w:szCs w:val="22"/>
                <w:lang w:val="es-GT" w:eastAsia="es-GT"/>
              </w:rPr>
            </w:pPr>
          </w:p>
        </w:tc>
      </w:tr>
      <w:tr w:rsidR="00AB0496" w:rsidRPr="00C918B2" w:rsidTr="007438B5">
        <w:trPr>
          <w:trHeight w:val="425"/>
        </w:trPr>
        <w:tc>
          <w:tcPr>
            <w:tcW w:w="2709" w:type="dxa"/>
            <w:tcBorders>
              <w:top w:val="nil"/>
              <w:left w:val="single" w:sz="8" w:space="0" w:color="auto"/>
              <w:bottom w:val="nil"/>
              <w:right w:val="nil"/>
            </w:tcBorders>
            <w:shd w:val="clear" w:color="000000" w:fill="FFFFFF"/>
            <w:noWrap/>
            <w:vAlign w:val="center"/>
            <w:hideMark/>
          </w:tcPr>
          <w:p w:rsidR="00AB0496" w:rsidRPr="00C918B2" w:rsidRDefault="00AB0496" w:rsidP="00AB0496">
            <w:pPr>
              <w:jc w:val="center"/>
              <w:rPr>
                <w:b/>
                <w:bCs/>
                <w:color w:val="000000"/>
                <w:sz w:val="22"/>
                <w:szCs w:val="22"/>
                <w:lang w:val="es-GT" w:eastAsia="es-GT"/>
              </w:rPr>
            </w:pPr>
            <w:r w:rsidRPr="00C918B2">
              <w:rPr>
                <w:b/>
                <w:bCs/>
                <w:color w:val="000000"/>
                <w:sz w:val="22"/>
                <w:szCs w:val="22"/>
                <w:lang w:val="es-GT" w:eastAsia="es-GT"/>
              </w:rPr>
              <w:t>Total</w:t>
            </w:r>
          </w:p>
        </w:tc>
        <w:tc>
          <w:tcPr>
            <w:tcW w:w="1209" w:type="dxa"/>
            <w:tcBorders>
              <w:top w:val="nil"/>
              <w:left w:val="single" w:sz="4" w:space="0" w:color="auto"/>
              <w:bottom w:val="nil"/>
              <w:right w:val="single" w:sz="4" w:space="0" w:color="auto"/>
            </w:tcBorders>
            <w:shd w:val="clear" w:color="000000" w:fill="FFFFFF"/>
            <w:noWrap/>
            <w:vAlign w:val="center"/>
            <w:hideMark/>
          </w:tcPr>
          <w:p w:rsidR="00AB0496" w:rsidRPr="00C918B2" w:rsidRDefault="00AB0496" w:rsidP="0014061E">
            <w:pPr>
              <w:jc w:val="right"/>
              <w:rPr>
                <w:b/>
                <w:bCs/>
                <w:color w:val="000000"/>
                <w:sz w:val="20"/>
                <w:szCs w:val="20"/>
                <w:lang w:val="es-GT" w:eastAsia="es-GT"/>
              </w:rPr>
            </w:pPr>
            <w:r w:rsidRPr="00C918B2">
              <w:rPr>
                <w:b/>
                <w:bCs/>
                <w:color w:val="000000"/>
                <w:sz w:val="20"/>
                <w:szCs w:val="20"/>
                <w:lang w:val="es-GT" w:eastAsia="es-GT"/>
              </w:rPr>
              <w:t xml:space="preserve">  30,644.5 </w:t>
            </w:r>
          </w:p>
        </w:tc>
        <w:tc>
          <w:tcPr>
            <w:tcW w:w="1200" w:type="dxa"/>
            <w:tcBorders>
              <w:top w:val="nil"/>
              <w:left w:val="nil"/>
              <w:bottom w:val="nil"/>
              <w:right w:val="single" w:sz="4" w:space="0" w:color="auto"/>
            </w:tcBorders>
            <w:shd w:val="clear" w:color="000000" w:fill="FFFFFF"/>
            <w:noWrap/>
            <w:vAlign w:val="center"/>
            <w:hideMark/>
          </w:tcPr>
          <w:p w:rsidR="00AB0496" w:rsidRPr="00C918B2" w:rsidRDefault="00AB0496" w:rsidP="0014061E">
            <w:pPr>
              <w:jc w:val="right"/>
              <w:rPr>
                <w:b/>
                <w:bCs/>
                <w:color w:val="000000"/>
                <w:sz w:val="20"/>
                <w:szCs w:val="20"/>
                <w:lang w:val="es-GT" w:eastAsia="es-GT"/>
              </w:rPr>
            </w:pPr>
            <w:r w:rsidRPr="00C918B2">
              <w:rPr>
                <w:b/>
                <w:bCs/>
                <w:color w:val="000000"/>
                <w:sz w:val="20"/>
                <w:szCs w:val="20"/>
                <w:lang w:val="es-GT" w:eastAsia="es-GT"/>
              </w:rPr>
              <w:t xml:space="preserve">  32,503.7 </w:t>
            </w:r>
          </w:p>
        </w:tc>
        <w:tc>
          <w:tcPr>
            <w:tcW w:w="1132" w:type="dxa"/>
            <w:tcBorders>
              <w:top w:val="nil"/>
              <w:left w:val="nil"/>
              <w:bottom w:val="nil"/>
              <w:right w:val="single" w:sz="4" w:space="0" w:color="auto"/>
            </w:tcBorders>
            <w:shd w:val="clear" w:color="000000" w:fill="FFFFFF"/>
            <w:noWrap/>
            <w:vAlign w:val="center"/>
            <w:hideMark/>
          </w:tcPr>
          <w:p w:rsidR="00AB0496" w:rsidRPr="00C918B2" w:rsidRDefault="00AB0496" w:rsidP="0014061E">
            <w:pPr>
              <w:jc w:val="right"/>
              <w:rPr>
                <w:b/>
                <w:bCs/>
                <w:color w:val="000000"/>
                <w:sz w:val="22"/>
                <w:szCs w:val="22"/>
                <w:lang w:val="es-GT" w:eastAsia="es-GT"/>
              </w:rPr>
            </w:pPr>
            <w:r w:rsidRPr="00C918B2">
              <w:rPr>
                <w:b/>
                <w:bCs/>
                <w:color w:val="000000"/>
                <w:sz w:val="22"/>
                <w:szCs w:val="22"/>
                <w:lang w:val="es-GT" w:eastAsia="es-GT"/>
              </w:rPr>
              <w:t xml:space="preserve">   1,859.2 </w:t>
            </w:r>
          </w:p>
        </w:tc>
        <w:tc>
          <w:tcPr>
            <w:tcW w:w="1174" w:type="dxa"/>
            <w:tcBorders>
              <w:top w:val="nil"/>
              <w:left w:val="nil"/>
              <w:bottom w:val="nil"/>
              <w:right w:val="single" w:sz="8" w:space="0" w:color="auto"/>
            </w:tcBorders>
            <w:shd w:val="clear" w:color="000000" w:fill="FFFFFF"/>
            <w:noWrap/>
            <w:vAlign w:val="center"/>
            <w:hideMark/>
          </w:tcPr>
          <w:p w:rsidR="00AB0496" w:rsidRPr="00C918B2" w:rsidRDefault="00AB0496" w:rsidP="00AB0496">
            <w:pPr>
              <w:jc w:val="center"/>
              <w:rPr>
                <w:b/>
                <w:bCs/>
                <w:color w:val="000000"/>
                <w:sz w:val="22"/>
                <w:szCs w:val="22"/>
                <w:lang w:val="es-GT" w:eastAsia="es-GT"/>
              </w:rPr>
            </w:pPr>
            <w:r w:rsidRPr="00C918B2">
              <w:rPr>
                <w:b/>
                <w:bCs/>
                <w:color w:val="000000"/>
                <w:sz w:val="22"/>
                <w:szCs w:val="22"/>
                <w:lang w:val="es-GT" w:eastAsia="es-GT"/>
              </w:rPr>
              <w:t>6.1%</w:t>
            </w:r>
          </w:p>
        </w:tc>
        <w:tc>
          <w:tcPr>
            <w:tcW w:w="1306" w:type="dxa"/>
            <w:tcBorders>
              <w:top w:val="nil"/>
              <w:left w:val="nil"/>
              <w:bottom w:val="nil"/>
              <w:right w:val="single" w:sz="8" w:space="0" w:color="auto"/>
            </w:tcBorders>
            <w:shd w:val="clear" w:color="000000" w:fill="FFFFFF"/>
            <w:noWrap/>
            <w:vAlign w:val="center"/>
            <w:hideMark/>
          </w:tcPr>
          <w:p w:rsidR="00AB0496" w:rsidRPr="007438B5" w:rsidRDefault="007438B5" w:rsidP="007438B5">
            <w:pPr>
              <w:jc w:val="center"/>
              <w:rPr>
                <w:b/>
                <w:bCs/>
                <w:color w:val="000000"/>
                <w:sz w:val="22"/>
                <w:szCs w:val="22"/>
                <w:lang w:val="es-GT" w:eastAsia="es-GT"/>
              </w:rPr>
            </w:pPr>
            <w:r w:rsidRPr="007438B5">
              <w:rPr>
                <w:b/>
                <w:bCs/>
                <w:color w:val="000000"/>
                <w:sz w:val="22"/>
                <w:szCs w:val="22"/>
                <w:lang w:val="es-GT" w:eastAsia="es-GT"/>
              </w:rPr>
              <w:t>100.0</w:t>
            </w:r>
            <w:r>
              <w:rPr>
                <w:b/>
                <w:bCs/>
                <w:color w:val="000000"/>
                <w:sz w:val="22"/>
                <w:szCs w:val="22"/>
                <w:lang w:val="es-GT" w:eastAsia="es-GT"/>
              </w:rPr>
              <w:t>%</w:t>
            </w:r>
          </w:p>
        </w:tc>
      </w:tr>
      <w:tr w:rsidR="00AB0496" w:rsidRPr="00C918B2" w:rsidTr="009D6259">
        <w:trPr>
          <w:trHeight w:val="425"/>
        </w:trPr>
        <w:tc>
          <w:tcPr>
            <w:tcW w:w="2709" w:type="dxa"/>
            <w:tcBorders>
              <w:top w:val="nil"/>
              <w:left w:val="single" w:sz="8" w:space="0" w:color="auto"/>
              <w:bottom w:val="nil"/>
              <w:right w:val="nil"/>
            </w:tcBorders>
            <w:shd w:val="clear" w:color="000000" w:fill="FFFFFF"/>
            <w:noWrap/>
            <w:vAlign w:val="center"/>
            <w:hideMark/>
          </w:tcPr>
          <w:p w:rsidR="00AB0496" w:rsidRPr="00C918B2" w:rsidRDefault="00AB0496" w:rsidP="00AB0496">
            <w:pPr>
              <w:rPr>
                <w:color w:val="000000"/>
                <w:sz w:val="22"/>
                <w:szCs w:val="22"/>
                <w:lang w:val="es-GT" w:eastAsia="es-GT"/>
              </w:rPr>
            </w:pPr>
            <w:r w:rsidRPr="00C918B2">
              <w:rPr>
                <w:color w:val="000000"/>
                <w:sz w:val="22"/>
                <w:szCs w:val="22"/>
                <w:lang w:val="es-GT" w:eastAsia="es-GT"/>
              </w:rPr>
              <w:t>Funcionamiento</w:t>
            </w:r>
          </w:p>
        </w:tc>
        <w:tc>
          <w:tcPr>
            <w:tcW w:w="1209" w:type="dxa"/>
            <w:tcBorders>
              <w:top w:val="nil"/>
              <w:left w:val="single" w:sz="4" w:space="0" w:color="auto"/>
              <w:bottom w:val="nil"/>
              <w:right w:val="single" w:sz="4" w:space="0" w:color="auto"/>
            </w:tcBorders>
            <w:shd w:val="clear" w:color="000000" w:fill="FFFFFF"/>
            <w:noWrap/>
            <w:vAlign w:val="center"/>
            <w:hideMark/>
          </w:tcPr>
          <w:p w:rsidR="00AB0496" w:rsidRPr="00C918B2" w:rsidRDefault="00AB0496" w:rsidP="00AB0496">
            <w:pPr>
              <w:jc w:val="right"/>
              <w:rPr>
                <w:color w:val="000000"/>
                <w:sz w:val="22"/>
                <w:szCs w:val="22"/>
                <w:lang w:val="es-GT" w:eastAsia="es-GT"/>
              </w:rPr>
            </w:pPr>
            <w:r w:rsidRPr="00C918B2">
              <w:rPr>
                <w:color w:val="000000"/>
                <w:sz w:val="22"/>
                <w:szCs w:val="22"/>
                <w:lang w:val="es-GT" w:eastAsia="es-GT"/>
              </w:rPr>
              <w:t>20,873.9</w:t>
            </w:r>
          </w:p>
        </w:tc>
        <w:tc>
          <w:tcPr>
            <w:tcW w:w="1200" w:type="dxa"/>
            <w:tcBorders>
              <w:top w:val="nil"/>
              <w:left w:val="nil"/>
              <w:bottom w:val="nil"/>
              <w:right w:val="single" w:sz="4" w:space="0" w:color="auto"/>
            </w:tcBorders>
            <w:shd w:val="clear" w:color="000000" w:fill="FFFFFF"/>
            <w:noWrap/>
            <w:vAlign w:val="center"/>
            <w:hideMark/>
          </w:tcPr>
          <w:p w:rsidR="00AB0496" w:rsidRPr="00C918B2" w:rsidRDefault="00AB0496" w:rsidP="00AB0496">
            <w:pPr>
              <w:jc w:val="right"/>
              <w:rPr>
                <w:color w:val="000000"/>
                <w:sz w:val="22"/>
                <w:szCs w:val="22"/>
                <w:lang w:val="es-GT" w:eastAsia="es-GT"/>
              </w:rPr>
            </w:pPr>
            <w:r w:rsidRPr="00C918B2">
              <w:rPr>
                <w:color w:val="000000"/>
                <w:sz w:val="22"/>
                <w:szCs w:val="22"/>
                <w:lang w:val="es-GT" w:eastAsia="es-GT"/>
              </w:rPr>
              <w:t>22,262.2</w:t>
            </w:r>
          </w:p>
        </w:tc>
        <w:tc>
          <w:tcPr>
            <w:tcW w:w="1132" w:type="dxa"/>
            <w:tcBorders>
              <w:top w:val="nil"/>
              <w:left w:val="nil"/>
              <w:bottom w:val="nil"/>
              <w:right w:val="single" w:sz="4" w:space="0" w:color="auto"/>
            </w:tcBorders>
            <w:shd w:val="clear" w:color="000000" w:fill="FFFFFF"/>
            <w:noWrap/>
            <w:vAlign w:val="center"/>
            <w:hideMark/>
          </w:tcPr>
          <w:p w:rsidR="00AB0496" w:rsidRPr="00C918B2" w:rsidRDefault="00AB0496" w:rsidP="00AB0496">
            <w:pPr>
              <w:rPr>
                <w:color w:val="000000"/>
                <w:sz w:val="22"/>
                <w:szCs w:val="22"/>
                <w:lang w:val="es-GT" w:eastAsia="es-GT"/>
              </w:rPr>
            </w:pPr>
            <w:r w:rsidRPr="00C918B2">
              <w:rPr>
                <w:color w:val="000000"/>
                <w:sz w:val="22"/>
                <w:szCs w:val="22"/>
                <w:lang w:val="es-GT" w:eastAsia="es-GT"/>
              </w:rPr>
              <w:t xml:space="preserve">     1,388.3 </w:t>
            </w:r>
          </w:p>
        </w:tc>
        <w:tc>
          <w:tcPr>
            <w:tcW w:w="1174" w:type="dxa"/>
            <w:tcBorders>
              <w:top w:val="nil"/>
              <w:left w:val="nil"/>
              <w:bottom w:val="nil"/>
              <w:right w:val="single" w:sz="8" w:space="0" w:color="auto"/>
            </w:tcBorders>
            <w:shd w:val="clear" w:color="000000" w:fill="FFFFFF"/>
            <w:noWrap/>
            <w:vAlign w:val="center"/>
            <w:hideMark/>
          </w:tcPr>
          <w:p w:rsidR="00AB0496" w:rsidRPr="00C918B2" w:rsidRDefault="00AB0496" w:rsidP="00AB0496">
            <w:pPr>
              <w:jc w:val="center"/>
              <w:rPr>
                <w:color w:val="000000"/>
                <w:sz w:val="22"/>
                <w:szCs w:val="22"/>
                <w:lang w:val="es-GT" w:eastAsia="es-GT"/>
              </w:rPr>
            </w:pPr>
            <w:r w:rsidRPr="00C918B2">
              <w:rPr>
                <w:color w:val="000000"/>
                <w:sz w:val="22"/>
                <w:szCs w:val="22"/>
                <w:lang w:val="es-GT" w:eastAsia="es-GT"/>
              </w:rPr>
              <w:t>6.7%</w:t>
            </w:r>
          </w:p>
        </w:tc>
        <w:tc>
          <w:tcPr>
            <w:tcW w:w="1306" w:type="dxa"/>
            <w:tcBorders>
              <w:top w:val="nil"/>
              <w:left w:val="nil"/>
              <w:bottom w:val="nil"/>
              <w:right w:val="single" w:sz="8" w:space="0" w:color="auto"/>
            </w:tcBorders>
            <w:shd w:val="clear" w:color="000000" w:fill="FFFFFF"/>
            <w:noWrap/>
            <w:vAlign w:val="center"/>
            <w:hideMark/>
          </w:tcPr>
          <w:p w:rsidR="00AB0496" w:rsidRPr="00C918B2" w:rsidRDefault="007438B5" w:rsidP="007438B5">
            <w:pPr>
              <w:jc w:val="center"/>
              <w:rPr>
                <w:color w:val="000000"/>
                <w:sz w:val="22"/>
                <w:szCs w:val="22"/>
                <w:lang w:val="es-GT" w:eastAsia="es-GT"/>
              </w:rPr>
            </w:pPr>
            <w:r>
              <w:rPr>
                <w:color w:val="000000"/>
                <w:sz w:val="22"/>
                <w:szCs w:val="22"/>
                <w:lang w:val="es-GT" w:eastAsia="es-GT"/>
              </w:rPr>
              <w:t>68.5</w:t>
            </w:r>
            <w:r w:rsidR="00AB0496" w:rsidRPr="00C918B2">
              <w:rPr>
                <w:color w:val="000000"/>
                <w:sz w:val="22"/>
                <w:szCs w:val="22"/>
                <w:lang w:val="es-GT" w:eastAsia="es-GT"/>
              </w:rPr>
              <w:t>%</w:t>
            </w:r>
          </w:p>
        </w:tc>
      </w:tr>
      <w:tr w:rsidR="00AB0496" w:rsidRPr="00C918B2" w:rsidTr="009D6259">
        <w:trPr>
          <w:trHeight w:val="425"/>
        </w:trPr>
        <w:tc>
          <w:tcPr>
            <w:tcW w:w="2709" w:type="dxa"/>
            <w:tcBorders>
              <w:top w:val="nil"/>
              <w:left w:val="single" w:sz="8" w:space="0" w:color="auto"/>
              <w:bottom w:val="nil"/>
              <w:right w:val="nil"/>
            </w:tcBorders>
            <w:shd w:val="clear" w:color="000000" w:fill="FFFFFF"/>
            <w:noWrap/>
            <w:vAlign w:val="center"/>
            <w:hideMark/>
          </w:tcPr>
          <w:p w:rsidR="00AB0496" w:rsidRPr="00C918B2" w:rsidRDefault="00AB0496" w:rsidP="00AB0496">
            <w:pPr>
              <w:rPr>
                <w:color w:val="000000"/>
                <w:sz w:val="22"/>
                <w:szCs w:val="22"/>
                <w:lang w:val="es-GT" w:eastAsia="es-GT"/>
              </w:rPr>
            </w:pPr>
            <w:r w:rsidRPr="00C918B2">
              <w:rPr>
                <w:color w:val="000000"/>
                <w:sz w:val="22"/>
                <w:szCs w:val="22"/>
                <w:lang w:val="es-GT" w:eastAsia="es-GT"/>
              </w:rPr>
              <w:t>Inversión</w:t>
            </w:r>
          </w:p>
        </w:tc>
        <w:tc>
          <w:tcPr>
            <w:tcW w:w="1209" w:type="dxa"/>
            <w:tcBorders>
              <w:top w:val="nil"/>
              <w:left w:val="single" w:sz="4" w:space="0" w:color="auto"/>
              <w:bottom w:val="nil"/>
              <w:right w:val="single" w:sz="4" w:space="0" w:color="auto"/>
            </w:tcBorders>
            <w:shd w:val="clear" w:color="000000" w:fill="FFFFFF"/>
            <w:noWrap/>
            <w:vAlign w:val="center"/>
            <w:hideMark/>
          </w:tcPr>
          <w:p w:rsidR="00AB0496" w:rsidRPr="00C918B2" w:rsidRDefault="00AB0496" w:rsidP="00AB0496">
            <w:pPr>
              <w:jc w:val="right"/>
              <w:rPr>
                <w:color w:val="000000"/>
                <w:sz w:val="22"/>
                <w:szCs w:val="22"/>
                <w:lang w:val="es-GT" w:eastAsia="es-GT"/>
              </w:rPr>
            </w:pPr>
            <w:r w:rsidRPr="00C918B2">
              <w:rPr>
                <w:color w:val="000000"/>
                <w:sz w:val="22"/>
                <w:szCs w:val="22"/>
                <w:lang w:val="es-GT" w:eastAsia="es-GT"/>
              </w:rPr>
              <w:t>4,457.8</w:t>
            </w:r>
          </w:p>
        </w:tc>
        <w:tc>
          <w:tcPr>
            <w:tcW w:w="1200" w:type="dxa"/>
            <w:tcBorders>
              <w:top w:val="nil"/>
              <w:left w:val="nil"/>
              <w:bottom w:val="nil"/>
              <w:right w:val="single" w:sz="4" w:space="0" w:color="auto"/>
            </w:tcBorders>
            <w:shd w:val="clear" w:color="000000" w:fill="FFFFFF"/>
            <w:noWrap/>
            <w:vAlign w:val="center"/>
            <w:hideMark/>
          </w:tcPr>
          <w:p w:rsidR="00AB0496" w:rsidRPr="00C918B2" w:rsidRDefault="00AB0496" w:rsidP="00AB0496">
            <w:pPr>
              <w:jc w:val="right"/>
              <w:rPr>
                <w:color w:val="000000"/>
                <w:sz w:val="22"/>
                <w:szCs w:val="22"/>
                <w:lang w:val="es-GT" w:eastAsia="es-GT"/>
              </w:rPr>
            </w:pPr>
            <w:r w:rsidRPr="00C918B2">
              <w:rPr>
                <w:color w:val="000000"/>
                <w:sz w:val="22"/>
                <w:szCs w:val="22"/>
                <w:lang w:val="es-GT" w:eastAsia="es-GT"/>
              </w:rPr>
              <w:t>4,928.1</w:t>
            </w:r>
          </w:p>
        </w:tc>
        <w:tc>
          <w:tcPr>
            <w:tcW w:w="1132" w:type="dxa"/>
            <w:tcBorders>
              <w:top w:val="nil"/>
              <w:left w:val="nil"/>
              <w:bottom w:val="nil"/>
              <w:right w:val="single" w:sz="4" w:space="0" w:color="auto"/>
            </w:tcBorders>
            <w:shd w:val="clear" w:color="000000" w:fill="FFFFFF"/>
            <w:noWrap/>
            <w:vAlign w:val="center"/>
            <w:hideMark/>
          </w:tcPr>
          <w:p w:rsidR="00AB0496" w:rsidRPr="00C918B2" w:rsidRDefault="00AB0496" w:rsidP="00AB0496">
            <w:pPr>
              <w:rPr>
                <w:color w:val="000000"/>
                <w:sz w:val="22"/>
                <w:szCs w:val="22"/>
                <w:lang w:val="es-GT" w:eastAsia="es-GT"/>
              </w:rPr>
            </w:pPr>
            <w:r w:rsidRPr="00C918B2">
              <w:rPr>
                <w:color w:val="000000"/>
                <w:sz w:val="22"/>
                <w:szCs w:val="22"/>
                <w:lang w:val="es-GT" w:eastAsia="es-GT"/>
              </w:rPr>
              <w:t xml:space="preserve">       470.3 </w:t>
            </w:r>
          </w:p>
        </w:tc>
        <w:tc>
          <w:tcPr>
            <w:tcW w:w="1174" w:type="dxa"/>
            <w:tcBorders>
              <w:top w:val="nil"/>
              <w:left w:val="nil"/>
              <w:bottom w:val="nil"/>
              <w:right w:val="single" w:sz="8" w:space="0" w:color="auto"/>
            </w:tcBorders>
            <w:shd w:val="clear" w:color="000000" w:fill="FFFFFF"/>
            <w:noWrap/>
            <w:vAlign w:val="center"/>
            <w:hideMark/>
          </w:tcPr>
          <w:p w:rsidR="00AB0496" w:rsidRPr="00C918B2" w:rsidRDefault="00AB0496" w:rsidP="00AB0496">
            <w:pPr>
              <w:jc w:val="center"/>
              <w:rPr>
                <w:color w:val="000000"/>
                <w:sz w:val="22"/>
                <w:szCs w:val="22"/>
                <w:lang w:val="es-GT" w:eastAsia="es-GT"/>
              </w:rPr>
            </w:pPr>
            <w:r w:rsidRPr="00C918B2">
              <w:rPr>
                <w:color w:val="000000"/>
                <w:sz w:val="22"/>
                <w:szCs w:val="22"/>
                <w:lang w:val="es-GT" w:eastAsia="es-GT"/>
              </w:rPr>
              <w:t>10.5%</w:t>
            </w:r>
          </w:p>
        </w:tc>
        <w:tc>
          <w:tcPr>
            <w:tcW w:w="1306" w:type="dxa"/>
            <w:tcBorders>
              <w:top w:val="nil"/>
              <w:left w:val="nil"/>
              <w:bottom w:val="nil"/>
              <w:right w:val="single" w:sz="8" w:space="0" w:color="auto"/>
            </w:tcBorders>
            <w:shd w:val="clear" w:color="000000" w:fill="FFFFFF"/>
            <w:noWrap/>
            <w:vAlign w:val="center"/>
            <w:hideMark/>
          </w:tcPr>
          <w:p w:rsidR="00AB0496" w:rsidRPr="00C918B2" w:rsidRDefault="007438B5" w:rsidP="007438B5">
            <w:pPr>
              <w:jc w:val="center"/>
              <w:rPr>
                <w:color w:val="000000"/>
                <w:sz w:val="22"/>
                <w:szCs w:val="22"/>
                <w:lang w:val="es-GT" w:eastAsia="es-GT"/>
              </w:rPr>
            </w:pPr>
            <w:r>
              <w:rPr>
                <w:color w:val="000000"/>
                <w:sz w:val="22"/>
                <w:szCs w:val="22"/>
                <w:lang w:val="es-GT" w:eastAsia="es-GT"/>
              </w:rPr>
              <w:t>15.2</w:t>
            </w:r>
            <w:r w:rsidR="00AB0496" w:rsidRPr="00C918B2">
              <w:rPr>
                <w:color w:val="000000"/>
                <w:sz w:val="22"/>
                <w:szCs w:val="22"/>
                <w:lang w:val="es-GT" w:eastAsia="es-GT"/>
              </w:rPr>
              <w:t>%</w:t>
            </w:r>
          </w:p>
        </w:tc>
      </w:tr>
      <w:tr w:rsidR="00AB0496" w:rsidRPr="00C918B2" w:rsidTr="009D6259">
        <w:trPr>
          <w:trHeight w:val="425"/>
        </w:trPr>
        <w:tc>
          <w:tcPr>
            <w:tcW w:w="2709" w:type="dxa"/>
            <w:tcBorders>
              <w:top w:val="nil"/>
              <w:left w:val="single" w:sz="8" w:space="0" w:color="auto"/>
              <w:bottom w:val="single" w:sz="4" w:space="0" w:color="auto"/>
              <w:right w:val="nil"/>
            </w:tcBorders>
            <w:shd w:val="clear" w:color="000000" w:fill="FFFFFF"/>
            <w:noWrap/>
            <w:vAlign w:val="center"/>
            <w:hideMark/>
          </w:tcPr>
          <w:p w:rsidR="00AB0496" w:rsidRPr="00C918B2" w:rsidRDefault="00AB0496" w:rsidP="00AB0496">
            <w:pPr>
              <w:rPr>
                <w:color w:val="000000"/>
                <w:sz w:val="22"/>
                <w:szCs w:val="22"/>
                <w:lang w:val="es-GT" w:eastAsia="es-GT"/>
              </w:rPr>
            </w:pPr>
            <w:r w:rsidRPr="00C918B2">
              <w:rPr>
                <w:color w:val="000000"/>
                <w:sz w:val="22"/>
                <w:szCs w:val="22"/>
                <w:lang w:val="es-GT" w:eastAsia="es-GT"/>
              </w:rPr>
              <w:t>Deuda Pública</w:t>
            </w:r>
          </w:p>
        </w:tc>
        <w:tc>
          <w:tcPr>
            <w:tcW w:w="1209" w:type="dxa"/>
            <w:tcBorders>
              <w:top w:val="nil"/>
              <w:left w:val="single" w:sz="4" w:space="0" w:color="auto"/>
              <w:bottom w:val="single" w:sz="4" w:space="0" w:color="auto"/>
              <w:right w:val="single" w:sz="4" w:space="0" w:color="auto"/>
            </w:tcBorders>
            <w:shd w:val="clear" w:color="000000" w:fill="FFFFFF"/>
            <w:noWrap/>
            <w:vAlign w:val="center"/>
            <w:hideMark/>
          </w:tcPr>
          <w:p w:rsidR="00AB0496" w:rsidRPr="00C918B2" w:rsidRDefault="00AB0496" w:rsidP="00AB0496">
            <w:pPr>
              <w:jc w:val="right"/>
              <w:rPr>
                <w:color w:val="000000"/>
                <w:sz w:val="22"/>
                <w:szCs w:val="22"/>
                <w:lang w:val="es-GT" w:eastAsia="es-GT"/>
              </w:rPr>
            </w:pPr>
            <w:r w:rsidRPr="00C918B2">
              <w:rPr>
                <w:color w:val="000000"/>
                <w:sz w:val="22"/>
                <w:szCs w:val="22"/>
                <w:lang w:val="es-GT" w:eastAsia="es-GT"/>
              </w:rPr>
              <w:t>5,312.8</w:t>
            </w:r>
          </w:p>
        </w:tc>
        <w:tc>
          <w:tcPr>
            <w:tcW w:w="1200" w:type="dxa"/>
            <w:tcBorders>
              <w:top w:val="nil"/>
              <w:left w:val="nil"/>
              <w:bottom w:val="single" w:sz="4" w:space="0" w:color="auto"/>
              <w:right w:val="single" w:sz="4" w:space="0" w:color="auto"/>
            </w:tcBorders>
            <w:shd w:val="clear" w:color="000000" w:fill="FFFFFF"/>
            <w:noWrap/>
            <w:vAlign w:val="center"/>
            <w:hideMark/>
          </w:tcPr>
          <w:p w:rsidR="00AB0496" w:rsidRPr="00C918B2" w:rsidRDefault="00AB0496" w:rsidP="00AB0496">
            <w:pPr>
              <w:jc w:val="right"/>
              <w:rPr>
                <w:color w:val="000000"/>
                <w:sz w:val="22"/>
                <w:szCs w:val="22"/>
                <w:lang w:val="es-GT" w:eastAsia="es-GT"/>
              </w:rPr>
            </w:pPr>
            <w:r w:rsidRPr="00C918B2">
              <w:rPr>
                <w:color w:val="000000"/>
                <w:sz w:val="22"/>
                <w:szCs w:val="22"/>
                <w:lang w:val="es-GT" w:eastAsia="es-GT"/>
              </w:rPr>
              <w:t>5,313.4</w:t>
            </w:r>
          </w:p>
        </w:tc>
        <w:tc>
          <w:tcPr>
            <w:tcW w:w="1132" w:type="dxa"/>
            <w:tcBorders>
              <w:top w:val="nil"/>
              <w:left w:val="nil"/>
              <w:bottom w:val="single" w:sz="4" w:space="0" w:color="auto"/>
              <w:right w:val="single" w:sz="4" w:space="0" w:color="auto"/>
            </w:tcBorders>
            <w:shd w:val="clear" w:color="000000" w:fill="FFFFFF"/>
            <w:noWrap/>
            <w:vAlign w:val="center"/>
            <w:hideMark/>
          </w:tcPr>
          <w:p w:rsidR="00AB0496" w:rsidRPr="00C918B2" w:rsidRDefault="00AB0496" w:rsidP="00AB0496">
            <w:pPr>
              <w:rPr>
                <w:color w:val="000000"/>
                <w:sz w:val="22"/>
                <w:szCs w:val="22"/>
                <w:lang w:val="es-GT" w:eastAsia="es-GT"/>
              </w:rPr>
            </w:pPr>
            <w:r w:rsidRPr="00C918B2">
              <w:rPr>
                <w:color w:val="000000"/>
                <w:sz w:val="22"/>
                <w:szCs w:val="22"/>
                <w:lang w:val="es-GT" w:eastAsia="es-GT"/>
              </w:rPr>
              <w:t xml:space="preserve">           0.6 </w:t>
            </w:r>
          </w:p>
        </w:tc>
        <w:tc>
          <w:tcPr>
            <w:tcW w:w="1174" w:type="dxa"/>
            <w:tcBorders>
              <w:top w:val="nil"/>
              <w:left w:val="nil"/>
              <w:bottom w:val="single" w:sz="4" w:space="0" w:color="auto"/>
              <w:right w:val="single" w:sz="8" w:space="0" w:color="auto"/>
            </w:tcBorders>
            <w:shd w:val="clear" w:color="000000" w:fill="FFFFFF"/>
            <w:noWrap/>
            <w:vAlign w:val="center"/>
            <w:hideMark/>
          </w:tcPr>
          <w:p w:rsidR="00AB0496" w:rsidRPr="00C918B2" w:rsidRDefault="00AB0496" w:rsidP="00AB0496">
            <w:pPr>
              <w:jc w:val="center"/>
              <w:rPr>
                <w:color w:val="000000"/>
                <w:sz w:val="22"/>
                <w:szCs w:val="22"/>
                <w:lang w:val="es-GT" w:eastAsia="es-GT"/>
              </w:rPr>
            </w:pPr>
            <w:r w:rsidRPr="00C918B2">
              <w:rPr>
                <w:color w:val="000000"/>
                <w:sz w:val="22"/>
                <w:szCs w:val="22"/>
                <w:lang w:val="es-GT" w:eastAsia="es-GT"/>
              </w:rPr>
              <w:t>0.0%</w:t>
            </w:r>
          </w:p>
        </w:tc>
        <w:tc>
          <w:tcPr>
            <w:tcW w:w="1306" w:type="dxa"/>
            <w:tcBorders>
              <w:top w:val="nil"/>
              <w:left w:val="nil"/>
              <w:bottom w:val="nil"/>
              <w:right w:val="single" w:sz="8" w:space="0" w:color="auto"/>
            </w:tcBorders>
            <w:shd w:val="clear" w:color="000000" w:fill="FFFFFF"/>
            <w:noWrap/>
            <w:vAlign w:val="center"/>
            <w:hideMark/>
          </w:tcPr>
          <w:p w:rsidR="00AB0496" w:rsidRPr="00C918B2" w:rsidRDefault="007438B5" w:rsidP="007438B5">
            <w:pPr>
              <w:jc w:val="center"/>
              <w:rPr>
                <w:color w:val="000000"/>
                <w:sz w:val="22"/>
                <w:szCs w:val="22"/>
                <w:lang w:val="es-GT" w:eastAsia="es-GT"/>
              </w:rPr>
            </w:pPr>
            <w:r>
              <w:rPr>
                <w:color w:val="000000"/>
                <w:sz w:val="22"/>
                <w:szCs w:val="22"/>
                <w:lang w:val="es-GT" w:eastAsia="es-GT"/>
              </w:rPr>
              <w:t>16.3</w:t>
            </w:r>
            <w:r w:rsidR="00AB0496" w:rsidRPr="00C918B2">
              <w:rPr>
                <w:color w:val="000000"/>
                <w:sz w:val="22"/>
                <w:szCs w:val="22"/>
                <w:lang w:val="es-GT" w:eastAsia="es-GT"/>
              </w:rPr>
              <w:t>%</w:t>
            </w:r>
          </w:p>
        </w:tc>
      </w:tr>
      <w:tr w:rsidR="00AB0496" w:rsidRPr="00C918B2" w:rsidTr="009D6259">
        <w:trPr>
          <w:trHeight w:val="425"/>
        </w:trPr>
        <w:tc>
          <w:tcPr>
            <w:tcW w:w="2709" w:type="dxa"/>
            <w:tcBorders>
              <w:top w:val="nil"/>
              <w:left w:val="single" w:sz="8" w:space="0" w:color="auto"/>
              <w:bottom w:val="nil"/>
              <w:right w:val="nil"/>
            </w:tcBorders>
            <w:shd w:val="clear" w:color="000000" w:fill="FFFFFF"/>
            <w:noWrap/>
            <w:vAlign w:val="center"/>
            <w:hideMark/>
          </w:tcPr>
          <w:p w:rsidR="00AB0496" w:rsidRPr="00C918B2" w:rsidRDefault="00AB0496" w:rsidP="009D6259">
            <w:pPr>
              <w:rPr>
                <w:color w:val="000000"/>
                <w:sz w:val="22"/>
                <w:szCs w:val="22"/>
                <w:lang w:val="es-GT" w:eastAsia="es-GT"/>
              </w:rPr>
            </w:pPr>
            <w:r w:rsidRPr="00C918B2">
              <w:rPr>
                <w:color w:val="000000"/>
                <w:sz w:val="22"/>
                <w:szCs w:val="22"/>
                <w:lang w:val="es-GT" w:eastAsia="es-GT"/>
              </w:rPr>
              <w:t xml:space="preserve">Presupuesto </w:t>
            </w:r>
            <w:r w:rsidR="009D6259">
              <w:rPr>
                <w:color w:val="000000"/>
                <w:sz w:val="22"/>
                <w:szCs w:val="22"/>
                <w:lang w:val="es-GT" w:eastAsia="es-GT"/>
              </w:rPr>
              <w:t>v</w:t>
            </w:r>
            <w:r w:rsidRPr="00C918B2">
              <w:rPr>
                <w:color w:val="000000"/>
                <w:sz w:val="22"/>
                <w:szCs w:val="22"/>
                <w:lang w:val="es-GT" w:eastAsia="es-GT"/>
              </w:rPr>
              <w:t>igente</w:t>
            </w:r>
          </w:p>
        </w:tc>
        <w:tc>
          <w:tcPr>
            <w:tcW w:w="1209" w:type="dxa"/>
            <w:tcBorders>
              <w:top w:val="nil"/>
              <w:left w:val="single" w:sz="4" w:space="0" w:color="auto"/>
              <w:bottom w:val="nil"/>
              <w:right w:val="single" w:sz="4" w:space="0" w:color="auto"/>
            </w:tcBorders>
            <w:shd w:val="clear" w:color="auto" w:fill="auto"/>
            <w:noWrap/>
            <w:vAlign w:val="center"/>
            <w:hideMark/>
          </w:tcPr>
          <w:p w:rsidR="00AB0496" w:rsidRPr="00C918B2" w:rsidRDefault="00AB0496" w:rsidP="00AB0496">
            <w:pPr>
              <w:jc w:val="right"/>
              <w:rPr>
                <w:color w:val="000000"/>
                <w:sz w:val="22"/>
                <w:szCs w:val="22"/>
                <w:lang w:val="es-GT" w:eastAsia="es-GT"/>
              </w:rPr>
            </w:pPr>
            <w:r w:rsidRPr="00C918B2">
              <w:rPr>
                <w:color w:val="000000"/>
                <w:sz w:val="22"/>
                <w:szCs w:val="22"/>
                <w:lang w:val="es-GT" w:eastAsia="es-GT"/>
              </w:rPr>
              <w:t>77,622.6</w:t>
            </w:r>
          </w:p>
        </w:tc>
        <w:tc>
          <w:tcPr>
            <w:tcW w:w="1200" w:type="dxa"/>
            <w:tcBorders>
              <w:top w:val="nil"/>
              <w:left w:val="nil"/>
              <w:bottom w:val="nil"/>
              <w:right w:val="nil"/>
            </w:tcBorders>
            <w:shd w:val="clear" w:color="auto" w:fill="auto"/>
            <w:noWrap/>
            <w:vAlign w:val="center"/>
            <w:hideMark/>
          </w:tcPr>
          <w:p w:rsidR="00AB0496" w:rsidRPr="00C918B2" w:rsidRDefault="00AB0496" w:rsidP="00AB0496">
            <w:pPr>
              <w:jc w:val="right"/>
              <w:rPr>
                <w:color w:val="000000"/>
                <w:sz w:val="22"/>
                <w:szCs w:val="22"/>
                <w:lang w:val="es-GT" w:eastAsia="es-GT"/>
              </w:rPr>
            </w:pPr>
            <w:r w:rsidRPr="00C918B2">
              <w:rPr>
                <w:color w:val="000000"/>
                <w:sz w:val="22"/>
                <w:szCs w:val="22"/>
                <w:lang w:val="es-GT" w:eastAsia="es-GT"/>
              </w:rPr>
              <w:t>77,209.3</w:t>
            </w:r>
          </w:p>
        </w:tc>
        <w:tc>
          <w:tcPr>
            <w:tcW w:w="1132" w:type="dxa"/>
            <w:tcBorders>
              <w:top w:val="nil"/>
              <w:left w:val="single" w:sz="4" w:space="0" w:color="auto"/>
              <w:bottom w:val="nil"/>
              <w:right w:val="single" w:sz="4" w:space="0" w:color="auto"/>
            </w:tcBorders>
            <w:shd w:val="clear" w:color="000000" w:fill="FFFFFF"/>
            <w:noWrap/>
            <w:vAlign w:val="center"/>
            <w:hideMark/>
          </w:tcPr>
          <w:p w:rsidR="00AB0496" w:rsidRPr="00C918B2" w:rsidRDefault="00AB0496" w:rsidP="00AB0496">
            <w:pPr>
              <w:rPr>
                <w:color w:val="000000"/>
                <w:sz w:val="22"/>
                <w:szCs w:val="22"/>
                <w:lang w:val="es-GT" w:eastAsia="es-GT"/>
              </w:rPr>
            </w:pPr>
            <w:r w:rsidRPr="00C918B2">
              <w:rPr>
                <w:color w:val="000000"/>
                <w:sz w:val="22"/>
                <w:szCs w:val="22"/>
                <w:lang w:val="es-GT" w:eastAsia="es-GT"/>
              </w:rPr>
              <w:t xml:space="preserve">      (413.3)</w:t>
            </w:r>
          </w:p>
        </w:tc>
        <w:tc>
          <w:tcPr>
            <w:tcW w:w="1174" w:type="dxa"/>
            <w:tcBorders>
              <w:top w:val="nil"/>
              <w:left w:val="nil"/>
              <w:bottom w:val="nil"/>
              <w:right w:val="single" w:sz="8" w:space="0" w:color="auto"/>
            </w:tcBorders>
            <w:shd w:val="clear" w:color="000000" w:fill="FFFFFF"/>
            <w:noWrap/>
            <w:vAlign w:val="center"/>
            <w:hideMark/>
          </w:tcPr>
          <w:p w:rsidR="00AB0496" w:rsidRPr="00C918B2" w:rsidRDefault="00AB0496" w:rsidP="00AB0496">
            <w:pPr>
              <w:jc w:val="center"/>
              <w:rPr>
                <w:color w:val="000000"/>
                <w:sz w:val="22"/>
                <w:szCs w:val="22"/>
                <w:lang w:val="es-GT" w:eastAsia="es-GT"/>
              </w:rPr>
            </w:pPr>
            <w:r w:rsidRPr="00C918B2">
              <w:rPr>
                <w:color w:val="000000"/>
                <w:sz w:val="22"/>
                <w:szCs w:val="22"/>
                <w:lang w:val="es-GT" w:eastAsia="es-GT"/>
              </w:rPr>
              <w:t>-0.5%</w:t>
            </w:r>
          </w:p>
        </w:tc>
        <w:tc>
          <w:tcPr>
            <w:tcW w:w="1306" w:type="dxa"/>
            <w:tcBorders>
              <w:top w:val="nil"/>
              <w:left w:val="nil"/>
              <w:bottom w:val="nil"/>
              <w:right w:val="single" w:sz="8" w:space="0" w:color="auto"/>
            </w:tcBorders>
            <w:shd w:val="clear" w:color="000000" w:fill="FFFFFF"/>
            <w:noWrap/>
            <w:vAlign w:val="center"/>
            <w:hideMark/>
          </w:tcPr>
          <w:p w:rsidR="00AB0496" w:rsidRPr="00C918B2" w:rsidRDefault="00AB0496" w:rsidP="00AB0496">
            <w:pPr>
              <w:rPr>
                <w:color w:val="000000"/>
                <w:sz w:val="22"/>
                <w:szCs w:val="22"/>
                <w:lang w:val="es-GT" w:eastAsia="es-GT"/>
              </w:rPr>
            </w:pPr>
            <w:r w:rsidRPr="00C918B2">
              <w:rPr>
                <w:color w:val="000000"/>
                <w:sz w:val="22"/>
                <w:szCs w:val="22"/>
                <w:lang w:val="es-GT" w:eastAsia="es-GT"/>
              </w:rPr>
              <w:t> </w:t>
            </w:r>
          </w:p>
        </w:tc>
      </w:tr>
      <w:tr w:rsidR="00AB0496" w:rsidRPr="00C918B2" w:rsidTr="009D6259">
        <w:trPr>
          <w:trHeight w:val="425"/>
        </w:trPr>
        <w:tc>
          <w:tcPr>
            <w:tcW w:w="2709" w:type="dxa"/>
            <w:tcBorders>
              <w:top w:val="nil"/>
              <w:left w:val="single" w:sz="8" w:space="0" w:color="auto"/>
              <w:bottom w:val="single" w:sz="8" w:space="0" w:color="auto"/>
              <w:right w:val="nil"/>
            </w:tcBorders>
            <w:shd w:val="clear" w:color="000000" w:fill="FFFFFF"/>
            <w:noWrap/>
            <w:vAlign w:val="center"/>
            <w:hideMark/>
          </w:tcPr>
          <w:p w:rsidR="00AB0496" w:rsidRPr="00C918B2" w:rsidRDefault="00AB0496" w:rsidP="00AB0496">
            <w:pPr>
              <w:rPr>
                <w:color w:val="000000"/>
                <w:sz w:val="22"/>
                <w:szCs w:val="22"/>
                <w:lang w:val="es-GT" w:eastAsia="es-GT"/>
              </w:rPr>
            </w:pPr>
            <w:r w:rsidRPr="00C918B2">
              <w:rPr>
                <w:color w:val="000000"/>
                <w:sz w:val="22"/>
                <w:szCs w:val="22"/>
                <w:lang w:val="es-GT" w:eastAsia="es-GT"/>
              </w:rPr>
              <w:t xml:space="preserve">Porcentaje de ejecución </w:t>
            </w:r>
          </w:p>
        </w:tc>
        <w:tc>
          <w:tcPr>
            <w:tcW w:w="1209" w:type="dxa"/>
            <w:tcBorders>
              <w:top w:val="nil"/>
              <w:left w:val="single" w:sz="4" w:space="0" w:color="auto"/>
              <w:bottom w:val="single" w:sz="8" w:space="0" w:color="auto"/>
              <w:right w:val="single" w:sz="4" w:space="0" w:color="auto"/>
            </w:tcBorders>
            <w:shd w:val="clear" w:color="000000" w:fill="FFFFFF"/>
            <w:noWrap/>
            <w:vAlign w:val="center"/>
            <w:hideMark/>
          </w:tcPr>
          <w:p w:rsidR="00AB0496" w:rsidRPr="00C918B2" w:rsidRDefault="00AB0496" w:rsidP="00AB0496">
            <w:pPr>
              <w:jc w:val="right"/>
              <w:rPr>
                <w:color w:val="000000"/>
                <w:sz w:val="22"/>
                <w:szCs w:val="22"/>
                <w:lang w:val="es-GT" w:eastAsia="es-GT"/>
              </w:rPr>
            </w:pPr>
            <w:r w:rsidRPr="00C918B2">
              <w:rPr>
                <w:color w:val="000000"/>
                <w:sz w:val="22"/>
                <w:szCs w:val="22"/>
                <w:lang w:val="es-GT" w:eastAsia="es-GT"/>
              </w:rPr>
              <w:t>39.5%</w:t>
            </w:r>
          </w:p>
        </w:tc>
        <w:tc>
          <w:tcPr>
            <w:tcW w:w="1200" w:type="dxa"/>
            <w:tcBorders>
              <w:top w:val="nil"/>
              <w:left w:val="nil"/>
              <w:bottom w:val="single" w:sz="8" w:space="0" w:color="auto"/>
              <w:right w:val="single" w:sz="4" w:space="0" w:color="auto"/>
            </w:tcBorders>
            <w:shd w:val="clear" w:color="000000" w:fill="FFFFFF"/>
            <w:noWrap/>
            <w:vAlign w:val="center"/>
            <w:hideMark/>
          </w:tcPr>
          <w:p w:rsidR="00AB0496" w:rsidRPr="00C918B2" w:rsidRDefault="00AB0496" w:rsidP="00AB0496">
            <w:pPr>
              <w:jc w:val="right"/>
              <w:rPr>
                <w:color w:val="000000"/>
                <w:sz w:val="22"/>
                <w:szCs w:val="22"/>
                <w:lang w:val="es-GT" w:eastAsia="es-GT"/>
              </w:rPr>
            </w:pPr>
            <w:r w:rsidRPr="00C918B2">
              <w:rPr>
                <w:color w:val="000000"/>
                <w:sz w:val="22"/>
                <w:szCs w:val="22"/>
                <w:lang w:val="es-GT" w:eastAsia="es-GT"/>
              </w:rPr>
              <w:t>42.1%</w:t>
            </w:r>
          </w:p>
        </w:tc>
        <w:tc>
          <w:tcPr>
            <w:tcW w:w="1132" w:type="dxa"/>
            <w:tcBorders>
              <w:top w:val="nil"/>
              <w:left w:val="nil"/>
              <w:bottom w:val="single" w:sz="8" w:space="0" w:color="auto"/>
              <w:right w:val="single" w:sz="4" w:space="0" w:color="auto"/>
            </w:tcBorders>
            <w:shd w:val="clear" w:color="000000" w:fill="FFFFFF"/>
            <w:noWrap/>
            <w:vAlign w:val="center"/>
            <w:hideMark/>
          </w:tcPr>
          <w:p w:rsidR="00AB0496" w:rsidRPr="00C918B2" w:rsidRDefault="00AB0496" w:rsidP="00AB0496">
            <w:pPr>
              <w:jc w:val="right"/>
              <w:rPr>
                <w:color w:val="000000"/>
                <w:sz w:val="22"/>
                <w:szCs w:val="22"/>
                <w:lang w:val="es-GT" w:eastAsia="es-GT"/>
              </w:rPr>
            </w:pPr>
            <w:r w:rsidRPr="00C918B2">
              <w:rPr>
                <w:color w:val="000000"/>
                <w:sz w:val="22"/>
                <w:szCs w:val="22"/>
                <w:lang w:val="es-GT" w:eastAsia="es-GT"/>
              </w:rPr>
              <w:t>2.6%</w:t>
            </w:r>
          </w:p>
        </w:tc>
        <w:tc>
          <w:tcPr>
            <w:tcW w:w="1174" w:type="dxa"/>
            <w:tcBorders>
              <w:top w:val="nil"/>
              <w:left w:val="nil"/>
              <w:bottom w:val="single" w:sz="8" w:space="0" w:color="auto"/>
              <w:right w:val="single" w:sz="8" w:space="0" w:color="auto"/>
            </w:tcBorders>
            <w:shd w:val="clear" w:color="000000" w:fill="FFFFFF"/>
            <w:noWrap/>
            <w:vAlign w:val="center"/>
            <w:hideMark/>
          </w:tcPr>
          <w:p w:rsidR="00AB0496" w:rsidRPr="00C918B2" w:rsidRDefault="00AB0496" w:rsidP="00AB0496">
            <w:pPr>
              <w:jc w:val="center"/>
              <w:rPr>
                <w:color w:val="000000"/>
                <w:sz w:val="22"/>
                <w:szCs w:val="22"/>
                <w:lang w:val="es-GT" w:eastAsia="es-GT"/>
              </w:rPr>
            </w:pPr>
            <w:r w:rsidRPr="00C918B2">
              <w:rPr>
                <w:color w:val="000000"/>
                <w:sz w:val="22"/>
                <w:szCs w:val="22"/>
                <w:lang w:val="es-GT" w:eastAsia="es-GT"/>
              </w:rPr>
              <w:t>6.6%</w:t>
            </w:r>
          </w:p>
        </w:tc>
        <w:tc>
          <w:tcPr>
            <w:tcW w:w="1306" w:type="dxa"/>
            <w:tcBorders>
              <w:top w:val="nil"/>
              <w:left w:val="nil"/>
              <w:bottom w:val="single" w:sz="8" w:space="0" w:color="auto"/>
              <w:right w:val="single" w:sz="8" w:space="0" w:color="auto"/>
            </w:tcBorders>
            <w:shd w:val="clear" w:color="000000" w:fill="FFFFFF"/>
            <w:noWrap/>
            <w:vAlign w:val="center"/>
            <w:hideMark/>
          </w:tcPr>
          <w:p w:rsidR="00AB0496" w:rsidRPr="00C918B2" w:rsidRDefault="00AB0496" w:rsidP="00AB0496">
            <w:pPr>
              <w:rPr>
                <w:color w:val="000000"/>
                <w:sz w:val="22"/>
                <w:szCs w:val="22"/>
                <w:lang w:val="es-GT" w:eastAsia="es-GT"/>
              </w:rPr>
            </w:pPr>
            <w:r w:rsidRPr="00C918B2">
              <w:rPr>
                <w:color w:val="000000"/>
                <w:sz w:val="22"/>
                <w:szCs w:val="22"/>
                <w:lang w:val="es-GT" w:eastAsia="es-GT"/>
              </w:rPr>
              <w:t> </w:t>
            </w:r>
          </w:p>
        </w:tc>
      </w:tr>
    </w:tbl>
    <w:p w:rsidR="00AB0496" w:rsidRPr="003115F3" w:rsidRDefault="00AB0496" w:rsidP="00E021FF">
      <w:pPr>
        <w:jc w:val="both"/>
        <w:rPr>
          <w:sz w:val="16"/>
          <w:lang w:val="es-MX"/>
        </w:rPr>
      </w:pPr>
      <w:r w:rsidRPr="003115F3">
        <w:rPr>
          <w:sz w:val="16"/>
          <w:lang w:val="es-MX"/>
        </w:rPr>
        <w:t>Fuente: Ministerio de Finanzas Públicas con base al SICOIN.</w:t>
      </w:r>
    </w:p>
    <w:p w:rsidR="00AB0496" w:rsidRPr="003115F3" w:rsidRDefault="00AB0496" w:rsidP="00E021FF">
      <w:pPr>
        <w:jc w:val="both"/>
        <w:rPr>
          <w:sz w:val="16"/>
          <w:lang w:val="es-MX"/>
        </w:rPr>
      </w:pPr>
      <w:r w:rsidRPr="003115F3">
        <w:rPr>
          <w:sz w:val="16"/>
          <w:lang w:val="es-MX"/>
        </w:rPr>
        <w:t>* Cifras preliminares.</w:t>
      </w:r>
    </w:p>
    <w:p w:rsidR="00AB0496" w:rsidRPr="00FB641E" w:rsidRDefault="00AB0496" w:rsidP="00AB0496">
      <w:pPr>
        <w:rPr>
          <w:sz w:val="18"/>
          <w:lang w:val="es-MX"/>
        </w:rPr>
      </w:pPr>
    </w:p>
    <w:p w:rsidR="00AB0496" w:rsidRPr="00F71D46" w:rsidRDefault="00AB0496" w:rsidP="00AB0496">
      <w:pPr>
        <w:keepNext/>
        <w:keepLines/>
        <w:numPr>
          <w:ilvl w:val="2"/>
          <w:numId w:val="4"/>
        </w:numPr>
        <w:spacing w:before="200"/>
        <w:outlineLvl w:val="2"/>
        <w:rPr>
          <w:b/>
          <w:bCs/>
          <w:lang w:val="es-MX"/>
        </w:rPr>
      </w:pPr>
      <w:bookmarkStart w:id="18" w:name="_Toc494447079"/>
      <w:bookmarkStart w:id="19" w:name="_Toc525824406"/>
      <w:r w:rsidRPr="00F71D46">
        <w:rPr>
          <w:b/>
          <w:bCs/>
          <w:lang w:val="es-MX"/>
        </w:rPr>
        <w:t xml:space="preserve">Destino del </w:t>
      </w:r>
      <w:r w:rsidR="00B20C2F">
        <w:rPr>
          <w:b/>
          <w:bCs/>
          <w:lang w:val="es-MX"/>
        </w:rPr>
        <w:t>G</w:t>
      </w:r>
      <w:r w:rsidRPr="00F71D46">
        <w:rPr>
          <w:b/>
          <w:bCs/>
          <w:lang w:val="es-MX"/>
        </w:rPr>
        <w:t xml:space="preserve">asto por </w:t>
      </w:r>
      <w:r w:rsidR="00B20C2F">
        <w:rPr>
          <w:b/>
          <w:bCs/>
          <w:lang w:val="es-MX"/>
        </w:rPr>
        <w:t>C</w:t>
      </w:r>
      <w:r w:rsidRPr="00F71D46">
        <w:rPr>
          <w:b/>
          <w:bCs/>
          <w:lang w:val="es-MX"/>
        </w:rPr>
        <w:t xml:space="preserve">uenta </w:t>
      </w:r>
      <w:r w:rsidR="00B20C2F">
        <w:rPr>
          <w:b/>
          <w:bCs/>
          <w:lang w:val="es-MX"/>
        </w:rPr>
        <w:t>E</w:t>
      </w:r>
      <w:r w:rsidRPr="00F71D46">
        <w:rPr>
          <w:b/>
          <w:bCs/>
          <w:lang w:val="es-MX"/>
        </w:rPr>
        <w:t>conómica</w:t>
      </w:r>
      <w:bookmarkEnd w:id="18"/>
      <w:bookmarkEnd w:id="19"/>
    </w:p>
    <w:p w:rsidR="00AB0496" w:rsidRPr="00FB641E" w:rsidRDefault="00AB0496" w:rsidP="00AB0496">
      <w:pPr>
        <w:jc w:val="both"/>
        <w:rPr>
          <w:sz w:val="32"/>
          <w:lang w:val="es-MX"/>
        </w:rPr>
      </w:pPr>
    </w:p>
    <w:p w:rsidR="00AB0496" w:rsidRPr="00FB641E" w:rsidRDefault="00AB0496" w:rsidP="00AB0496">
      <w:pPr>
        <w:jc w:val="both"/>
        <w:rPr>
          <w:lang w:val="es-MX"/>
        </w:rPr>
      </w:pPr>
      <w:r w:rsidRPr="00FB641E">
        <w:rPr>
          <w:lang w:val="es-MX"/>
        </w:rPr>
        <w:t>Los gastos totales al 30 de junio de 201</w:t>
      </w:r>
      <w:r>
        <w:rPr>
          <w:lang w:val="es-MX"/>
        </w:rPr>
        <w:t>8</w:t>
      </w:r>
      <w:r w:rsidRPr="00FB641E">
        <w:rPr>
          <w:lang w:val="es-MX"/>
        </w:rPr>
        <w:t xml:space="preserve"> (sin incluir amortizaciones de la deuda pública)</w:t>
      </w:r>
      <w:r>
        <w:rPr>
          <w:lang w:val="es-MX"/>
        </w:rPr>
        <w:t xml:space="preserve"> alcanzaron </w:t>
      </w:r>
      <w:r w:rsidRPr="00FB641E">
        <w:rPr>
          <w:lang w:val="es-MX"/>
        </w:rPr>
        <w:t>Q</w:t>
      </w:r>
      <w:r w:rsidR="00F97217">
        <w:rPr>
          <w:lang w:val="es-MX"/>
        </w:rPr>
        <w:t>.</w:t>
      </w:r>
      <w:r>
        <w:rPr>
          <w:lang w:val="es-MX"/>
        </w:rPr>
        <w:t>31</w:t>
      </w:r>
      <w:proofErr w:type="gramStart"/>
      <w:r w:rsidRPr="00FB641E">
        <w:rPr>
          <w:lang w:val="es-MX"/>
        </w:rPr>
        <w:t>,</w:t>
      </w:r>
      <w:r>
        <w:rPr>
          <w:lang w:val="es-MX"/>
        </w:rPr>
        <w:t>277.8</w:t>
      </w:r>
      <w:proofErr w:type="gramEnd"/>
      <w:r w:rsidRPr="00FB641E">
        <w:rPr>
          <w:lang w:val="es-MX"/>
        </w:rPr>
        <w:t xml:space="preserve"> millones, </w:t>
      </w:r>
      <w:r>
        <w:rPr>
          <w:lang w:val="es-MX"/>
        </w:rPr>
        <w:t>monto mayor en Q</w:t>
      </w:r>
      <w:r w:rsidR="00F97217">
        <w:rPr>
          <w:lang w:val="es-MX"/>
        </w:rPr>
        <w:t>.</w:t>
      </w:r>
      <w:r>
        <w:rPr>
          <w:lang w:val="es-MX"/>
        </w:rPr>
        <w:t>2,057.1 millones a lo observado en el mismo período de 2017</w:t>
      </w:r>
      <w:r w:rsidR="00F97217">
        <w:rPr>
          <w:lang w:val="es-MX"/>
        </w:rPr>
        <w:t>,</w:t>
      </w:r>
      <w:r>
        <w:rPr>
          <w:lang w:val="es-MX"/>
        </w:rPr>
        <w:t xml:space="preserve"> </w:t>
      </w:r>
      <w:r w:rsidRPr="00FB641E">
        <w:rPr>
          <w:lang w:val="es-MX"/>
        </w:rPr>
        <w:t>que</w:t>
      </w:r>
      <w:r>
        <w:rPr>
          <w:lang w:val="es-MX"/>
        </w:rPr>
        <w:t xml:space="preserve"> fue de Q</w:t>
      </w:r>
      <w:r w:rsidR="00F97217">
        <w:rPr>
          <w:lang w:val="es-MX"/>
        </w:rPr>
        <w:t>.</w:t>
      </w:r>
      <w:r>
        <w:rPr>
          <w:lang w:val="es-MX"/>
        </w:rPr>
        <w:t>29,220.7</w:t>
      </w:r>
      <w:r w:rsidRPr="00FB641E">
        <w:rPr>
          <w:lang w:val="es-MX"/>
        </w:rPr>
        <w:t xml:space="preserve"> millones. </w:t>
      </w:r>
      <w:r>
        <w:rPr>
          <w:lang w:val="es-MX"/>
        </w:rPr>
        <w:t xml:space="preserve"> El aumento se dio principalmente en los </w:t>
      </w:r>
      <w:r w:rsidR="00F97217">
        <w:rPr>
          <w:lang w:val="es-MX"/>
        </w:rPr>
        <w:t>G</w:t>
      </w:r>
      <w:r>
        <w:rPr>
          <w:lang w:val="es-MX"/>
        </w:rPr>
        <w:t xml:space="preserve">astos </w:t>
      </w:r>
      <w:r w:rsidR="00F97217">
        <w:rPr>
          <w:lang w:val="es-MX"/>
        </w:rPr>
        <w:t>C</w:t>
      </w:r>
      <w:r>
        <w:rPr>
          <w:lang w:val="es-MX"/>
        </w:rPr>
        <w:t xml:space="preserve">orrientes, en los rubros de Remuneraciones, Bienes y Servicios, Prestaciones a la Seguridad Social, Intereses de </w:t>
      </w:r>
      <w:r w:rsidR="00F97217">
        <w:rPr>
          <w:lang w:val="es-MX"/>
        </w:rPr>
        <w:t>D</w:t>
      </w:r>
      <w:r>
        <w:rPr>
          <w:lang w:val="es-MX"/>
        </w:rPr>
        <w:t xml:space="preserve">euda </w:t>
      </w:r>
      <w:r w:rsidR="00F97217">
        <w:rPr>
          <w:lang w:val="es-MX"/>
        </w:rPr>
        <w:t>P</w:t>
      </w:r>
      <w:r>
        <w:rPr>
          <w:lang w:val="es-MX"/>
        </w:rPr>
        <w:t xml:space="preserve">ública, en las Transferencias Corrientes al </w:t>
      </w:r>
      <w:r w:rsidR="00F97217">
        <w:rPr>
          <w:lang w:val="es-MX"/>
        </w:rPr>
        <w:t>S</w:t>
      </w:r>
      <w:r>
        <w:rPr>
          <w:lang w:val="es-MX"/>
        </w:rPr>
        <w:t xml:space="preserve">ector </w:t>
      </w:r>
      <w:r w:rsidR="00F97217">
        <w:rPr>
          <w:lang w:val="es-MX"/>
        </w:rPr>
        <w:t>P</w:t>
      </w:r>
      <w:r>
        <w:rPr>
          <w:lang w:val="es-MX"/>
        </w:rPr>
        <w:t>rivado</w:t>
      </w:r>
      <w:r w:rsidR="00F97217">
        <w:rPr>
          <w:lang w:val="es-MX"/>
        </w:rPr>
        <w:t>,</w:t>
      </w:r>
      <w:r>
        <w:rPr>
          <w:lang w:val="es-MX"/>
        </w:rPr>
        <w:t xml:space="preserve"> en tanto que las </w:t>
      </w:r>
      <w:r w:rsidR="00F97217">
        <w:rPr>
          <w:lang w:val="es-MX"/>
        </w:rPr>
        <w:t>T</w:t>
      </w:r>
      <w:r>
        <w:rPr>
          <w:lang w:val="es-MX"/>
        </w:rPr>
        <w:t xml:space="preserve">ransferencias </w:t>
      </w:r>
      <w:r w:rsidR="00F97217">
        <w:rPr>
          <w:lang w:val="es-MX"/>
        </w:rPr>
        <w:t>C</w:t>
      </w:r>
      <w:r>
        <w:rPr>
          <w:lang w:val="es-MX"/>
        </w:rPr>
        <w:t>orrientes al Sector Público, experimentaron una disminución.</w:t>
      </w:r>
    </w:p>
    <w:p w:rsidR="00AB0496" w:rsidRPr="00FB641E" w:rsidRDefault="00AB0496" w:rsidP="00AB0496">
      <w:pPr>
        <w:jc w:val="both"/>
        <w:rPr>
          <w:sz w:val="32"/>
          <w:lang w:val="es-MX"/>
        </w:rPr>
      </w:pPr>
    </w:p>
    <w:p w:rsidR="00AB0496" w:rsidRDefault="00AB0496" w:rsidP="00AB0496">
      <w:pPr>
        <w:jc w:val="both"/>
        <w:rPr>
          <w:lang w:val="es-MX"/>
        </w:rPr>
      </w:pPr>
      <w:r w:rsidRPr="00FB641E">
        <w:rPr>
          <w:lang w:val="es-MX"/>
        </w:rPr>
        <w:t xml:space="preserve">En cuanto a los Gastos de Capital, estos </w:t>
      </w:r>
      <w:r>
        <w:rPr>
          <w:lang w:val="es-MX"/>
        </w:rPr>
        <w:t>aumentaron en Q</w:t>
      </w:r>
      <w:r w:rsidR="00F97217">
        <w:rPr>
          <w:lang w:val="es-MX"/>
        </w:rPr>
        <w:t>.</w:t>
      </w:r>
      <w:r>
        <w:rPr>
          <w:lang w:val="es-MX"/>
        </w:rPr>
        <w:t>470.3 millones equivalente</w:t>
      </w:r>
      <w:r w:rsidR="00F97217">
        <w:rPr>
          <w:lang w:val="es-MX"/>
        </w:rPr>
        <w:t>s</w:t>
      </w:r>
      <w:r>
        <w:rPr>
          <w:lang w:val="es-MX"/>
        </w:rPr>
        <w:t xml:space="preserve"> a</w:t>
      </w:r>
      <w:r w:rsidR="00F97217">
        <w:rPr>
          <w:lang w:val="es-MX"/>
        </w:rPr>
        <w:t>l</w:t>
      </w:r>
      <w:r>
        <w:rPr>
          <w:lang w:val="es-MX"/>
        </w:rPr>
        <w:t xml:space="preserve"> 10.4%, mostrando el principal incremento en el </w:t>
      </w:r>
      <w:r w:rsidR="00F97217">
        <w:rPr>
          <w:lang w:val="es-MX"/>
        </w:rPr>
        <w:t>G</w:t>
      </w:r>
      <w:r>
        <w:rPr>
          <w:lang w:val="es-MX"/>
        </w:rPr>
        <w:t>asto de Inversión Real Directa, con Q</w:t>
      </w:r>
      <w:r w:rsidR="00F97217">
        <w:rPr>
          <w:lang w:val="es-MX"/>
        </w:rPr>
        <w:t>.</w:t>
      </w:r>
      <w:r>
        <w:rPr>
          <w:lang w:val="es-MX"/>
        </w:rPr>
        <w:t xml:space="preserve">659.4 millones, mayor en 202.6% a lo observado en 2017. Las </w:t>
      </w:r>
      <w:r w:rsidR="00F97217">
        <w:rPr>
          <w:lang w:val="es-MX"/>
        </w:rPr>
        <w:t>T</w:t>
      </w:r>
      <w:r>
        <w:rPr>
          <w:lang w:val="es-MX"/>
        </w:rPr>
        <w:t xml:space="preserve">ransferencias de </w:t>
      </w:r>
      <w:r w:rsidR="00F97217">
        <w:rPr>
          <w:lang w:val="es-MX"/>
        </w:rPr>
        <w:t>C</w:t>
      </w:r>
      <w:r>
        <w:rPr>
          <w:lang w:val="es-MX"/>
        </w:rPr>
        <w:t>apital disminuyeron en un monto de Q</w:t>
      </w:r>
      <w:r w:rsidR="00F97217">
        <w:rPr>
          <w:lang w:val="es-MX"/>
        </w:rPr>
        <w:t>.</w:t>
      </w:r>
      <w:r>
        <w:rPr>
          <w:lang w:val="es-MX"/>
        </w:rPr>
        <w:t xml:space="preserve">179.2 millones respecto </w:t>
      </w:r>
      <w:r w:rsidR="00F97217">
        <w:rPr>
          <w:lang w:val="es-MX"/>
        </w:rPr>
        <w:t>de</w:t>
      </w:r>
      <w:r>
        <w:rPr>
          <w:lang w:val="es-MX"/>
        </w:rPr>
        <w:t xml:space="preserve"> 2017</w:t>
      </w:r>
      <w:r w:rsidR="00F97217">
        <w:rPr>
          <w:lang w:val="es-MX"/>
        </w:rPr>
        <w:t>;</w:t>
      </w:r>
      <w:r>
        <w:rPr>
          <w:lang w:val="es-MX"/>
        </w:rPr>
        <w:t xml:space="preserve"> esta disminución se observa principalmente en el monto destinado a las </w:t>
      </w:r>
      <w:r w:rsidR="00F97217">
        <w:rPr>
          <w:lang w:val="es-MX"/>
        </w:rPr>
        <w:t>T</w:t>
      </w:r>
      <w:r>
        <w:rPr>
          <w:lang w:val="es-MX"/>
        </w:rPr>
        <w:t xml:space="preserve">ransferencias de </w:t>
      </w:r>
      <w:r w:rsidR="00F97217">
        <w:rPr>
          <w:lang w:val="es-MX"/>
        </w:rPr>
        <w:t>c</w:t>
      </w:r>
      <w:r>
        <w:rPr>
          <w:lang w:val="es-MX"/>
        </w:rPr>
        <w:t>apital al Sector Público, las cuales pasaron de Q</w:t>
      </w:r>
      <w:r w:rsidR="00F97217">
        <w:rPr>
          <w:lang w:val="es-MX"/>
        </w:rPr>
        <w:t>.</w:t>
      </w:r>
      <w:r>
        <w:rPr>
          <w:lang w:val="es-MX"/>
        </w:rPr>
        <w:t>4</w:t>
      </w:r>
      <w:proofErr w:type="gramStart"/>
      <w:r>
        <w:rPr>
          <w:lang w:val="es-MX"/>
        </w:rPr>
        <w:t>,1522.5</w:t>
      </w:r>
      <w:proofErr w:type="gramEnd"/>
      <w:r>
        <w:rPr>
          <w:lang w:val="es-MX"/>
        </w:rPr>
        <w:t xml:space="preserve"> millones en 2017 a Q</w:t>
      </w:r>
      <w:r w:rsidR="00F97217">
        <w:rPr>
          <w:lang w:val="es-MX"/>
        </w:rPr>
        <w:t>.</w:t>
      </w:r>
      <w:r>
        <w:rPr>
          <w:lang w:val="es-MX"/>
        </w:rPr>
        <w:t>3,943.2 en 2018</w:t>
      </w:r>
      <w:r w:rsidR="00F97217">
        <w:rPr>
          <w:lang w:val="es-MX"/>
        </w:rPr>
        <w:t>;</w:t>
      </w:r>
      <w:r>
        <w:rPr>
          <w:lang w:val="es-MX"/>
        </w:rPr>
        <w:t xml:space="preserve"> es decir, disminuyeron en un 5.3%.  Por su parte, las </w:t>
      </w:r>
      <w:r w:rsidR="00F97217">
        <w:rPr>
          <w:lang w:val="es-MX"/>
        </w:rPr>
        <w:t>T</w:t>
      </w:r>
      <w:r>
        <w:rPr>
          <w:lang w:val="es-MX"/>
        </w:rPr>
        <w:t xml:space="preserve">ransferencias de </w:t>
      </w:r>
      <w:r w:rsidR="00F97217">
        <w:rPr>
          <w:lang w:val="es-MX"/>
        </w:rPr>
        <w:t>C</w:t>
      </w:r>
      <w:r>
        <w:rPr>
          <w:lang w:val="es-MX"/>
        </w:rPr>
        <w:t xml:space="preserve">apital al </w:t>
      </w:r>
      <w:r w:rsidR="00F97217">
        <w:rPr>
          <w:lang w:val="es-MX"/>
        </w:rPr>
        <w:t>S</w:t>
      </w:r>
      <w:r>
        <w:rPr>
          <w:lang w:val="es-MX"/>
        </w:rPr>
        <w:t xml:space="preserve">ector </w:t>
      </w:r>
      <w:r w:rsidR="00F97217">
        <w:rPr>
          <w:lang w:val="es-MX"/>
        </w:rPr>
        <w:t>P</w:t>
      </w:r>
      <w:r>
        <w:rPr>
          <w:lang w:val="es-MX"/>
        </w:rPr>
        <w:t xml:space="preserve">úblico y </w:t>
      </w:r>
      <w:r w:rsidR="00F97217">
        <w:rPr>
          <w:lang w:val="es-MX"/>
        </w:rPr>
        <w:t>E</w:t>
      </w:r>
      <w:r>
        <w:rPr>
          <w:lang w:val="es-MX"/>
        </w:rPr>
        <w:t>xterno aumentaron en Q</w:t>
      </w:r>
      <w:r w:rsidR="00F97217">
        <w:rPr>
          <w:lang w:val="es-MX"/>
        </w:rPr>
        <w:t>.</w:t>
      </w:r>
      <w:r>
        <w:rPr>
          <w:lang w:val="es-MX"/>
        </w:rPr>
        <w:t>28.3 millones</w:t>
      </w:r>
      <w:r w:rsidR="00F97217">
        <w:rPr>
          <w:lang w:val="es-MX"/>
        </w:rPr>
        <w:t>,</w:t>
      </w:r>
      <w:r>
        <w:rPr>
          <w:lang w:val="es-MX"/>
        </w:rPr>
        <w:t xml:space="preserve"> equivalentes al 16.15%, pasando de Q</w:t>
      </w:r>
      <w:r w:rsidR="00F97217">
        <w:rPr>
          <w:lang w:val="es-MX"/>
        </w:rPr>
        <w:t>.</w:t>
      </w:r>
      <w:r>
        <w:rPr>
          <w:lang w:val="es-MX"/>
        </w:rPr>
        <w:t>175.8 millones en 2017 a Q</w:t>
      </w:r>
      <w:r w:rsidR="00F97217">
        <w:rPr>
          <w:lang w:val="es-MX"/>
        </w:rPr>
        <w:t>.</w:t>
      </w:r>
      <w:r>
        <w:rPr>
          <w:lang w:val="es-MX"/>
        </w:rPr>
        <w:t>204.1 millones en 2018</w:t>
      </w:r>
      <w:r w:rsidRPr="00FB641E">
        <w:rPr>
          <w:lang w:val="es-MX"/>
        </w:rPr>
        <w:t>.</w:t>
      </w:r>
    </w:p>
    <w:p w:rsidR="00AB0496" w:rsidRDefault="00AB0496" w:rsidP="00AB0496">
      <w:pPr>
        <w:jc w:val="both"/>
        <w:rPr>
          <w:lang w:val="es-MX"/>
        </w:rPr>
      </w:pPr>
    </w:p>
    <w:p w:rsidR="00AB0496" w:rsidRPr="00FB641E" w:rsidRDefault="00AB0496" w:rsidP="00AB0496">
      <w:pPr>
        <w:jc w:val="both"/>
        <w:rPr>
          <w:lang w:val="es-MX"/>
        </w:rPr>
      </w:pPr>
      <w:r>
        <w:rPr>
          <w:lang w:val="es-MX"/>
        </w:rPr>
        <w:t>El total del gasto presupuestario compuesto por el gasto total de cuenta económica y las amortizaciones de préstamos fue de Q</w:t>
      </w:r>
      <w:r w:rsidR="00F97217">
        <w:rPr>
          <w:lang w:val="es-MX"/>
        </w:rPr>
        <w:t>.</w:t>
      </w:r>
      <w:r>
        <w:rPr>
          <w:lang w:val="es-MX"/>
        </w:rPr>
        <w:t>1.225.8 millones, lo cual representa una disminución de Q</w:t>
      </w:r>
      <w:r w:rsidR="00F97217">
        <w:rPr>
          <w:lang w:val="es-MX"/>
        </w:rPr>
        <w:t>.</w:t>
      </w:r>
      <w:r>
        <w:rPr>
          <w:lang w:val="es-MX"/>
        </w:rPr>
        <w:t>198.0 millones, equivalentes a 13.9%</w:t>
      </w:r>
      <w:r w:rsidR="00F97217">
        <w:rPr>
          <w:lang w:val="es-MX"/>
        </w:rPr>
        <w:t>,</w:t>
      </w:r>
      <w:r>
        <w:rPr>
          <w:lang w:val="es-MX"/>
        </w:rPr>
        <w:t xml:space="preserve"> respecto del mismo periodo en 2017.</w:t>
      </w:r>
    </w:p>
    <w:p w:rsidR="00AB0496" w:rsidRDefault="00AB0496" w:rsidP="00AB0496">
      <w:pPr>
        <w:jc w:val="both"/>
        <w:rPr>
          <w:sz w:val="14"/>
          <w:lang w:val="es-MX"/>
        </w:rPr>
      </w:pPr>
    </w:p>
    <w:p w:rsidR="00AB0496" w:rsidRDefault="00AB0496" w:rsidP="00AB0496">
      <w:pPr>
        <w:rPr>
          <w:b/>
          <w:sz w:val="22"/>
          <w:szCs w:val="22"/>
          <w:lang w:val="es-MX"/>
        </w:rPr>
      </w:pPr>
    </w:p>
    <w:p w:rsidR="00AB0496" w:rsidRDefault="00AB0496" w:rsidP="00AB0496">
      <w:pPr>
        <w:jc w:val="center"/>
        <w:rPr>
          <w:b/>
          <w:sz w:val="22"/>
          <w:szCs w:val="22"/>
          <w:lang w:val="es-MX"/>
        </w:rPr>
      </w:pPr>
    </w:p>
    <w:p w:rsidR="00AB0496" w:rsidRDefault="00AB0496" w:rsidP="00AB0496">
      <w:pPr>
        <w:jc w:val="center"/>
        <w:rPr>
          <w:b/>
          <w:sz w:val="22"/>
          <w:szCs w:val="22"/>
          <w:lang w:val="es-MX"/>
        </w:rPr>
      </w:pPr>
    </w:p>
    <w:p w:rsidR="00AB0496" w:rsidRPr="0088577C" w:rsidRDefault="00AB0496" w:rsidP="00AB0496">
      <w:pPr>
        <w:jc w:val="center"/>
        <w:rPr>
          <w:b/>
          <w:sz w:val="22"/>
          <w:szCs w:val="22"/>
          <w:lang w:val="es-MX"/>
        </w:rPr>
      </w:pPr>
      <w:r w:rsidRPr="0088577C">
        <w:rPr>
          <w:b/>
          <w:sz w:val="22"/>
          <w:szCs w:val="22"/>
          <w:lang w:val="es-MX"/>
        </w:rPr>
        <w:lastRenderedPageBreak/>
        <w:t xml:space="preserve">Cuadro </w:t>
      </w:r>
      <w:r w:rsidR="00E635A3">
        <w:rPr>
          <w:b/>
          <w:sz w:val="22"/>
          <w:szCs w:val="22"/>
          <w:lang w:val="es-MX"/>
        </w:rPr>
        <w:t>3</w:t>
      </w:r>
    </w:p>
    <w:p w:rsidR="00AB0496" w:rsidRPr="0088577C" w:rsidRDefault="00AB0496" w:rsidP="00AB0496">
      <w:pPr>
        <w:jc w:val="center"/>
        <w:rPr>
          <w:b/>
          <w:sz w:val="22"/>
          <w:szCs w:val="22"/>
          <w:lang w:val="es-MX"/>
        </w:rPr>
      </w:pPr>
      <w:r w:rsidRPr="0088577C">
        <w:rPr>
          <w:b/>
          <w:sz w:val="22"/>
          <w:szCs w:val="22"/>
          <w:lang w:val="es-MX"/>
        </w:rPr>
        <w:t>Detalle del Gasto Público por Cuenta Económica</w:t>
      </w:r>
    </w:p>
    <w:p w:rsidR="00AB0496" w:rsidRPr="0088577C" w:rsidRDefault="00AB0496" w:rsidP="00AB0496">
      <w:pPr>
        <w:jc w:val="center"/>
        <w:rPr>
          <w:b/>
          <w:sz w:val="22"/>
          <w:szCs w:val="22"/>
          <w:lang w:val="es-MX"/>
        </w:rPr>
      </w:pPr>
      <w:r w:rsidRPr="0088577C">
        <w:rPr>
          <w:b/>
          <w:sz w:val="22"/>
          <w:szCs w:val="22"/>
          <w:lang w:val="es-MX"/>
        </w:rPr>
        <w:t xml:space="preserve">Al 30 de junio de </w:t>
      </w:r>
      <w:r w:rsidR="00E6017A">
        <w:rPr>
          <w:b/>
          <w:sz w:val="22"/>
          <w:szCs w:val="22"/>
          <w:lang w:val="es-MX"/>
        </w:rPr>
        <w:t>cada año</w:t>
      </w:r>
    </w:p>
    <w:p w:rsidR="00AB0496" w:rsidRPr="0088577C" w:rsidRDefault="00AB0496" w:rsidP="00AB0496">
      <w:pPr>
        <w:jc w:val="center"/>
        <w:rPr>
          <w:b/>
          <w:sz w:val="22"/>
          <w:szCs w:val="22"/>
          <w:lang w:val="es-MX"/>
        </w:rPr>
      </w:pPr>
      <w:r w:rsidRPr="0088577C">
        <w:rPr>
          <w:b/>
          <w:sz w:val="22"/>
          <w:szCs w:val="22"/>
          <w:lang w:val="es-MX"/>
        </w:rPr>
        <w:t>(Cifras en Millones de Quetzales)</w:t>
      </w:r>
    </w:p>
    <w:tbl>
      <w:tblPr>
        <w:tblW w:w="8826" w:type="dxa"/>
        <w:tblInd w:w="55" w:type="dxa"/>
        <w:tblCellMar>
          <w:left w:w="70" w:type="dxa"/>
          <w:right w:w="70" w:type="dxa"/>
        </w:tblCellMar>
        <w:tblLook w:val="04A0" w:firstRow="1" w:lastRow="0" w:firstColumn="1" w:lastColumn="0" w:noHBand="0" w:noVBand="1"/>
      </w:tblPr>
      <w:tblGrid>
        <w:gridCol w:w="3998"/>
        <w:gridCol w:w="1235"/>
        <w:gridCol w:w="1235"/>
        <w:gridCol w:w="1219"/>
        <w:gridCol w:w="1139"/>
      </w:tblGrid>
      <w:tr w:rsidR="00AB0496" w:rsidRPr="000362BF" w:rsidTr="00AB0496">
        <w:trPr>
          <w:trHeight w:val="302"/>
        </w:trPr>
        <w:tc>
          <w:tcPr>
            <w:tcW w:w="3998" w:type="dxa"/>
            <w:vMerge w:val="restart"/>
            <w:tcBorders>
              <w:top w:val="single" w:sz="8" w:space="0" w:color="auto"/>
              <w:left w:val="single" w:sz="8" w:space="0" w:color="auto"/>
              <w:bottom w:val="single" w:sz="4" w:space="0" w:color="000000"/>
              <w:right w:val="nil"/>
            </w:tcBorders>
            <w:shd w:val="clear" w:color="000000" w:fill="8DB4E2"/>
            <w:vAlign w:val="center"/>
            <w:hideMark/>
          </w:tcPr>
          <w:p w:rsidR="00AB0496" w:rsidRPr="000362BF" w:rsidRDefault="00AB0496" w:rsidP="00AB0496">
            <w:pPr>
              <w:jc w:val="center"/>
              <w:rPr>
                <w:b/>
                <w:bCs/>
                <w:color w:val="000000"/>
                <w:sz w:val="22"/>
                <w:szCs w:val="22"/>
                <w:lang w:val="es-GT" w:eastAsia="es-GT"/>
              </w:rPr>
            </w:pPr>
            <w:r w:rsidRPr="000362BF">
              <w:rPr>
                <w:b/>
                <w:bCs/>
                <w:color w:val="000000"/>
                <w:sz w:val="22"/>
                <w:szCs w:val="22"/>
                <w:lang w:val="es-GT" w:eastAsia="es-GT"/>
              </w:rPr>
              <w:t>Concepto</w:t>
            </w:r>
          </w:p>
        </w:tc>
        <w:tc>
          <w:tcPr>
            <w:tcW w:w="1235" w:type="dxa"/>
            <w:vMerge w:val="restart"/>
            <w:tcBorders>
              <w:top w:val="single" w:sz="8" w:space="0" w:color="auto"/>
              <w:left w:val="single" w:sz="4" w:space="0" w:color="auto"/>
              <w:bottom w:val="single" w:sz="4" w:space="0" w:color="000000"/>
              <w:right w:val="single" w:sz="4" w:space="0" w:color="auto"/>
            </w:tcBorders>
            <w:shd w:val="clear" w:color="000000" w:fill="8DB4E2"/>
            <w:vAlign w:val="center"/>
            <w:hideMark/>
          </w:tcPr>
          <w:p w:rsidR="00AB0496" w:rsidRPr="000362BF" w:rsidRDefault="00AB0496" w:rsidP="00AB0496">
            <w:pPr>
              <w:jc w:val="center"/>
              <w:rPr>
                <w:b/>
                <w:bCs/>
                <w:color w:val="000000"/>
                <w:sz w:val="22"/>
                <w:szCs w:val="22"/>
                <w:lang w:val="es-GT" w:eastAsia="es-GT"/>
              </w:rPr>
            </w:pPr>
            <w:r w:rsidRPr="000362BF">
              <w:rPr>
                <w:b/>
                <w:bCs/>
                <w:color w:val="000000"/>
                <w:sz w:val="22"/>
                <w:szCs w:val="22"/>
                <w:lang w:val="es-GT" w:eastAsia="es-GT"/>
              </w:rPr>
              <w:t>2017</w:t>
            </w:r>
          </w:p>
        </w:tc>
        <w:tc>
          <w:tcPr>
            <w:tcW w:w="1235" w:type="dxa"/>
            <w:vMerge w:val="restart"/>
            <w:tcBorders>
              <w:top w:val="single" w:sz="8" w:space="0" w:color="auto"/>
              <w:left w:val="single" w:sz="4" w:space="0" w:color="auto"/>
              <w:bottom w:val="single" w:sz="4" w:space="0" w:color="000000"/>
              <w:right w:val="single" w:sz="4" w:space="0" w:color="auto"/>
            </w:tcBorders>
            <w:shd w:val="clear" w:color="000000" w:fill="8DB4E2"/>
            <w:vAlign w:val="center"/>
            <w:hideMark/>
          </w:tcPr>
          <w:p w:rsidR="00AB0496" w:rsidRPr="000362BF" w:rsidRDefault="00AB0496" w:rsidP="00AB0496">
            <w:pPr>
              <w:jc w:val="center"/>
              <w:rPr>
                <w:b/>
                <w:bCs/>
                <w:color w:val="000000"/>
                <w:sz w:val="22"/>
                <w:szCs w:val="22"/>
                <w:lang w:val="es-GT" w:eastAsia="es-GT"/>
              </w:rPr>
            </w:pPr>
            <w:r w:rsidRPr="000362BF">
              <w:rPr>
                <w:b/>
                <w:bCs/>
                <w:color w:val="000000"/>
                <w:sz w:val="22"/>
                <w:szCs w:val="22"/>
                <w:lang w:val="es-GT" w:eastAsia="es-GT"/>
              </w:rPr>
              <w:t>2018</w:t>
            </w:r>
          </w:p>
        </w:tc>
        <w:tc>
          <w:tcPr>
            <w:tcW w:w="2358" w:type="dxa"/>
            <w:gridSpan w:val="2"/>
            <w:tcBorders>
              <w:top w:val="single" w:sz="8" w:space="0" w:color="auto"/>
              <w:left w:val="single" w:sz="4" w:space="0" w:color="auto"/>
              <w:bottom w:val="single" w:sz="4" w:space="0" w:color="auto"/>
              <w:right w:val="single" w:sz="8" w:space="0" w:color="000000"/>
            </w:tcBorders>
            <w:shd w:val="clear" w:color="000000" w:fill="8DB4E2"/>
            <w:noWrap/>
            <w:vAlign w:val="bottom"/>
            <w:hideMark/>
          </w:tcPr>
          <w:p w:rsidR="00AB0496" w:rsidRPr="00F97217" w:rsidRDefault="00AB0496" w:rsidP="00AB0496">
            <w:pPr>
              <w:jc w:val="center"/>
              <w:rPr>
                <w:b/>
                <w:color w:val="000000"/>
                <w:sz w:val="22"/>
                <w:szCs w:val="22"/>
                <w:lang w:val="es-GT" w:eastAsia="es-GT"/>
              </w:rPr>
            </w:pPr>
            <w:r w:rsidRPr="00F97217">
              <w:rPr>
                <w:b/>
                <w:color w:val="000000"/>
                <w:sz w:val="22"/>
                <w:szCs w:val="22"/>
                <w:lang w:val="es-GT" w:eastAsia="es-GT"/>
              </w:rPr>
              <w:t>Diferencias</w:t>
            </w:r>
          </w:p>
        </w:tc>
      </w:tr>
      <w:tr w:rsidR="00AB0496" w:rsidRPr="000362BF" w:rsidTr="00AB0496">
        <w:trPr>
          <w:trHeight w:val="302"/>
        </w:trPr>
        <w:tc>
          <w:tcPr>
            <w:tcW w:w="3998" w:type="dxa"/>
            <w:vMerge/>
            <w:tcBorders>
              <w:top w:val="single" w:sz="8" w:space="0" w:color="auto"/>
              <w:left w:val="single" w:sz="8" w:space="0" w:color="auto"/>
              <w:bottom w:val="single" w:sz="4" w:space="0" w:color="000000"/>
              <w:right w:val="nil"/>
            </w:tcBorders>
            <w:vAlign w:val="center"/>
            <w:hideMark/>
          </w:tcPr>
          <w:p w:rsidR="00AB0496" w:rsidRPr="000362BF" w:rsidRDefault="00AB0496" w:rsidP="00AB0496">
            <w:pPr>
              <w:rPr>
                <w:b/>
                <w:bCs/>
                <w:color w:val="000000"/>
                <w:sz w:val="22"/>
                <w:szCs w:val="22"/>
                <w:lang w:val="es-GT" w:eastAsia="es-GT"/>
              </w:rPr>
            </w:pPr>
          </w:p>
        </w:tc>
        <w:tc>
          <w:tcPr>
            <w:tcW w:w="1235" w:type="dxa"/>
            <w:vMerge/>
            <w:tcBorders>
              <w:top w:val="single" w:sz="8" w:space="0" w:color="auto"/>
              <w:left w:val="single" w:sz="4" w:space="0" w:color="auto"/>
              <w:bottom w:val="single" w:sz="4" w:space="0" w:color="000000"/>
              <w:right w:val="single" w:sz="4" w:space="0" w:color="auto"/>
            </w:tcBorders>
            <w:vAlign w:val="center"/>
            <w:hideMark/>
          </w:tcPr>
          <w:p w:rsidR="00AB0496" w:rsidRPr="000362BF" w:rsidRDefault="00AB0496" w:rsidP="00AB0496">
            <w:pPr>
              <w:rPr>
                <w:b/>
                <w:bCs/>
                <w:color w:val="000000"/>
                <w:sz w:val="22"/>
                <w:szCs w:val="22"/>
                <w:lang w:val="es-GT" w:eastAsia="es-GT"/>
              </w:rPr>
            </w:pPr>
          </w:p>
        </w:tc>
        <w:tc>
          <w:tcPr>
            <w:tcW w:w="1235" w:type="dxa"/>
            <w:vMerge/>
            <w:tcBorders>
              <w:top w:val="single" w:sz="8" w:space="0" w:color="auto"/>
              <w:left w:val="single" w:sz="4" w:space="0" w:color="auto"/>
              <w:bottom w:val="single" w:sz="4" w:space="0" w:color="000000"/>
              <w:right w:val="single" w:sz="4" w:space="0" w:color="auto"/>
            </w:tcBorders>
            <w:vAlign w:val="center"/>
            <w:hideMark/>
          </w:tcPr>
          <w:p w:rsidR="00AB0496" w:rsidRPr="000362BF" w:rsidRDefault="00AB0496" w:rsidP="00AB0496">
            <w:pPr>
              <w:rPr>
                <w:b/>
                <w:bCs/>
                <w:color w:val="000000"/>
                <w:sz w:val="22"/>
                <w:szCs w:val="22"/>
                <w:lang w:val="es-GT" w:eastAsia="es-GT"/>
              </w:rPr>
            </w:pPr>
          </w:p>
        </w:tc>
        <w:tc>
          <w:tcPr>
            <w:tcW w:w="1219" w:type="dxa"/>
            <w:tcBorders>
              <w:top w:val="nil"/>
              <w:left w:val="nil"/>
              <w:bottom w:val="single" w:sz="4" w:space="0" w:color="auto"/>
              <w:right w:val="single" w:sz="4" w:space="0" w:color="auto"/>
            </w:tcBorders>
            <w:shd w:val="clear" w:color="000000" w:fill="8DB4E2"/>
            <w:noWrap/>
            <w:vAlign w:val="bottom"/>
            <w:hideMark/>
          </w:tcPr>
          <w:p w:rsidR="00AB0496" w:rsidRPr="00F97217" w:rsidRDefault="00AB0496" w:rsidP="00AB0496">
            <w:pPr>
              <w:jc w:val="center"/>
              <w:rPr>
                <w:b/>
                <w:color w:val="000000"/>
                <w:sz w:val="22"/>
                <w:szCs w:val="22"/>
                <w:lang w:val="es-GT" w:eastAsia="es-GT"/>
              </w:rPr>
            </w:pPr>
            <w:r w:rsidRPr="00F97217">
              <w:rPr>
                <w:b/>
                <w:color w:val="000000"/>
                <w:sz w:val="22"/>
                <w:szCs w:val="22"/>
                <w:lang w:val="es-GT" w:eastAsia="es-GT"/>
              </w:rPr>
              <w:t>Absolutas</w:t>
            </w:r>
          </w:p>
        </w:tc>
        <w:tc>
          <w:tcPr>
            <w:tcW w:w="1139" w:type="dxa"/>
            <w:tcBorders>
              <w:top w:val="single" w:sz="4" w:space="0" w:color="auto"/>
              <w:left w:val="nil"/>
              <w:bottom w:val="single" w:sz="4" w:space="0" w:color="auto"/>
              <w:right w:val="single" w:sz="8" w:space="0" w:color="auto"/>
            </w:tcBorders>
            <w:shd w:val="clear" w:color="000000" w:fill="8DB4E2"/>
            <w:noWrap/>
            <w:vAlign w:val="bottom"/>
            <w:hideMark/>
          </w:tcPr>
          <w:p w:rsidR="00AB0496" w:rsidRPr="00F97217" w:rsidRDefault="00AB0496" w:rsidP="00AB0496">
            <w:pPr>
              <w:jc w:val="center"/>
              <w:rPr>
                <w:b/>
                <w:color w:val="000000"/>
                <w:sz w:val="22"/>
                <w:szCs w:val="22"/>
                <w:lang w:val="es-GT" w:eastAsia="es-GT"/>
              </w:rPr>
            </w:pPr>
            <w:r w:rsidRPr="00F97217">
              <w:rPr>
                <w:b/>
                <w:color w:val="000000"/>
                <w:sz w:val="22"/>
                <w:szCs w:val="22"/>
                <w:lang w:val="es-GT" w:eastAsia="es-GT"/>
              </w:rPr>
              <w:t>Relativas</w:t>
            </w:r>
          </w:p>
        </w:tc>
      </w:tr>
      <w:tr w:rsidR="00AB0496" w:rsidRPr="000362BF" w:rsidTr="00AB0496">
        <w:trPr>
          <w:trHeight w:val="302"/>
        </w:trPr>
        <w:tc>
          <w:tcPr>
            <w:tcW w:w="3998" w:type="dxa"/>
            <w:tcBorders>
              <w:top w:val="nil"/>
              <w:left w:val="single" w:sz="8" w:space="0" w:color="auto"/>
              <w:bottom w:val="nil"/>
              <w:right w:val="nil"/>
            </w:tcBorders>
            <w:shd w:val="clear" w:color="000000" w:fill="FFFFFF"/>
            <w:noWrap/>
            <w:vAlign w:val="bottom"/>
            <w:hideMark/>
          </w:tcPr>
          <w:p w:rsidR="00AB0496" w:rsidRPr="000362BF" w:rsidRDefault="00AB0496" w:rsidP="00AB0496">
            <w:pPr>
              <w:rPr>
                <w:b/>
                <w:bCs/>
                <w:color w:val="000000"/>
                <w:sz w:val="22"/>
                <w:szCs w:val="22"/>
                <w:lang w:val="es-GT" w:eastAsia="es-GT"/>
              </w:rPr>
            </w:pPr>
            <w:r w:rsidRPr="000362BF">
              <w:rPr>
                <w:b/>
                <w:bCs/>
                <w:color w:val="000000"/>
                <w:sz w:val="22"/>
                <w:szCs w:val="22"/>
                <w:lang w:val="es-GT" w:eastAsia="es-GT"/>
              </w:rPr>
              <w:t>Gastos Totales</w:t>
            </w:r>
          </w:p>
        </w:tc>
        <w:tc>
          <w:tcPr>
            <w:tcW w:w="1235" w:type="dxa"/>
            <w:tcBorders>
              <w:top w:val="nil"/>
              <w:left w:val="single" w:sz="4" w:space="0" w:color="auto"/>
              <w:bottom w:val="nil"/>
              <w:right w:val="nil"/>
            </w:tcBorders>
            <w:shd w:val="clear" w:color="000000" w:fill="FFFFFF"/>
            <w:noWrap/>
            <w:vAlign w:val="bottom"/>
            <w:hideMark/>
          </w:tcPr>
          <w:p w:rsidR="00AB0496" w:rsidRPr="000362BF" w:rsidRDefault="00AB0496" w:rsidP="00AB0496">
            <w:pPr>
              <w:jc w:val="right"/>
              <w:rPr>
                <w:b/>
                <w:bCs/>
                <w:sz w:val="22"/>
                <w:szCs w:val="22"/>
                <w:lang w:val="es-GT" w:eastAsia="es-GT"/>
              </w:rPr>
            </w:pPr>
            <w:r w:rsidRPr="000362BF">
              <w:rPr>
                <w:b/>
                <w:bCs/>
                <w:sz w:val="22"/>
                <w:szCs w:val="22"/>
                <w:lang w:val="es-GT" w:eastAsia="es-GT"/>
              </w:rPr>
              <w:t>29,220.7</w:t>
            </w:r>
          </w:p>
        </w:tc>
        <w:tc>
          <w:tcPr>
            <w:tcW w:w="1235" w:type="dxa"/>
            <w:tcBorders>
              <w:top w:val="nil"/>
              <w:left w:val="single" w:sz="4" w:space="0" w:color="auto"/>
              <w:bottom w:val="nil"/>
              <w:right w:val="single" w:sz="4" w:space="0" w:color="auto"/>
            </w:tcBorders>
            <w:shd w:val="clear" w:color="000000" w:fill="FFFFFF"/>
            <w:noWrap/>
            <w:vAlign w:val="bottom"/>
            <w:hideMark/>
          </w:tcPr>
          <w:p w:rsidR="00AB0496" w:rsidRPr="000362BF" w:rsidRDefault="00AB0496" w:rsidP="00AB0496">
            <w:pPr>
              <w:jc w:val="right"/>
              <w:rPr>
                <w:b/>
                <w:bCs/>
                <w:sz w:val="22"/>
                <w:szCs w:val="22"/>
                <w:lang w:val="es-GT" w:eastAsia="es-GT"/>
              </w:rPr>
            </w:pPr>
            <w:r w:rsidRPr="000362BF">
              <w:rPr>
                <w:b/>
                <w:bCs/>
                <w:sz w:val="22"/>
                <w:szCs w:val="22"/>
                <w:lang w:val="es-GT" w:eastAsia="es-GT"/>
              </w:rPr>
              <w:t>31,277.8</w:t>
            </w:r>
          </w:p>
        </w:tc>
        <w:tc>
          <w:tcPr>
            <w:tcW w:w="1219" w:type="dxa"/>
            <w:tcBorders>
              <w:top w:val="nil"/>
              <w:left w:val="nil"/>
              <w:bottom w:val="nil"/>
              <w:right w:val="single" w:sz="4" w:space="0" w:color="auto"/>
            </w:tcBorders>
            <w:shd w:val="clear" w:color="000000" w:fill="FFFFFF"/>
            <w:noWrap/>
            <w:vAlign w:val="bottom"/>
            <w:hideMark/>
          </w:tcPr>
          <w:p w:rsidR="00AB0496" w:rsidRPr="000362BF" w:rsidRDefault="00AB0496" w:rsidP="00AB0496">
            <w:pPr>
              <w:jc w:val="right"/>
              <w:rPr>
                <w:b/>
                <w:bCs/>
                <w:color w:val="000000"/>
                <w:sz w:val="22"/>
                <w:szCs w:val="22"/>
                <w:lang w:val="es-GT" w:eastAsia="es-GT"/>
              </w:rPr>
            </w:pPr>
            <w:r w:rsidRPr="000362BF">
              <w:rPr>
                <w:b/>
                <w:bCs/>
                <w:color w:val="000000"/>
                <w:sz w:val="22"/>
                <w:szCs w:val="22"/>
                <w:lang w:val="es-GT" w:eastAsia="es-GT"/>
              </w:rPr>
              <w:t>2,057.1</w:t>
            </w:r>
          </w:p>
        </w:tc>
        <w:tc>
          <w:tcPr>
            <w:tcW w:w="1139" w:type="dxa"/>
            <w:tcBorders>
              <w:top w:val="nil"/>
              <w:left w:val="nil"/>
              <w:bottom w:val="nil"/>
              <w:right w:val="single" w:sz="8" w:space="0" w:color="auto"/>
            </w:tcBorders>
            <w:shd w:val="clear" w:color="000000" w:fill="FFFFFF"/>
            <w:noWrap/>
            <w:vAlign w:val="bottom"/>
            <w:hideMark/>
          </w:tcPr>
          <w:p w:rsidR="00AB0496" w:rsidRPr="000362BF" w:rsidRDefault="00AB0496" w:rsidP="00AB0496">
            <w:pPr>
              <w:jc w:val="right"/>
              <w:rPr>
                <w:b/>
                <w:bCs/>
                <w:color w:val="000000"/>
                <w:sz w:val="22"/>
                <w:szCs w:val="22"/>
                <w:lang w:val="es-GT" w:eastAsia="es-GT"/>
              </w:rPr>
            </w:pPr>
            <w:r w:rsidRPr="000362BF">
              <w:rPr>
                <w:b/>
                <w:bCs/>
                <w:color w:val="000000"/>
                <w:sz w:val="22"/>
                <w:szCs w:val="22"/>
                <w:lang w:val="es-GT" w:eastAsia="es-GT"/>
              </w:rPr>
              <w:t>7.0%</w:t>
            </w:r>
          </w:p>
        </w:tc>
      </w:tr>
      <w:tr w:rsidR="00AB0496" w:rsidRPr="000362BF" w:rsidTr="00AB0496">
        <w:trPr>
          <w:trHeight w:val="302"/>
        </w:trPr>
        <w:tc>
          <w:tcPr>
            <w:tcW w:w="3998" w:type="dxa"/>
            <w:tcBorders>
              <w:top w:val="nil"/>
              <w:left w:val="single" w:sz="8" w:space="0" w:color="auto"/>
              <w:bottom w:val="nil"/>
              <w:right w:val="nil"/>
            </w:tcBorders>
            <w:shd w:val="clear" w:color="000000" w:fill="FFFFFF"/>
            <w:noWrap/>
            <w:vAlign w:val="bottom"/>
            <w:hideMark/>
          </w:tcPr>
          <w:p w:rsidR="00AB0496" w:rsidRPr="000362BF" w:rsidRDefault="00AB0496" w:rsidP="00AB0496">
            <w:pPr>
              <w:ind w:firstLineChars="100" w:firstLine="221"/>
              <w:rPr>
                <w:b/>
                <w:bCs/>
                <w:color w:val="000000"/>
                <w:sz w:val="22"/>
                <w:szCs w:val="22"/>
                <w:lang w:val="es-GT" w:eastAsia="es-GT"/>
              </w:rPr>
            </w:pPr>
            <w:r w:rsidRPr="000362BF">
              <w:rPr>
                <w:b/>
                <w:bCs/>
                <w:color w:val="000000"/>
                <w:sz w:val="22"/>
                <w:szCs w:val="22"/>
                <w:lang w:val="es-GT" w:eastAsia="es-GT"/>
              </w:rPr>
              <w:t>Gastos Corrientes</w:t>
            </w:r>
          </w:p>
        </w:tc>
        <w:tc>
          <w:tcPr>
            <w:tcW w:w="1235" w:type="dxa"/>
            <w:tcBorders>
              <w:top w:val="nil"/>
              <w:left w:val="single" w:sz="4" w:space="0" w:color="auto"/>
              <w:bottom w:val="nil"/>
              <w:right w:val="nil"/>
            </w:tcBorders>
            <w:shd w:val="clear" w:color="000000" w:fill="FFFFFF"/>
            <w:noWrap/>
            <w:vAlign w:val="bottom"/>
            <w:hideMark/>
          </w:tcPr>
          <w:p w:rsidR="00AB0496" w:rsidRPr="000362BF" w:rsidRDefault="00AB0496" w:rsidP="00AB0496">
            <w:pPr>
              <w:jc w:val="right"/>
              <w:rPr>
                <w:b/>
                <w:bCs/>
                <w:sz w:val="22"/>
                <w:szCs w:val="22"/>
                <w:lang w:val="es-GT" w:eastAsia="es-GT"/>
              </w:rPr>
            </w:pPr>
            <w:r w:rsidRPr="000362BF">
              <w:rPr>
                <w:b/>
                <w:bCs/>
                <w:sz w:val="22"/>
                <w:szCs w:val="22"/>
                <w:lang w:val="es-GT" w:eastAsia="es-GT"/>
              </w:rPr>
              <w:t>24,762.9</w:t>
            </w:r>
          </w:p>
        </w:tc>
        <w:tc>
          <w:tcPr>
            <w:tcW w:w="1235" w:type="dxa"/>
            <w:tcBorders>
              <w:top w:val="nil"/>
              <w:left w:val="single" w:sz="4" w:space="0" w:color="auto"/>
              <w:bottom w:val="nil"/>
              <w:right w:val="single" w:sz="4" w:space="0" w:color="auto"/>
            </w:tcBorders>
            <w:shd w:val="clear" w:color="000000" w:fill="FFFFFF"/>
            <w:noWrap/>
            <w:vAlign w:val="bottom"/>
            <w:hideMark/>
          </w:tcPr>
          <w:p w:rsidR="00AB0496" w:rsidRPr="000362BF" w:rsidRDefault="00AB0496" w:rsidP="00AB0496">
            <w:pPr>
              <w:jc w:val="right"/>
              <w:rPr>
                <w:b/>
                <w:bCs/>
                <w:sz w:val="22"/>
                <w:szCs w:val="22"/>
                <w:lang w:val="es-GT" w:eastAsia="es-GT"/>
              </w:rPr>
            </w:pPr>
            <w:r w:rsidRPr="000362BF">
              <w:rPr>
                <w:b/>
                <w:bCs/>
                <w:sz w:val="22"/>
                <w:szCs w:val="22"/>
                <w:lang w:val="es-GT" w:eastAsia="es-GT"/>
              </w:rPr>
              <w:t>26,349.7</w:t>
            </w:r>
          </w:p>
        </w:tc>
        <w:tc>
          <w:tcPr>
            <w:tcW w:w="1219" w:type="dxa"/>
            <w:tcBorders>
              <w:top w:val="nil"/>
              <w:left w:val="nil"/>
              <w:bottom w:val="nil"/>
              <w:right w:val="single" w:sz="4" w:space="0" w:color="auto"/>
            </w:tcBorders>
            <w:shd w:val="clear" w:color="000000" w:fill="FFFFFF"/>
            <w:noWrap/>
            <w:vAlign w:val="bottom"/>
            <w:hideMark/>
          </w:tcPr>
          <w:p w:rsidR="00AB0496" w:rsidRPr="000362BF" w:rsidRDefault="00AB0496" w:rsidP="00AB0496">
            <w:pPr>
              <w:jc w:val="right"/>
              <w:rPr>
                <w:b/>
                <w:bCs/>
                <w:color w:val="000000"/>
                <w:sz w:val="22"/>
                <w:szCs w:val="22"/>
                <w:lang w:val="es-GT" w:eastAsia="es-GT"/>
              </w:rPr>
            </w:pPr>
            <w:r w:rsidRPr="000362BF">
              <w:rPr>
                <w:b/>
                <w:bCs/>
                <w:color w:val="000000"/>
                <w:sz w:val="22"/>
                <w:szCs w:val="22"/>
                <w:lang w:val="es-GT" w:eastAsia="es-GT"/>
              </w:rPr>
              <w:t>1,586.8</w:t>
            </w:r>
          </w:p>
        </w:tc>
        <w:tc>
          <w:tcPr>
            <w:tcW w:w="1139" w:type="dxa"/>
            <w:tcBorders>
              <w:top w:val="nil"/>
              <w:left w:val="nil"/>
              <w:bottom w:val="nil"/>
              <w:right w:val="single" w:sz="8" w:space="0" w:color="auto"/>
            </w:tcBorders>
            <w:shd w:val="clear" w:color="000000" w:fill="FFFFFF"/>
            <w:noWrap/>
            <w:vAlign w:val="bottom"/>
            <w:hideMark/>
          </w:tcPr>
          <w:p w:rsidR="00AB0496" w:rsidRPr="000362BF" w:rsidRDefault="00AB0496" w:rsidP="00AB0496">
            <w:pPr>
              <w:jc w:val="right"/>
              <w:rPr>
                <w:b/>
                <w:bCs/>
                <w:color w:val="000000"/>
                <w:sz w:val="22"/>
                <w:szCs w:val="22"/>
                <w:lang w:val="es-GT" w:eastAsia="es-GT"/>
              </w:rPr>
            </w:pPr>
            <w:r w:rsidRPr="000362BF">
              <w:rPr>
                <w:b/>
                <w:bCs/>
                <w:color w:val="000000"/>
                <w:sz w:val="22"/>
                <w:szCs w:val="22"/>
                <w:lang w:val="es-GT" w:eastAsia="es-GT"/>
              </w:rPr>
              <w:t>6.4%</w:t>
            </w:r>
          </w:p>
        </w:tc>
      </w:tr>
      <w:tr w:rsidR="00AB0496" w:rsidRPr="000362BF" w:rsidTr="00AB0496">
        <w:trPr>
          <w:trHeight w:val="302"/>
        </w:trPr>
        <w:tc>
          <w:tcPr>
            <w:tcW w:w="3998" w:type="dxa"/>
            <w:tcBorders>
              <w:top w:val="nil"/>
              <w:left w:val="single" w:sz="8" w:space="0" w:color="auto"/>
              <w:bottom w:val="nil"/>
              <w:right w:val="nil"/>
            </w:tcBorders>
            <w:shd w:val="clear" w:color="000000" w:fill="FFFFFF"/>
            <w:noWrap/>
            <w:vAlign w:val="bottom"/>
            <w:hideMark/>
          </w:tcPr>
          <w:p w:rsidR="00AB0496" w:rsidRPr="000362BF" w:rsidRDefault="00AB0496" w:rsidP="00AB0496">
            <w:pPr>
              <w:ind w:firstLineChars="200" w:firstLine="440"/>
              <w:rPr>
                <w:color w:val="000000"/>
                <w:sz w:val="22"/>
                <w:szCs w:val="22"/>
                <w:lang w:val="es-GT" w:eastAsia="es-GT"/>
              </w:rPr>
            </w:pPr>
            <w:r w:rsidRPr="000362BF">
              <w:rPr>
                <w:color w:val="000000"/>
                <w:sz w:val="22"/>
                <w:szCs w:val="22"/>
                <w:lang w:val="es-GT" w:eastAsia="es-GT"/>
              </w:rPr>
              <w:t>Remuneraciones</w:t>
            </w:r>
          </w:p>
        </w:tc>
        <w:tc>
          <w:tcPr>
            <w:tcW w:w="1235" w:type="dxa"/>
            <w:tcBorders>
              <w:top w:val="nil"/>
              <w:left w:val="single" w:sz="4" w:space="0" w:color="auto"/>
              <w:bottom w:val="nil"/>
              <w:right w:val="nil"/>
            </w:tcBorders>
            <w:shd w:val="clear" w:color="000000" w:fill="FFFFFF"/>
            <w:noWrap/>
            <w:vAlign w:val="bottom"/>
            <w:hideMark/>
          </w:tcPr>
          <w:p w:rsidR="00AB0496" w:rsidRPr="000362BF" w:rsidRDefault="00AB0496" w:rsidP="00AB0496">
            <w:pPr>
              <w:jc w:val="right"/>
              <w:rPr>
                <w:sz w:val="22"/>
                <w:szCs w:val="22"/>
                <w:lang w:val="es-GT" w:eastAsia="es-GT"/>
              </w:rPr>
            </w:pPr>
            <w:r w:rsidRPr="000362BF">
              <w:rPr>
                <w:sz w:val="22"/>
                <w:szCs w:val="22"/>
                <w:lang w:val="es-GT" w:eastAsia="es-GT"/>
              </w:rPr>
              <w:t>9,895.4</w:t>
            </w:r>
          </w:p>
        </w:tc>
        <w:tc>
          <w:tcPr>
            <w:tcW w:w="1235" w:type="dxa"/>
            <w:tcBorders>
              <w:top w:val="nil"/>
              <w:left w:val="single" w:sz="4" w:space="0" w:color="auto"/>
              <w:bottom w:val="nil"/>
              <w:right w:val="single" w:sz="4" w:space="0" w:color="auto"/>
            </w:tcBorders>
            <w:shd w:val="clear" w:color="000000" w:fill="FFFFFF"/>
            <w:noWrap/>
            <w:vAlign w:val="bottom"/>
            <w:hideMark/>
          </w:tcPr>
          <w:p w:rsidR="00AB0496" w:rsidRPr="000362BF" w:rsidRDefault="00AB0496" w:rsidP="00AB0496">
            <w:pPr>
              <w:jc w:val="right"/>
              <w:rPr>
                <w:sz w:val="22"/>
                <w:szCs w:val="22"/>
                <w:lang w:val="es-GT" w:eastAsia="es-GT"/>
              </w:rPr>
            </w:pPr>
            <w:r w:rsidRPr="000362BF">
              <w:rPr>
                <w:sz w:val="22"/>
                <w:szCs w:val="22"/>
                <w:lang w:val="es-GT" w:eastAsia="es-GT"/>
              </w:rPr>
              <w:t>10,408.2</w:t>
            </w:r>
          </w:p>
        </w:tc>
        <w:tc>
          <w:tcPr>
            <w:tcW w:w="1219" w:type="dxa"/>
            <w:tcBorders>
              <w:top w:val="nil"/>
              <w:left w:val="nil"/>
              <w:bottom w:val="nil"/>
              <w:right w:val="single" w:sz="4" w:space="0" w:color="auto"/>
            </w:tcBorders>
            <w:shd w:val="clear" w:color="000000" w:fill="FFFFFF"/>
            <w:noWrap/>
            <w:vAlign w:val="bottom"/>
            <w:hideMark/>
          </w:tcPr>
          <w:p w:rsidR="00AB0496" w:rsidRPr="000362BF" w:rsidRDefault="00AB0496" w:rsidP="00AB0496">
            <w:pPr>
              <w:jc w:val="right"/>
              <w:rPr>
                <w:color w:val="000000"/>
                <w:sz w:val="22"/>
                <w:szCs w:val="22"/>
                <w:lang w:val="es-GT" w:eastAsia="es-GT"/>
              </w:rPr>
            </w:pPr>
            <w:r w:rsidRPr="000362BF">
              <w:rPr>
                <w:color w:val="000000"/>
                <w:sz w:val="22"/>
                <w:szCs w:val="22"/>
                <w:lang w:val="es-GT" w:eastAsia="es-GT"/>
              </w:rPr>
              <w:t>512.9</w:t>
            </w:r>
          </w:p>
        </w:tc>
        <w:tc>
          <w:tcPr>
            <w:tcW w:w="1139" w:type="dxa"/>
            <w:tcBorders>
              <w:top w:val="nil"/>
              <w:left w:val="nil"/>
              <w:bottom w:val="nil"/>
              <w:right w:val="single" w:sz="8" w:space="0" w:color="auto"/>
            </w:tcBorders>
            <w:shd w:val="clear" w:color="000000" w:fill="FFFFFF"/>
            <w:noWrap/>
            <w:vAlign w:val="bottom"/>
            <w:hideMark/>
          </w:tcPr>
          <w:p w:rsidR="00AB0496" w:rsidRPr="000362BF" w:rsidRDefault="00AB0496" w:rsidP="00AB0496">
            <w:pPr>
              <w:jc w:val="right"/>
              <w:rPr>
                <w:color w:val="000000"/>
                <w:sz w:val="22"/>
                <w:szCs w:val="22"/>
                <w:lang w:val="es-GT" w:eastAsia="es-GT"/>
              </w:rPr>
            </w:pPr>
            <w:r w:rsidRPr="000362BF">
              <w:rPr>
                <w:color w:val="000000"/>
                <w:sz w:val="22"/>
                <w:szCs w:val="22"/>
                <w:lang w:val="es-GT" w:eastAsia="es-GT"/>
              </w:rPr>
              <w:t>5.2%</w:t>
            </w:r>
          </w:p>
        </w:tc>
      </w:tr>
      <w:tr w:rsidR="00AB0496" w:rsidRPr="000362BF" w:rsidTr="00AB0496">
        <w:trPr>
          <w:trHeight w:val="302"/>
        </w:trPr>
        <w:tc>
          <w:tcPr>
            <w:tcW w:w="3998" w:type="dxa"/>
            <w:tcBorders>
              <w:top w:val="nil"/>
              <w:left w:val="single" w:sz="8" w:space="0" w:color="auto"/>
              <w:bottom w:val="nil"/>
              <w:right w:val="nil"/>
            </w:tcBorders>
            <w:shd w:val="clear" w:color="000000" w:fill="FFFFFF"/>
            <w:noWrap/>
            <w:vAlign w:val="bottom"/>
            <w:hideMark/>
          </w:tcPr>
          <w:p w:rsidR="00AB0496" w:rsidRPr="000362BF" w:rsidRDefault="00AB0496" w:rsidP="00AB0496">
            <w:pPr>
              <w:ind w:firstLineChars="200" w:firstLine="440"/>
              <w:rPr>
                <w:color w:val="000000"/>
                <w:sz w:val="22"/>
                <w:szCs w:val="22"/>
                <w:lang w:val="es-GT" w:eastAsia="es-GT"/>
              </w:rPr>
            </w:pPr>
            <w:r w:rsidRPr="000362BF">
              <w:rPr>
                <w:color w:val="000000"/>
                <w:sz w:val="22"/>
                <w:szCs w:val="22"/>
                <w:lang w:val="es-GT" w:eastAsia="es-GT"/>
              </w:rPr>
              <w:t>Bienes y Servicios</w:t>
            </w:r>
          </w:p>
        </w:tc>
        <w:tc>
          <w:tcPr>
            <w:tcW w:w="1235" w:type="dxa"/>
            <w:tcBorders>
              <w:top w:val="nil"/>
              <w:left w:val="single" w:sz="4" w:space="0" w:color="auto"/>
              <w:bottom w:val="nil"/>
              <w:right w:val="nil"/>
            </w:tcBorders>
            <w:shd w:val="clear" w:color="000000" w:fill="FFFFFF"/>
            <w:noWrap/>
            <w:vAlign w:val="bottom"/>
            <w:hideMark/>
          </w:tcPr>
          <w:p w:rsidR="00AB0496" w:rsidRPr="000362BF" w:rsidRDefault="00AB0496" w:rsidP="00AB0496">
            <w:pPr>
              <w:jc w:val="right"/>
              <w:rPr>
                <w:sz w:val="22"/>
                <w:szCs w:val="22"/>
                <w:lang w:val="es-GT" w:eastAsia="es-GT"/>
              </w:rPr>
            </w:pPr>
            <w:r w:rsidRPr="000362BF">
              <w:rPr>
                <w:sz w:val="22"/>
                <w:szCs w:val="22"/>
                <w:lang w:val="es-GT" w:eastAsia="es-GT"/>
              </w:rPr>
              <w:t>2,520.4</w:t>
            </w:r>
          </w:p>
        </w:tc>
        <w:tc>
          <w:tcPr>
            <w:tcW w:w="1235" w:type="dxa"/>
            <w:tcBorders>
              <w:top w:val="nil"/>
              <w:left w:val="single" w:sz="4" w:space="0" w:color="auto"/>
              <w:bottom w:val="nil"/>
              <w:right w:val="single" w:sz="4" w:space="0" w:color="auto"/>
            </w:tcBorders>
            <w:shd w:val="clear" w:color="000000" w:fill="FFFFFF"/>
            <w:noWrap/>
            <w:vAlign w:val="bottom"/>
            <w:hideMark/>
          </w:tcPr>
          <w:p w:rsidR="00AB0496" w:rsidRPr="000362BF" w:rsidRDefault="00AB0496" w:rsidP="00AB0496">
            <w:pPr>
              <w:jc w:val="right"/>
              <w:rPr>
                <w:sz w:val="22"/>
                <w:szCs w:val="22"/>
                <w:lang w:val="es-GT" w:eastAsia="es-GT"/>
              </w:rPr>
            </w:pPr>
            <w:r w:rsidRPr="000362BF">
              <w:rPr>
                <w:sz w:val="22"/>
                <w:szCs w:val="22"/>
                <w:lang w:val="es-GT" w:eastAsia="es-GT"/>
              </w:rPr>
              <w:t>2,985.5</w:t>
            </w:r>
          </w:p>
        </w:tc>
        <w:tc>
          <w:tcPr>
            <w:tcW w:w="1219" w:type="dxa"/>
            <w:tcBorders>
              <w:top w:val="nil"/>
              <w:left w:val="nil"/>
              <w:bottom w:val="nil"/>
              <w:right w:val="single" w:sz="4" w:space="0" w:color="auto"/>
            </w:tcBorders>
            <w:shd w:val="clear" w:color="000000" w:fill="FFFFFF"/>
            <w:noWrap/>
            <w:vAlign w:val="bottom"/>
            <w:hideMark/>
          </w:tcPr>
          <w:p w:rsidR="00AB0496" w:rsidRPr="000362BF" w:rsidRDefault="00AB0496" w:rsidP="00AB0496">
            <w:pPr>
              <w:jc w:val="right"/>
              <w:rPr>
                <w:color w:val="000000"/>
                <w:sz w:val="22"/>
                <w:szCs w:val="22"/>
                <w:lang w:val="es-GT" w:eastAsia="es-GT"/>
              </w:rPr>
            </w:pPr>
            <w:r w:rsidRPr="000362BF">
              <w:rPr>
                <w:color w:val="000000"/>
                <w:sz w:val="22"/>
                <w:szCs w:val="22"/>
                <w:lang w:val="es-GT" w:eastAsia="es-GT"/>
              </w:rPr>
              <w:t>465.2</w:t>
            </w:r>
          </w:p>
        </w:tc>
        <w:tc>
          <w:tcPr>
            <w:tcW w:w="1139" w:type="dxa"/>
            <w:tcBorders>
              <w:top w:val="nil"/>
              <w:left w:val="nil"/>
              <w:bottom w:val="nil"/>
              <w:right w:val="single" w:sz="8" w:space="0" w:color="auto"/>
            </w:tcBorders>
            <w:shd w:val="clear" w:color="000000" w:fill="FFFFFF"/>
            <w:noWrap/>
            <w:vAlign w:val="bottom"/>
            <w:hideMark/>
          </w:tcPr>
          <w:p w:rsidR="00AB0496" w:rsidRPr="000362BF" w:rsidRDefault="00AB0496" w:rsidP="00AB0496">
            <w:pPr>
              <w:jc w:val="right"/>
              <w:rPr>
                <w:color w:val="000000"/>
                <w:sz w:val="22"/>
                <w:szCs w:val="22"/>
                <w:lang w:val="es-GT" w:eastAsia="es-GT"/>
              </w:rPr>
            </w:pPr>
            <w:r w:rsidRPr="000362BF">
              <w:rPr>
                <w:color w:val="000000"/>
                <w:sz w:val="22"/>
                <w:szCs w:val="22"/>
                <w:lang w:val="es-GT" w:eastAsia="es-GT"/>
              </w:rPr>
              <w:t>18.5%</w:t>
            </w:r>
          </w:p>
        </w:tc>
      </w:tr>
      <w:tr w:rsidR="00AB0496" w:rsidRPr="000362BF" w:rsidTr="00AB0496">
        <w:trPr>
          <w:trHeight w:val="302"/>
        </w:trPr>
        <w:tc>
          <w:tcPr>
            <w:tcW w:w="3998" w:type="dxa"/>
            <w:tcBorders>
              <w:top w:val="nil"/>
              <w:left w:val="single" w:sz="8" w:space="0" w:color="auto"/>
              <w:bottom w:val="nil"/>
              <w:right w:val="nil"/>
            </w:tcBorders>
            <w:shd w:val="clear" w:color="000000" w:fill="FFFFFF"/>
            <w:noWrap/>
            <w:vAlign w:val="bottom"/>
            <w:hideMark/>
          </w:tcPr>
          <w:p w:rsidR="00AB0496" w:rsidRPr="000362BF" w:rsidRDefault="00AB0496" w:rsidP="00F97217">
            <w:pPr>
              <w:ind w:firstLineChars="200" w:firstLine="440"/>
              <w:rPr>
                <w:color w:val="000000"/>
                <w:sz w:val="22"/>
                <w:szCs w:val="22"/>
                <w:lang w:val="es-GT" w:eastAsia="es-GT"/>
              </w:rPr>
            </w:pPr>
            <w:r w:rsidRPr="000362BF">
              <w:rPr>
                <w:color w:val="000000"/>
                <w:sz w:val="22"/>
                <w:szCs w:val="22"/>
                <w:lang w:val="es-GT" w:eastAsia="es-GT"/>
              </w:rPr>
              <w:t xml:space="preserve">Impuestos </w:t>
            </w:r>
            <w:r w:rsidR="00F97217">
              <w:rPr>
                <w:color w:val="000000"/>
                <w:sz w:val="22"/>
                <w:szCs w:val="22"/>
                <w:lang w:val="es-GT" w:eastAsia="es-GT"/>
              </w:rPr>
              <w:t>P</w:t>
            </w:r>
            <w:r w:rsidRPr="000362BF">
              <w:rPr>
                <w:color w:val="000000"/>
                <w:sz w:val="22"/>
                <w:szCs w:val="22"/>
                <w:lang w:val="es-GT" w:eastAsia="es-GT"/>
              </w:rPr>
              <w:t>agados</w:t>
            </w:r>
          </w:p>
        </w:tc>
        <w:tc>
          <w:tcPr>
            <w:tcW w:w="1235" w:type="dxa"/>
            <w:tcBorders>
              <w:top w:val="nil"/>
              <w:left w:val="single" w:sz="4" w:space="0" w:color="auto"/>
              <w:bottom w:val="nil"/>
              <w:right w:val="nil"/>
            </w:tcBorders>
            <w:shd w:val="clear" w:color="000000" w:fill="FFFFFF"/>
            <w:noWrap/>
            <w:vAlign w:val="bottom"/>
            <w:hideMark/>
          </w:tcPr>
          <w:p w:rsidR="00AB0496" w:rsidRPr="000362BF" w:rsidRDefault="00AB0496" w:rsidP="00AB0496">
            <w:pPr>
              <w:jc w:val="right"/>
              <w:rPr>
                <w:sz w:val="22"/>
                <w:szCs w:val="22"/>
                <w:lang w:val="es-GT" w:eastAsia="es-GT"/>
              </w:rPr>
            </w:pPr>
            <w:r w:rsidRPr="000362BF">
              <w:rPr>
                <w:sz w:val="22"/>
                <w:szCs w:val="22"/>
                <w:lang w:val="es-GT" w:eastAsia="es-GT"/>
              </w:rPr>
              <w:t>3.0</w:t>
            </w:r>
          </w:p>
        </w:tc>
        <w:tc>
          <w:tcPr>
            <w:tcW w:w="1235" w:type="dxa"/>
            <w:tcBorders>
              <w:top w:val="nil"/>
              <w:left w:val="single" w:sz="4" w:space="0" w:color="auto"/>
              <w:bottom w:val="nil"/>
              <w:right w:val="single" w:sz="4" w:space="0" w:color="auto"/>
            </w:tcBorders>
            <w:shd w:val="clear" w:color="000000" w:fill="FFFFFF"/>
            <w:noWrap/>
            <w:vAlign w:val="bottom"/>
            <w:hideMark/>
          </w:tcPr>
          <w:p w:rsidR="00AB0496" w:rsidRPr="000362BF" w:rsidRDefault="00AB0496" w:rsidP="00AB0496">
            <w:pPr>
              <w:jc w:val="right"/>
              <w:rPr>
                <w:sz w:val="22"/>
                <w:szCs w:val="22"/>
                <w:lang w:val="es-GT" w:eastAsia="es-GT"/>
              </w:rPr>
            </w:pPr>
            <w:r w:rsidRPr="000362BF">
              <w:rPr>
                <w:sz w:val="22"/>
                <w:szCs w:val="22"/>
                <w:lang w:val="es-GT" w:eastAsia="es-GT"/>
              </w:rPr>
              <w:t>3.0</w:t>
            </w:r>
          </w:p>
        </w:tc>
        <w:tc>
          <w:tcPr>
            <w:tcW w:w="1219" w:type="dxa"/>
            <w:tcBorders>
              <w:top w:val="nil"/>
              <w:left w:val="nil"/>
              <w:bottom w:val="nil"/>
              <w:right w:val="single" w:sz="4" w:space="0" w:color="auto"/>
            </w:tcBorders>
            <w:shd w:val="clear" w:color="000000" w:fill="FFFFFF"/>
            <w:noWrap/>
            <w:vAlign w:val="bottom"/>
            <w:hideMark/>
          </w:tcPr>
          <w:p w:rsidR="00AB0496" w:rsidRPr="000362BF" w:rsidRDefault="00AB0496" w:rsidP="00AB0496">
            <w:pPr>
              <w:jc w:val="right"/>
              <w:rPr>
                <w:color w:val="000000"/>
                <w:sz w:val="22"/>
                <w:szCs w:val="22"/>
                <w:lang w:val="es-GT" w:eastAsia="es-GT"/>
              </w:rPr>
            </w:pPr>
            <w:r w:rsidRPr="000362BF">
              <w:rPr>
                <w:color w:val="000000"/>
                <w:sz w:val="22"/>
                <w:szCs w:val="22"/>
                <w:lang w:val="es-GT" w:eastAsia="es-GT"/>
              </w:rPr>
              <w:t>0.0</w:t>
            </w:r>
          </w:p>
        </w:tc>
        <w:tc>
          <w:tcPr>
            <w:tcW w:w="1139" w:type="dxa"/>
            <w:tcBorders>
              <w:top w:val="nil"/>
              <w:left w:val="nil"/>
              <w:bottom w:val="nil"/>
              <w:right w:val="single" w:sz="8" w:space="0" w:color="auto"/>
            </w:tcBorders>
            <w:shd w:val="clear" w:color="000000" w:fill="FFFFFF"/>
            <w:noWrap/>
            <w:vAlign w:val="bottom"/>
            <w:hideMark/>
          </w:tcPr>
          <w:p w:rsidR="00AB0496" w:rsidRPr="000362BF" w:rsidRDefault="00AB0496" w:rsidP="00AB0496">
            <w:pPr>
              <w:jc w:val="right"/>
              <w:rPr>
                <w:color w:val="000000"/>
                <w:sz w:val="22"/>
                <w:szCs w:val="22"/>
                <w:lang w:val="es-GT" w:eastAsia="es-GT"/>
              </w:rPr>
            </w:pPr>
            <w:r w:rsidRPr="000362BF">
              <w:rPr>
                <w:color w:val="000000"/>
                <w:sz w:val="22"/>
                <w:szCs w:val="22"/>
                <w:lang w:val="es-GT" w:eastAsia="es-GT"/>
              </w:rPr>
              <w:t>0.6%</w:t>
            </w:r>
          </w:p>
        </w:tc>
      </w:tr>
      <w:tr w:rsidR="00AB0496" w:rsidRPr="000362BF" w:rsidTr="00AB0496">
        <w:trPr>
          <w:trHeight w:val="302"/>
        </w:trPr>
        <w:tc>
          <w:tcPr>
            <w:tcW w:w="3998" w:type="dxa"/>
            <w:tcBorders>
              <w:top w:val="nil"/>
              <w:left w:val="single" w:sz="8" w:space="0" w:color="auto"/>
              <w:bottom w:val="nil"/>
              <w:right w:val="nil"/>
            </w:tcBorders>
            <w:shd w:val="clear" w:color="000000" w:fill="FFFFFF"/>
            <w:noWrap/>
            <w:vAlign w:val="bottom"/>
            <w:hideMark/>
          </w:tcPr>
          <w:p w:rsidR="00AB0496" w:rsidRPr="000362BF" w:rsidRDefault="00AB0496" w:rsidP="00AB0496">
            <w:pPr>
              <w:ind w:firstLineChars="200" w:firstLine="440"/>
              <w:rPr>
                <w:color w:val="000000"/>
                <w:sz w:val="22"/>
                <w:szCs w:val="22"/>
                <w:lang w:val="es-GT" w:eastAsia="es-GT"/>
              </w:rPr>
            </w:pPr>
            <w:r w:rsidRPr="000362BF">
              <w:rPr>
                <w:color w:val="000000"/>
                <w:sz w:val="22"/>
                <w:szCs w:val="22"/>
                <w:lang w:val="es-GT" w:eastAsia="es-GT"/>
              </w:rPr>
              <w:t>Descuentos y Bonificaciones</w:t>
            </w:r>
          </w:p>
        </w:tc>
        <w:tc>
          <w:tcPr>
            <w:tcW w:w="1235" w:type="dxa"/>
            <w:tcBorders>
              <w:top w:val="nil"/>
              <w:left w:val="single" w:sz="4" w:space="0" w:color="auto"/>
              <w:bottom w:val="nil"/>
              <w:right w:val="nil"/>
            </w:tcBorders>
            <w:shd w:val="clear" w:color="000000" w:fill="FFFFFF"/>
            <w:noWrap/>
            <w:vAlign w:val="bottom"/>
            <w:hideMark/>
          </w:tcPr>
          <w:p w:rsidR="00AB0496" w:rsidRPr="000362BF" w:rsidRDefault="00AB0496" w:rsidP="00AB0496">
            <w:pPr>
              <w:jc w:val="right"/>
              <w:rPr>
                <w:sz w:val="22"/>
                <w:szCs w:val="22"/>
                <w:lang w:val="es-GT" w:eastAsia="es-GT"/>
              </w:rPr>
            </w:pPr>
            <w:r w:rsidRPr="000362BF">
              <w:rPr>
                <w:sz w:val="22"/>
                <w:szCs w:val="22"/>
                <w:lang w:val="es-GT" w:eastAsia="es-GT"/>
              </w:rPr>
              <w:t>70.5</w:t>
            </w:r>
          </w:p>
        </w:tc>
        <w:tc>
          <w:tcPr>
            <w:tcW w:w="1235" w:type="dxa"/>
            <w:tcBorders>
              <w:top w:val="nil"/>
              <w:left w:val="single" w:sz="4" w:space="0" w:color="auto"/>
              <w:bottom w:val="nil"/>
              <w:right w:val="single" w:sz="4" w:space="0" w:color="auto"/>
            </w:tcBorders>
            <w:shd w:val="clear" w:color="000000" w:fill="FFFFFF"/>
            <w:noWrap/>
            <w:vAlign w:val="bottom"/>
            <w:hideMark/>
          </w:tcPr>
          <w:p w:rsidR="00AB0496" w:rsidRPr="000362BF" w:rsidRDefault="00AB0496" w:rsidP="00AB0496">
            <w:pPr>
              <w:jc w:val="right"/>
              <w:rPr>
                <w:sz w:val="22"/>
                <w:szCs w:val="22"/>
                <w:lang w:val="es-GT" w:eastAsia="es-GT"/>
              </w:rPr>
            </w:pPr>
            <w:r w:rsidRPr="000362BF">
              <w:rPr>
                <w:sz w:val="22"/>
                <w:szCs w:val="22"/>
                <w:lang w:val="es-GT" w:eastAsia="es-GT"/>
              </w:rPr>
              <w:t>91.1</w:t>
            </w:r>
          </w:p>
        </w:tc>
        <w:tc>
          <w:tcPr>
            <w:tcW w:w="1219" w:type="dxa"/>
            <w:tcBorders>
              <w:top w:val="nil"/>
              <w:left w:val="nil"/>
              <w:bottom w:val="nil"/>
              <w:right w:val="single" w:sz="4" w:space="0" w:color="auto"/>
            </w:tcBorders>
            <w:shd w:val="clear" w:color="000000" w:fill="FFFFFF"/>
            <w:noWrap/>
            <w:vAlign w:val="bottom"/>
            <w:hideMark/>
          </w:tcPr>
          <w:p w:rsidR="00AB0496" w:rsidRPr="000362BF" w:rsidRDefault="00AB0496" w:rsidP="00AB0496">
            <w:pPr>
              <w:jc w:val="right"/>
              <w:rPr>
                <w:color w:val="000000"/>
                <w:sz w:val="22"/>
                <w:szCs w:val="22"/>
                <w:lang w:val="es-GT" w:eastAsia="es-GT"/>
              </w:rPr>
            </w:pPr>
            <w:r w:rsidRPr="000362BF">
              <w:rPr>
                <w:color w:val="000000"/>
                <w:sz w:val="22"/>
                <w:szCs w:val="22"/>
                <w:lang w:val="es-GT" w:eastAsia="es-GT"/>
              </w:rPr>
              <w:t>20.6</w:t>
            </w:r>
          </w:p>
        </w:tc>
        <w:tc>
          <w:tcPr>
            <w:tcW w:w="1139" w:type="dxa"/>
            <w:tcBorders>
              <w:top w:val="nil"/>
              <w:left w:val="nil"/>
              <w:bottom w:val="nil"/>
              <w:right w:val="single" w:sz="8" w:space="0" w:color="auto"/>
            </w:tcBorders>
            <w:shd w:val="clear" w:color="000000" w:fill="FFFFFF"/>
            <w:noWrap/>
            <w:vAlign w:val="bottom"/>
            <w:hideMark/>
          </w:tcPr>
          <w:p w:rsidR="00AB0496" w:rsidRPr="000362BF" w:rsidRDefault="00AB0496" w:rsidP="00AB0496">
            <w:pPr>
              <w:jc w:val="right"/>
              <w:rPr>
                <w:color w:val="000000"/>
                <w:sz w:val="22"/>
                <w:szCs w:val="22"/>
                <w:lang w:val="es-GT" w:eastAsia="es-GT"/>
              </w:rPr>
            </w:pPr>
            <w:r w:rsidRPr="000362BF">
              <w:rPr>
                <w:color w:val="000000"/>
                <w:sz w:val="22"/>
                <w:szCs w:val="22"/>
                <w:lang w:val="es-GT" w:eastAsia="es-GT"/>
              </w:rPr>
              <w:t>29.2%</w:t>
            </w:r>
          </w:p>
        </w:tc>
      </w:tr>
      <w:tr w:rsidR="00AB0496" w:rsidRPr="000362BF" w:rsidTr="00AB0496">
        <w:trPr>
          <w:trHeight w:val="302"/>
        </w:trPr>
        <w:tc>
          <w:tcPr>
            <w:tcW w:w="3998" w:type="dxa"/>
            <w:tcBorders>
              <w:top w:val="nil"/>
              <w:left w:val="single" w:sz="8" w:space="0" w:color="auto"/>
              <w:bottom w:val="nil"/>
              <w:right w:val="nil"/>
            </w:tcBorders>
            <w:shd w:val="clear" w:color="000000" w:fill="FFFFFF"/>
            <w:noWrap/>
            <w:vAlign w:val="bottom"/>
            <w:hideMark/>
          </w:tcPr>
          <w:p w:rsidR="00AB0496" w:rsidRPr="000362BF" w:rsidRDefault="00AB0496" w:rsidP="00AB0496">
            <w:pPr>
              <w:ind w:firstLineChars="200" w:firstLine="440"/>
              <w:rPr>
                <w:color w:val="000000"/>
                <w:sz w:val="22"/>
                <w:szCs w:val="22"/>
                <w:lang w:val="es-GT" w:eastAsia="es-GT"/>
              </w:rPr>
            </w:pPr>
            <w:r w:rsidRPr="000362BF">
              <w:rPr>
                <w:color w:val="000000"/>
                <w:sz w:val="22"/>
                <w:szCs w:val="22"/>
                <w:lang w:val="es-GT" w:eastAsia="es-GT"/>
              </w:rPr>
              <w:t>Prestaciones a la Seguridad Social</w:t>
            </w:r>
          </w:p>
        </w:tc>
        <w:tc>
          <w:tcPr>
            <w:tcW w:w="1235" w:type="dxa"/>
            <w:tcBorders>
              <w:top w:val="nil"/>
              <w:left w:val="single" w:sz="4" w:space="0" w:color="auto"/>
              <w:bottom w:val="nil"/>
              <w:right w:val="nil"/>
            </w:tcBorders>
            <w:shd w:val="clear" w:color="000000" w:fill="FFFFFF"/>
            <w:noWrap/>
            <w:vAlign w:val="bottom"/>
            <w:hideMark/>
          </w:tcPr>
          <w:p w:rsidR="00AB0496" w:rsidRPr="000362BF" w:rsidRDefault="00AB0496" w:rsidP="00AB0496">
            <w:pPr>
              <w:jc w:val="right"/>
              <w:rPr>
                <w:sz w:val="22"/>
                <w:szCs w:val="22"/>
                <w:lang w:val="es-GT" w:eastAsia="es-GT"/>
              </w:rPr>
            </w:pPr>
            <w:r w:rsidRPr="000362BF">
              <w:rPr>
                <w:sz w:val="22"/>
                <w:szCs w:val="22"/>
                <w:lang w:val="es-GT" w:eastAsia="es-GT"/>
              </w:rPr>
              <w:t>2,161.8</w:t>
            </w:r>
          </w:p>
        </w:tc>
        <w:tc>
          <w:tcPr>
            <w:tcW w:w="1235" w:type="dxa"/>
            <w:tcBorders>
              <w:top w:val="nil"/>
              <w:left w:val="single" w:sz="4" w:space="0" w:color="auto"/>
              <w:bottom w:val="nil"/>
              <w:right w:val="single" w:sz="4" w:space="0" w:color="auto"/>
            </w:tcBorders>
            <w:shd w:val="clear" w:color="000000" w:fill="FFFFFF"/>
            <w:noWrap/>
            <w:vAlign w:val="bottom"/>
            <w:hideMark/>
          </w:tcPr>
          <w:p w:rsidR="00AB0496" w:rsidRPr="000362BF" w:rsidRDefault="00AB0496" w:rsidP="00AB0496">
            <w:pPr>
              <w:jc w:val="right"/>
              <w:rPr>
                <w:sz w:val="22"/>
                <w:szCs w:val="22"/>
                <w:lang w:val="es-GT" w:eastAsia="es-GT"/>
              </w:rPr>
            </w:pPr>
            <w:r w:rsidRPr="000362BF">
              <w:rPr>
                <w:sz w:val="22"/>
                <w:szCs w:val="22"/>
                <w:lang w:val="es-GT" w:eastAsia="es-GT"/>
              </w:rPr>
              <w:t>2,349.3</w:t>
            </w:r>
          </w:p>
        </w:tc>
        <w:tc>
          <w:tcPr>
            <w:tcW w:w="1219" w:type="dxa"/>
            <w:tcBorders>
              <w:top w:val="nil"/>
              <w:left w:val="nil"/>
              <w:bottom w:val="nil"/>
              <w:right w:val="single" w:sz="4" w:space="0" w:color="auto"/>
            </w:tcBorders>
            <w:shd w:val="clear" w:color="000000" w:fill="FFFFFF"/>
            <w:noWrap/>
            <w:vAlign w:val="bottom"/>
            <w:hideMark/>
          </w:tcPr>
          <w:p w:rsidR="00AB0496" w:rsidRPr="000362BF" w:rsidRDefault="00AB0496" w:rsidP="00AB0496">
            <w:pPr>
              <w:jc w:val="right"/>
              <w:rPr>
                <w:color w:val="000000"/>
                <w:sz w:val="22"/>
                <w:szCs w:val="22"/>
                <w:lang w:val="es-GT" w:eastAsia="es-GT"/>
              </w:rPr>
            </w:pPr>
            <w:r w:rsidRPr="000362BF">
              <w:rPr>
                <w:color w:val="000000"/>
                <w:sz w:val="22"/>
                <w:szCs w:val="22"/>
                <w:lang w:val="es-GT" w:eastAsia="es-GT"/>
              </w:rPr>
              <w:t>187.4</w:t>
            </w:r>
          </w:p>
        </w:tc>
        <w:tc>
          <w:tcPr>
            <w:tcW w:w="1139" w:type="dxa"/>
            <w:tcBorders>
              <w:top w:val="nil"/>
              <w:left w:val="nil"/>
              <w:bottom w:val="nil"/>
              <w:right w:val="single" w:sz="8" w:space="0" w:color="auto"/>
            </w:tcBorders>
            <w:shd w:val="clear" w:color="000000" w:fill="FFFFFF"/>
            <w:noWrap/>
            <w:vAlign w:val="bottom"/>
            <w:hideMark/>
          </w:tcPr>
          <w:p w:rsidR="00AB0496" w:rsidRPr="000362BF" w:rsidRDefault="00AB0496" w:rsidP="00AB0496">
            <w:pPr>
              <w:jc w:val="right"/>
              <w:rPr>
                <w:color w:val="000000"/>
                <w:sz w:val="22"/>
                <w:szCs w:val="22"/>
                <w:lang w:val="es-GT" w:eastAsia="es-GT"/>
              </w:rPr>
            </w:pPr>
            <w:r w:rsidRPr="000362BF">
              <w:rPr>
                <w:color w:val="000000"/>
                <w:sz w:val="22"/>
                <w:szCs w:val="22"/>
                <w:lang w:val="es-GT" w:eastAsia="es-GT"/>
              </w:rPr>
              <w:t>8.7%</w:t>
            </w:r>
          </w:p>
        </w:tc>
      </w:tr>
      <w:tr w:rsidR="00AB0496" w:rsidRPr="000362BF" w:rsidTr="00AB0496">
        <w:trPr>
          <w:trHeight w:val="302"/>
        </w:trPr>
        <w:tc>
          <w:tcPr>
            <w:tcW w:w="3998" w:type="dxa"/>
            <w:tcBorders>
              <w:top w:val="nil"/>
              <w:left w:val="single" w:sz="8" w:space="0" w:color="auto"/>
              <w:bottom w:val="nil"/>
              <w:right w:val="nil"/>
            </w:tcBorders>
            <w:shd w:val="clear" w:color="000000" w:fill="FFFFFF"/>
            <w:noWrap/>
            <w:vAlign w:val="bottom"/>
            <w:hideMark/>
          </w:tcPr>
          <w:p w:rsidR="00AB0496" w:rsidRPr="000362BF" w:rsidRDefault="00AB0496" w:rsidP="00AB0496">
            <w:pPr>
              <w:ind w:firstLineChars="200" w:firstLine="440"/>
              <w:rPr>
                <w:color w:val="000000"/>
                <w:sz w:val="22"/>
                <w:szCs w:val="22"/>
                <w:lang w:val="es-GT" w:eastAsia="es-GT"/>
              </w:rPr>
            </w:pPr>
            <w:r w:rsidRPr="000362BF">
              <w:rPr>
                <w:color w:val="000000"/>
                <w:sz w:val="22"/>
                <w:szCs w:val="22"/>
                <w:lang w:val="es-GT" w:eastAsia="es-GT"/>
              </w:rPr>
              <w:t>Intereses</w:t>
            </w:r>
          </w:p>
        </w:tc>
        <w:tc>
          <w:tcPr>
            <w:tcW w:w="1235" w:type="dxa"/>
            <w:tcBorders>
              <w:top w:val="nil"/>
              <w:left w:val="single" w:sz="4" w:space="0" w:color="auto"/>
              <w:bottom w:val="nil"/>
              <w:right w:val="nil"/>
            </w:tcBorders>
            <w:shd w:val="clear" w:color="000000" w:fill="FFFFFF"/>
            <w:noWrap/>
            <w:vAlign w:val="bottom"/>
            <w:hideMark/>
          </w:tcPr>
          <w:p w:rsidR="00AB0496" w:rsidRPr="000362BF" w:rsidRDefault="00AB0496" w:rsidP="00AB0496">
            <w:pPr>
              <w:jc w:val="right"/>
              <w:rPr>
                <w:sz w:val="22"/>
                <w:szCs w:val="22"/>
                <w:lang w:val="es-GT" w:eastAsia="es-GT"/>
              </w:rPr>
            </w:pPr>
            <w:r w:rsidRPr="000362BF">
              <w:rPr>
                <w:sz w:val="22"/>
                <w:szCs w:val="22"/>
                <w:lang w:val="es-GT" w:eastAsia="es-GT"/>
              </w:rPr>
              <w:t>3,889.0</w:t>
            </w:r>
          </w:p>
        </w:tc>
        <w:tc>
          <w:tcPr>
            <w:tcW w:w="1235" w:type="dxa"/>
            <w:tcBorders>
              <w:top w:val="nil"/>
              <w:left w:val="single" w:sz="4" w:space="0" w:color="auto"/>
              <w:bottom w:val="nil"/>
              <w:right w:val="single" w:sz="4" w:space="0" w:color="auto"/>
            </w:tcBorders>
            <w:shd w:val="clear" w:color="000000" w:fill="FFFFFF"/>
            <w:noWrap/>
            <w:vAlign w:val="bottom"/>
            <w:hideMark/>
          </w:tcPr>
          <w:p w:rsidR="00AB0496" w:rsidRPr="000362BF" w:rsidRDefault="00AB0496" w:rsidP="00AB0496">
            <w:pPr>
              <w:jc w:val="right"/>
              <w:rPr>
                <w:sz w:val="22"/>
                <w:szCs w:val="22"/>
                <w:lang w:val="es-GT" w:eastAsia="es-GT"/>
              </w:rPr>
            </w:pPr>
            <w:r w:rsidRPr="000362BF">
              <w:rPr>
                <w:sz w:val="22"/>
                <w:szCs w:val="22"/>
                <w:lang w:val="es-GT" w:eastAsia="es-GT"/>
              </w:rPr>
              <w:t>4,087.6</w:t>
            </w:r>
          </w:p>
        </w:tc>
        <w:tc>
          <w:tcPr>
            <w:tcW w:w="1219" w:type="dxa"/>
            <w:tcBorders>
              <w:top w:val="nil"/>
              <w:left w:val="nil"/>
              <w:bottom w:val="nil"/>
              <w:right w:val="single" w:sz="4" w:space="0" w:color="auto"/>
            </w:tcBorders>
            <w:shd w:val="clear" w:color="000000" w:fill="FFFFFF"/>
            <w:noWrap/>
            <w:vAlign w:val="bottom"/>
            <w:hideMark/>
          </w:tcPr>
          <w:p w:rsidR="00AB0496" w:rsidRPr="000362BF" w:rsidRDefault="00AB0496" w:rsidP="00AB0496">
            <w:pPr>
              <w:jc w:val="right"/>
              <w:rPr>
                <w:color w:val="000000"/>
                <w:sz w:val="22"/>
                <w:szCs w:val="22"/>
                <w:lang w:val="es-GT" w:eastAsia="es-GT"/>
              </w:rPr>
            </w:pPr>
            <w:r w:rsidRPr="000362BF">
              <w:rPr>
                <w:color w:val="000000"/>
                <w:sz w:val="22"/>
                <w:szCs w:val="22"/>
                <w:lang w:val="es-GT" w:eastAsia="es-GT"/>
              </w:rPr>
              <w:t>198.6</w:t>
            </w:r>
          </w:p>
        </w:tc>
        <w:tc>
          <w:tcPr>
            <w:tcW w:w="1139" w:type="dxa"/>
            <w:tcBorders>
              <w:top w:val="nil"/>
              <w:left w:val="nil"/>
              <w:bottom w:val="nil"/>
              <w:right w:val="single" w:sz="8" w:space="0" w:color="auto"/>
            </w:tcBorders>
            <w:shd w:val="clear" w:color="000000" w:fill="FFFFFF"/>
            <w:noWrap/>
            <w:vAlign w:val="bottom"/>
            <w:hideMark/>
          </w:tcPr>
          <w:p w:rsidR="00AB0496" w:rsidRPr="000362BF" w:rsidRDefault="00AB0496" w:rsidP="00AB0496">
            <w:pPr>
              <w:jc w:val="right"/>
              <w:rPr>
                <w:color w:val="000000"/>
                <w:sz w:val="22"/>
                <w:szCs w:val="22"/>
                <w:lang w:val="es-GT" w:eastAsia="es-GT"/>
              </w:rPr>
            </w:pPr>
            <w:r w:rsidRPr="000362BF">
              <w:rPr>
                <w:color w:val="000000"/>
                <w:sz w:val="22"/>
                <w:szCs w:val="22"/>
                <w:lang w:val="es-GT" w:eastAsia="es-GT"/>
              </w:rPr>
              <w:t>5.1%</w:t>
            </w:r>
          </w:p>
        </w:tc>
      </w:tr>
      <w:tr w:rsidR="00AB0496" w:rsidRPr="000362BF" w:rsidTr="00AB0496">
        <w:trPr>
          <w:trHeight w:val="302"/>
        </w:trPr>
        <w:tc>
          <w:tcPr>
            <w:tcW w:w="3998" w:type="dxa"/>
            <w:tcBorders>
              <w:top w:val="nil"/>
              <w:left w:val="single" w:sz="8" w:space="0" w:color="auto"/>
              <w:bottom w:val="nil"/>
              <w:right w:val="nil"/>
            </w:tcBorders>
            <w:shd w:val="clear" w:color="000000" w:fill="FFFFFF"/>
            <w:noWrap/>
            <w:vAlign w:val="bottom"/>
            <w:hideMark/>
          </w:tcPr>
          <w:p w:rsidR="00AB0496" w:rsidRPr="000362BF" w:rsidRDefault="00AB0496" w:rsidP="00F97217">
            <w:pPr>
              <w:ind w:firstLineChars="300" w:firstLine="660"/>
              <w:rPr>
                <w:color w:val="000000"/>
                <w:sz w:val="22"/>
                <w:szCs w:val="22"/>
                <w:lang w:val="es-GT" w:eastAsia="es-GT"/>
              </w:rPr>
            </w:pPr>
            <w:r w:rsidRPr="000362BF">
              <w:rPr>
                <w:color w:val="000000"/>
                <w:sz w:val="22"/>
                <w:szCs w:val="22"/>
                <w:lang w:val="es-GT" w:eastAsia="es-GT"/>
              </w:rPr>
              <w:t xml:space="preserve">Deuda </w:t>
            </w:r>
            <w:r w:rsidR="00F97217">
              <w:rPr>
                <w:color w:val="000000"/>
                <w:sz w:val="22"/>
                <w:szCs w:val="22"/>
                <w:lang w:val="es-GT" w:eastAsia="es-GT"/>
              </w:rPr>
              <w:t>I</w:t>
            </w:r>
            <w:r w:rsidRPr="000362BF">
              <w:rPr>
                <w:color w:val="000000"/>
                <w:sz w:val="22"/>
                <w:szCs w:val="22"/>
                <w:lang w:val="es-GT" w:eastAsia="es-GT"/>
              </w:rPr>
              <w:t xml:space="preserve">nterna </w:t>
            </w:r>
          </w:p>
        </w:tc>
        <w:tc>
          <w:tcPr>
            <w:tcW w:w="1235" w:type="dxa"/>
            <w:tcBorders>
              <w:top w:val="nil"/>
              <w:left w:val="single" w:sz="4" w:space="0" w:color="auto"/>
              <w:bottom w:val="nil"/>
              <w:right w:val="nil"/>
            </w:tcBorders>
            <w:shd w:val="clear" w:color="000000" w:fill="FFFFFF"/>
            <w:noWrap/>
            <w:vAlign w:val="bottom"/>
            <w:hideMark/>
          </w:tcPr>
          <w:p w:rsidR="00AB0496" w:rsidRPr="000362BF" w:rsidRDefault="00AB0496" w:rsidP="00AB0496">
            <w:pPr>
              <w:jc w:val="right"/>
              <w:rPr>
                <w:sz w:val="22"/>
                <w:szCs w:val="22"/>
                <w:lang w:val="es-GT" w:eastAsia="es-GT"/>
              </w:rPr>
            </w:pPr>
            <w:r w:rsidRPr="000362BF">
              <w:rPr>
                <w:sz w:val="22"/>
                <w:szCs w:val="22"/>
                <w:lang w:val="es-GT" w:eastAsia="es-GT"/>
              </w:rPr>
              <w:t>2,580.2</w:t>
            </w:r>
          </w:p>
        </w:tc>
        <w:tc>
          <w:tcPr>
            <w:tcW w:w="1235" w:type="dxa"/>
            <w:tcBorders>
              <w:top w:val="nil"/>
              <w:left w:val="single" w:sz="4" w:space="0" w:color="auto"/>
              <w:bottom w:val="nil"/>
              <w:right w:val="single" w:sz="4" w:space="0" w:color="auto"/>
            </w:tcBorders>
            <w:shd w:val="clear" w:color="000000" w:fill="FFFFFF"/>
            <w:noWrap/>
            <w:vAlign w:val="bottom"/>
            <w:hideMark/>
          </w:tcPr>
          <w:p w:rsidR="00AB0496" w:rsidRPr="000362BF" w:rsidRDefault="00AB0496" w:rsidP="00AB0496">
            <w:pPr>
              <w:jc w:val="right"/>
              <w:rPr>
                <w:sz w:val="22"/>
                <w:szCs w:val="22"/>
                <w:lang w:val="es-GT" w:eastAsia="es-GT"/>
              </w:rPr>
            </w:pPr>
            <w:r w:rsidRPr="000362BF">
              <w:rPr>
                <w:sz w:val="22"/>
                <w:szCs w:val="22"/>
                <w:lang w:val="es-GT" w:eastAsia="es-GT"/>
              </w:rPr>
              <w:t>2,765.2</w:t>
            </w:r>
          </w:p>
        </w:tc>
        <w:tc>
          <w:tcPr>
            <w:tcW w:w="1219" w:type="dxa"/>
            <w:tcBorders>
              <w:top w:val="nil"/>
              <w:left w:val="nil"/>
              <w:bottom w:val="nil"/>
              <w:right w:val="single" w:sz="4" w:space="0" w:color="auto"/>
            </w:tcBorders>
            <w:shd w:val="clear" w:color="000000" w:fill="FFFFFF"/>
            <w:noWrap/>
            <w:vAlign w:val="bottom"/>
            <w:hideMark/>
          </w:tcPr>
          <w:p w:rsidR="00AB0496" w:rsidRPr="000362BF" w:rsidRDefault="00AB0496" w:rsidP="00AB0496">
            <w:pPr>
              <w:jc w:val="right"/>
              <w:rPr>
                <w:color w:val="000000"/>
                <w:sz w:val="22"/>
                <w:szCs w:val="22"/>
                <w:lang w:val="es-GT" w:eastAsia="es-GT"/>
              </w:rPr>
            </w:pPr>
            <w:r w:rsidRPr="000362BF">
              <w:rPr>
                <w:color w:val="000000"/>
                <w:sz w:val="22"/>
                <w:szCs w:val="22"/>
                <w:lang w:val="es-GT" w:eastAsia="es-GT"/>
              </w:rPr>
              <w:t>185.1</w:t>
            </w:r>
          </w:p>
        </w:tc>
        <w:tc>
          <w:tcPr>
            <w:tcW w:w="1139" w:type="dxa"/>
            <w:tcBorders>
              <w:top w:val="nil"/>
              <w:left w:val="nil"/>
              <w:bottom w:val="nil"/>
              <w:right w:val="single" w:sz="8" w:space="0" w:color="auto"/>
            </w:tcBorders>
            <w:shd w:val="clear" w:color="000000" w:fill="FFFFFF"/>
            <w:noWrap/>
            <w:vAlign w:val="bottom"/>
            <w:hideMark/>
          </w:tcPr>
          <w:p w:rsidR="00AB0496" w:rsidRPr="000362BF" w:rsidRDefault="00AB0496" w:rsidP="00AB0496">
            <w:pPr>
              <w:jc w:val="right"/>
              <w:rPr>
                <w:color w:val="000000"/>
                <w:sz w:val="22"/>
                <w:szCs w:val="22"/>
                <w:lang w:val="es-GT" w:eastAsia="es-GT"/>
              </w:rPr>
            </w:pPr>
            <w:r w:rsidRPr="000362BF">
              <w:rPr>
                <w:color w:val="000000"/>
                <w:sz w:val="22"/>
                <w:szCs w:val="22"/>
                <w:lang w:val="es-GT" w:eastAsia="es-GT"/>
              </w:rPr>
              <w:t>7.2%</w:t>
            </w:r>
          </w:p>
        </w:tc>
      </w:tr>
      <w:tr w:rsidR="00AB0496" w:rsidRPr="000362BF" w:rsidTr="00AB0496">
        <w:trPr>
          <w:trHeight w:val="302"/>
        </w:trPr>
        <w:tc>
          <w:tcPr>
            <w:tcW w:w="3998" w:type="dxa"/>
            <w:tcBorders>
              <w:top w:val="nil"/>
              <w:left w:val="single" w:sz="8" w:space="0" w:color="auto"/>
              <w:bottom w:val="nil"/>
              <w:right w:val="nil"/>
            </w:tcBorders>
            <w:shd w:val="clear" w:color="000000" w:fill="FFFFFF"/>
            <w:noWrap/>
            <w:vAlign w:val="bottom"/>
            <w:hideMark/>
          </w:tcPr>
          <w:p w:rsidR="00AB0496" w:rsidRPr="000362BF" w:rsidRDefault="00AB0496" w:rsidP="00F97217">
            <w:pPr>
              <w:ind w:firstLineChars="300" w:firstLine="660"/>
              <w:rPr>
                <w:color w:val="000000"/>
                <w:sz w:val="22"/>
                <w:szCs w:val="22"/>
                <w:lang w:val="es-GT" w:eastAsia="es-GT"/>
              </w:rPr>
            </w:pPr>
            <w:r w:rsidRPr="000362BF">
              <w:rPr>
                <w:color w:val="000000"/>
                <w:sz w:val="22"/>
                <w:szCs w:val="22"/>
                <w:lang w:val="es-GT" w:eastAsia="es-GT"/>
              </w:rPr>
              <w:t xml:space="preserve">Deuda </w:t>
            </w:r>
            <w:r w:rsidR="00F97217">
              <w:rPr>
                <w:color w:val="000000"/>
                <w:sz w:val="22"/>
                <w:szCs w:val="22"/>
                <w:lang w:val="es-GT" w:eastAsia="es-GT"/>
              </w:rPr>
              <w:t>E</w:t>
            </w:r>
            <w:r w:rsidRPr="000362BF">
              <w:rPr>
                <w:color w:val="000000"/>
                <w:sz w:val="22"/>
                <w:szCs w:val="22"/>
                <w:lang w:val="es-GT" w:eastAsia="es-GT"/>
              </w:rPr>
              <w:t>xterna</w:t>
            </w:r>
          </w:p>
        </w:tc>
        <w:tc>
          <w:tcPr>
            <w:tcW w:w="1235" w:type="dxa"/>
            <w:tcBorders>
              <w:top w:val="nil"/>
              <w:left w:val="single" w:sz="4" w:space="0" w:color="auto"/>
              <w:bottom w:val="nil"/>
              <w:right w:val="nil"/>
            </w:tcBorders>
            <w:shd w:val="clear" w:color="000000" w:fill="FFFFFF"/>
            <w:noWrap/>
            <w:vAlign w:val="bottom"/>
            <w:hideMark/>
          </w:tcPr>
          <w:p w:rsidR="00AB0496" w:rsidRPr="000362BF" w:rsidRDefault="00AB0496" w:rsidP="00AB0496">
            <w:pPr>
              <w:jc w:val="right"/>
              <w:rPr>
                <w:sz w:val="22"/>
                <w:szCs w:val="22"/>
                <w:lang w:val="es-GT" w:eastAsia="es-GT"/>
              </w:rPr>
            </w:pPr>
            <w:r w:rsidRPr="000362BF">
              <w:rPr>
                <w:sz w:val="22"/>
                <w:szCs w:val="22"/>
                <w:lang w:val="es-GT" w:eastAsia="es-GT"/>
              </w:rPr>
              <w:t>1,308.8</w:t>
            </w:r>
          </w:p>
        </w:tc>
        <w:tc>
          <w:tcPr>
            <w:tcW w:w="1235" w:type="dxa"/>
            <w:tcBorders>
              <w:top w:val="nil"/>
              <w:left w:val="single" w:sz="4" w:space="0" w:color="auto"/>
              <w:bottom w:val="nil"/>
              <w:right w:val="single" w:sz="4" w:space="0" w:color="auto"/>
            </w:tcBorders>
            <w:shd w:val="clear" w:color="000000" w:fill="FFFFFF"/>
            <w:noWrap/>
            <w:vAlign w:val="bottom"/>
            <w:hideMark/>
          </w:tcPr>
          <w:p w:rsidR="00AB0496" w:rsidRPr="000362BF" w:rsidRDefault="00AB0496" w:rsidP="00AB0496">
            <w:pPr>
              <w:jc w:val="right"/>
              <w:rPr>
                <w:sz w:val="22"/>
                <w:szCs w:val="22"/>
                <w:lang w:val="es-GT" w:eastAsia="es-GT"/>
              </w:rPr>
            </w:pPr>
            <w:r w:rsidRPr="000362BF">
              <w:rPr>
                <w:sz w:val="22"/>
                <w:szCs w:val="22"/>
                <w:lang w:val="es-GT" w:eastAsia="es-GT"/>
              </w:rPr>
              <w:t>1,322.3</w:t>
            </w:r>
          </w:p>
        </w:tc>
        <w:tc>
          <w:tcPr>
            <w:tcW w:w="1219" w:type="dxa"/>
            <w:tcBorders>
              <w:top w:val="nil"/>
              <w:left w:val="nil"/>
              <w:bottom w:val="nil"/>
              <w:right w:val="single" w:sz="4" w:space="0" w:color="auto"/>
            </w:tcBorders>
            <w:shd w:val="clear" w:color="000000" w:fill="FFFFFF"/>
            <w:noWrap/>
            <w:vAlign w:val="bottom"/>
            <w:hideMark/>
          </w:tcPr>
          <w:p w:rsidR="00AB0496" w:rsidRPr="000362BF" w:rsidRDefault="00AB0496" w:rsidP="00AB0496">
            <w:pPr>
              <w:jc w:val="right"/>
              <w:rPr>
                <w:color w:val="000000"/>
                <w:sz w:val="22"/>
                <w:szCs w:val="22"/>
                <w:lang w:val="es-GT" w:eastAsia="es-GT"/>
              </w:rPr>
            </w:pPr>
            <w:r w:rsidRPr="000362BF">
              <w:rPr>
                <w:color w:val="000000"/>
                <w:sz w:val="22"/>
                <w:szCs w:val="22"/>
                <w:lang w:val="es-GT" w:eastAsia="es-GT"/>
              </w:rPr>
              <w:t>13.5</w:t>
            </w:r>
          </w:p>
        </w:tc>
        <w:tc>
          <w:tcPr>
            <w:tcW w:w="1139" w:type="dxa"/>
            <w:tcBorders>
              <w:top w:val="nil"/>
              <w:left w:val="nil"/>
              <w:bottom w:val="nil"/>
              <w:right w:val="single" w:sz="8" w:space="0" w:color="auto"/>
            </w:tcBorders>
            <w:shd w:val="clear" w:color="000000" w:fill="FFFFFF"/>
            <w:noWrap/>
            <w:vAlign w:val="bottom"/>
            <w:hideMark/>
          </w:tcPr>
          <w:p w:rsidR="00AB0496" w:rsidRPr="000362BF" w:rsidRDefault="00AB0496" w:rsidP="00AB0496">
            <w:pPr>
              <w:jc w:val="right"/>
              <w:rPr>
                <w:color w:val="000000"/>
                <w:sz w:val="22"/>
                <w:szCs w:val="22"/>
                <w:lang w:val="es-GT" w:eastAsia="es-GT"/>
              </w:rPr>
            </w:pPr>
            <w:r w:rsidRPr="000362BF">
              <w:rPr>
                <w:color w:val="000000"/>
                <w:sz w:val="22"/>
                <w:szCs w:val="22"/>
                <w:lang w:val="es-GT" w:eastAsia="es-GT"/>
              </w:rPr>
              <w:t>1.0%</w:t>
            </w:r>
          </w:p>
        </w:tc>
      </w:tr>
      <w:tr w:rsidR="00AB0496" w:rsidRPr="000362BF" w:rsidTr="00AB0496">
        <w:trPr>
          <w:trHeight w:val="302"/>
        </w:trPr>
        <w:tc>
          <w:tcPr>
            <w:tcW w:w="3998" w:type="dxa"/>
            <w:tcBorders>
              <w:top w:val="nil"/>
              <w:left w:val="single" w:sz="8" w:space="0" w:color="auto"/>
              <w:bottom w:val="nil"/>
              <w:right w:val="nil"/>
            </w:tcBorders>
            <w:shd w:val="clear" w:color="000000" w:fill="FFFFFF"/>
            <w:noWrap/>
            <w:vAlign w:val="bottom"/>
            <w:hideMark/>
          </w:tcPr>
          <w:p w:rsidR="00AB0496" w:rsidRPr="000362BF" w:rsidRDefault="00AB0496" w:rsidP="00AB0496">
            <w:pPr>
              <w:ind w:firstLineChars="400" w:firstLine="880"/>
              <w:rPr>
                <w:color w:val="000000"/>
                <w:sz w:val="22"/>
                <w:szCs w:val="22"/>
                <w:lang w:val="es-GT" w:eastAsia="es-GT"/>
              </w:rPr>
            </w:pPr>
            <w:r w:rsidRPr="000362BF">
              <w:rPr>
                <w:color w:val="000000"/>
                <w:sz w:val="22"/>
                <w:szCs w:val="22"/>
                <w:lang w:val="es-GT" w:eastAsia="es-GT"/>
              </w:rPr>
              <w:t>Préstamos</w:t>
            </w:r>
          </w:p>
        </w:tc>
        <w:tc>
          <w:tcPr>
            <w:tcW w:w="1235" w:type="dxa"/>
            <w:tcBorders>
              <w:top w:val="nil"/>
              <w:left w:val="single" w:sz="4" w:space="0" w:color="auto"/>
              <w:bottom w:val="nil"/>
              <w:right w:val="nil"/>
            </w:tcBorders>
            <w:shd w:val="clear" w:color="000000" w:fill="FFFFFF"/>
            <w:noWrap/>
            <w:vAlign w:val="bottom"/>
            <w:hideMark/>
          </w:tcPr>
          <w:p w:rsidR="00AB0496" w:rsidRPr="000362BF" w:rsidRDefault="00AB0496" w:rsidP="00AB0496">
            <w:pPr>
              <w:jc w:val="right"/>
              <w:rPr>
                <w:sz w:val="22"/>
                <w:szCs w:val="22"/>
                <w:lang w:val="es-GT" w:eastAsia="es-GT"/>
              </w:rPr>
            </w:pPr>
            <w:r w:rsidRPr="000362BF">
              <w:rPr>
                <w:sz w:val="22"/>
                <w:szCs w:val="22"/>
                <w:lang w:val="es-GT" w:eastAsia="es-GT"/>
              </w:rPr>
              <w:t>812.9</w:t>
            </w:r>
          </w:p>
        </w:tc>
        <w:tc>
          <w:tcPr>
            <w:tcW w:w="1235" w:type="dxa"/>
            <w:tcBorders>
              <w:top w:val="nil"/>
              <w:left w:val="single" w:sz="4" w:space="0" w:color="auto"/>
              <w:bottom w:val="nil"/>
              <w:right w:val="single" w:sz="4" w:space="0" w:color="auto"/>
            </w:tcBorders>
            <w:shd w:val="clear" w:color="000000" w:fill="FFFFFF"/>
            <w:noWrap/>
            <w:vAlign w:val="bottom"/>
            <w:hideMark/>
          </w:tcPr>
          <w:p w:rsidR="00AB0496" w:rsidRPr="000362BF" w:rsidRDefault="00AB0496" w:rsidP="00AB0496">
            <w:pPr>
              <w:jc w:val="right"/>
              <w:rPr>
                <w:sz w:val="22"/>
                <w:szCs w:val="22"/>
                <w:lang w:val="es-GT" w:eastAsia="es-GT"/>
              </w:rPr>
            </w:pPr>
            <w:r w:rsidRPr="000362BF">
              <w:rPr>
                <w:sz w:val="22"/>
                <w:szCs w:val="22"/>
                <w:lang w:val="es-GT" w:eastAsia="es-GT"/>
              </w:rPr>
              <w:t>739.4</w:t>
            </w:r>
          </w:p>
        </w:tc>
        <w:tc>
          <w:tcPr>
            <w:tcW w:w="1219" w:type="dxa"/>
            <w:tcBorders>
              <w:top w:val="nil"/>
              <w:left w:val="nil"/>
              <w:bottom w:val="nil"/>
              <w:right w:val="single" w:sz="4" w:space="0" w:color="auto"/>
            </w:tcBorders>
            <w:shd w:val="clear" w:color="000000" w:fill="FFFFFF"/>
            <w:noWrap/>
            <w:vAlign w:val="bottom"/>
            <w:hideMark/>
          </w:tcPr>
          <w:p w:rsidR="00AB0496" w:rsidRPr="000362BF" w:rsidRDefault="00AB0496" w:rsidP="00AB0496">
            <w:pPr>
              <w:jc w:val="right"/>
              <w:rPr>
                <w:color w:val="000000"/>
                <w:sz w:val="22"/>
                <w:szCs w:val="22"/>
                <w:lang w:val="es-GT" w:eastAsia="es-GT"/>
              </w:rPr>
            </w:pPr>
            <w:r w:rsidRPr="000362BF">
              <w:rPr>
                <w:color w:val="000000"/>
                <w:sz w:val="22"/>
                <w:szCs w:val="22"/>
                <w:lang w:val="es-GT" w:eastAsia="es-GT"/>
              </w:rPr>
              <w:t>-73.4</w:t>
            </w:r>
          </w:p>
        </w:tc>
        <w:tc>
          <w:tcPr>
            <w:tcW w:w="1139" w:type="dxa"/>
            <w:tcBorders>
              <w:top w:val="nil"/>
              <w:left w:val="nil"/>
              <w:bottom w:val="nil"/>
              <w:right w:val="single" w:sz="8" w:space="0" w:color="auto"/>
            </w:tcBorders>
            <w:shd w:val="clear" w:color="000000" w:fill="FFFFFF"/>
            <w:noWrap/>
            <w:vAlign w:val="bottom"/>
            <w:hideMark/>
          </w:tcPr>
          <w:p w:rsidR="00AB0496" w:rsidRPr="000362BF" w:rsidRDefault="00AB0496" w:rsidP="00AB0496">
            <w:pPr>
              <w:jc w:val="right"/>
              <w:rPr>
                <w:color w:val="000000"/>
                <w:sz w:val="22"/>
                <w:szCs w:val="22"/>
                <w:lang w:val="es-GT" w:eastAsia="es-GT"/>
              </w:rPr>
            </w:pPr>
            <w:r w:rsidRPr="000362BF">
              <w:rPr>
                <w:color w:val="000000"/>
                <w:sz w:val="22"/>
                <w:szCs w:val="22"/>
                <w:lang w:val="es-GT" w:eastAsia="es-GT"/>
              </w:rPr>
              <w:t>-9.0%</w:t>
            </w:r>
          </w:p>
        </w:tc>
      </w:tr>
      <w:tr w:rsidR="00AB0496" w:rsidRPr="000362BF" w:rsidTr="00AB0496">
        <w:trPr>
          <w:trHeight w:val="302"/>
        </w:trPr>
        <w:tc>
          <w:tcPr>
            <w:tcW w:w="3998" w:type="dxa"/>
            <w:tcBorders>
              <w:top w:val="nil"/>
              <w:left w:val="single" w:sz="8" w:space="0" w:color="auto"/>
              <w:bottom w:val="nil"/>
              <w:right w:val="nil"/>
            </w:tcBorders>
            <w:shd w:val="clear" w:color="000000" w:fill="FFFFFF"/>
            <w:noWrap/>
            <w:vAlign w:val="bottom"/>
            <w:hideMark/>
          </w:tcPr>
          <w:p w:rsidR="00AB0496" w:rsidRPr="000362BF" w:rsidRDefault="00AB0496" w:rsidP="00AB0496">
            <w:pPr>
              <w:ind w:firstLineChars="400" w:firstLine="880"/>
              <w:rPr>
                <w:color w:val="000000"/>
                <w:sz w:val="22"/>
                <w:szCs w:val="22"/>
                <w:lang w:val="es-GT" w:eastAsia="es-GT"/>
              </w:rPr>
            </w:pPr>
            <w:r w:rsidRPr="000362BF">
              <w:rPr>
                <w:color w:val="000000"/>
                <w:sz w:val="22"/>
                <w:szCs w:val="22"/>
                <w:lang w:val="es-GT" w:eastAsia="es-GT"/>
              </w:rPr>
              <w:t>Bonos</w:t>
            </w:r>
          </w:p>
        </w:tc>
        <w:tc>
          <w:tcPr>
            <w:tcW w:w="1235" w:type="dxa"/>
            <w:tcBorders>
              <w:top w:val="nil"/>
              <w:left w:val="single" w:sz="4" w:space="0" w:color="auto"/>
              <w:bottom w:val="nil"/>
              <w:right w:val="nil"/>
            </w:tcBorders>
            <w:shd w:val="clear" w:color="000000" w:fill="FFFFFF"/>
            <w:noWrap/>
            <w:vAlign w:val="bottom"/>
            <w:hideMark/>
          </w:tcPr>
          <w:p w:rsidR="00AB0496" w:rsidRPr="000362BF" w:rsidRDefault="00AB0496" w:rsidP="00AB0496">
            <w:pPr>
              <w:jc w:val="right"/>
              <w:rPr>
                <w:sz w:val="22"/>
                <w:szCs w:val="22"/>
                <w:lang w:val="es-GT" w:eastAsia="es-GT"/>
              </w:rPr>
            </w:pPr>
            <w:r w:rsidRPr="000362BF">
              <w:rPr>
                <w:sz w:val="22"/>
                <w:szCs w:val="22"/>
                <w:lang w:val="es-GT" w:eastAsia="es-GT"/>
              </w:rPr>
              <w:t>496.0</w:t>
            </w:r>
          </w:p>
        </w:tc>
        <w:tc>
          <w:tcPr>
            <w:tcW w:w="1235" w:type="dxa"/>
            <w:tcBorders>
              <w:top w:val="nil"/>
              <w:left w:val="single" w:sz="4" w:space="0" w:color="auto"/>
              <w:bottom w:val="nil"/>
              <w:right w:val="single" w:sz="4" w:space="0" w:color="auto"/>
            </w:tcBorders>
            <w:shd w:val="clear" w:color="000000" w:fill="FFFFFF"/>
            <w:noWrap/>
            <w:vAlign w:val="bottom"/>
            <w:hideMark/>
          </w:tcPr>
          <w:p w:rsidR="00AB0496" w:rsidRPr="000362BF" w:rsidRDefault="00AB0496" w:rsidP="00AB0496">
            <w:pPr>
              <w:jc w:val="right"/>
              <w:rPr>
                <w:sz w:val="22"/>
                <w:szCs w:val="22"/>
                <w:lang w:val="es-GT" w:eastAsia="es-GT"/>
              </w:rPr>
            </w:pPr>
            <w:r w:rsidRPr="000362BF">
              <w:rPr>
                <w:sz w:val="22"/>
                <w:szCs w:val="22"/>
                <w:lang w:val="es-GT" w:eastAsia="es-GT"/>
              </w:rPr>
              <w:t>582.9</w:t>
            </w:r>
          </w:p>
        </w:tc>
        <w:tc>
          <w:tcPr>
            <w:tcW w:w="1219" w:type="dxa"/>
            <w:tcBorders>
              <w:top w:val="nil"/>
              <w:left w:val="nil"/>
              <w:bottom w:val="nil"/>
              <w:right w:val="single" w:sz="4" w:space="0" w:color="auto"/>
            </w:tcBorders>
            <w:shd w:val="clear" w:color="000000" w:fill="FFFFFF"/>
            <w:noWrap/>
            <w:vAlign w:val="bottom"/>
            <w:hideMark/>
          </w:tcPr>
          <w:p w:rsidR="00AB0496" w:rsidRPr="000362BF" w:rsidRDefault="00AB0496" w:rsidP="00AB0496">
            <w:pPr>
              <w:jc w:val="right"/>
              <w:rPr>
                <w:color w:val="000000"/>
                <w:sz w:val="22"/>
                <w:szCs w:val="22"/>
                <w:lang w:val="es-GT" w:eastAsia="es-GT"/>
              </w:rPr>
            </w:pPr>
            <w:r w:rsidRPr="000362BF">
              <w:rPr>
                <w:color w:val="000000"/>
                <w:sz w:val="22"/>
                <w:szCs w:val="22"/>
                <w:lang w:val="es-GT" w:eastAsia="es-GT"/>
              </w:rPr>
              <w:t>86.9</w:t>
            </w:r>
          </w:p>
        </w:tc>
        <w:tc>
          <w:tcPr>
            <w:tcW w:w="1139" w:type="dxa"/>
            <w:tcBorders>
              <w:top w:val="nil"/>
              <w:left w:val="nil"/>
              <w:bottom w:val="nil"/>
              <w:right w:val="single" w:sz="8" w:space="0" w:color="auto"/>
            </w:tcBorders>
            <w:shd w:val="clear" w:color="000000" w:fill="FFFFFF"/>
            <w:noWrap/>
            <w:vAlign w:val="bottom"/>
            <w:hideMark/>
          </w:tcPr>
          <w:p w:rsidR="00AB0496" w:rsidRPr="000362BF" w:rsidRDefault="00AB0496" w:rsidP="00AB0496">
            <w:pPr>
              <w:jc w:val="right"/>
              <w:rPr>
                <w:color w:val="000000"/>
                <w:sz w:val="22"/>
                <w:szCs w:val="22"/>
                <w:lang w:val="es-GT" w:eastAsia="es-GT"/>
              </w:rPr>
            </w:pPr>
            <w:r w:rsidRPr="000362BF">
              <w:rPr>
                <w:color w:val="000000"/>
                <w:sz w:val="22"/>
                <w:szCs w:val="22"/>
                <w:lang w:val="es-GT" w:eastAsia="es-GT"/>
              </w:rPr>
              <w:t>17.5%</w:t>
            </w:r>
          </w:p>
        </w:tc>
      </w:tr>
      <w:tr w:rsidR="00AB0496" w:rsidRPr="000362BF" w:rsidTr="00AB0496">
        <w:trPr>
          <w:trHeight w:val="302"/>
        </w:trPr>
        <w:tc>
          <w:tcPr>
            <w:tcW w:w="3998" w:type="dxa"/>
            <w:tcBorders>
              <w:top w:val="nil"/>
              <w:left w:val="single" w:sz="8" w:space="0" w:color="auto"/>
              <w:bottom w:val="nil"/>
              <w:right w:val="nil"/>
            </w:tcBorders>
            <w:shd w:val="clear" w:color="000000" w:fill="FFFFFF"/>
            <w:noWrap/>
            <w:vAlign w:val="bottom"/>
            <w:hideMark/>
          </w:tcPr>
          <w:p w:rsidR="00AB0496" w:rsidRPr="000362BF" w:rsidRDefault="00AB0496" w:rsidP="00AB0496">
            <w:pPr>
              <w:ind w:firstLineChars="200" w:firstLine="440"/>
              <w:rPr>
                <w:color w:val="000000"/>
                <w:sz w:val="22"/>
                <w:szCs w:val="22"/>
                <w:lang w:val="es-GT" w:eastAsia="es-GT"/>
              </w:rPr>
            </w:pPr>
            <w:r w:rsidRPr="000362BF">
              <w:rPr>
                <w:color w:val="000000"/>
                <w:sz w:val="22"/>
                <w:szCs w:val="22"/>
                <w:lang w:val="es-GT" w:eastAsia="es-GT"/>
              </w:rPr>
              <w:t>Arrendamiento de Tierra y Terrenos</w:t>
            </w:r>
          </w:p>
        </w:tc>
        <w:tc>
          <w:tcPr>
            <w:tcW w:w="1235" w:type="dxa"/>
            <w:tcBorders>
              <w:top w:val="nil"/>
              <w:left w:val="single" w:sz="4" w:space="0" w:color="auto"/>
              <w:bottom w:val="nil"/>
              <w:right w:val="nil"/>
            </w:tcBorders>
            <w:shd w:val="clear" w:color="000000" w:fill="FFFFFF"/>
            <w:noWrap/>
            <w:vAlign w:val="bottom"/>
            <w:hideMark/>
          </w:tcPr>
          <w:p w:rsidR="00AB0496" w:rsidRPr="000362BF" w:rsidRDefault="00AB0496" w:rsidP="00AB0496">
            <w:pPr>
              <w:jc w:val="right"/>
              <w:rPr>
                <w:sz w:val="22"/>
                <w:szCs w:val="22"/>
                <w:lang w:val="es-GT" w:eastAsia="es-GT"/>
              </w:rPr>
            </w:pPr>
            <w:r w:rsidRPr="000362BF">
              <w:rPr>
                <w:sz w:val="22"/>
                <w:szCs w:val="22"/>
                <w:lang w:val="es-GT" w:eastAsia="es-GT"/>
              </w:rPr>
              <w:t>0.0</w:t>
            </w:r>
          </w:p>
        </w:tc>
        <w:tc>
          <w:tcPr>
            <w:tcW w:w="1235" w:type="dxa"/>
            <w:tcBorders>
              <w:top w:val="nil"/>
              <w:left w:val="single" w:sz="4" w:space="0" w:color="auto"/>
              <w:bottom w:val="nil"/>
              <w:right w:val="single" w:sz="4" w:space="0" w:color="auto"/>
            </w:tcBorders>
            <w:shd w:val="clear" w:color="000000" w:fill="FFFFFF"/>
            <w:noWrap/>
            <w:vAlign w:val="bottom"/>
            <w:hideMark/>
          </w:tcPr>
          <w:p w:rsidR="00AB0496" w:rsidRPr="000362BF" w:rsidRDefault="00AB0496" w:rsidP="00AB0496">
            <w:pPr>
              <w:jc w:val="right"/>
              <w:rPr>
                <w:sz w:val="22"/>
                <w:szCs w:val="22"/>
                <w:lang w:val="es-GT" w:eastAsia="es-GT"/>
              </w:rPr>
            </w:pPr>
            <w:r w:rsidRPr="000362BF">
              <w:rPr>
                <w:sz w:val="22"/>
                <w:szCs w:val="22"/>
                <w:lang w:val="es-GT" w:eastAsia="es-GT"/>
              </w:rPr>
              <w:t>0.1</w:t>
            </w:r>
          </w:p>
        </w:tc>
        <w:tc>
          <w:tcPr>
            <w:tcW w:w="1219" w:type="dxa"/>
            <w:tcBorders>
              <w:top w:val="nil"/>
              <w:left w:val="nil"/>
              <w:bottom w:val="nil"/>
              <w:right w:val="single" w:sz="4" w:space="0" w:color="auto"/>
            </w:tcBorders>
            <w:shd w:val="clear" w:color="000000" w:fill="FFFFFF"/>
            <w:noWrap/>
            <w:vAlign w:val="bottom"/>
            <w:hideMark/>
          </w:tcPr>
          <w:p w:rsidR="00AB0496" w:rsidRPr="000362BF" w:rsidRDefault="00AB0496" w:rsidP="00AB0496">
            <w:pPr>
              <w:jc w:val="right"/>
              <w:rPr>
                <w:color w:val="000000"/>
                <w:sz w:val="22"/>
                <w:szCs w:val="22"/>
                <w:lang w:val="es-GT" w:eastAsia="es-GT"/>
              </w:rPr>
            </w:pPr>
            <w:r w:rsidRPr="000362BF">
              <w:rPr>
                <w:color w:val="000000"/>
                <w:sz w:val="22"/>
                <w:szCs w:val="22"/>
                <w:lang w:val="es-GT" w:eastAsia="es-GT"/>
              </w:rPr>
              <w:t>0.1</w:t>
            </w:r>
          </w:p>
        </w:tc>
        <w:tc>
          <w:tcPr>
            <w:tcW w:w="1139" w:type="dxa"/>
            <w:tcBorders>
              <w:top w:val="nil"/>
              <w:left w:val="nil"/>
              <w:bottom w:val="nil"/>
              <w:right w:val="single" w:sz="8" w:space="0" w:color="auto"/>
            </w:tcBorders>
            <w:shd w:val="clear" w:color="000000" w:fill="FFFFFF"/>
            <w:noWrap/>
            <w:vAlign w:val="bottom"/>
            <w:hideMark/>
          </w:tcPr>
          <w:p w:rsidR="00AB0496" w:rsidRPr="000362BF" w:rsidRDefault="00AB0496" w:rsidP="00AB0496">
            <w:pPr>
              <w:jc w:val="right"/>
              <w:rPr>
                <w:color w:val="000000"/>
                <w:sz w:val="22"/>
                <w:szCs w:val="22"/>
                <w:lang w:val="es-GT" w:eastAsia="es-GT"/>
              </w:rPr>
            </w:pPr>
            <w:r w:rsidRPr="000362BF">
              <w:rPr>
                <w:color w:val="000000"/>
                <w:sz w:val="22"/>
                <w:szCs w:val="22"/>
                <w:lang w:val="es-GT" w:eastAsia="es-GT"/>
              </w:rPr>
              <w:t>119.4%</w:t>
            </w:r>
          </w:p>
        </w:tc>
      </w:tr>
      <w:tr w:rsidR="00AB0496" w:rsidRPr="000362BF" w:rsidTr="00AB0496">
        <w:trPr>
          <w:trHeight w:val="302"/>
        </w:trPr>
        <w:tc>
          <w:tcPr>
            <w:tcW w:w="3998" w:type="dxa"/>
            <w:tcBorders>
              <w:top w:val="nil"/>
              <w:left w:val="single" w:sz="8" w:space="0" w:color="auto"/>
              <w:bottom w:val="nil"/>
              <w:right w:val="nil"/>
            </w:tcBorders>
            <w:shd w:val="clear" w:color="000000" w:fill="FFFFFF"/>
            <w:noWrap/>
            <w:vAlign w:val="bottom"/>
            <w:hideMark/>
          </w:tcPr>
          <w:p w:rsidR="00AB0496" w:rsidRPr="000362BF" w:rsidRDefault="00AB0496" w:rsidP="00AB0496">
            <w:pPr>
              <w:ind w:firstLineChars="200" w:firstLine="440"/>
              <w:rPr>
                <w:color w:val="000000"/>
                <w:sz w:val="22"/>
                <w:szCs w:val="22"/>
                <w:lang w:val="es-GT" w:eastAsia="es-GT"/>
              </w:rPr>
            </w:pPr>
            <w:r w:rsidRPr="000362BF">
              <w:rPr>
                <w:color w:val="000000"/>
                <w:sz w:val="22"/>
                <w:szCs w:val="22"/>
                <w:lang w:val="es-GT" w:eastAsia="es-GT"/>
              </w:rPr>
              <w:t>Derechos Sobre Bienes Intangibles</w:t>
            </w:r>
          </w:p>
        </w:tc>
        <w:tc>
          <w:tcPr>
            <w:tcW w:w="1235" w:type="dxa"/>
            <w:tcBorders>
              <w:top w:val="nil"/>
              <w:left w:val="single" w:sz="4" w:space="0" w:color="auto"/>
              <w:bottom w:val="nil"/>
              <w:right w:val="nil"/>
            </w:tcBorders>
            <w:shd w:val="clear" w:color="000000" w:fill="FFFFFF"/>
            <w:noWrap/>
            <w:vAlign w:val="bottom"/>
            <w:hideMark/>
          </w:tcPr>
          <w:p w:rsidR="00AB0496" w:rsidRPr="000362BF" w:rsidRDefault="00AB0496" w:rsidP="00AB0496">
            <w:pPr>
              <w:jc w:val="right"/>
              <w:rPr>
                <w:sz w:val="22"/>
                <w:szCs w:val="22"/>
                <w:lang w:val="es-GT" w:eastAsia="es-GT"/>
              </w:rPr>
            </w:pPr>
            <w:r w:rsidRPr="000362BF">
              <w:rPr>
                <w:sz w:val="22"/>
                <w:szCs w:val="22"/>
                <w:lang w:val="es-GT" w:eastAsia="es-GT"/>
              </w:rPr>
              <w:t>6.4</w:t>
            </w:r>
          </w:p>
        </w:tc>
        <w:tc>
          <w:tcPr>
            <w:tcW w:w="1235" w:type="dxa"/>
            <w:tcBorders>
              <w:top w:val="nil"/>
              <w:left w:val="single" w:sz="4" w:space="0" w:color="auto"/>
              <w:bottom w:val="nil"/>
              <w:right w:val="single" w:sz="4" w:space="0" w:color="auto"/>
            </w:tcBorders>
            <w:shd w:val="clear" w:color="000000" w:fill="FFFFFF"/>
            <w:noWrap/>
            <w:vAlign w:val="bottom"/>
            <w:hideMark/>
          </w:tcPr>
          <w:p w:rsidR="00AB0496" w:rsidRPr="000362BF" w:rsidRDefault="00AB0496" w:rsidP="00AB0496">
            <w:pPr>
              <w:jc w:val="right"/>
              <w:rPr>
                <w:sz w:val="22"/>
                <w:szCs w:val="22"/>
                <w:lang w:val="es-GT" w:eastAsia="es-GT"/>
              </w:rPr>
            </w:pPr>
            <w:r w:rsidRPr="000362BF">
              <w:rPr>
                <w:sz w:val="22"/>
                <w:szCs w:val="22"/>
                <w:lang w:val="es-GT" w:eastAsia="es-GT"/>
              </w:rPr>
              <w:t>6.7</w:t>
            </w:r>
          </w:p>
        </w:tc>
        <w:tc>
          <w:tcPr>
            <w:tcW w:w="1219" w:type="dxa"/>
            <w:tcBorders>
              <w:top w:val="nil"/>
              <w:left w:val="nil"/>
              <w:bottom w:val="nil"/>
              <w:right w:val="single" w:sz="4" w:space="0" w:color="auto"/>
            </w:tcBorders>
            <w:shd w:val="clear" w:color="000000" w:fill="FFFFFF"/>
            <w:noWrap/>
            <w:vAlign w:val="bottom"/>
            <w:hideMark/>
          </w:tcPr>
          <w:p w:rsidR="00AB0496" w:rsidRPr="000362BF" w:rsidRDefault="00AB0496" w:rsidP="00AB0496">
            <w:pPr>
              <w:jc w:val="right"/>
              <w:rPr>
                <w:color w:val="000000"/>
                <w:sz w:val="22"/>
                <w:szCs w:val="22"/>
                <w:lang w:val="es-GT" w:eastAsia="es-GT"/>
              </w:rPr>
            </w:pPr>
            <w:r w:rsidRPr="000362BF">
              <w:rPr>
                <w:color w:val="000000"/>
                <w:sz w:val="22"/>
                <w:szCs w:val="22"/>
                <w:lang w:val="es-GT" w:eastAsia="es-GT"/>
              </w:rPr>
              <w:t>0.3</w:t>
            </w:r>
          </w:p>
        </w:tc>
        <w:tc>
          <w:tcPr>
            <w:tcW w:w="1139" w:type="dxa"/>
            <w:tcBorders>
              <w:top w:val="nil"/>
              <w:left w:val="nil"/>
              <w:bottom w:val="nil"/>
              <w:right w:val="single" w:sz="8" w:space="0" w:color="auto"/>
            </w:tcBorders>
            <w:shd w:val="clear" w:color="000000" w:fill="FFFFFF"/>
            <w:noWrap/>
            <w:vAlign w:val="bottom"/>
            <w:hideMark/>
          </w:tcPr>
          <w:p w:rsidR="00AB0496" w:rsidRPr="000362BF" w:rsidRDefault="00AB0496" w:rsidP="00AB0496">
            <w:pPr>
              <w:jc w:val="right"/>
              <w:rPr>
                <w:color w:val="000000"/>
                <w:sz w:val="22"/>
                <w:szCs w:val="22"/>
                <w:lang w:val="es-GT" w:eastAsia="es-GT"/>
              </w:rPr>
            </w:pPr>
            <w:r w:rsidRPr="000362BF">
              <w:rPr>
                <w:color w:val="000000"/>
                <w:sz w:val="22"/>
                <w:szCs w:val="22"/>
                <w:lang w:val="es-GT" w:eastAsia="es-GT"/>
              </w:rPr>
              <w:t>4.1%</w:t>
            </w:r>
          </w:p>
        </w:tc>
      </w:tr>
      <w:tr w:rsidR="00AB0496" w:rsidRPr="000362BF" w:rsidTr="00AB0496">
        <w:trPr>
          <w:trHeight w:val="302"/>
        </w:trPr>
        <w:tc>
          <w:tcPr>
            <w:tcW w:w="3998" w:type="dxa"/>
            <w:tcBorders>
              <w:top w:val="nil"/>
              <w:left w:val="single" w:sz="8" w:space="0" w:color="auto"/>
              <w:bottom w:val="nil"/>
              <w:right w:val="nil"/>
            </w:tcBorders>
            <w:shd w:val="clear" w:color="000000" w:fill="FFFFFF"/>
            <w:noWrap/>
            <w:vAlign w:val="bottom"/>
            <w:hideMark/>
          </w:tcPr>
          <w:p w:rsidR="00AB0496" w:rsidRPr="000362BF" w:rsidRDefault="00AB0496" w:rsidP="00AB0496">
            <w:pPr>
              <w:ind w:firstLineChars="200" w:firstLine="440"/>
              <w:rPr>
                <w:color w:val="000000"/>
                <w:sz w:val="22"/>
                <w:szCs w:val="22"/>
                <w:lang w:val="es-GT" w:eastAsia="es-GT"/>
              </w:rPr>
            </w:pPr>
            <w:r w:rsidRPr="000362BF">
              <w:rPr>
                <w:color w:val="000000"/>
                <w:sz w:val="22"/>
                <w:szCs w:val="22"/>
                <w:lang w:val="es-GT" w:eastAsia="es-GT"/>
              </w:rPr>
              <w:t>Transferencias</w:t>
            </w:r>
          </w:p>
        </w:tc>
        <w:tc>
          <w:tcPr>
            <w:tcW w:w="1235" w:type="dxa"/>
            <w:tcBorders>
              <w:top w:val="nil"/>
              <w:left w:val="single" w:sz="4" w:space="0" w:color="auto"/>
              <w:bottom w:val="nil"/>
              <w:right w:val="nil"/>
            </w:tcBorders>
            <w:shd w:val="clear" w:color="000000" w:fill="FFFFFF"/>
            <w:noWrap/>
            <w:vAlign w:val="bottom"/>
            <w:hideMark/>
          </w:tcPr>
          <w:p w:rsidR="00AB0496" w:rsidRPr="000362BF" w:rsidRDefault="00AB0496" w:rsidP="00AB0496">
            <w:pPr>
              <w:jc w:val="right"/>
              <w:rPr>
                <w:sz w:val="22"/>
                <w:szCs w:val="22"/>
                <w:lang w:val="es-GT" w:eastAsia="es-GT"/>
              </w:rPr>
            </w:pPr>
            <w:r w:rsidRPr="000362BF">
              <w:rPr>
                <w:sz w:val="22"/>
                <w:szCs w:val="22"/>
                <w:lang w:val="es-GT" w:eastAsia="es-GT"/>
              </w:rPr>
              <w:t>6,216.4</w:t>
            </w:r>
          </w:p>
        </w:tc>
        <w:tc>
          <w:tcPr>
            <w:tcW w:w="1235" w:type="dxa"/>
            <w:tcBorders>
              <w:top w:val="nil"/>
              <w:left w:val="single" w:sz="4" w:space="0" w:color="auto"/>
              <w:bottom w:val="nil"/>
              <w:right w:val="single" w:sz="4" w:space="0" w:color="auto"/>
            </w:tcBorders>
            <w:shd w:val="clear" w:color="000000" w:fill="FFFFFF"/>
            <w:noWrap/>
            <w:vAlign w:val="bottom"/>
            <w:hideMark/>
          </w:tcPr>
          <w:p w:rsidR="00AB0496" w:rsidRPr="000362BF" w:rsidRDefault="00AB0496" w:rsidP="00AB0496">
            <w:pPr>
              <w:jc w:val="right"/>
              <w:rPr>
                <w:sz w:val="22"/>
                <w:szCs w:val="22"/>
                <w:lang w:val="es-GT" w:eastAsia="es-GT"/>
              </w:rPr>
            </w:pPr>
            <w:r w:rsidRPr="000362BF">
              <w:rPr>
                <w:sz w:val="22"/>
                <w:szCs w:val="22"/>
                <w:lang w:val="es-GT" w:eastAsia="es-GT"/>
              </w:rPr>
              <w:t>6,418.3</w:t>
            </w:r>
          </w:p>
        </w:tc>
        <w:tc>
          <w:tcPr>
            <w:tcW w:w="1219" w:type="dxa"/>
            <w:tcBorders>
              <w:top w:val="nil"/>
              <w:left w:val="nil"/>
              <w:bottom w:val="nil"/>
              <w:right w:val="single" w:sz="4" w:space="0" w:color="auto"/>
            </w:tcBorders>
            <w:shd w:val="clear" w:color="000000" w:fill="FFFFFF"/>
            <w:noWrap/>
            <w:vAlign w:val="bottom"/>
            <w:hideMark/>
          </w:tcPr>
          <w:p w:rsidR="00AB0496" w:rsidRPr="000362BF" w:rsidRDefault="00AB0496" w:rsidP="00AB0496">
            <w:pPr>
              <w:jc w:val="right"/>
              <w:rPr>
                <w:color w:val="000000"/>
                <w:sz w:val="22"/>
                <w:szCs w:val="22"/>
                <w:lang w:val="es-GT" w:eastAsia="es-GT"/>
              </w:rPr>
            </w:pPr>
            <w:r w:rsidRPr="000362BF">
              <w:rPr>
                <w:color w:val="000000"/>
                <w:sz w:val="22"/>
                <w:szCs w:val="22"/>
                <w:lang w:val="es-GT" w:eastAsia="es-GT"/>
              </w:rPr>
              <w:t>201.8</w:t>
            </w:r>
          </w:p>
        </w:tc>
        <w:tc>
          <w:tcPr>
            <w:tcW w:w="1139" w:type="dxa"/>
            <w:tcBorders>
              <w:top w:val="nil"/>
              <w:left w:val="nil"/>
              <w:bottom w:val="nil"/>
              <w:right w:val="single" w:sz="8" w:space="0" w:color="auto"/>
            </w:tcBorders>
            <w:shd w:val="clear" w:color="000000" w:fill="FFFFFF"/>
            <w:noWrap/>
            <w:vAlign w:val="bottom"/>
            <w:hideMark/>
          </w:tcPr>
          <w:p w:rsidR="00AB0496" w:rsidRPr="000362BF" w:rsidRDefault="00AB0496" w:rsidP="00AB0496">
            <w:pPr>
              <w:jc w:val="right"/>
              <w:rPr>
                <w:color w:val="000000"/>
                <w:sz w:val="22"/>
                <w:szCs w:val="22"/>
                <w:lang w:val="es-GT" w:eastAsia="es-GT"/>
              </w:rPr>
            </w:pPr>
            <w:r w:rsidRPr="000362BF">
              <w:rPr>
                <w:color w:val="000000"/>
                <w:sz w:val="22"/>
                <w:szCs w:val="22"/>
                <w:lang w:val="es-GT" w:eastAsia="es-GT"/>
              </w:rPr>
              <w:t>3.2%</w:t>
            </w:r>
          </w:p>
        </w:tc>
      </w:tr>
      <w:tr w:rsidR="00AB0496" w:rsidRPr="000362BF" w:rsidTr="00AB0496">
        <w:trPr>
          <w:trHeight w:val="302"/>
        </w:trPr>
        <w:tc>
          <w:tcPr>
            <w:tcW w:w="3998" w:type="dxa"/>
            <w:tcBorders>
              <w:top w:val="nil"/>
              <w:left w:val="single" w:sz="8" w:space="0" w:color="auto"/>
              <w:bottom w:val="nil"/>
              <w:right w:val="nil"/>
            </w:tcBorders>
            <w:shd w:val="clear" w:color="000000" w:fill="FFFFFF"/>
            <w:noWrap/>
            <w:vAlign w:val="bottom"/>
            <w:hideMark/>
          </w:tcPr>
          <w:p w:rsidR="00AB0496" w:rsidRPr="000362BF" w:rsidRDefault="00AB0496" w:rsidP="00AB0496">
            <w:pPr>
              <w:ind w:firstLineChars="300" w:firstLine="660"/>
              <w:rPr>
                <w:color w:val="000000"/>
                <w:sz w:val="22"/>
                <w:szCs w:val="22"/>
                <w:lang w:val="es-GT" w:eastAsia="es-GT"/>
              </w:rPr>
            </w:pPr>
            <w:r w:rsidRPr="000362BF">
              <w:rPr>
                <w:color w:val="000000"/>
                <w:sz w:val="22"/>
                <w:szCs w:val="22"/>
                <w:lang w:val="es-GT" w:eastAsia="es-GT"/>
              </w:rPr>
              <w:t>Resto del Sector Público</w:t>
            </w:r>
          </w:p>
        </w:tc>
        <w:tc>
          <w:tcPr>
            <w:tcW w:w="1235" w:type="dxa"/>
            <w:tcBorders>
              <w:top w:val="nil"/>
              <w:left w:val="single" w:sz="4" w:space="0" w:color="auto"/>
              <w:bottom w:val="nil"/>
              <w:right w:val="nil"/>
            </w:tcBorders>
            <w:shd w:val="clear" w:color="000000" w:fill="FFFFFF"/>
            <w:noWrap/>
            <w:vAlign w:val="bottom"/>
            <w:hideMark/>
          </w:tcPr>
          <w:p w:rsidR="00AB0496" w:rsidRPr="000362BF" w:rsidRDefault="00AB0496" w:rsidP="00AB0496">
            <w:pPr>
              <w:jc w:val="right"/>
              <w:rPr>
                <w:sz w:val="22"/>
                <w:szCs w:val="22"/>
                <w:lang w:val="es-GT" w:eastAsia="es-GT"/>
              </w:rPr>
            </w:pPr>
            <w:r w:rsidRPr="000362BF">
              <w:rPr>
                <w:sz w:val="22"/>
                <w:szCs w:val="22"/>
                <w:lang w:val="es-GT" w:eastAsia="es-GT"/>
              </w:rPr>
              <w:t>4,958.6</w:t>
            </w:r>
          </w:p>
        </w:tc>
        <w:tc>
          <w:tcPr>
            <w:tcW w:w="1235" w:type="dxa"/>
            <w:tcBorders>
              <w:top w:val="nil"/>
              <w:left w:val="single" w:sz="4" w:space="0" w:color="auto"/>
              <w:bottom w:val="nil"/>
              <w:right w:val="single" w:sz="4" w:space="0" w:color="auto"/>
            </w:tcBorders>
            <w:shd w:val="clear" w:color="000000" w:fill="FFFFFF"/>
            <w:noWrap/>
            <w:vAlign w:val="bottom"/>
            <w:hideMark/>
          </w:tcPr>
          <w:p w:rsidR="00AB0496" w:rsidRPr="000362BF" w:rsidRDefault="00AB0496" w:rsidP="00AB0496">
            <w:pPr>
              <w:jc w:val="right"/>
              <w:rPr>
                <w:sz w:val="22"/>
                <w:szCs w:val="22"/>
                <w:lang w:val="es-GT" w:eastAsia="es-GT"/>
              </w:rPr>
            </w:pPr>
            <w:r w:rsidRPr="000362BF">
              <w:rPr>
                <w:sz w:val="22"/>
                <w:szCs w:val="22"/>
                <w:lang w:val="es-GT" w:eastAsia="es-GT"/>
              </w:rPr>
              <w:t>4,754.3</w:t>
            </w:r>
          </w:p>
        </w:tc>
        <w:tc>
          <w:tcPr>
            <w:tcW w:w="1219" w:type="dxa"/>
            <w:tcBorders>
              <w:top w:val="nil"/>
              <w:left w:val="nil"/>
              <w:bottom w:val="nil"/>
              <w:right w:val="single" w:sz="4" w:space="0" w:color="auto"/>
            </w:tcBorders>
            <w:shd w:val="clear" w:color="000000" w:fill="FFFFFF"/>
            <w:noWrap/>
            <w:vAlign w:val="bottom"/>
            <w:hideMark/>
          </w:tcPr>
          <w:p w:rsidR="00AB0496" w:rsidRPr="000362BF" w:rsidRDefault="00AB0496" w:rsidP="00AB0496">
            <w:pPr>
              <w:jc w:val="right"/>
              <w:rPr>
                <w:color w:val="000000"/>
                <w:sz w:val="22"/>
                <w:szCs w:val="22"/>
                <w:lang w:val="es-GT" w:eastAsia="es-GT"/>
              </w:rPr>
            </w:pPr>
            <w:r w:rsidRPr="000362BF">
              <w:rPr>
                <w:color w:val="000000"/>
                <w:sz w:val="22"/>
                <w:szCs w:val="22"/>
                <w:lang w:val="es-GT" w:eastAsia="es-GT"/>
              </w:rPr>
              <w:t>-204.2</w:t>
            </w:r>
          </w:p>
        </w:tc>
        <w:tc>
          <w:tcPr>
            <w:tcW w:w="1139" w:type="dxa"/>
            <w:tcBorders>
              <w:top w:val="nil"/>
              <w:left w:val="nil"/>
              <w:bottom w:val="nil"/>
              <w:right w:val="single" w:sz="8" w:space="0" w:color="auto"/>
            </w:tcBorders>
            <w:shd w:val="clear" w:color="000000" w:fill="FFFFFF"/>
            <w:noWrap/>
            <w:vAlign w:val="bottom"/>
            <w:hideMark/>
          </w:tcPr>
          <w:p w:rsidR="00AB0496" w:rsidRPr="000362BF" w:rsidRDefault="00AB0496" w:rsidP="00AB0496">
            <w:pPr>
              <w:jc w:val="right"/>
              <w:rPr>
                <w:color w:val="000000"/>
                <w:sz w:val="22"/>
                <w:szCs w:val="22"/>
                <w:lang w:val="es-GT" w:eastAsia="es-GT"/>
              </w:rPr>
            </w:pPr>
            <w:r w:rsidRPr="000362BF">
              <w:rPr>
                <w:color w:val="000000"/>
                <w:sz w:val="22"/>
                <w:szCs w:val="22"/>
                <w:lang w:val="es-GT" w:eastAsia="es-GT"/>
              </w:rPr>
              <w:t>-4.1%</w:t>
            </w:r>
          </w:p>
        </w:tc>
      </w:tr>
      <w:tr w:rsidR="00AB0496" w:rsidRPr="000362BF" w:rsidTr="00AB0496">
        <w:trPr>
          <w:trHeight w:val="302"/>
        </w:trPr>
        <w:tc>
          <w:tcPr>
            <w:tcW w:w="3998" w:type="dxa"/>
            <w:tcBorders>
              <w:top w:val="nil"/>
              <w:left w:val="single" w:sz="8" w:space="0" w:color="auto"/>
              <w:bottom w:val="nil"/>
              <w:right w:val="nil"/>
            </w:tcBorders>
            <w:shd w:val="clear" w:color="000000" w:fill="FFFFFF"/>
            <w:noWrap/>
            <w:vAlign w:val="bottom"/>
            <w:hideMark/>
          </w:tcPr>
          <w:p w:rsidR="00AB0496" w:rsidRPr="000362BF" w:rsidRDefault="00AB0496" w:rsidP="00F97217">
            <w:pPr>
              <w:ind w:firstLineChars="300" w:firstLine="660"/>
              <w:rPr>
                <w:color w:val="000000"/>
                <w:sz w:val="22"/>
                <w:szCs w:val="22"/>
                <w:lang w:val="es-GT" w:eastAsia="es-GT"/>
              </w:rPr>
            </w:pPr>
            <w:r w:rsidRPr="000362BF">
              <w:rPr>
                <w:color w:val="000000"/>
                <w:sz w:val="22"/>
                <w:szCs w:val="22"/>
                <w:lang w:val="es-GT" w:eastAsia="es-GT"/>
              </w:rPr>
              <w:t xml:space="preserve">Sector </w:t>
            </w:r>
            <w:r w:rsidR="00F97217">
              <w:rPr>
                <w:color w:val="000000"/>
                <w:sz w:val="22"/>
                <w:szCs w:val="22"/>
                <w:lang w:val="es-GT" w:eastAsia="es-GT"/>
              </w:rPr>
              <w:t>P</w:t>
            </w:r>
            <w:r w:rsidRPr="000362BF">
              <w:rPr>
                <w:color w:val="000000"/>
                <w:sz w:val="22"/>
                <w:szCs w:val="22"/>
                <w:lang w:val="es-GT" w:eastAsia="es-GT"/>
              </w:rPr>
              <w:t>rivado</w:t>
            </w:r>
          </w:p>
        </w:tc>
        <w:tc>
          <w:tcPr>
            <w:tcW w:w="1235" w:type="dxa"/>
            <w:tcBorders>
              <w:top w:val="nil"/>
              <w:left w:val="single" w:sz="4" w:space="0" w:color="auto"/>
              <w:bottom w:val="nil"/>
              <w:right w:val="nil"/>
            </w:tcBorders>
            <w:shd w:val="clear" w:color="000000" w:fill="FFFFFF"/>
            <w:noWrap/>
            <w:vAlign w:val="bottom"/>
            <w:hideMark/>
          </w:tcPr>
          <w:p w:rsidR="00AB0496" w:rsidRPr="000362BF" w:rsidRDefault="00AB0496" w:rsidP="00AB0496">
            <w:pPr>
              <w:jc w:val="right"/>
              <w:rPr>
                <w:sz w:val="22"/>
                <w:szCs w:val="22"/>
                <w:lang w:val="es-GT" w:eastAsia="es-GT"/>
              </w:rPr>
            </w:pPr>
            <w:r w:rsidRPr="000362BF">
              <w:rPr>
                <w:sz w:val="22"/>
                <w:szCs w:val="22"/>
                <w:lang w:val="es-GT" w:eastAsia="es-GT"/>
              </w:rPr>
              <w:t>1,222.0</w:t>
            </w:r>
          </w:p>
        </w:tc>
        <w:tc>
          <w:tcPr>
            <w:tcW w:w="1235" w:type="dxa"/>
            <w:tcBorders>
              <w:top w:val="nil"/>
              <w:left w:val="single" w:sz="4" w:space="0" w:color="auto"/>
              <w:bottom w:val="nil"/>
              <w:right w:val="single" w:sz="4" w:space="0" w:color="auto"/>
            </w:tcBorders>
            <w:shd w:val="clear" w:color="000000" w:fill="FFFFFF"/>
            <w:noWrap/>
            <w:vAlign w:val="bottom"/>
            <w:hideMark/>
          </w:tcPr>
          <w:p w:rsidR="00AB0496" w:rsidRPr="000362BF" w:rsidRDefault="00AB0496" w:rsidP="00AB0496">
            <w:pPr>
              <w:jc w:val="right"/>
              <w:rPr>
                <w:sz w:val="22"/>
                <w:szCs w:val="22"/>
                <w:lang w:val="es-GT" w:eastAsia="es-GT"/>
              </w:rPr>
            </w:pPr>
            <w:r w:rsidRPr="000362BF">
              <w:rPr>
                <w:sz w:val="22"/>
                <w:szCs w:val="22"/>
                <w:lang w:val="es-GT" w:eastAsia="es-GT"/>
              </w:rPr>
              <w:t>1,628.9</w:t>
            </w:r>
          </w:p>
        </w:tc>
        <w:tc>
          <w:tcPr>
            <w:tcW w:w="1219" w:type="dxa"/>
            <w:tcBorders>
              <w:top w:val="nil"/>
              <w:left w:val="nil"/>
              <w:bottom w:val="nil"/>
              <w:right w:val="single" w:sz="4" w:space="0" w:color="auto"/>
            </w:tcBorders>
            <w:shd w:val="clear" w:color="000000" w:fill="FFFFFF"/>
            <w:noWrap/>
            <w:vAlign w:val="bottom"/>
            <w:hideMark/>
          </w:tcPr>
          <w:p w:rsidR="00AB0496" w:rsidRPr="000362BF" w:rsidRDefault="00AB0496" w:rsidP="00AB0496">
            <w:pPr>
              <w:jc w:val="right"/>
              <w:rPr>
                <w:color w:val="000000"/>
                <w:sz w:val="22"/>
                <w:szCs w:val="22"/>
                <w:lang w:val="es-GT" w:eastAsia="es-GT"/>
              </w:rPr>
            </w:pPr>
            <w:r w:rsidRPr="000362BF">
              <w:rPr>
                <w:color w:val="000000"/>
                <w:sz w:val="22"/>
                <w:szCs w:val="22"/>
                <w:lang w:val="es-GT" w:eastAsia="es-GT"/>
              </w:rPr>
              <w:t>406.8</w:t>
            </w:r>
          </w:p>
        </w:tc>
        <w:tc>
          <w:tcPr>
            <w:tcW w:w="1139" w:type="dxa"/>
            <w:tcBorders>
              <w:top w:val="nil"/>
              <w:left w:val="nil"/>
              <w:bottom w:val="nil"/>
              <w:right w:val="single" w:sz="8" w:space="0" w:color="auto"/>
            </w:tcBorders>
            <w:shd w:val="clear" w:color="000000" w:fill="FFFFFF"/>
            <w:noWrap/>
            <w:vAlign w:val="bottom"/>
            <w:hideMark/>
          </w:tcPr>
          <w:p w:rsidR="00AB0496" w:rsidRPr="000362BF" w:rsidRDefault="00AB0496" w:rsidP="00AB0496">
            <w:pPr>
              <w:jc w:val="right"/>
              <w:rPr>
                <w:color w:val="000000"/>
                <w:sz w:val="22"/>
                <w:szCs w:val="22"/>
                <w:lang w:val="es-GT" w:eastAsia="es-GT"/>
              </w:rPr>
            </w:pPr>
            <w:r w:rsidRPr="000362BF">
              <w:rPr>
                <w:color w:val="000000"/>
                <w:sz w:val="22"/>
                <w:szCs w:val="22"/>
                <w:lang w:val="es-GT" w:eastAsia="es-GT"/>
              </w:rPr>
              <w:t>33.3%</w:t>
            </w:r>
          </w:p>
        </w:tc>
      </w:tr>
      <w:tr w:rsidR="00AB0496" w:rsidRPr="000362BF" w:rsidTr="00AB0496">
        <w:trPr>
          <w:trHeight w:val="302"/>
        </w:trPr>
        <w:tc>
          <w:tcPr>
            <w:tcW w:w="3998" w:type="dxa"/>
            <w:tcBorders>
              <w:top w:val="nil"/>
              <w:left w:val="single" w:sz="8" w:space="0" w:color="auto"/>
              <w:bottom w:val="nil"/>
              <w:right w:val="nil"/>
            </w:tcBorders>
            <w:shd w:val="clear" w:color="000000" w:fill="FFFFFF"/>
            <w:noWrap/>
            <w:vAlign w:val="bottom"/>
            <w:hideMark/>
          </w:tcPr>
          <w:p w:rsidR="00AB0496" w:rsidRPr="000362BF" w:rsidRDefault="00AB0496" w:rsidP="00F97217">
            <w:pPr>
              <w:ind w:firstLineChars="300" w:firstLine="660"/>
              <w:rPr>
                <w:color w:val="000000"/>
                <w:sz w:val="22"/>
                <w:szCs w:val="22"/>
                <w:lang w:val="es-GT" w:eastAsia="es-GT"/>
              </w:rPr>
            </w:pPr>
            <w:r w:rsidRPr="000362BF">
              <w:rPr>
                <w:color w:val="000000"/>
                <w:sz w:val="22"/>
                <w:szCs w:val="22"/>
                <w:lang w:val="es-GT" w:eastAsia="es-GT"/>
              </w:rPr>
              <w:t xml:space="preserve">Sector </w:t>
            </w:r>
            <w:r w:rsidR="00F97217">
              <w:rPr>
                <w:color w:val="000000"/>
                <w:sz w:val="22"/>
                <w:szCs w:val="22"/>
                <w:lang w:val="es-GT" w:eastAsia="es-GT"/>
              </w:rPr>
              <w:t>E</w:t>
            </w:r>
            <w:r w:rsidRPr="000362BF">
              <w:rPr>
                <w:color w:val="000000"/>
                <w:sz w:val="22"/>
                <w:szCs w:val="22"/>
                <w:lang w:val="es-GT" w:eastAsia="es-GT"/>
              </w:rPr>
              <w:t>xterno</w:t>
            </w:r>
          </w:p>
        </w:tc>
        <w:tc>
          <w:tcPr>
            <w:tcW w:w="1235" w:type="dxa"/>
            <w:tcBorders>
              <w:top w:val="nil"/>
              <w:left w:val="single" w:sz="4" w:space="0" w:color="auto"/>
              <w:bottom w:val="nil"/>
              <w:right w:val="nil"/>
            </w:tcBorders>
            <w:shd w:val="clear" w:color="000000" w:fill="FFFFFF"/>
            <w:noWrap/>
            <w:vAlign w:val="bottom"/>
            <w:hideMark/>
          </w:tcPr>
          <w:p w:rsidR="00AB0496" w:rsidRPr="000362BF" w:rsidRDefault="00AB0496" w:rsidP="00AB0496">
            <w:pPr>
              <w:jc w:val="right"/>
              <w:rPr>
                <w:sz w:val="22"/>
                <w:szCs w:val="22"/>
                <w:lang w:val="es-GT" w:eastAsia="es-GT"/>
              </w:rPr>
            </w:pPr>
            <w:r w:rsidRPr="000362BF">
              <w:rPr>
                <w:sz w:val="22"/>
                <w:szCs w:val="22"/>
                <w:lang w:val="es-GT" w:eastAsia="es-GT"/>
              </w:rPr>
              <w:t>35.8</w:t>
            </w:r>
          </w:p>
        </w:tc>
        <w:tc>
          <w:tcPr>
            <w:tcW w:w="1235" w:type="dxa"/>
            <w:tcBorders>
              <w:top w:val="nil"/>
              <w:left w:val="single" w:sz="4" w:space="0" w:color="auto"/>
              <w:bottom w:val="nil"/>
              <w:right w:val="single" w:sz="4" w:space="0" w:color="auto"/>
            </w:tcBorders>
            <w:shd w:val="clear" w:color="000000" w:fill="FFFFFF"/>
            <w:noWrap/>
            <w:vAlign w:val="bottom"/>
            <w:hideMark/>
          </w:tcPr>
          <w:p w:rsidR="00AB0496" w:rsidRPr="000362BF" w:rsidRDefault="00AB0496" w:rsidP="00AB0496">
            <w:pPr>
              <w:jc w:val="right"/>
              <w:rPr>
                <w:sz w:val="22"/>
                <w:szCs w:val="22"/>
                <w:lang w:val="es-GT" w:eastAsia="es-GT"/>
              </w:rPr>
            </w:pPr>
            <w:r w:rsidRPr="000362BF">
              <w:rPr>
                <w:sz w:val="22"/>
                <w:szCs w:val="22"/>
                <w:lang w:val="es-GT" w:eastAsia="es-GT"/>
              </w:rPr>
              <w:t>35.1</w:t>
            </w:r>
          </w:p>
        </w:tc>
        <w:tc>
          <w:tcPr>
            <w:tcW w:w="1219" w:type="dxa"/>
            <w:tcBorders>
              <w:top w:val="nil"/>
              <w:left w:val="nil"/>
              <w:bottom w:val="nil"/>
              <w:right w:val="single" w:sz="4" w:space="0" w:color="auto"/>
            </w:tcBorders>
            <w:shd w:val="clear" w:color="000000" w:fill="FFFFFF"/>
            <w:noWrap/>
            <w:vAlign w:val="bottom"/>
            <w:hideMark/>
          </w:tcPr>
          <w:p w:rsidR="00AB0496" w:rsidRPr="000362BF" w:rsidRDefault="00AB0496" w:rsidP="00AB0496">
            <w:pPr>
              <w:jc w:val="right"/>
              <w:rPr>
                <w:color w:val="000000"/>
                <w:sz w:val="22"/>
                <w:szCs w:val="22"/>
                <w:lang w:val="es-GT" w:eastAsia="es-GT"/>
              </w:rPr>
            </w:pPr>
            <w:r w:rsidRPr="000362BF">
              <w:rPr>
                <w:color w:val="000000"/>
                <w:sz w:val="22"/>
                <w:szCs w:val="22"/>
                <w:lang w:val="es-GT" w:eastAsia="es-GT"/>
              </w:rPr>
              <w:t>-0.8</w:t>
            </w:r>
          </w:p>
        </w:tc>
        <w:tc>
          <w:tcPr>
            <w:tcW w:w="1139" w:type="dxa"/>
            <w:tcBorders>
              <w:top w:val="nil"/>
              <w:left w:val="nil"/>
              <w:bottom w:val="nil"/>
              <w:right w:val="single" w:sz="8" w:space="0" w:color="auto"/>
            </w:tcBorders>
            <w:shd w:val="clear" w:color="000000" w:fill="FFFFFF"/>
            <w:noWrap/>
            <w:vAlign w:val="bottom"/>
            <w:hideMark/>
          </w:tcPr>
          <w:p w:rsidR="00AB0496" w:rsidRPr="000362BF" w:rsidRDefault="00AB0496" w:rsidP="00AB0496">
            <w:pPr>
              <w:jc w:val="right"/>
              <w:rPr>
                <w:color w:val="000000"/>
                <w:sz w:val="22"/>
                <w:szCs w:val="22"/>
                <w:lang w:val="es-GT" w:eastAsia="es-GT"/>
              </w:rPr>
            </w:pPr>
            <w:r w:rsidRPr="000362BF">
              <w:rPr>
                <w:color w:val="000000"/>
                <w:sz w:val="22"/>
                <w:szCs w:val="22"/>
                <w:lang w:val="es-GT" w:eastAsia="es-GT"/>
              </w:rPr>
              <w:t>-2.2%</w:t>
            </w:r>
          </w:p>
        </w:tc>
      </w:tr>
      <w:tr w:rsidR="00AB0496" w:rsidRPr="000362BF" w:rsidTr="00AB0496">
        <w:trPr>
          <w:trHeight w:val="302"/>
        </w:trPr>
        <w:tc>
          <w:tcPr>
            <w:tcW w:w="3998" w:type="dxa"/>
            <w:tcBorders>
              <w:top w:val="nil"/>
              <w:left w:val="single" w:sz="8" w:space="0" w:color="auto"/>
              <w:bottom w:val="nil"/>
              <w:right w:val="nil"/>
            </w:tcBorders>
            <w:shd w:val="clear" w:color="000000" w:fill="FFFFFF"/>
            <w:noWrap/>
            <w:vAlign w:val="bottom"/>
            <w:hideMark/>
          </w:tcPr>
          <w:p w:rsidR="00AB0496" w:rsidRPr="000362BF" w:rsidRDefault="00AB0496" w:rsidP="00AB0496">
            <w:pPr>
              <w:ind w:firstLineChars="100" w:firstLine="221"/>
              <w:rPr>
                <w:b/>
                <w:bCs/>
                <w:color w:val="000000"/>
                <w:sz w:val="22"/>
                <w:szCs w:val="22"/>
                <w:lang w:val="es-GT" w:eastAsia="es-GT"/>
              </w:rPr>
            </w:pPr>
            <w:r w:rsidRPr="000362BF">
              <w:rPr>
                <w:b/>
                <w:bCs/>
                <w:color w:val="000000"/>
                <w:sz w:val="22"/>
                <w:szCs w:val="22"/>
                <w:lang w:val="es-GT" w:eastAsia="es-GT"/>
              </w:rPr>
              <w:t>Gastos de Capital</w:t>
            </w:r>
          </w:p>
        </w:tc>
        <w:tc>
          <w:tcPr>
            <w:tcW w:w="1235" w:type="dxa"/>
            <w:tcBorders>
              <w:top w:val="nil"/>
              <w:left w:val="single" w:sz="4" w:space="0" w:color="auto"/>
              <w:bottom w:val="nil"/>
              <w:right w:val="nil"/>
            </w:tcBorders>
            <w:shd w:val="clear" w:color="000000" w:fill="FFFFFF"/>
            <w:noWrap/>
            <w:vAlign w:val="bottom"/>
            <w:hideMark/>
          </w:tcPr>
          <w:p w:rsidR="00AB0496" w:rsidRPr="000362BF" w:rsidRDefault="00AB0496" w:rsidP="00AB0496">
            <w:pPr>
              <w:jc w:val="right"/>
              <w:rPr>
                <w:b/>
                <w:bCs/>
                <w:sz w:val="22"/>
                <w:szCs w:val="22"/>
                <w:lang w:val="es-GT" w:eastAsia="es-GT"/>
              </w:rPr>
            </w:pPr>
            <w:r w:rsidRPr="000362BF">
              <w:rPr>
                <w:b/>
                <w:bCs/>
                <w:sz w:val="22"/>
                <w:szCs w:val="22"/>
                <w:lang w:val="es-GT" w:eastAsia="es-GT"/>
              </w:rPr>
              <w:t>4,457.8</w:t>
            </w:r>
          </w:p>
        </w:tc>
        <w:tc>
          <w:tcPr>
            <w:tcW w:w="1235" w:type="dxa"/>
            <w:tcBorders>
              <w:top w:val="nil"/>
              <w:left w:val="single" w:sz="4" w:space="0" w:color="auto"/>
              <w:bottom w:val="nil"/>
              <w:right w:val="single" w:sz="4" w:space="0" w:color="auto"/>
            </w:tcBorders>
            <w:shd w:val="clear" w:color="000000" w:fill="FFFFFF"/>
            <w:noWrap/>
            <w:vAlign w:val="bottom"/>
            <w:hideMark/>
          </w:tcPr>
          <w:p w:rsidR="00AB0496" w:rsidRPr="000362BF" w:rsidRDefault="00AB0496" w:rsidP="00AB0496">
            <w:pPr>
              <w:jc w:val="right"/>
              <w:rPr>
                <w:b/>
                <w:bCs/>
                <w:sz w:val="22"/>
                <w:szCs w:val="22"/>
                <w:lang w:val="es-GT" w:eastAsia="es-GT"/>
              </w:rPr>
            </w:pPr>
            <w:r w:rsidRPr="000362BF">
              <w:rPr>
                <w:b/>
                <w:bCs/>
                <w:sz w:val="22"/>
                <w:szCs w:val="22"/>
                <w:lang w:val="es-GT" w:eastAsia="es-GT"/>
              </w:rPr>
              <w:t>4,928.1</w:t>
            </w:r>
          </w:p>
        </w:tc>
        <w:tc>
          <w:tcPr>
            <w:tcW w:w="1219" w:type="dxa"/>
            <w:tcBorders>
              <w:top w:val="nil"/>
              <w:left w:val="nil"/>
              <w:bottom w:val="nil"/>
              <w:right w:val="single" w:sz="4" w:space="0" w:color="auto"/>
            </w:tcBorders>
            <w:shd w:val="clear" w:color="000000" w:fill="FFFFFF"/>
            <w:noWrap/>
            <w:vAlign w:val="bottom"/>
            <w:hideMark/>
          </w:tcPr>
          <w:p w:rsidR="00AB0496" w:rsidRPr="000362BF" w:rsidRDefault="00AB0496" w:rsidP="00AB0496">
            <w:pPr>
              <w:jc w:val="right"/>
              <w:rPr>
                <w:b/>
                <w:bCs/>
                <w:color w:val="000000"/>
                <w:sz w:val="22"/>
                <w:szCs w:val="22"/>
                <w:lang w:val="es-GT" w:eastAsia="es-GT"/>
              </w:rPr>
            </w:pPr>
            <w:r w:rsidRPr="000362BF">
              <w:rPr>
                <w:b/>
                <w:bCs/>
                <w:color w:val="000000"/>
                <w:sz w:val="22"/>
                <w:szCs w:val="22"/>
                <w:lang w:val="es-GT" w:eastAsia="es-GT"/>
              </w:rPr>
              <w:t>470.3</w:t>
            </w:r>
          </w:p>
        </w:tc>
        <w:tc>
          <w:tcPr>
            <w:tcW w:w="1139" w:type="dxa"/>
            <w:tcBorders>
              <w:top w:val="nil"/>
              <w:left w:val="nil"/>
              <w:bottom w:val="nil"/>
              <w:right w:val="single" w:sz="8" w:space="0" w:color="auto"/>
            </w:tcBorders>
            <w:shd w:val="clear" w:color="000000" w:fill="FFFFFF"/>
            <w:noWrap/>
            <w:vAlign w:val="bottom"/>
            <w:hideMark/>
          </w:tcPr>
          <w:p w:rsidR="00AB0496" w:rsidRPr="000362BF" w:rsidRDefault="00AB0496" w:rsidP="00AB0496">
            <w:pPr>
              <w:jc w:val="right"/>
              <w:rPr>
                <w:b/>
                <w:bCs/>
                <w:color w:val="000000"/>
                <w:sz w:val="22"/>
                <w:szCs w:val="22"/>
                <w:lang w:val="es-GT" w:eastAsia="es-GT"/>
              </w:rPr>
            </w:pPr>
            <w:r w:rsidRPr="000362BF">
              <w:rPr>
                <w:b/>
                <w:bCs/>
                <w:color w:val="000000"/>
                <w:sz w:val="22"/>
                <w:szCs w:val="22"/>
                <w:lang w:val="es-GT" w:eastAsia="es-GT"/>
              </w:rPr>
              <w:t>10.5%</w:t>
            </w:r>
          </w:p>
        </w:tc>
      </w:tr>
      <w:tr w:rsidR="00AB0496" w:rsidRPr="000362BF" w:rsidTr="00AB0496">
        <w:trPr>
          <w:trHeight w:val="302"/>
        </w:trPr>
        <w:tc>
          <w:tcPr>
            <w:tcW w:w="3998" w:type="dxa"/>
            <w:tcBorders>
              <w:top w:val="nil"/>
              <w:left w:val="single" w:sz="8" w:space="0" w:color="auto"/>
              <w:bottom w:val="nil"/>
              <w:right w:val="nil"/>
            </w:tcBorders>
            <w:shd w:val="clear" w:color="000000" w:fill="FFFFFF"/>
            <w:noWrap/>
            <w:vAlign w:val="bottom"/>
            <w:hideMark/>
          </w:tcPr>
          <w:p w:rsidR="00AB0496" w:rsidRPr="000362BF" w:rsidRDefault="00AB0496" w:rsidP="00AB0496">
            <w:pPr>
              <w:ind w:firstLineChars="200" w:firstLine="440"/>
              <w:rPr>
                <w:color w:val="000000"/>
                <w:sz w:val="22"/>
                <w:szCs w:val="22"/>
                <w:lang w:val="es-GT" w:eastAsia="es-GT"/>
              </w:rPr>
            </w:pPr>
            <w:r w:rsidRPr="000362BF">
              <w:rPr>
                <w:color w:val="000000"/>
                <w:sz w:val="22"/>
                <w:szCs w:val="22"/>
                <w:lang w:val="es-GT" w:eastAsia="es-GT"/>
              </w:rPr>
              <w:t>Inversión Real Directa</w:t>
            </w:r>
          </w:p>
        </w:tc>
        <w:tc>
          <w:tcPr>
            <w:tcW w:w="1235" w:type="dxa"/>
            <w:tcBorders>
              <w:top w:val="nil"/>
              <w:left w:val="single" w:sz="4" w:space="0" w:color="auto"/>
              <w:bottom w:val="nil"/>
              <w:right w:val="nil"/>
            </w:tcBorders>
            <w:shd w:val="clear" w:color="000000" w:fill="FFFFFF"/>
            <w:noWrap/>
            <w:vAlign w:val="bottom"/>
            <w:hideMark/>
          </w:tcPr>
          <w:p w:rsidR="00AB0496" w:rsidRPr="000362BF" w:rsidRDefault="00AB0496" w:rsidP="00AB0496">
            <w:pPr>
              <w:jc w:val="right"/>
              <w:rPr>
                <w:sz w:val="22"/>
                <w:szCs w:val="22"/>
                <w:lang w:val="es-GT" w:eastAsia="es-GT"/>
              </w:rPr>
            </w:pPr>
            <w:r w:rsidRPr="000362BF">
              <w:rPr>
                <w:sz w:val="22"/>
                <w:szCs w:val="22"/>
                <w:lang w:val="es-GT" w:eastAsia="es-GT"/>
              </w:rPr>
              <w:t>325.4</w:t>
            </w:r>
          </w:p>
        </w:tc>
        <w:tc>
          <w:tcPr>
            <w:tcW w:w="1235" w:type="dxa"/>
            <w:tcBorders>
              <w:top w:val="nil"/>
              <w:left w:val="single" w:sz="4" w:space="0" w:color="auto"/>
              <w:bottom w:val="nil"/>
              <w:right w:val="single" w:sz="4" w:space="0" w:color="auto"/>
            </w:tcBorders>
            <w:shd w:val="clear" w:color="000000" w:fill="FFFFFF"/>
            <w:noWrap/>
            <w:vAlign w:val="bottom"/>
            <w:hideMark/>
          </w:tcPr>
          <w:p w:rsidR="00AB0496" w:rsidRPr="000362BF" w:rsidRDefault="00AB0496" w:rsidP="00AB0496">
            <w:pPr>
              <w:jc w:val="right"/>
              <w:rPr>
                <w:sz w:val="22"/>
                <w:szCs w:val="22"/>
                <w:lang w:val="es-GT" w:eastAsia="es-GT"/>
              </w:rPr>
            </w:pPr>
            <w:r w:rsidRPr="000362BF">
              <w:rPr>
                <w:sz w:val="22"/>
                <w:szCs w:val="22"/>
                <w:lang w:val="es-GT" w:eastAsia="es-GT"/>
              </w:rPr>
              <w:t>984.9</w:t>
            </w:r>
          </w:p>
        </w:tc>
        <w:tc>
          <w:tcPr>
            <w:tcW w:w="1219" w:type="dxa"/>
            <w:tcBorders>
              <w:top w:val="nil"/>
              <w:left w:val="nil"/>
              <w:bottom w:val="nil"/>
              <w:right w:val="single" w:sz="4" w:space="0" w:color="auto"/>
            </w:tcBorders>
            <w:shd w:val="clear" w:color="000000" w:fill="FFFFFF"/>
            <w:noWrap/>
            <w:vAlign w:val="bottom"/>
            <w:hideMark/>
          </w:tcPr>
          <w:p w:rsidR="00AB0496" w:rsidRPr="000362BF" w:rsidRDefault="00AB0496" w:rsidP="00AB0496">
            <w:pPr>
              <w:jc w:val="right"/>
              <w:rPr>
                <w:color w:val="000000"/>
                <w:sz w:val="22"/>
                <w:szCs w:val="22"/>
                <w:lang w:val="es-GT" w:eastAsia="es-GT"/>
              </w:rPr>
            </w:pPr>
            <w:r w:rsidRPr="000362BF">
              <w:rPr>
                <w:color w:val="000000"/>
                <w:sz w:val="22"/>
                <w:szCs w:val="22"/>
                <w:lang w:val="es-GT" w:eastAsia="es-GT"/>
              </w:rPr>
              <w:t>659.4</w:t>
            </w:r>
          </w:p>
        </w:tc>
        <w:tc>
          <w:tcPr>
            <w:tcW w:w="1139" w:type="dxa"/>
            <w:tcBorders>
              <w:top w:val="nil"/>
              <w:left w:val="nil"/>
              <w:bottom w:val="nil"/>
              <w:right w:val="single" w:sz="8" w:space="0" w:color="auto"/>
            </w:tcBorders>
            <w:shd w:val="clear" w:color="000000" w:fill="FFFFFF"/>
            <w:noWrap/>
            <w:vAlign w:val="bottom"/>
            <w:hideMark/>
          </w:tcPr>
          <w:p w:rsidR="00AB0496" w:rsidRPr="000362BF" w:rsidRDefault="00AB0496" w:rsidP="00AB0496">
            <w:pPr>
              <w:jc w:val="right"/>
              <w:rPr>
                <w:color w:val="000000"/>
                <w:sz w:val="22"/>
                <w:szCs w:val="22"/>
                <w:lang w:val="es-GT" w:eastAsia="es-GT"/>
              </w:rPr>
            </w:pPr>
            <w:r w:rsidRPr="000362BF">
              <w:rPr>
                <w:color w:val="000000"/>
                <w:sz w:val="22"/>
                <w:szCs w:val="22"/>
                <w:lang w:val="es-GT" w:eastAsia="es-GT"/>
              </w:rPr>
              <w:t>202.6%</w:t>
            </w:r>
          </w:p>
        </w:tc>
      </w:tr>
      <w:tr w:rsidR="00AB0496" w:rsidRPr="000362BF" w:rsidTr="00AB0496">
        <w:trPr>
          <w:trHeight w:val="302"/>
        </w:trPr>
        <w:tc>
          <w:tcPr>
            <w:tcW w:w="3998" w:type="dxa"/>
            <w:tcBorders>
              <w:top w:val="nil"/>
              <w:left w:val="single" w:sz="8" w:space="0" w:color="auto"/>
              <w:bottom w:val="nil"/>
              <w:right w:val="nil"/>
            </w:tcBorders>
            <w:shd w:val="clear" w:color="000000" w:fill="FFFFFF"/>
            <w:noWrap/>
            <w:vAlign w:val="bottom"/>
            <w:hideMark/>
          </w:tcPr>
          <w:p w:rsidR="00AB0496" w:rsidRPr="000362BF" w:rsidRDefault="00AB0496" w:rsidP="00AB0496">
            <w:pPr>
              <w:ind w:firstLineChars="200" w:firstLine="440"/>
              <w:rPr>
                <w:color w:val="000000"/>
                <w:sz w:val="22"/>
                <w:szCs w:val="22"/>
                <w:lang w:val="es-GT" w:eastAsia="es-GT"/>
              </w:rPr>
            </w:pPr>
            <w:r w:rsidRPr="000362BF">
              <w:rPr>
                <w:color w:val="000000"/>
                <w:sz w:val="22"/>
                <w:szCs w:val="22"/>
                <w:lang w:val="es-GT" w:eastAsia="es-GT"/>
              </w:rPr>
              <w:t>Inversión Financiera</w:t>
            </w:r>
          </w:p>
        </w:tc>
        <w:tc>
          <w:tcPr>
            <w:tcW w:w="1235" w:type="dxa"/>
            <w:tcBorders>
              <w:top w:val="nil"/>
              <w:left w:val="single" w:sz="4" w:space="0" w:color="auto"/>
              <w:bottom w:val="nil"/>
              <w:right w:val="nil"/>
            </w:tcBorders>
            <w:shd w:val="clear" w:color="000000" w:fill="FFFFFF"/>
            <w:noWrap/>
            <w:vAlign w:val="bottom"/>
            <w:hideMark/>
          </w:tcPr>
          <w:p w:rsidR="00AB0496" w:rsidRPr="000362BF" w:rsidRDefault="00AB0496" w:rsidP="00AB0496">
            <w:pPr>
              <w:jc w:val="right"/>
              <w:rPr>
                <w:sz w:val="22"/>
                <w:szCs w:val="22"/>
                <w:lang w:val="es-GT" w:eastAsia="es-GT"/>
              </w:rPr>
            </w:pPr>
            <w:r w:rsidRPr="000362BF">
              <w:rPr>
                <w:sz w:val="22"/>
                <w:szCs w:val="22"/>
                <w:lang w:val="es-GT" w:eastAsia="es-GT"/>
              </w:rPr>
              <w:t>9.9</w:t>
            </w:r>
          </w:p>
        </w:tc>
        <w:tc>
          <w:tcPr>
            <w:tcW w:w="1235" w:type="dxa"/>
            <w:tcBorders>
              <w:top w:val="nil"/>
              <w:left w:val="single" w:sz="4" w:space="0" w:color="auto"/>
              <w:bottom w:val="nil"/>
              <w:right w:val="single" w:sz="4" w:space="0" w:color="auto"/>
            </w:tcBorders>
            <w:shd w:val="clear" w:color="000000" w:fill="FFFFFF"/>
            <w:noWrap/>
            <w:vAlign w:val="bottom"/>
            <w:hideMark/>
          </w:tcPr>
          <w:p w:rsidR="00AB0496" w:rsidRPr="000362BF" w:rsidRDefault="00AB0496" w:rsidP="00AB0496">
            <w:pPr>
              <w:jc w:val="right"/>
              <w:rPr>
                <w:sz w:val="22"/>
                <w:szCs w:val="22"/>
                <w:lang w:val="es-GT" w:eastAsia="es-GT"/>
              </w:rPr>
            </w:pPr>
            <w:r w:rsidRPr="000362BF">
              <w:rPr>
                <w:sz w:val="22"/>
                <w:szCs w:val="22"/>
                <w:lang w:val="es-GT" w:eastAsia="es-GT"/>
              </w:rPr>
              <w:t>0.0</w:t>
            </w:r>
          </w:p>
        </w:tc>
        <w:tc>
          <w:tcPr>
            <w:tcW w:w="1219" w:type="dxa"/>
            <w:tcBorders>
              <w:top w:val="nil"/>
              <w:left w:val="nil"/>
              <w:bottom w:val="nil"/>
              <w:right w:val="single" w:sz="4" w:space="0" w:color="auto"/>
            </w:tcBorders>
            <w:shd w:val="clear" w:color="000000" w:fill="FFFFFF"/>
            <w:noWrap/>
            <w:vAlign w:val="bottom"/>
            <w:hideMark/>
          </w:tcPr>
          <w:p w:rsidR="00AB0496" w:rsidRPr="000362BF" w:rsidRDefault="00AB0496" w:rsidP="00AB0496">
            <w:pPr>
              <w:jc w:val="right"/>
              <w:rPr>
                <w:color w:val="000000"/>
                <w:sz w:val="22"/>
                <w:szCs w:val="22"/>
                <w:lang w:val="es-GT" w:eastAsia="es-GT"/>
              </w:rPr>
            </w:pPr>
            <w:r w:rsidRPr="000362BF">
              <w:rPr>
                <w:color w:val="000000"/>
                <w:sz w:val="22"/>
                <w:szCs w:val="22"/>
                <w:lang w:val="es-GT" w:eastAsia="es-GT"/>
              </w:rPr>
              <w:t>-9.9</w:t>
            </w:r>
          </w:p>
        </w:tc>
        <w:tc>
          <w:tcPr>
            <w:tcW w:w="1139" w:type="dxa"/>
            <w:tcBorders>
              <w:top w:val="nil"/>
              <w:left w:val="nil"/>
              <w:bottom w:val="nil"/>
              <w:right w:val="single" w:sz="8" w:space="0" w:color="auto"/>
            </w:tcBorders>
            <w:shd w:val="clear" w:color="000000" w:fill="FFFFFF"/>
            <w:noWrap/>
            <w:vAlign w:val="bottom"/>
            <w:hideMark/>
          </w:tcPr>
          <w:p w:rsidR="00AB0496" w:rsidRPr="000362BF" w:rsidRDefault="00AB0496" w:rsidP="00AB0496">
            <w:pPr>
              <w:jc w:val="right"/>
              <w:rPr>
                <w:color w:val="000000"/>
                <w:sz w:val="22"/>
                <w:szCs w:val="22"/>
                <w:lang w:val="es-GT" w:eastAsia="es-GT"/>
              </w:rPr>
            </w:pPr>
            <w:r w:rsidRPr="000362BF">
              <w:rPr>
                <w:color w:val="000000"/>
                <w:sz w:val="22"/>
                <w:szCs w:val="22"/>
                <w:lang w:val="es-GT" w:eastAsia="es-GT"/>
              </w:rPr>
              <w:t>-100.0%</w:t>
            </w:r>
          </w:p>
        </w:tc>
      </w:tr>
      <w:tr w:rsidR="00AB0496" w:rsidRPr="000362BF" w:rsidTr="00AB0496">
        <w:trPr>
          <w:trHeight w:val="302"/>
        </w:trPr>
        <w:tc>
          <w:tcPr>
            <w:tcW w:w="3998" w:type="dxa"/>
            <w:tcBorders>
              <w:top w:val="nil"/>
              <w:left w:val="single" w:sz="8" w:space="0" w:color="auto"/>
              <w:bottom w:val="nil"/>
              <w:right w:val="nil"/>
            </w:tcBorders>
            <w:shd w:val="clear" w:color="000000" w:fill="FFFFFF"/>
            <w:noWrap/>
            <w:vAlign w:val="bottom"/>
            <w:hideMark/>
          </w:tcPr>
          <w:p w:rsidR="00AB0496" w:rsidRPr="000362BF" w:rsidRDefault="00AB0496" w:rsidP="00AB0496">
            <w:pPr>
              <w:ind w:firstLineChars="200" w:firstLine="440"/>
              <w:rPr>
                <w:color w:val="000000"/>
                <w:sz w:val="22"/>
                <w:szCs w:val="22"/>
                <w:lang w:val="es-GT" w:eastAsia="es-GT"/>
              </w:rPr>
            </w:pPr>
            <w:r w:rsidRPr="000362BF">
              <w:rPr>
                <w:color w:val="000000"/>
                <w:sz w:val="22"/>
                <w:szCs w:val="22"/>
                <w:lang w:val="es-GT" w:eastAsia="es-GT"/>
              </w:rPr>
              <w:t>Transferencias</w:t>
            </w:r>
          </w:p>
        </w:tc>
        <w:tc>
          <w:tcPr>
            <w:tcW w:w="1235" w:type="dxa"/>
            <w:tcBorders>
              <w:top w:val="nil"/>
              <w:left w:val="single" w:sz="4" w:space="0" w:color="auto"/>
              <w:bottom w:val="nil"/>
              <w:right w:val="nil"/>
            </w:tcBorders>
            <w:shd w:val="clear" w:color="000000" w:fill="FFFFFF"/>
            <w:noWrap/>
            <w:vAlign w:val="bottom"/>
            <w:hideMark/>
          </w:tcPr>
          <w:p w:rsidR="00AB0496" w:rsidRPr="000362BF" w:rsidRDefault="00AB0496" w:rsidP="00AB0496">
            <w:pPr>
              <w:jc w:val="right"/>
              <w:rPr>
                <w:sz w:val="22"/>
                <w:szCs w:val="22"/>
                <w:lang w:val="es-GT" w:eastAsia="es-GT"/>
              </w:rPr>
            </w:pPr>
            <w:r w:rsidRPr="000362BF">
              <w:rPr>
                <w:sz w:val="22"/>
                <w:szCs w:val="22"/>
                <w:lang w:val="es-GT" w:eastAsia="es-GT"/>
              </w:rPr>
              <w:t>4,122.5</w:t>
            </w:r>
          </w:p>
        </w:tc>
        <w:tc>
          <w:tcPr>
            <w:tcW w:w="1235" w:type="dxa"/>
            <w:tcBorders>
              <w:top w:val="nil"/>
              <w:left w:val="single" w:sz="4" w:space="0" w:color="auto"/>
              <w:bottom w:val="nil"/>
              <w:right w:val="single" w:sz="4" w:space="0" w:color="auto"/>
            </w:tcBorders>
            <w:shd w:val="clear" w:color="000000" w:fill="FFFFFF"/>
            <w:noWrap/>
            <w:vAlign w:val="bottom"/>
            <w:hideMark/>
          </w:tcPr>
          <w:p w:rsidR="00AB0496" w:rsidRPr="000362BF" w:rsidRDefault="00AB0496" w:rsidP="00AB0496">
            <w:pPr>
              <w:jc w:val="right"/>
              <w:rPr>
                <w:sz w:val="22"/>
                <w:szCs w:val="22"/>
                <w:lang w:val="es-GT" w:eastAsia="es-GT"/>
              </w:rPr>
            </w:pPr>
            <w:r w:rsidRPr="000362BF">
              <w:rPr>
                <w:sz w:val="22"/>
                <w:szCs w:val="22"/>
                <w:lang w:val="es-GT" w:eastAsia="es-GT"/>
              </w:rPr>
              <w:t>3,943.2</w:t>
            </w:r>
          </w:p>
        </w:tc>
        <w:tc>
          <w:tcPr>
            <w:tcW w:w="1219" w:type="dxa"/>
            <w:tcBorders>
              <w:top w:val="nil"/>
              <w:left w:val="nil"/>
              <w:bottom w:val="nil"/>
              <w:right w:val="single" w:sz="4" w:space="0" w:color="auto"/>
            </w:tcBorders>
            <w:shd w:val="clear" w:color="000000" w:fill="FFFFFF"/>
            <w:noWrap/>
            <w:vAlign w:val="bottom"/>
            <w:hideMark/>
          </w:tcPr>
          <w:p w:rsidR="00AB0496" w:rsidRPr="000362BF" w:rsidRDefault="00AB0496" w:rsidP="00AB0496">
            <w:pPr>
              <w:jc w:val="right"/>
              <w:rPr>
                <w:color w:val="000000"/>
                <w:sz w:val="22"/>
                <w:szCs w:val="22"/>
                <w:lang w:val="es-GT" w:eastAsia="es-GT"/>
              </w:rPr>
            </w:pPr>
            <w:r w:rsidRPr="000362BF">
              <w:rPr>
                <w:color w:val="000000"/>
                <w:sz w:val="22"/>
                <w:szCs w:val="22"/>
                <w:lang w:val="es-GT" w:eastAsia="es-GT"/>
              </w:rPr>
              <w:t>-179.2</w:t>
            </w:r>
          </w:p>
        </w:tc>
        <w:tc>
          <w:tcPr>
            <w:tcW w:w="1139" w:type="dxa"/>
            <w:tcBorders>
              <w:top w:val="nil"/>
              <w:left w:val="nil"/>
              <w:bottom w:val="nil"/>
              <w:right w:val="single" w:sz="8" w:space="0" w:color="auto"/>
            </w:tcBorders>
            <w:shd w:val="clear" w:color="000000" w:fill="FFFFFF"/>
            <w:noWrap/>
            <w:vAlign w:val="bottom"/>
            <w:hideMark/>
          </w:tcPr>
          <w:p w:rsidR="00AB0496" w:rsidRPr="000362BF" w:rsidRDefault="00AB0496" w:rsidP="00AB0496">
            <w:pPr>
              <w:jc w:val="right"/>
              <w:rPr>
                <w:color w:val="000000"/>
                <w:sz w:val="22"/>
                <w:szCs w:val="22"/>
                <w:lang w:val="es-GT" w:eastAsia="es-GT"/>
              </w:rPr>
            </w:pPr>
            <w:r w:rsidRPr="000362BF">
              <w:rPr>
                <w:color w:val="000000"/>
                <w:sz w:val="22"/>
                <w:szCs w:val="22"/>
                <w:lang w:val="es-GT" w:eastAsia="es-GT"/>
              </w:rPr>
              <w:t>-4.3%</w:t>
            </w:r>
          </w:p>
        </w:tc>
      </w:tr>
      <w:tr w:rsidR="00AB0496" w:rsidRPr="000362BF" w:rsidTr="00AB0496">
        <w:trPr>
          <w:trHeight w:val="302"/>
        </w:trPr>
        <w:tc>
          <w:tcPr>
            <w:tcW w:w="3998" w:type="dxa"/>
            <w:tcBorders>
              <w:top w:val="nil"/>
              <w:left w:val="single" w:sz="8" w:space="0" w:color="auto"/>
              <w:bottom w:val="nil"/>
              <w:right w:val="nil"/>
            </w:tcBorders>
            <w:shd w:val="clear" w:color="000000" w:fill="FFFFFF"/>
            <w:noWrap/>
            <w:vAlign w:val="bottom"/>
            <w:hideMark/>
          </w:tcPr>
          <w:p w:rsidR="00AB0496" w:rsidRPr="000362BF" w:rsidRDefault="00AB0496" w:rsidP="00AB0496">
            <w:pPr>
              <w:ind w:firstLineChars="300" w:firstLine="660"/>
              <w:rPr>
                <w:color w:val="000000"/>
                <w:sz w:val="22"/>
                <w:szCs w:val="22"/>
                <w:lang w:val="es-GT" w:eastAsia="es-GT"/>
              </w:rPr>
            </w:pPr>
            <w:r w:rsidRPr="000362BF">
              <w:rPr>
                <w:color w:val="000000"/>
                <w:sz w:val="22"/>
                <w:szCs w:val="22"/>
                <w:lang w:val="es-GT" w:eastAsia="es-GT"/>
              </w:rPr>
              <w:t xml:space="preserve">Resto del Sector Público </w:t>
            </w:r>
          </w:p>
        </w:tc>
        <w:tc>
          <w:tcPr>
            <w:tcW w:w="1235" w:type="dxa"/>
            <w:tcBorders>
              <w:top w:val="nil"/>
              <w:left w:val="single" w:sz="4" w:space="0" w:color="auto"/>
              <w:bottom w:val="nil"/>
              <w:right w:val="nil"/>
            </w:tcBorders>
            <w:shd w:val="clear" w:color="000000" w:fill="FFFFFF"/>
            <w:noWrap/>
            <w:vAlign w:val="bottom"/>
            <w:hideMark/>
          </w:tcPr>
          <w:p w:rsidR="00AB0496" w:rsidRPr="000362BF" w:rsidRDefault="00AB0496" w:rsidP="00AB0496">
            <w:pPr>
              <w:jc w:val="right"/>
              <w:rPr>
                <w:sz w:val="22"/>
                <w:szCs w:val="22"/>
                <w:lang w:val="es-GT" w:eastAsia="es-GT"/>
              </w:rPr>
            </w:pPr>
            <w:r w:rsidRPr="000362BF">
              <w:rPr>
                <w:sz w:val="22"/>
                <w:szCs w:val="22"/>
                <w:lang w:val="es-GT" w:eastAsia="es-GT"/>
              </w:rPr>
              <w:t>3,946.7</w:t>
            </w:r>
          </w:p>
        </w:tc>
        <w:tc>
          <w:tcPr>
            <w:tcW w:w="1235" w:type="dxa"/>
            <w:tcBorders>
              <w:top w:val="nil"/>
              <w:left w:val="single" w:sz="4" w:space="0" w:color="auto"/>
              <w:bottom w:val="nil"/>
              <w:right w:val="single" w:sz="4" w:space="0" w:color="auto"/>
            </w:tcBorders>
            <w:shd w:val="clear" w:color="000000" w:fill="FFFFFF"/>
            <w:noWrap/>
            <w:vAlign w:val="bottom"/>
            <w:hideMark/>
          </w:tcPr>
          <w:p w:rsidR="00AB0496" w:rsidRPr="000362BF" w:rsidRDefault="00AB0496" w:rsidP="00AB0496">
            <w:pPr>
              <w:jc w:val="right"/>
              <w:rPr>
                <w:sz w:val="22"/>
                <w:szCs w:val="22"/>
                <w:lang w:val="es-GT" w:eastAsia="es-GT"/>
              </w:rPr>
            </w:pPr>
            <w:r w:rsidRPr="000362BF">
              <w:rPr>
                <w:sz w:val="22"/>
                <w:szCs w:val="22"/>
                <w:lang w:val="es-GT" w:eastAsia="es-GT"/>
              </w:rPr>
              <w:t>3,739.1</w:t>
            </w:r>
          </w:p>
        </w:tc>
        <w:tc>
          <w:tcPr>
            <w:tcW w:w="1219" w:type="dxa"/>
            <w:tcBorders>
              <w:top w:val="nil"/>
              <w:left w:val="nil"/>
              <w:bottom w:val="nil"/>
              <w:right w:val="single" w:sz="4" w:space="0" w:color="auto"/>
            </w:tcBorders>
            <w:shd w:val="clear" w:color="000000" w:fill="FFFFFF"/>
            <w:noWrap/>
            <w:vAlign w:val="bottom"/>
            <w:hideMark/>
          </w:tcPr>
          <w:p w:rsidR="00AB0496" w:rsidRPr="000362BF" w:rsidRDefault="00AB0496" w:rsidP="00AB0496">
            <w:pPr>
              <w:jc w:val="right"/>
              <w:rPr>
                <w:color w:val="000000"/>
                <w:sz w:val="22"/>
                <w:szCs w:val="22"/>
                <w:lang w:val="es-GT" w:eastAsia="es-GT"/>
              </w:rPr>
            </w:pPr>
            <w:r w:rsidRPr="000362BF">
              <w:rPr>
                <w:color w:val="000000"/>
                <w:sz w:val="22"/>
                <w:szCs w:val="22"/>
                <w:lang w:val="es-GT" w:eastAsia="es-GT"/>
              </w:rPr>
              <w:t>-207.6</w:t>
            </w:r>
          </w:p>
        </w:tc>
        <w:tc>
          <w:tcPr>
            <w:tcW w:w="1139" w:type="dxa"/>
            <w:tcBorders>
              <w:top w:val="nil"/>
              <w:left w:val="nil"/>
              <w:bottom w:val="nil"/>
              <w:right w:val="single" w:sz="8" w:space="0" w:color="auto"/>
            </w:tcBorders>
            <w:shd w:val="clear" w:color="000000" w:fill="FFFFFF"/>
            <w:noWrap/>
            <w:vAlign w:val="bottom"/>
            <w:hideMark/>
          </w:tcPr>
          <w:p w:rsidR="00AB0496" w:rsidRPr="000362BF" w:rsidRDefault="00AB0496" w:rsidP="00AB0496">
            <w:pPr>
              <w:jc w:val="right"/>
              <w:rPr>
                <w:color w:val="000000"/>
                <w:sz w:val="22"/>
                <w:szCs w:val="22"/>
                <w:lang w:val="es-GT" w:eastAsia="es-GT"/>
              </w:rPr>
            </w:pPr>
            <w:r w:rsidRPr="000362BF">
              <w:rPr>
                <w:color w:val="000000"/>
                <w:sz w:val="22"/>
                <w:szCs w:val="22"/>
                <w:lang w:val="es-GT" w:eastAsia="es-GT"/>
              </w:rPr>
              <w:t>-5.3%</w:t>
            </w:r>
          </w:p>
        </w:tc>
      </w:tr>
      <w:tr w:rsidR="00AB0496" w:rsidRPr="000362BF" w:rsidTr="00AB0496">
        <w:trPr>
          <w:trHeight w:val="302"/>
        </w:trPr>
        <w:tc>
          <w:tcPr>
            <w:tcW w:w="3998" w:type="dxa"/>
            <w:tcBorders>
              <w:top w:val="nil"/>
              <w:left w:val="single" w:sz="8" w:space="0" w:color="auto"/>
              <w:bottom w:val="nil"/>
              <w:right w:val="nil"/>
            </w:tcBorders>
            <w:shd w:val="clear" w:color="000000" w:fill="FFFFFF"/>
            <w:noWrap/>
            <w:vAlign w:val="bottom"/>
            <w:hideMark/>
          </w:tcPr>
          <w:p w:rsidR="00AB0496" w:rsidRPr="000362BF" w:rsidRDefault="00AB0496" w:rsidP="00F97217">
            <w:pPr>
              <w:ind w:firstLineChars="300" w:firstLine="660"/>
              <w:rPr>
                <w:color w:val="000000"/>
                <w:sz w:val="22"/>
                <w:szCs w:val="22"/>
                <w:lang w:val="es-GT" w:eastAsia="es-GT"/>
              </w:rPr>
            </w:pPr>
            <w:r w:rsidRPr="000362BF">
              <w:rPr>
                <w:color w:val="000000"/>
                <w:sz w:val="22"/>
                <w:szCs w:val="22"/>
                <w:lang w:val="es-GT" w:eastAsia="es-GT"/>
              </w:rPr>
              <w:t xml:space="preserve">Sector </w:t>
            </w:r>
            <w:r w:rsidR="00F97217">
              <w:rPr>
                <w:color w:val="000000"/>
                <w:sz w:val="22"/>
                <w:szCs w:val="22"/>
                <w:lang w:val="es-GT" w:eastAsia="es-GT"/>
              </w:rPr>
              <w:t>P</w:t>
            </w:r>
            <w:r w:rsidRPr="000362BF">
              <w:rPr>
                <w:color w:val="000000"/>
                <w:sz w:val="22"/>
                <w:szCs w:val="22"/>
                <w:lang w:val="es-GT" w:eastAsia="es-GT"/>
              </w:rPr>
              <w:t xml:space="preserve">rivado y </w:t>
            </w:r>
            <w:r w:rsidR="00F97217">
              <w:rPr>
                <w:color w:val="000000"/>
                <w:sz w:val="22"/>
                <w:szCs w:val="22"/>
                <w:lang w:val="es-GT" w:eastAsia="es-GT"/>
              </w:rPr>
              <w:t>E</w:t>
            </w:r>
            <w:r w:rsidRPr="000362BF">
              <w:rPr>
                <w:color w:val="000000"/>
                <w:sz w:val="22"/>
                <w:szCs w:val="22"/>
                <w:lang w:val="es-GT" w:eastAsia="es-GT"/>
              </w:rPr>
              <w:t xml:space="preserve">xterno </w:t>
            </w:r>
          </w:p>
        </w:tc>
        <w:tc>
          <w:tcPr>
            <w:tcW w:w="1235" w:type="dxa"/>
            <w:tcBorders>
              <w:top w:val="nil"/>
              <w:left w:val="single" w:sz="4" w:space="0" w:color="auto"/>
              <w:bottom w:val="nil"/>
              <w:right w:val="nil"/>
            </w:tcBorders>
            <w:shd w:val="clear" w:color="000000" w:fill="FFFFFF"/>
            <w:noWrap/>
            <w:vAlign w:val="bottom"/>
            <w:hideMark/>
          </w:tcPr>
          <w:p w:rsidR="00AB0496" w:rsidRPr="000362BF" w:rsidRDefault="00AB0496" w:rsidP="00AB0496">
            <w:pPr>
              <w:jc w:val="right"/>
              <w:rPr>
                <w:sz w:val="22"/>
                <w:szCs w:val="22"/>
                <w:lang w:val="es-GT" w:eastAsia="es-GT"/>
              </w:rPr>
            </w:pPr>
            <w:r w:rsidRPr="000362BF">
              <w:rPr>
                <w:sz w:val="22"/>
                <w:szCs w:val="22"/>
                <w:lang w:val="es-GT" w:eastAsia="es-GT"/>
              </w:rPr>
              <w:t>175.8</w:t>
            </w:r>
          </w:p>
        </w:tc>
        <w:tc>
          <w:tcPr>
            <w:tcW w:w="1235" w:type="dxa"/>
            <w:tcBorders>
              <w:top w:val="nil"/>
              <w:left w:val="single" w:sz="4" w:space="0" w:color="auto"/>
              <w:bottom w:val="nil"/>
              <w:right w:val="single" w:sz="4" w:space="0" w:color="auto"/>
            </w:tcBorders>
            <w:shd w:val="clear" w:color="000000" w:fill="FFFFFF"/>
            <w:noWrap/>
            <w:vAlign w:val="bottom"/>
            <w:hideMark/>
          </w:tcPr>
          <w:p w:rsidR="00AB0496" w:rsidRPr="000362BF" w:rsidRDefault="00AB0496" w:rsidP="00AB0496">
            <w:pPr>
              <w:jc w:val="right"/>
              <w:rPr>
                <w:sz w:val="22"/>
                <w:szCs w:val="22"/>
                <w:lang w:val="es-GT" w:eastAsia="es-GT"/>
              </w:rPr>
            </w:pPr>
            <w:r w:rsidRPr="000362BF">
              <w:rPr>
                <w:sz w:val="22"/>
                <w:szCs w:val="22"/>
                <w:lang w:val="es-GT" w:eastAsia="es-GT"/>
              </w:rPr>
              <w:t>204.1</w:t>
            </w:r>
          </w:p>
        </w:tc>
        <w:tc>
          <w:tcPr>
            <w:tcW w:w="1219" w:type="dxa"/>
            <w:tcBorders>
              <w:top w:val="nil"/>
              <w:left w:val="nil"/>
              <w:bottom w:val="nil"/>
              <w:right w:val="single" w:sz="4" w:space="0" w:color="auto"/>
            </w:tcBorders>
            <w:shd w:val="clear" w:color="000000" w:fill="FFFFFF"/>
            <w:noWrap/>
            <w:vAlign w:val="bottom"/>
            <w:hideMark/>
          </w:tcPr>
          <w:p w:rsidR="00AB0496" w:rsidRPr="000362BF" w:rsidRDefault="00AB0496" w:rsidP="00AB0496">
            <w:pPr>
              <w:jc w:val="right"/>
              <w:rPr>
                <w:color w:val="000000"/>
                <w:sz w:val="22"/>
                <w:szCs w:val="22"/>
                <w:lang w:val="es-GT" w:eastAsia="es-GT"/>
              </w:rPr>
            </w:pPr>
            <w:r w:rsidRPr="000362BF">
              <w:rPr>
                <w:color w:val="000000"/>
                <w:sz w:val="22"/>
                <w:szCs w:val="22"/>
                <w:lang w:val="es-GT" w:eastAsia="es-GT"/>
              </w:rPr>
              <w:t>28.3</w:t>
            </w:r>
          </w:p>
        </w:tc>
        <w:tc>
          <w:tcPr>
            <w:tcW w:w="1139" w:type="dxa"/>
            <w:tcBorders>
              <w:top w:val="nil"/>
              <w:left w:val="nil"/>
              <w:bottom w:val="nil"/>
              <w:right w:val="single" w:sz="8" w:space="0" w:color="auto"/>
            </w:tcBorders>
            <w:shd w:val="clear" w:color="000000" w:fill="FFFFFF"/>
            <w:noWrap/>
            <w:vAlign w:val="bottom"/>
            <w:hideMark/>
          </w:tcPr>
          <w:p w:rsidR="00AB0496" w:rsidRPr="000362BF" w:rsidRDefault="00AB0496" w:rsidP="00AB0496">
            <w:pPr>
              <w:jc w:val="right"/>
              <w:rPr>
                <w:color w:val="000000"/>
                <w:sz w:val="22"/>
                <w:szCs w:val="22"/>
                <w:lang w:val="es-GT" w:eastAsia="es-GT"/>
              </w:rPr>
            </w:pPr>
            <w:r w:rsidRPr="000362BF">
              <w:rPr>
                <w:color w:val="000000"/>
                <w:sz w:val="22"/>
                <w:szCs w:val="22"/>
                <w:lang w:val="es-GT" w:eastAsia="es-GT"/>
              </w:rPr>
              <w:t>16.1%</w:t>
            </w:r>
          </w:p>
        </w:tc>
      </w:tr>
      <w:tr w:rsidR="00AB0496" w:rsidRPr="000362BF" w:rsidTr="00AB0496">
        <w:trPr>
          <w:trHeight w:val="302"/>
        </w:trPr>
        <w:tc>
          <w:tcPr>
            <w:tcW w:w="3998" w:type="dxa"/>
            <w:tcBorders>
              <w:top w:val="nil"/>
              <w:left w:val="single" w:sz="8" w:space="0" w:color="auto"/>
              <w:bottom w:val="nil"/>
              <w:right w:val="nil"/>
            </w:tcBorders>
            <w:shd w:val="clear" w:color="000000" w:fill="FFFFFF"/>
            <w:noWrap/>
            <w:vAlign w:val="bottom"/>
            <w:hideMark/>
          </w:tcPr>
          <w:p w:rsidR="00AB0496" w:rsidRPr="000362BF" w:rsidRDefault="00AB0496" w:rsidP="00F97217">
            <w:pPr>
              <w:rPr>
                <w:b/>
                <w:bCs/>
                <w:color w:val="000000"/>
                <w:sz w:val="22"/>
                <w:szCs w:val="22"/>
                <w:lang w:val="es-GT" w:eastAsia="es-GT"/>
              </w:rPr>
            </w:pPr>
            <w:r w:rsidRPr="000362BF">
              <w:rPr>
                <w:b/>
                <w:bCs/>
                <w:color w:val="000000"/>
                <w:sz w:val="22"/>
                <w:szCs w:val="22"/>
                <w:lang w:val="es-GT" w:eastAsia="es-GT"/>
              </w:rPr>
              <w:t xml:space="preserve">Más pagos de </w:t>
            </w:r>
            <w:r w:rsidR="00F97217">
              <w:rPr>
                <w:b/>
                <w:bCs/>
                <w:color w:val="000000"/>
                <w:sz w:val="22"/>
                <w:szCs w:val="22"/>
                <w:lang w:val="es-GT" w:eastAsia="es-GT"/>
              </w:rPr>
              <w:t>D</w:t>
            </w:r>
            <w:r w:rsidRPr="000362BF">
              <w:rPr>
                <w:b/>
                <w:bCs/>
                <w:color w:val="000000"/>
                <w:sz w:val="22"/>
                <w:szCs w:val="22"/>
                <w:lang w:val="es-GT" w:eastAsia="es-GT"/>
              </w:rPr>
              <w:t xml:space="preserve">euda </w:t>
            </w:r>
            <w:r w:rsidR="00F97217">
              <w:rPr>
                <w:b/>
                <w:bCs/>
                <w:color w:val="000000"/>
                <w:sz w:val="22"/>
                <w:szCs w:val="22"/>
                <w:lang w:val="es-GT" w:eastAsia="es-GT"/>
              </w:rPr>
              <w:t>E</w:t>
            </w:r>
            <w:r w:rsidRPr="000362BF">
              <w:rPr>
                <w:b/>
                <w:bCs/>
                <w:color w:val="000000"/>
                <w:sz w:val="22"/>
                <w:szCs w:val="22"/>
                <w:lang w:val="es-GT" w:eastAsia="es-GT"/>
              </w:rPr>
              <w:t>xterna:</w:t>
            </w:r>
          </w:p>
        </w:tc>
        <w:tc>
          <w:tcPr>
            <w:tcW w:w="1235" w:type="dxa"/>
            <w:tcBorders>
              <w:top w:val="nil"/>
              <w:left w:val="single" w:sz="4" w:space="0" w:color="auto"/>
              <w:bottom w:val="nil"/>
              <w:right w:val="nil"/>
            </w:tcBorders>
            <w:shd w:val="clear" w:color="000000" w:fill="FFFFFF"/>
            <w:noWrap/>
            <w:vAlign w:val="bottom"/>
            <w:hideMark/>
          </w:tcPr>
          <w:p w:rsidR="00AB0496" w:rsidRPr="000362BF" w:rsidRDefault="00AB0496" w:rsidP="00AB0496">
            <w:pPr>
              <w:rPr>
                <w:color w:val="000000"/>
                <w:sz w:val="22"/>
                <w:szCs w:val="22"/>
                <w:lang w:val="es-GT" w:eastAsia="es-GT"/>
              </w:rPr>
            </w:pPr>
            <w:r w:rsidRPr="000362BF">
              <w:rPr>
                <w:color w:val="000000"/>
                <w:sz w:val="22"/>
                <w:szCs w:val="22"/>
                <w:lang w:val="es-GT" w:eastAsia="es-GT"/>
              </w:rPr>
              <w:t> </w:t>
            </w:r>
          </w:p>
        </w:tc>
        <w:tc>
          <w:tcPr>
            <w:tcW w:w="1235" w:type="dxa"/>
            <w:tcBorders>
              <w:top w:val="nil"/>
              <w:left w:val="single" w:sz="4" w:space="0" w:color="auto"/>
              <w:bottom w:val="nil"/>
              <w:right w:val="single" w:sz="4" w:space="0" w:color="auto"/>
            </w:tcBorders>
            <w:shd w:val="clear" w:color="000000" w:fill="FFFFFF"/>
            <w:noWrap/>
            <w:vAlign w:val="bottom"/>
            <w:hideMark/>
          </w:tcPr>
          <w:p w:rsidR="00AB0496" w:rsidRPr="000362BF" w:rsidRDefault="00AB0496" w:rsidP="00AB0496">
            <w:pPr>
              <w:rPr>
                <w:color w:val="000000"/>
                <w:sz w:val="22"/>
                <w:szCs w:val="22"/>
                <w:lang w:val="es-GT" w:eastAsia="es-GT"/>
              </w:rPr>
            </w:pPr>
            <w:r w:rsidRPr="000362BF">
              <w:rPr>
                <w:color w:val="000000"/>
                <w:sz w:val="22"/>
                <w:szCs w:val="22"/>
                <w:lang w:val="es-GT" w:eastAsia="es-GT"/>
              </w:rPr>
              <w:t> </w:t>
            </w:r>
          </w:p>
        </w:tc>
        <w:tc>
          <w:tcPr>
            <w:tcW w:w="1219" w:type="dxa"/>
            <w:tcBorders>
              <w:top w:val="nil"/>
              <w:left w:val="nil"/>
              <w:bottom w:val="nil"/>
              <w:right w:val="single" w:sz="4" w:space="0" w:color="auto"/>
            </w:tcBorders>
            <w:shd w:val="clear" w:color="000000" w:fill="FFFFFF"/>
            <w:noWrap/>
            <w:vAlign w:val="bottom"/>
            <w:hideMark/>
          </w:tcPr>
          <w:p w:rsidR="00AB0496" w:rsidRPr="000362BF" w:rsidRDefault="00AB0496" w:rsidP="00AB0496">
            <w:pPr>
              <w:rPr>
                <w:color w:val="000000"/>
                <w:sz w:val="22"/>
                <w:szCs w:val="22"/>
                <w:lang w:val="es-GT" w:eastAsia="es-GT"/>
              </w:rPr>
            </w:pPr>
            <w:r w:rsidRPr="000362BF">
              <w:rPr>
                <w:color w:val="000000"/>
                <w:sz w:val="22"/>
                <w:szCs w:val="22"/>
                <w:lang w:val="es-GT" w:eastAsia="es-GT"/>
              </w:rPr>
              <w:t> </w:t>
            </w:r>
          </w:p>
        </w:tc>
        <w:tc>
          <w:tcPr>
            <w:tcW w:w="1139" w:type="dxa"/>
            <w:tcBorders>
              <w:top w:val="nil"/>
              <w:left w:val="nil"/>
              <w:bottom w:val="nil"/>
              <w:right w:val="single" w:sz="8" w:space="0" w:color="auto"/>
            </w:tcBorders>
            <w:shd w:val="clear" w:color="000000" w:fill="FFFFFF"/>
            <w:noWrap/>
            <w:vAlign w:val="bottom"/>
            <w:hideMark/>
          </w:tcPr>
          <w:p w:rsidR="00AB0496" w:rsidRPr="000362BF" w:rsidRDefault="00AB0496" w:rsidP="00AB0496">
            <w:pPr>
              <w:rPr>
                <w:color w:val="000000"/>
                <w:sz w:val="22"/>
                <w:szCs w:val="22"/>
                <w:lang w:val="es-GT" w:eastAsia="es-GT"/>
              </w:rPr>
            </w:pPr>
            <w:r w:rsidRPr="000362BF">
              <w:rPr>
                <w:color w:val="000000"/>
                <w:sz w:val="22"/>
                <w:szCs w:val="22"/>
                <w:lang w:val="es-GT" w:eastAsia="es-GT"/>
              </w:rPr>
              <w:t> </w:t>
            </w:r>
          </w:p>
        </w:tc>
      </w:tr>
      <w:tr w:rsidR="00AB0496" w:rsidRPr="000362BF" w:rsidTr="00AB0496">
        <w:trPr>
          <w:trHeight w:val="302"/>
        </w:trPr>
        <w:tc>
          <w:tcPr>
            <w:tcW w:w="3998" w:type="dxa"/>
            <w:tcBorders>
              <w:top w:val="nil"/>
              <w:left w:val="single" w:sz="8" w:space="0" w:color="auto"/>
              <w:bottom w:val="nil"/>
              <w:right w:val="nil"/>
            </w:tcBorders>
            <w:shd w:val="clear" w:color="000000" w:fill="FFFFFF"/>
            <w:noWrap/>
            <w:vAlign w:val="bottom"/>
            <w:hideMark/>
          </w:tcPr>
          <w:p w:rsidR="00AB0496" w:rsidRPr="000362BF" w:rsidRDefault="00AB0496" w:rsidP="00AB0496">
            <w:pPr>
              <w:rPr>
                <w:color w:val="000000"/>
                <w:sz w:val="22"/>
                <w:szCs w:val="22"/>
                <w:lang w:val="es-GT" w:eastAsia="es-GT"/>
              </w:rPr>
            </w:pPr>
            <w:r w:rsidRPr="000362BF">
              <w:rPr>
                <w:color w:val="000000"/>
                <w:sz w:val="22"/>
                <w:szCs w:val="22"/>
                <w:lang w:val="es-GT" w:eastAsia="es-GT"/>
              </w:rPr>
              <w:t>Amortizaciones</w:t>
            </w:r>
          </w:p>
        </w:tc>
        <w:tc>
          <w:tcPr>
            <w:tcW w:w="1235" w:type="dxa"/>
            <w:tcBorders>
              <w:top w:val="nil"/>
              <w:left w:val="single" w:sz="4" w:space="0" w:color="auto"/>
              <w:bottom w:val="nil"/>
              <w:right w:val="nil"/>
            </w:tcBorders>
            <w:shd w:val="clear" w:color="auto" w:fill="auto"/>
            <w:noWrap/>
            <w:vAlign w:val="center"/>
            <w:hideMark/>
          </w:tcPr>
          <w:p w:rsidR="00AB0496" w:rsidRPr="000362BF" w:rsidRDefault="00AB0496" w:rsidP="00AB0496">
            <w:pPr>
              <w:jc w:val="right"/>
              <w:rPr>
                <w:sz w:val="22"/>
                <w:szCs w:val="22"/>
                <w:lang w:val="es-GT" w:eastAsia="es-GT"/>
              </w:rPr>
            </w:pPr>
            <w:r w:rsidRPr="000362BF">
              <w:rPr>
                <w:sz w:val="22"/>
                <w:szCs w:val="22"/>
                <w:lang w:val="es-GT" w:eastAsia="es-GT"/>
              </w:rPr>
              <w:t>1,423.8</w:t>
            </w:r>
          </w:p>
        </w:tc>
        <w:tc>
          <w:tcPr>
            <w:tcW w:w="1235" w:type="dxa"/>
            <w:tcBorders>
              <w:top w:val="nil"/>
              <w:left w:val="single" w:sz="4" w:space="0" w:color="auto"/>
              <w:bottom w:val="nil"/>
              <w:right w:val="single" w:sz="4" w:space="0" w:color="auto"/>
            </w:tcBorders>
            <w:shd w:val="clear" w:color="auto" w:fill="auto"/>
            <w:noWrap/>
            <w:vAlign w:val="bottom"/>
            <w:hideMark/>
          </w:tcPr>
          <w:p w:rsidR="00AB0496" w:rsidRPr="000362BF" w:rsidRDefault="00AB0496" w:rsidP="00AB0496">
            <w:pPr>
              <w:jc w:val="right"/>
              <w:rPr>
                <w:color w:val="000000"/>
                <w:sz w:val="22"/>
                <w:szCs w:val="22"/>
                <w:lang w:val="es-GT" w:eastAsia="es-GT"/>
              </w:rPr>
            </w:pPr>
            <w:r w:rsidRPr="000362BF">
              <w:rPr>
                <w:color w:val="000000"/>
                <w:sz w:val="22"/>
                <w:szCs w:val="22"/>
                <w:lang w:val="es-GT" w:eastAsia="es-GT"/>
              </w:rPr>
              <w:t>1,225.8</w:t>
            </w:r>
          </w:p>
        </w:tc>
        <w:tc>
          <w:tcPr>
            <w:tcW w:w="1219" w:type="dxa"/>
            <w:tcBorders>
              <w:top w:val="nil"/>
              <w:left w:val="nil"/>
              <w:bottom w:val="nil"/>
              <w:right w:val="single" w:sz="4" w:space="0" w:color="auto"/>
            </w:tcBorders>
            <w:shd w:val="clear" w:color="000000" w:fill="FFFFFF"/>
            <w:noWrap/>
            <w:vAlign w:val="bottom"/>
            <w:hideMark/>
          </w:tcPr>
          <w:p w:rsidR="00AB0496" w:rsidRPr="000362BF" w:rsidRDefault="00AB0496" w:rsidP="00AB0496">
            <w:pPr>
              <w:jc w:val="right"/>
              <w:rPr>
                <w:color w:val="000000"/>
                <w:sz w:val="22"/>
                <w:szCs w:val="22"/>
                <w:lang w:val="es-GT" w:eastAsia="es-GT"/>
              </w:rPr>
            </w:pPr>
            <w:r w:rsidRPr="000362BF">
              <w:rPr>
                <w:color w:val="000000"/>
                <w:sz w:val="22"/>
                <w:szCs w:val="22"/>
                <w:lang w:val="es-GT" w:eastAsia="es-GT"/>
              </w:rPr>
              <w:t>-197.9</w:t>
            </w:r>
          </w:p>
        </w:tc>
        <w:tc>
          <w:tcPr>
            <w:tcW w:w="1139" w:type="dxa"/>
            <w:tcBorders>
              <w:top w:val="nil"/>
              <w:left w:val="nil"/>
              <w:bottom w:val="nil"/>
              <w:right w:val="single" w:sz="8" w:space="0" w:color="auto"/>
            </w:tcBorders>
            <w:shd w:val="clear" w:color="000000" w:fill="FFFFFF"/>
            <w:noWrap/>
            <w:vAlign w:val="bottom"/>
            <w:hideMark/>
          </w:tcPr>
          <w:p w:rsidR="00AB0496" w:rsidRPr="000362BF" w:rsidRDefault="00AB0496" w:rsidP="00AB0496">
            <w:pPr>
              <w:jc w:val="right"/>
              <w:rPr>
                <w:color w:val="000000"/>
                <w:sz w:val="22"/>
                <w:szCs w:val="22"/>
                <w:lang w:val="es-GT" w:eastAsia="es-GT"/>
              </w:rPr>
            </w:pPr>
            <w:r w:rsidRPr="000362BF">
              <w:rPr>
                <w:color w:val="000000"/>
                <w:sz w:val="22"/>
                <w:szCs w:val="22"/>
                <w:lang w:val="es-GT" w:eastAsia="es-GT"/>
              </w:rPr>
              <w:t>-13.9%</w:t>
            </w:r>
          </w:p>
        </w:tc>
      </w:tr>
      <w:tr w:rsidR="00AB0496" w:rsidRPr="000362BF" w:rsidTr="00AB0496">
        <w:trPr>
          <w:trHeight w:val="318"/>
        </w:trPr>
        <w:tc>
          <w:tcPr>
            <w:tcW w:w="3998" w:type="dxa"/>
            <w:tcBorders>
              <w:top w:val="nil"/>
              <w:left w:val="single" w:sz="8" w:space="0" w:color="auto"/>
              <w:bottom w:val="single" w:sz="8" w:space="0" w:color="auto"/>
              <w:right w:val="nil"/>
            </w:tcBorders>
            <w:shd w:val="clear" w:color="000000" w:fill="FFFFFF"/>
            <w:noWrap/>
            <w:vAlign w:val="bottom"/>
            <w:hideMark/>
          </w:tcPr>
          <w:p w:rsidR="00AB0496" w:rsidRPr="000362BF" w:rsidRDefault="00AB0496" w:rsidP="00F97217">
            <w:pPr>
              <w:rPr>
                <w:b/>
                <w:bCs/>
                <w:color w:val="000000"/>
                <w:sz w:val="22"/>
                <w:szCs w:val="22"/>
                <w:lang w:val="es-GT" w:eastAsia="es-GT"/>
              </w:rPr>
            </w:pPr>
            <w:r w:rsidRPr="000362BF">
              <w:rPr>
                <w:b/>
                <w:bCs/>
                <w:color w:val="000000"/>
                <w:sz w:val="22"/>
                <w:szCs w:val="22"/>
                <w:lang w:val="es-GT" w:eastAsia="es-GT"/>
              </w:rPr>
              <w:t xml:space="preserve">Total del </w:t>
            </w:r>
            <w:r w:rsidR="00F97217">
              <w:rPr>
                <w:b/>
                <w:bCs/>
                <w:color w:val="000000"/>
                <w:sz w:val="22"/>
                <w:szCs w:val="22"/>
                <w:lang w:val="es-GT" w:eastAsia="es-GT"/>
              </w:rPr>
              <w:t>G</w:t>
            </w:r>
            <w:r w:rsidRPr="000362BF">
              <w:rPr>
                <w:b/>
                <w:bCs/>
                <w:color w:val="000000"/>
                <w:sz w:val="22"/>
                <w:szCs w:val="22"/>
                <w:lang w:val="es-GT" w:eastAsia="es-GT"/>
              </w:rPr>
              <w:t xml:space="preserve">asto </w:t>
            </w:r>
            <w:r w:rsidR="00F97217">
              <w:rPr>
                <w:b/>
                <w:bCs/>
                <w:color w:val="000000"/>
                <w:sz w:val="22"/>
                <w:szCs w:val="22"/>
                <w:lang w:val="es-GT" w:eastAsia="es-GT"/>
              </w:rPr>
              <w:t>P</w:t>
            </w:r>
            <w:r w:rsidRPr="000362BF">
              <w:rPr>
                <w:b/>
                <w:bCs/>
                <w:color w:val="000000"/>
                <w:sz w:val="22"/>
                <w:szCs w:val="22"/>
                <w:lang w:val="es-GT" w:eastAsia="es-GT"/>
              </w:rPr>
              <w:t>resupuestario</w:t>
            </w:r>
          </w:p>
        </w:tc>
        <w:tc>
          <w:tcPr>
            <w:tcW w:w="1235" w:type="dxa"/>
            <w:tcBorders>
              <w:top w:val="nil"/>
              <w:left w:val="single" w:sz="4" w:space="0" w:color="auto"/>
              <w:bottom w:val="single" w:sz="8" w:space="0" w:color="auto"/>
              <w:right w:val="nil"/>
            </w:tcBorders>
            <w:shd w:val="clear" w:color="000000" w:fill="FFFFFF"/>
            <w:noWrap/>
            <w:vAlign w:val="bottom"/>
            <w:hideMark/>
          </w:tcPr>
          <w:p w:rsidR="00AB0496" w:rsidRPr="000362BF" w:rsidRDefault="00AB0496" w:rsidP="00F97217">
            <w:pPr>
              <w:jc w:val="right"/>
              <w:rPr>
                <w:b/>
                <w:bCs/>
                <w:color w:val="000000"/>
                <w:sz w:val="22"/>
                <w:szCs w:val="22"/>
                <w:lang w:val="es-GT" w:eastAsia="es-GT"/>
              </w:rPr>
            </w:pPr>
            <w:r w:rsidRPr="000362BF">
              <w:rPr>
                <w:b/>
                <w:bCs/>
                <w:color w:val="000000"/>
                <w:sz w:val="22"/>
                <w:szCs w:val="22"/>
                <w:lang w:val="es-GT" w:eastAsia="es-GT"/>
              </w:rPr>
              <w:t xml:space="preserve">  30,644.5</w:t>
            </w:r>
          </w:p>
        </w:tc>
        <w:tc>
          <w:tcPr>
            <w:tcW w:w="1235" w:type="dxa"/>
            <w:tcBorders>
              <w:top w:val="nil"/>
              <w:left w:val="single" w:sz="4" w:space="0" w:color="auto"/>
              <w:bottom w:val="single" w:sz="8" w:space="0" w:color="auto"/>
              <w:right w:val="single" w:sz="4" w:space="0" w:color="auto"/>
            </w:tcBorders>
            <w:shd w:val="clear" w:color="000000" w:fill="FFFFFF"/>
            <w:noWrap/>
            <w:vAlign w:val="bottom"/>
            <w:hideMark/>
          </w:tcPr>
          <w:p w:rsidR="00AB0496" w:rsidRPr="000362BF" w:rsidRDefault="00AB0496" w:rsidP="00F97217">
            <w:pPr>
              <w:jc w:val="right"/>
              <w:rPr>
                <w:b/>
                <w:bCs/>
                <w:color w:val="000000"/>
                <w:sz w:val="22"/>
                <w:szCs w:val="22"/>
                <w:lang w:val="es-GT" w:eastAsia="es-GT"/>
              </w:rPr>
            </w:pPr>
            <w:r w:rsidRPr="000362BF">
              <w:rPr>
                <w:b/>
                <w:bCs/>
                <w:color w:val="000000"/>
                <w:sz w:val="22"/>
                <w:szCs w:val="22"/>
                <w:lang w:val="es-GT" w:eastAsia="es-GT"/>
              </w:rPr>
              <w:t xml:space="preserve">  32,503.7</w:t>
            </w:r>
          </w:p>
        </w:tc>
        <w:tc>
          <w:tcPr>
            <w:tcW w:w="1219" w:type="dxa"/>
            <w:tcBorders>
              <w:top w:val="nil"/>
              <w:left w:val="single" w:sz="4" w:space="0" w:color="auto"/>
              <w:bottom w:val="single" w:sz="8" w:space="0" w:color="auto"/>
              <w:right w:val="single" w:sz="4" w:space="0" w:color="auto"/>
            </w:tcBorders>
            <w:shd w:val="clear" w:color="000000" w:fill="FFFFFF"/>
            <w:noWrap/>
            <w:vAlign w:val="bottom"/>
            <w:hideMark/>
          </w:tcPr>
          <w:p w:rsidR="00AB0496" w:rsidRPr="000362BF" w:rsidRDefault="00AB0496" w:rsidP="00AB0496">
            <w:pPr>
              <w:jc w:val="right"/>
              <w:rPr>
                <w:b/>
                <w:bCs/>
                <w:color w:val="000000"/>
                <w:sz w:val="22"/>
                <w:szCs w:val="22"/>
                <w:lang w:val="es-GT" w:eastAsia="es-GT"/>
              </w:rPr>
            </w:pPr>
            <w:r w:rsidRPr="000362BF">
              <w:rPr>
                <w:b/>
                <w:bCs/>
                <w:color w:val="000000"/>
                <w:sz w:val="22"/>
                <w:szCs w:val="22"/>
                <w:lang w:val="es-GT" w:eastAsia="es-GT"/>
              </w:rPr>
              <w:t>1,859.2</w:t>
            </w:r>
          </w:p>
        </w:tc>
        <w:tc>
          <w:tcPr>
            <w:tcW w:w="1139" w:type="dxa"/>
            <w:tcBorders>
              <w:top w:val="nil"/>
              <w:left w:val="nil"/>
              <w:bottom w:val="single" w:sz="8" w:space="0" w:color="auto"/>
              <w:right w:val="single" w:sz="8" w:space="0" w:color="auto"/>
            </w:tcBorders>
            <w:shd w:val="clear" w:color="000000" w:fill="FFFFFF"/>
            <w:noWrap/>
            <w:vAlign w:val="bottom"/>
            <w:hideMark/>
          </w:tcPr>
          <w:p w:rsidR="00AB0496" w:rsidRPr="000362BF" w:rsidRDefault="00AB0496" w:rsidP="00AB0496">
            <w:pPr>
              <w:jc w:val="right"/>
              <w:rPr>
                <w:b/>
                <w:bCs/>
                <w:color w:val="000000"/>
                <w:sz w:val="22"/>
                <w:szCs w:val="22"/>
                <w:lang w:val="es-GT" w:eastAsia="es-GT"/>
              </w:rPr>
            </w:pPr>
            <w:r w:rsidRPr="000362BF">
              <w:rPr>
                <w:b/>
                <w:bCs/>
                <w:color w:val="000000"/>
                <w:sz w:val="22"/>
                <w:szCs w:val="22"/>
                <w:lang w:val="es-GT" w:eastAsia="es-GT"/>
              </w:rPr>
              <w:t>6.1%</w:t>
            </w:r>
          </w:p>
        </w:tc>
      </w:tr>
    </w:tbl>
    <w:p w:rsidR="00AB0496" w:rsidRPr="003115F3" w:rsidRDefault="00AB0496" w:rsidP="00E021FF">
      <w:pPr>
        <w:jc w:val="both"/>
        <w:rPr>
          <w:sz w:val="16"/>
          <w:lang w:val="es-MX"/>
        </w:rPr>
      </w:pPr>
      <w:r w:rsidRPr="003115F3">
        <w:rPr>
          <w:sz w:val="16"/>
          <w:lang w:val="es-MX"/>
        </w:rPr>
        <w:t>Fuente: Ministerio de Finanzas Públicas con base al SICOIN.</w:t>
      </w:r>
    </w:p>
    <w:p w:rsidR="00AB0496" w:rsidRPr="003115F3" w:rsidRDefault="00AB0496" w:rsidP="00E021FF">
      <w:pPr>
        <w:jc w:val="both"/>
        <w:rPr>
          <w:sz w:val="16"/>
          <w:lang w:val="es-MX"/>
        </w:rPr>
      </w:pPr>
      <w:r w:rsidRPr="003115F3">
        <w:rPr>
          <w:sz w:val="16"/>
          <w:lang w:val="es-MX"/>
        </w:rPr>
        <w:t>* Cifras preliminares</w:t>
      </w:r>
      <w:r w:rsidR="000A3EE5">
        <w:rPr>
          <w:sz w:val="16"/>
          <w:lang w:val="es-MX"/>
        </w:rPr>
        <w:t>.</w:t>
      </w:r>
    </w:p>
    <w:p w:rsidR="00AB0496" w:rsidRDefault="00AB0496" w:rsidP="00AB0496">
      <w:pPr>
        <w:rPr>
          <w:sz w:val="18"/>
          <w:lang w:val="es-MX"/>
        </w:rPr>
      </w:pPr>
    </w:p>
    <w:p w:rsidR="00AB0496" w:rsidRPr="00005564" w:rsidRDefault="00AB0496" w:rsidP="00AB0496">
      <w:pPr>
        <w:keepNext/>
        <w:keepLines/>
        <w:numPr>
          <w:ilvl w:val="2"/>
          <w:numId w:val="4"/>
        </w:numPr>
        <w:spacing w:before="200"/>
        <w:outlineLvl w:val="2"/>
        <w:rPr>
          <w:b/>
          <w:bCs/>
          <w:lang w:val="es-MX"/>
        </w:rPr>
      </w:pPr>
      <w:bookmarkStart w:id="20" w:name="_Toc494447080"/>
      <w:bookmarkStart w:id="21" w:name="_Toc525824407"/>
      <w:r w:rsidRPr="00005564">
        <w:rPr>
          <w:b/>
          <w:bCs/>
          <w:lang w:val="es-MX"/>
        </w:rPr>
        <w:t xml:space="preserve">Ejecución </w:t>
      </w:r>
      <w:r w:rsidR="00B20C2F" w:rsidRPr="00005564">
        <w:rPr>
          <w:b/>
          <w:bCs/>
          <w:lang w:val="es-MX"/>
        </w:rPr>
        <w:t>P</w:t>
      </w:r>
      <w:r w:rsidRPr="00005564">
        <w:rPr>
          <w:b/>
          <w:bCs/>
          <w:lang w:val="es-MX"/>
        </w:rPr>
        <w:t xml:space="preserve">resupuestaria </w:t>
      </w:r>
      <w:r w:rsidR="00B20C2F" w:rsidRPr="00005564">
        <w:rPr>
          <w:b/>
          <w:bCs/>
          <w:lang w:val="es-MX"/>
        </w:rPr>
        <w:t>I</w:t>
      </w:r>
      <w:r w:rsidRPr="00005564">
        <w:rPr>
          <w:b/>
          <w:bCs/>
          <w:lang w:val="es-MX"/>
        </w:rPr>
        <w:t>nstitucional</w:t>
      </w:r>
      <w:bookmarkEnd w:id="20"/>
      <w:bookmarkEnd w:id="21"/>
    </w:p>
    <w:p w:rsidR="00AB0496" w:rsidRPr="00FB641E" w:rsidRDefault="00AB0496" w:rsidP="00AB0496">
      <w:pPr>
        <w:jc w:val="both"/>
        <w:rPr>
          <w:sz w:val="18"/>
          <w:lang w:val="es-MX"/>
        </w:rPr>
      </w:pPr>
    </w:p>
    <w:p w:rsidR="00AB0496" w:rsidRDefault="00AB0496" w:rsidP="00AB0496">
      <w:pPr>
        <w:jc w:val="both"/>
        <w:rPr>
          <w:lang w:val="es-MX"/>
        </w:rPr>
      </w:pPr>
      <w:r>
        <w:rPr>
          <w:lang w:val="es-MX"/>
        </w:rPr>
        <w:t>E</w:t>
      </w:r>
      <w:r w:rsidR="00901F22">
        <w:rPr>
          <w:lang w:val="es-MX"/>
        </w:rPr>
        <w:t>n 2017, e</w:t>
      </w:r>
      <w:r>
        <w:rPr>
          <w:lang w:val="es-MX"/>
        </w:rPr>
        <w:t>l gasto correspondiente a</w:t>
      </w:r>
      <w:r w:rsidR="00901F22">
        <w:rPr>
          <w:lang w:val="es-MX"/>
        </w:rPr>
        <w:t>l Ministerio de</w:t>
      </w:r>
      <w:r>
        <w:rPr>
          <w:lang w:val="es-MX"/>
        </w:rPr>
        <w:t xml:space="preserve"> Educación, Servicio</w:t>
      </w:r>
      <w:r w:rsidR="00901F22">
        <w:rPr>
          <w:lang w:val="es-MX"/>
        </w:rPr>
        <w:t>s</w:t>
      </w:r>
      <w:r>
        <w:rPr>
          <w:lang w:val="es-MX"/>
        </w:rPr>
        <w:t xml:space="preserve"> de la Deuda</w:t>
      </w:r>
      <w:r w:rsidR="00901F22">
        <w:rPr>
          <w:lang w:val="es-MX"/>
        </w:rPr>
        <w:t xml:space="preserve"> Pública</w:t>
      </w:r>
      <w:r>
        <w:rPr>
          <w:lang w:val="es-MX"/>
        </w:rPr>
        <w:t>,</w:t>
      </w:r>
      <w:r w:rsidR="00901F22">
        <w:rPr>
          <w:lang w:val="es-MX"/>
        </w:rPr>
        <w:t xml:space="preserve"> Ministerio de</w:t>
      </w:r>
      <w:r>
        <w:rPr>
          <w:lang w:val="es-MX"/>
        </w:rPr>
        <w:t xml:space="preserve"> Salud</w:t>
      </w:r>
      <w:r w:rsidR="00901F22">
        <w:rPr>
          <w:lang w:val="es-MX"/>
        </w:rPr>
        <w:t xml:space="preserve"> Pública y Asistencia Social</w:t>
      </w:r>
      <w:r>
        <w:rPr>
          <w:lang w:val="es-MX"/>
        </w:rPr>
        <w:t xml:space="preserve"> y </w:t>
      </w:r>
      <w:r w:rsidR="00901F22">
        <w:rPr>
          <w:lang w:val="es-MX"/>
        </w:rPr>
        <w:t xml:space="preserve">Ministerio de </w:t>
      </w:r>
      <w:r>
        <w:rPr>
          <w:lang w:val="es-MX"/>
        </w:rPr>
        <w:t>Gobernación, en su conjunto se ubican en 50</w:t>
      </w:r>
      <w:r w:rsidR="00901F22">
        <w:rPr>
          <w:lang w:val="es-MX"/>
        </w:rPr>
        <w:t>.4</w:t>
      </w:r>
      <w:r>
        <w:rPr>
          <w:lang w:val="es-MX"/>
        </w:rPr>
        <w:t>% del total ejecu</w:t>
      </w:r>
      <w:r w:rsidR="00901F22">
        <w:rPr>
          <w:lang w:val="es-MX"/>
        </w:rPr>
        <w:t>tado</w:t>
      </w:r>
      <w:r>
        <w:rPr>
          <w:lang w:val="es-MX"/>
        </w:rPr>
        <w:t>;</w:t>
      </w:r>
      <w:r w:rsidR="00901F22">
        <w:rPr>
          <w:lang w:val="es-MX"/>
        </w:rPr>
        <w:t xml:space="preserve"> Obligaciones del Estado a Cargo del Tesoro en 37.4%,</w:t>
      </w:r>
      <w:r>
        <w:rPr>
          <w:lang w:val="es-MX"/>
        </w:rPr>
        <w:t xml:space="preserve"> </w:t>
      </w:r>
      <w:r w:rsidR="00901F22">
        <w:rPr>
          <w:lang w:val="es-MX"/>
        </w:rPr>
        <w:t>en</w:t>
      </w:r>
      <w:r>
        <w:rPr>
          <w:lang w:val="es-MX"/>
        </w:rPr>
        <w:t xml:space="preserve"> tanto que el resto de entidades (1</w:t>
      </w:r>
      <w:r w:rsidR="00901F22">
        <w:rPr>
          <w:lang w:val="es-MX"/>
        </w:rPr>
        <w:t>1</w:t>
      </w:r>
      <w:r>
        <w:rPr>
          <w:lang w:val="es-MX"/>
        </w:rPr>
        <w:t xml:space="preserve"> </w:t>
      </w:r>
      <w:r w:rsidR="00901F22">
        <w:rPr>
          <w:lang w:val="es-MX"/>
        </w:rPr>
        <w:t>M</w:t>
      </w:r>
      <w:r>
        <w:rPr>
          <w:lang w:val="es-MX"/>
        </w:rPr>
        <w:t>inisterios), ejecutaron el 12.2%</w:t>
      </w:r>
      <w:r w:rsidR="00901F22">
        <w:rPr>
          <w:lang w:val="es-MX"/>
        </w:rPr>
        <w:t xml:space="preserve">. En </w:t>
      </w:r>
      <w:r>
        <w:rPr>
          <w:lang w:val="es-MX"/>
        </w:rPr>
        <w:t>2018</w:t>
      </w:r>
      <w:r w:rsidR="00901F22">
        <w:rPr>
          <w:lang w:val="es-MX"/>
        </w:rPr>
        <w:t>, este mismo agrupamiento de entidades, ejecutaron el 49.8%, 35.5% y</w:t>
      </w:r>
      <w:r>
        <w:rPr>
          <w:lang w:val="es-MX"/>
        </w:rPr>
        <w:t xml:space="preserve"> 14.8%</w:t>
      </w:r>
      <w:r w:rsidR="00901F22">
        <w:rPr>
          <w:lang w:val="es-MX"/>
        </w:rPr>
        <w:t>, respectivamente,</w:t>
      </w:r>
      <w:r>
        <w:rPr>
          <w:lang w:val="es-MX"/>
        </w:rPr>
        <w:t xml:space="preserve"> como resultado del aumento en la ejecución del Ministerio de Desarrollo Social, que pasó de Q</w:t>
      </w:r>
      <w:r w:rsidR="00901F22">
        <w:rPr>
          <w:lang w:val="es-MX"/>
        </w:rPr>
        <w:t>.</w:t>
      </w:r>
      <w:r>
        <w:rPr>
          <w:lang w:val="es-MX"/>
        </w:rPr>
        <w:t xml:space="preserve">95.6 </w:t>
      </w:r>
      <w:r>
        <w:rPr>
          <w:lang w:val="es-MX"/>
        </w:rPr>
        <w:lastRenderedPageBreak/>
        <w:t>millones en 2017 a Q</w:t>
      </w:r>
      <w:r w:rsidR="00901F22">
        <w:rPr>
          <w:lang w:val="es-MX"/>
        </w:rPr>
        <w:t>.</w:t>
      </w:r>
      <w:r>
        <w:rPr>
          <w:lang w:val="es-MX"/>
        </w:rPr>
        <w:t>307.1 millones a junio de 2018</w:t>
      </w:r>
      <w:r w:rsidR="00901F22">
        <w:rPr>
          <w:lang w:val="es-MX"/>
        </w:rPr>
        <w:t>;</w:t>
      </w:r>
      <w:r>
        <w:rPr>
          <w:lang w:val="es-MX"/>
        </w:rPr>
        <w:t xml:space="preserve"> es decir</w:t>
      </w:r>
      <w:r w:rsidR="00901F22">
        <w:rPr>
          <w:lang w:val="es-MX"/>
        </w:rPr>
        <w:t>,</w:t>
      </w:r>
      <w:r>
        <w:rPr>
          <w:lang w:val="es-MX"/>
        </w:rPr>
        <w:t xml:space="preserve"> aumentó su ejecución en un 221.3%.</w:t>
      </w:r>
    </w:p>
    <w:p w:rsidR="00AB0496" w:rsidRDefault="00AB0496" w:rsidP="00AB0496">
      <w:pPr>
        <w:jc w:val="both"/>
        <w:rPr>
          <w:lang w:val="es-MX"/>
        </w:rPr>
      </w:pPr>
    </w:p>
    <w:p w:rsidR="00AB0496" w:rsidRPr="00FB641E" w:rsidRDefault="00AB0496" w:rsidP="00AB0496">
      <w:pPr>
        <w:jc w:val="both"/>
        <w:rPr>
          <w:lang w:val="es-MX"/>
        </w:rPr>
      </w:pPr>
      <w:r>
        <w:rPr>
          <w:lang w:val="es-MX"/>
        </w:rPr>
        <w:t>La entidad Obligaciones del Estado a Cargo del Tesoro, al 30 de junio de 2018 rep</w:t>
      </w:r>
      <w:r w:rsidR="00293C23">
        <w:rPr>
          <w:lang w:val="es-MX"/>
        </w:rPr>
        <w:t>ortó una ejecución del</w:t>
      </w:r>
      <w:r>
        <w:rPr>
          <w:lang w:val="es-MX"/>
        </w:rPr>
        <w:t xml:space="preserve"> 35.5%, mientras que en 2017 un 37.4%.</w:t>
      </w:r>
      <w:r w:rsidR="00293C23">
        <w:rPr>
          <w:lang w:val="es-MX"/>
        </w:rPr>
        <w:t xml:space="preserve"> </w:t>
      </w:r>
      <w:r>
        <w:rPr>
          <w:lang w:val="es-MX"/>
        </w:rPr>
        <w:t>Dentro de</w:t>
      </w:r>
      <w:r w:rsidR="00293C23">
        <w:rPr>
          <w:lang w:val="es-MX"/>
        </w:rPr>
        <w:t xml:space="preserve"> los </w:t>
      </w:r>
      <w:r w:rsidRPr="00FB641E">
        <w:rPr>
          <w:lang w:val="es-MX"/>
        </w:rPr>
        <w:t>compromisos</w:t>
      </w:r>
      <w:r w:rsidR="00565679">
        <w:rPr>
          <w:lang w:val="es-MX"/>
        </w:rPr>
        <w:t xml:space="preserve"> atendidos se encuentran </w:t>
      </w:r>
      <w:r>
        <w:rPr>
          <w:lang w:val="es-MX"/>
        </w:rPr>
        <w:t xml:space="preserve">los </w:t>
      </w:r>
      <w:r w:rsidRPr="00FB641E">
        <w:rPr>
          <w:lang w:val="es-MX"/>
        </w:rPr>
        <w:t>aportes constitucionales</w:t>
      </w:r>
      <w:r>
        <w:rPr>
          <w:lang w:val="es-MX"/>
        </w:rPr>
        <w:t>, en los que resaltan las transferencias a favor de</w:t>
      </w:r>
      <w:r w:rsidRPr="00FB641E">
        <w:rPr>
          <w:lang w:val="es-MX"/>
        </w:rPr>
        <w:t xml:space="preserve"> las 340 municipalidades del país, Consejos Departamentales de Desarrollo, Universidad de San Carlos de Guatemala, Organismo Judicial, Ministerio Público, Congreso de la República, Contraloría General de Cuentas, Corte de Constitucionalidad, entre otros.</w:t>
      </w:r>
    </w:p>
    <w:p w:rsidR="00AB0496" w:rsidRPr="00FB641E" w:rsidRDefault="00AB0496" w:rsidP="00AB0496">
      <w:pPr>
        <w:jc w:val="both"/>
        <w:rPr>
          <w:sz w:val="18"/>
          <w:lang w:val="es-MX"/>
        </w:rPr>
      </w:pPr>
    </w:p>
    <w:p w:rsidR="00AB0496" w:rsidRDefault="00AB0496" w:rsidP="00AB0496">
      <w:pPr>
        <w:jc w:val="center"/>
        <w:rPr>
          <w:b/>
          <w:sz w:val="22"/>
          <w:lang w:val="es-MX"/>
        </w:rPr>
      </w:pPr>
    </w:p>
    <w:p w:rsidR="00522477" w:rsidRDefault="00522477" w:rsidP="00AB0496">
      <w:pPr>
        <w:jc w:val="center"/>
        <w:rPr>
          <w:b/>
          <w:sz w:val="22"/>
          <w:lang w:val="es-MX"/>
        </w:rPr>
      </w:pPr>
    </w:p>
    <w:p w:rsidR="00AB0496" w:rsidRPr="0088577C" w:rsidRDefault="00AB0496" w:rsidP="00AB0496">
      <w:pPr>
        <w:jc w:val="center"/>
        <w:rPr>
          <w:b/>
          <w:sz w:val="22"/>
          <w:szCs w:val="22"/>
          <w:lang w:val="es-MX"/>
        </w:rPr>
      </w:pPr>
      <w:r w:rsidRPr="0088577C">
        <w:rPr>
          <w:b/>
          <w:sz w:val="22"/>
          <w:szCs w:val="22"/>
          <w:lang w:val="es-MX"/>
        </w:rPr>
        <w:t xml:space="preserve">Gráfica </w:t>
      </w:r>
      <w:r w:rsidR="00E635A3">
        <w:rPr>
          <w:b/>
          <w:sz w:val="22"/>
          <w:szCs w:val="22"/>
          <w:lang w:val="es-MX"/>
        </w:rPr>
        <w:t>10</w:t>
      </w:r>
    </w:p>
    <w:p w:rsidR="00AB0496" w:rsidRPr="0088577C" w:rsidRDefault="00AB0496" w:rsidP="00AB0496">
      <w:pPr>
        <w:jc w:val="center"/>
        <w:rPr>
          <w:b/>
          <w:sz w:val="22"/>
          <w:szCs w:val="22"/>
          <w:lang w:val="es-MX"/>
        </w:rPr>
      </w:pPr>
      <w:r w:rsidRPr="0088577C">
        <w:rPr>
          <w:b/>
          <w:sz w:val="22"/>
          <w:szCs w:val="22"/>
          <w:lang w:val="es-MX"/>
        </w:rPr>
        <w:t>Ejecución Presupuestaria por Grupo de Entidades</w:t>
      </w:r>
    </w:p>
    <w:p w:rsidR="00AB0496" w:rsidRPr="0088577C" w:rsidRDefault="00AB0496" w:rsidP="00AB0496">
      <w:pPr>
        <w:jc w:val="center"/>
        <w:rPr>
          <w:b/>
          <w:sz w:val="22"/>
          <w:szCs w:val="22"/>
          <w:lang w:val="es-MX"/>
        </w:rPr>
      </w:pPr>
      <w:r w:rsidRPr="0088577C">
        <w:rPr>
          <w:b/>
          <w:sz w:val="22"/>
          <w:szCs w:val="22"/>
          <w:lang w:val="es-MX"/>
        </w:rPr>
        <w:t xml:space="preserve">Comparativo al 30 de junio </w:t>
      </w:r>
      <w:r w:rsidR="00E6017A">
        <w:rPr>
          <w:b/>
          <w:sz w:val="22"/>
          <w:szCs w:val="22"/>
          <w:lang w:val="es-MX"/>
        </w:rPr>
        <w:t>de cada año</w:t>
      </w:r>
    </w:p>
    <w:p w:rsidR="00AB0496" w:rsidRPr="0088577C" w:rsidRDefault="00E6017A" w:rsidP="00E635A3">
      <w:pPr>
        <w:jc w:val="center"/>
        <w:rPr>
          <w:b/>
          <w:sz w:val="22"/>
          <w:szCs w:val="22"/>
          <w:lang w:val="es-MX"/>
        </w:rPr>
      </w:pPr>
      <w:r>
        <w:rPr>
          <w:b/>
          <w:sz w:val="22"/>
          <w:szCs w:val="22"/>
          <w:lang w:val="es-MX"/>
        </w:rPr>
        <w:t>(</w:t>
      </w:r>
      <w:r w:rsidR="00E635A3">
        <w:rPr>
          <w:b/>
          <w:sz w:val="22"/>
          <w:szCs w:val="22"/>
          <w:lang w:val="es-MX"/>
        </w:rPr>
        <w:t xml:space="preserve">Cifras en </w:t>
      </w:r>
      <w:r>
        <w:rPr>
          <w:b/>
          <w:sz w:val="22"/>
          <w:szCs w:val="22"/>
          <w:lang w:val="es-MX"/>
        </w:rPr>
        <w:t>P</w:t>
      </w:r>
      <w:r w:rsidR="00E635A3">
        <w:rPr>
          <w:b/>
          <w:sz w:val="22"/>
          <w:szCs w:val="22"/>
          <w:lang w:val="es-MX"/>
        </w:rPr>
        <w:t>orcentajes</w:t>
      </w:r>
      <w:r>
        <w:rPr>
          <w:b/>
          <w:sz w:val="22"/>
          <w:szCs w:val="22"/>
          <w:lang w:val="es-MX"/>
        </w:rPr>
        <w:t>)</w:t>
      </w:r>
    </w:p>
    <w:p w:rsidR="00AB0496" w:rsidRDefault="00AB0496" w:rsidP="00AB0496">
      <w:pPr>
        <w:jc w:val="center"/>
        <w:rPr>
          <w:i/>
          <w:sz w:val="22"/>
          <w:lang w:val="es-MX"/>
        </w:rPr>
      </w:pPr>
      <w:r>
        <w:rPr>
          <w:noProof/>
          <w:lang w:val="es-GT" w:eastAsia="es-GT"/>
        </w:rPr>
        <w:drawing>
          <wp:inline distT="0" distB="0" distL="0" distR="0" wp14:anchorId="6A4A1084" wp14:editId="366889B2">
            <wp:extent cx="2545308" cy="2088107"/>
            <wp:effectExtent l="0" t="0" r="0"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noProof/>
          <w:lang w:val="es-GT" w:eastAsia="es-GT"/>
        </w:rPr>
        <w:drawing>
          <wp:inline distT="0" distB="0" distL="0" distR="0" wp14:anchorId="63774129" wp14:editId="710BB761">
            <wp:extent cx="3207224" cy="2361063"/>
            <wp:effectExtent l="0" t="0" r="0"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B0496" w:rsidRDefault="00AB0496" w:rsidP="00AB0496">
      <w:pPr>
        <w:rPr>
          <w:i/>
          <w:sz w:val="22"/>
          <w:lang w:val="es-MX"/>
        </w:rPr>
      </w:pPr>
    </w:p>
    <w:p w:rsidR="00AB0496" w:rsidRPr="003115F3" w:rsidRDefault="000A3EE5" w:rsidP="00E021FF">
      <w:pPr>
        <w:jc w:val="both"/>
        <w:rPr>
          <w:sz w:val="16"/>
          <w:lang w:val="es-MX"/>
        </w:rPr>
      </w:pPr>
      <w:r>
        <w:rPr>
          <w:sz w:val="16"/>
          <w:lang w:val="es-MX"/>
        </w:rPr>
        <w:t xml:space="preserve">         </w:t>
      </w:r>
      <w:r w:rsidR="00AB0496" w:rsidRPr="00E021FF">
        <w:rPr>
          <w:sz w:val="16"/>
          <w:lang w:val="es-MX"/>
        </w:rPr>
        <w:t xml:space="preserve">  Fuente: Ministerio de Finanzas Públicas con base al SICOIN.</w:t>
      </w:r>
    </w:p>
    <w:p w:rsidR="00AB0496" w:rsidRPr="003115F3" w:rsidRDefault="000A3EE5" w:rsidP="00E021FF">
      <w:pPr>
        <w:jc w:val="both"/>
        <w:rPr>
          <w:sz w:val="16"/>
          <w:lang w:val="es-MX"/>
        </w:rPr>
      </w:pPr>
      <w:r>
        <w:rPr>
          <w:sz w:val="16"/>
          <w:lang w:val="es-MX"/>
        </w:rPr>
        <w:t xml:space="preserve">           </w:t>
      </w:r>
      <w:r w:rsidR="00AB0496" w:rsidRPr="003115F3">
        <w:rPr>
          <w:sz w:val="16"/>
          <w:lang w:val="es-MX"/>
        </w:rPr>
        <w:t>* Cifras preliminares</w:t>
      </w:r>
      <w:r>
        <w:rPr>
          <w:sz w:val="16"/>
          <w:lang w:val="es-MX"/>
        </w:rPr>
        <w:t>.</w:t>
      </w:r>
    </w:p>
    <w:p w:rsidR="00AB0496" w:rsidRDefault="00AB0496" w:rsidP="00AB0496">
      <w:pPr>
        <w:jc w:val="center"/>
        <w:rPr>
          <w:b/>
          <w:sz w:val="22"/>
          <w:lang w:val="es-MX"/>
        </w:rPr>
      </w:pPr>
    </w:p>
    <w:p w:rsidR="00522477" w:rsidRDefault="00522477" w:rsidP="00AB0496">
      <w:pPr>
        <w:jc w:val="center"/>
        <w:rPr>
          <w:b/>
          <w:sz w:val="22"/>
          <w:lang w:val="es-MX"/>
        </w:rPr>
      </w:pPr>
    </w:p>
    <w:p w:rsidR="00AB0496" w:rsidRPr="003E1D05" w:rsidRDefault="00AB0496" w:rsidP="00AB0496">
      <w:pPr>
        <w:jc w:val="both"/>
        <w:rPr>
          <w:lang w:val="es-MX"/>
        </w:rPr>
      </w:pPr>
      <w:r w:rsidRPr="003E1D05">
        <w:rPr>
          <w:lang w:val="es-MX"/>
        </w:rPr>
        <w:t>Durante el primer semestre de 201</w:t>
      </w:r>
      <w:r>
        <w:rPr>
          <w:lang w:val="es-MX"/>
        </w:rPr>
        <w:t>8</w:t>
      </w:r>
      <w:r w:rsidRPr="003E1D05">
        <w:rPr>
          <w:lang w:val="es-MX"/>
        </w:rPr>
        <w:t>, la</w:t>
      </w:r>
      <w:r w:rsidRPr="003E1D05">
        <w:rPr>
          <w:b/>
          <w:lang w:val="es-MX"/>
        </w:rPr>
        <w:t xml:space="preserve"> </w:t>
      </w:r>
      <w:r w:rsidRPr="003E1D05">
        <w:rPr>
          <w:lang w:val="es-MX"/>
        </w:rPr>
        <w:t xml:space="preserve">ejecución por entidad </w:t>
      </w:r>
      <w:r>
        <w:rPr>
          <w:lang w:val="es-MX"/>
        </w:rPr>
        <w:t xml:space="preserve">experimentó un </w:t>
      </w:r>
      <w:r w:rsidRPr="003E1D05">
        <w:rPr>
          <w:lang w:val="es-MX"/>
        </w:rPr>
        <w:t>aument</w:t>
      </w:r>
      <w:r>
        <w:rPr>
          <w:lang w:val="es-MX"/>
        </w:rPr>
        <w:t xml:space="preserve">o neto de </w:t>
      </w:r>
      <w:r w:rsidRPr="003E1D05">
        <w:rPr>
          <w:lang w:val="es-MX"/>
        </w:rPr>
        <w:t>Q</w:t>
      </w:r>
      <w:r w:rsidR="00B007EA">
        <w:rPr>
          <w:lang w:val="es-MX"/>
        </w:rPr>
        <w:t>.</w:t>
      </w:r>
      <w:r w:rsidRPr="003E1D05">
        <w:rPr>
          <w:lang w:val="es-MX"/>
        </w:rPr>
        <w:t>1</w:t>
      </w:r>
      <w:proofErr w:type="gramStart"/>
      <w:r w:rsidRPr="003E1D05">
        <w:rPr>
          <w:lang w:val="es-MX"/>
        </w:rPr>
        <w:t>,</w:t>
      </w:r>
      <w:r>
        <w:rPr>
          <w:lang w:val="es-MX"/>
        </w:rPr>
        <w:t>859.1</w:t>
      </w:r>
      <w:proofErr w:type="gramEnd"/>
      <w:r>
        <w:rPr>
          <w:lang w:val="es-MX"/>
        </w:rPr>
        <w:t xml:space="preserve"> </w:t>
      </w:r>
      <w:r w:rsidRPr="003E1D05">
        <w:rPr>
          <w:lang w:val="es-MX"/>
        </w:rPr>
        <w:t xml:space="preserve">millones, </w:t>
      </w:r>
      <w:r>
        <w:rPr>
          <w:lang w:val="es-MX"/>
        </w:rPr>
        <w:t xml:space="preserve">de </w:t>
      </w:r>
      <w:r w:rsidRPr="003E1D05">
        <w:rPr>
          <w:lang w:val="es-MX"/>
        </w:rPr>
        <w:t>los cuales</w:t>
      </w:r>
      <w:r>
        <w:rPr>
          <w:lang w:val="es-MX"/>
        </w:rPr>
        <w:t xml:space="preserve">, </w:t>
      </w:r>
      <w:r w:rsidR="00E635A3">
        <w:rPr>
          <w:lang w:val="es-MX"/>
        </w:rPr>
        <w:t>destacan</w:t>
      </w:r>
      <w:r>
        <w:rPr>
          <w:lang w:val="es-MX"/>
        </w:rPr>
        <w:t>: el Ministerio de Comunicaciones, Infraestructura y Vivienda con Q</w:t>
      </w:r>
      <w:r w:rsidR="00B007EA">
        <w:rPr>
          <w:lang w:val="es-MX"/>
        </w:rPr>
        <w:t>.</w:t>
      </w:r>
      <w:r>
        <w:rPr>
          <w:lang w:val="es-MX"/>
        </w:rPr>
        <w:t xml:space="preserve">703.6 millones; el Ministerio de Educación </w:t>
      </w:r>
      <w:r w:rsidR="00B007EA">
        <w:rPr>
          <w:lang w:val="es-MX"/>
        </w:rPr>
        <w:t>c</w:t>
      </w:r>
      <w:r>
        <w:rPr>
          <w:lang w:val="es-MX"/>
        </w:rPr>
        <w:t>on Q</w:t>
      </w:r>
      <w:r w:rsidR="00B007EA">
        <w:rPr>
          <w:lang w:val="es-MX"/>
        </w:rPr>
        <w:t>.</w:t>
      </w:r>
      <w:r>
        <w:rPr>
          <w:lang w:val="es-MX"/>
        </w:rPr>
        <w:t>377.2 millones; el Ministerio de Desarrollo Social con Q</w:t>
      </w:r>
      <w:r w:rsidR="00B007EA">
        <w:rPr>
          <w:lang w:val="es-MX"/>
        </w:rPr>
        <w:t>.</w:t>
      </w:r>
      <w:r>
        <w:rPr>
          <w:lang w:val="es-MX"/>
        </w:rPr>
        <w:t>211.5 millones; Ministerio de Gobernación con Q</w:t>
      </w:r>
      <w:r w:rsidR="00B007EA">
        <w:rPr>
          <w:lang w:val="es-MX"/>
        </w:rPr>
        <w:t>.</w:t>
      </w:r>
      <w:r>
        <w:rPr>
          <w:lang w:val="es-MX"/>
        </w:rPr>
        <w:t>179.8 millones; el Ministerio de Salud Pública y Asistencia Social con Q</w:t>
      </w:r>
      <w:r w:rsidR="00B007EA">
        <w:rPr>
          <w:lang w:val="es-MX"/>
        </w:rPr>
        <w:t>.</w:t>
      </w:r>
      <w:r>
        <w:rPr>
          <w:lang w:val="es-MX"/>
        </w:rPr>
        <w:t>187.6 millones</w:t>
      </w:r>
      <w:r w:rsidR="00B007EA">
        <w:rPr>
          <w:lang w:val="es-MX"/>
        </w:rPr>
        <w:t>;</w:t>
      </w:r>
      <w:r>
        <w:rPr>
          <w:lang w:val="es-MX"/>
        </w:rPr>
        <w:t xml:space="preserve"> entre otros.  Por otro lado, el Ministerio de Economía redujo su ejecución en Q</w:t>
      </w:r>
      <w:r w:rsidR="00B007EA">
        <w:rPr>
          <w:lang w:val="es-MX"/>
        </w:rPr>
        <w:t>.</w:t>
      </w:r>
      <w:r>
        <w:rPr>
          <w:lang w:val="es-MX"/>
        </w:rPr>
        <w:t>120.8 millones al pasar de Q</w:t>
      </w:r>
      <w:r w:rsidR="00B007EA">
        <w:rPr>
          <w:lang w:val="es-MX"/>
        </w:rPr>
        <w:t>.</w:t>
      </w:r>
      <w:r>
        <w:rPr>
          <w:lang w:val="es-MX"/>
        </w:rPr>
        <w:t>251.5 millones en 2017 a Q</w:t>
      </w:r>
      <w:r w:rsidR="00B007EA">
        <w:rPr>
          <w:lang w:val="es-MX"/>
        </w:rPr>
        <w:t>.</w:t>
      </w:r>
      <w:r>
        <w:rPr>
          <w:lang w:val="es-MX"/>
        </w:rPr>
        <w:t xml:space="preserve">130.7 millones en 2018, los </w:t>
      </w:r>
      <w:r w:rsidR="00B007EA">
        <w:rPr>
          <w:lang w:val="es-MX"/>
        </w:rPr>
        <w:t>M</w:t>
      </w:r>
      <w:r>
        <w:rPr>
          <w:lang w:val="es-MX"/>
        </w:rPr>
        <w:t>inisterios de Trabajo</w:t>
      </w:r>
      <w:r w:rsidR="00B007EA">
        <w:rPr>
          <w:lang w:val="es-MX"/>
        </w:rPr>
        <w:t xml:space="preserve"> y Previsión Social</w:t>
      </w:r>
      <w:r>
        <w:rPr>
          <w:lang w:val="es-MX"/>
        </w:rPr>
        <w:t xml:space="preserve"> y </w:t>
      </w:r>
      <w:r w:rsidR="00B007EA">
        <w:rPr>
          <w:lang w:val="es-MX"/>
        </w:rPr>
        <w:t xml:space="preserve">de </w:t>
      </w:r>
      <w:r>
        <w:rPr>
          <w:lang w:val="es-MX"/>
        </w:rPr>
        <w:t>Energía y Minas también tuvieron una menor ejecución a la observada en 2017</w:t>
      </w:r>
      <w:r w:rsidRPr="003E1D05">
        <w:rPr>
          <w:lang w:val="es-MX"/>
        </w:rPr>
        <w:t>.</w:t>
      </w:r>
    </w:p>
    <w:p w:rsidR="00AB0496" w:rsidRDefault="00AB0496" w:rsidP="00AB0496">
      <w:pPr>
        <w:rPr>
          <w:b/>
          <w:sz w:val="22"/>
          <w:lang w:val="es-MX"/>
        </w:rPr>
      </w:pPr>
    </w:p>
    <w:p w:rsidR="00AB0496" w:rsidRDefault="00AB0496" w:rsidP="00AB0496">
      <w:pPr>
        <w:jc w:val="center"/>
        <w:rPr>
          <w:b/>
          <w:sz w:val="22"/>
          <w:lang w:val="es-MX"/>
        </w:rPr>
      </w:pPr>
    </w:p>
    <w:p w:rsidR="00AB0496" w:rsidRDefault="00AB0496" w:rsidP="00AB0496">
      <w:pPr>
        <w:jc w:val="center"/>
        <w:rPr>
          <w:b/>
          <w:sz w:val="22"/>
          <w:lang w:val="es-MX"/>
        </w:rPr>
      </w:pPr>
    </w:p>
    <w:p w:rsidR="00AB0496" w:rsidRDefault="00AB0496" w:rsidP="00AB0496">
      <w:pPr>
        <w:rPr>
          <w:b/>
          <w:sz w:val="22"/>
          <w:szCs w:val="22"/>
          <w:lang w:val="es-MX"/>
        </w:rPr>
      </w:pPr>
      <w:r>
        <w:rPr>
          <w:b/>
          <w:sz w:val="22"/>
          <w:szCs w:val="22"/>
          <w:lang w:val="es-MX"/>
        </w:rPr>
        <w:br w:type="page"/>
      </w:r>
    </w:p>
    <w:p w:rsidR="00AB0496" w:rsidRPr="0088577C" w:rsidRDefault="00AB0496" w:rsidP="00AB0496">
      <w:pPr>
        <w:jc w:val="center"/>
        <w:rPr>
          <w:b/>
          <w:sz w:val="22"/>
          <w:szCs w:val="22"/>
          <w:lang w:val="es-MX"/>
        </w:rPr>
      </w:pPr>
      <w:r w:rsidRPr="0088577C">
        <w:rPr>
          <w:b/>
          <w:sz w:val="22"/>
          <w:szCs w:val="22"/>
          <w:lang w:val="es-MX"/>
        </w:rPr>
        <w:lastRenderedPageBreak/>
        <w:t xml:space="preserve">Cuadro </w:t>
      </w:r>
      <w:r w:rsidR="00E5644C">
        <w:rPr>
          <w:b/>
          <w:sz w:val="22"/>
          <w:szCs w:val="22"/>
          <w:lang w:val="es-MX"/>
        </w:rPr>
        <w:t>4</w:t>
      </w:r>
    </w:p>
    <w:p w:rsidR="00AB0496" w:rsidRPr="0088577C" w:rsidRDefault="00AB0496" w:rsidP="00AB0496">
      <w:pPr>
        <w:jc w:val="center"/>
        <w:rPr>
          <w:b/>
          <w:sz w:val="22"/>
          <w:szCs w:val="22"/>
          <w:lang w:val="es-MX"/>
        </w:rPr>
      </w:pPr>
      <w:r w:rsidRPr="0088577C">
        <w:rPr>
          <w:b/>
          <w:sz w:val="22"/>
          <w:szCs w:val="22"/>
          <w:lang w:val="es-MX"/>
        </w:rPr>
        <w:t>Ejecución Presupuestaria por Entidad</w:t>
      </w:r>
    </w:p>
    <w:p w:rsidR="00AB0496" w:rsidRPr="0088577C" w:rsidRDefault="00AB0496" w:rsidP="00AB0496">
      <w:pPr>
        <w:jc w:val="center"/>
        <w:rPr>
          <w:b/>
          <w:sz w:val="22"/>
          <w:szCs w:val="22"/>
          <w:lang w:val="es-MX"/>
        </w:rPr>
      </w:pPr>
      <w:r w:rsidRPr="0088577C">
        <w:rPr>
          <w:b/>
          <w:sz w:val="22"/>
          <w:szCs w:val="22"/>
          <w:lang w:val="es-MX"/>
        </w:rPr>
        <w:t xml:space="preserve">Al 30 de junio </w:t>
      </w:r>
      <w:r w:rsidR="00E6017A">
        <w:rPr>
          <w:b/>
          <w:sz w:val="22"/>
          <w:szCs w:val="22"/>
          <w:lang w:val="es-MX"/>
        </w:rPr>
        <w:t>de cada año</w:t>
      </w:r>
    </w:p>
    <w:p w:rsidR="00AB0496" w:rsidRPr="0088577C" w:rsidRDefault="00AB0496" w:rsidP="00AB0496">
      <w:pPr>
        <w:jc w:val="center"/>
        <w:rPr>
          <w:b/>
          <w:sz w:val="22"/>
          <w:szCs w:val="22"/>
          <w:lang w:val="es-MX"/>
        </w:rPr>
      </w:pPr>
      <w:r w:rsidRPr="0088577C">
        <w:rPr>
          <w:b/>
          <w:sz w:val="22"/>
          <w:szCs w:val="22"/>
          <w:lang w:val="es-MX"/>
        </w:rPr>
        <w:t>(Cifras en Millones de Quetzales)</w:t>
      </w:r>
    </w:p>
    <w:tbl>
      <w:tblPr>
        <w:tblW w:w="9061" w:type="dxa"/>
        <w:tblInd w:w="55" w:type="dxa"/>
        <w:tblCellMar>
          <w:left w:w="70" w:type="dxa"/>
          <w:right w:w="70" w:type="dxa"/>
        </w:tblCellMar>
        <w:tblLook w:val="04A0" w:firstRow="1" w:lastRow="0" w:firstColumn="1" w:lastColumn="0" w:noHBand="0" w:noVBand="1"/>
      </w:tblPr>
      <w:tblGrid>
        <w:gridCol w:w="2254"/>
        <w:gridCol w:w="1105"/>
        <w:gridCol w:w="1105"/>
        <w:gridCol w:w="1370"/>
        <w:gridCol w:w="1282"/>
        <w:gridCol w:w="972"/>
        <w:gridCol w:w="973"/>
      </w:tblGrid>
      <w:tr w:rsidR="00AB0496" w:rsidRPr="00A269E3" w:rsidTr="00AB0496">
        <w:trPr>
          <w:trHeight w:val="523"/>
        </w:trPr>
        <w:tc>
          <w:tcPr>
            <w:tcW w:w="2254" w:type="dxa"/>
            <w:vMerge w:val="restart"/>
            <w:tcBorders>
              <w:top w:val="single" w:sz="8" w:space="0" w:color="auto"/>
              <w:left w:val="single" w:sz="8" w:space="0" w:color="auto"/>
              <w:bottom w:val="single" w:sz="4" w:space="0" w:color="000000"/>
              <w:right w:val="nil"/>
            </w:tcBorders>
            <w:shd w:val="clear" w:color="000000" w:fill="8DB4E2"/>
            <w:vAlign w:val="center"/>
            <w:hideMark/>
          </w:tcPr>
          <w:p w:rsidR="00AB0496" w:rsidRPr="00A269E3" w:rsidRDefault="00AB0496" w:rsidP="006B72C8">
            <w:pPr>
              <w:jc w:val="center"/>
              <w:rPr>
                <w:b/>
                <w:bCs/>
                <w:color w:val="000000"/>
                <w:sz w:val="20"/>
                <w:szCs w:val="20"/>
                <w:lang w:val="es-GT" w:eastAsia="es-GT"/>
              </w:rPr>
            </w:pPr>
            <w:r w:rsidRPr="00A269E3">
              <w:rPr>
                <w:b/>
                <w:bCs/>
                <w:color w:val="000000"/>
                <w:sz w:val="20"/>
                <w:szCs w:val="20"/>
                <w:lang w:val="es-GT" w:eastAsia="es-GT"/>
              </w:rPr>
              <w:t>Devengado</w:t>
            </w:r>
          </w:p>
        </w:tc>
        <w:tc>
          <w:tcPr>
            <w:tcW w:w="1105" w:type="dxa"/>
            <w:vMerge w:val="restart"/>
            <w:tcBorders>
              <w:top w:val="single" w:sz="8" w:space="0" w:color="auto"/>
              <w:left w:val="single" w:sz="4" w:space="0" w:color="auto"/>
              <w:bottom w:val="single" w:sz="4" w:space="0" w:color="000000"/>
              <w:right w:val="single" w:sz="4" w:space="0" w:color="auto"/>
            </w:tcBorders>
            <w:shd w:val="clear" w:color="000000" w:fill="8DB4E2"/>
            <w:vAlign w:val="center"/>
            <w:hideMark/>
          </w:tcPr>
          <w:p w:rsidR="00AB0496" w:rsidRPr="00A269E3" w:rsidRDefault="00AB0496" w:rsidP="00AB0496">
            <w:pPr>
              <w:jc w:val="center"/>
              <w:rPr>
                <w:b/>
                <w:bCs/>
                <w:color w:val="000000"/>
                <w:sz w:val="20"/>
                <w:szCs w:val="20"/>
                <w:lang w:val="es-GT" w:eastAsia="es-GT"/>
              </w:rPr>
            </w:pPr>
            <w:r w:rsidRPr="00A269E3">
              <w:rPr>
                <w:b/>
                <w:bCs/>
                <w:color w:val="000000"/>
                <w:sz w:val="20"/>
                <w:szCs w:val="20"/>
                <w:lang w:val="es-GT" w:eastAsia="es-GT"/>
              </w:rPr>
              <w:t>2017</w:t>
            </w:r>
          </w:p>
        </w:tc>
        <w:tc>
          <w:tcPr>
            <w:tcW w:w="1105" w:type="dxa"/>
            <w:vMerge w:val="restart"/>
            <w:tcBorders>
              <w:top w:val="single" w:sz="8" w:space="0" w:color="auto"/>
              <w:left w:val="single" w:sz="4" w:space="0" w:color="auto"/>
              <w:bottom w:val="single" w:sz="4" w:space="0" w:color="000000"/>
              <w:right w:val="single" w:sz="4" w:space="0" w:color="auto"/>
            </w:tcBorders>
            <w:shd w:val="clear" w:color="000000" w:fill="8DB4E2"/>
            <w:vAlign w:val="center"/>
            <w:hideMark/>
          </w:tcPr>
          <w:p w:rsidR="00AB0496" w:rsidRPr="00A269E3" w:rsidRDefault="00AB0496" w:rsidP="00AB0496">
            <w:pPr>
              <w:jc w:val="center"/>
              <w:rPr>
                <w:b/>
                <w:bCs/>
                <w:color w:val="000000"/>
                <w:sz w:val="20"/>
                <w:szCs w:val="20"/>
                <w:lang w:val="es-GT" w:eastAsia="es-GT"/>
              </w:rPr>
            </w:pPr>
            <w:r w:rsidRPr="00A269E3">
              <w:rPr>
                <w:b/>
                <w:bCs/>
                <w:color w:val="000000"/>
                <w:sz w:val="20"/>
                <w:szCs w:val="20"/>
                <w:lang w:val="es-GT" w:eastAsia="es-GT"/>
              </w:rPr>
              <w:t>2018</w:t>
            </w:r>
          </w:p>
        </w:tc>
        <w:tc>
          <w:tcPr>
            <w:tcW w:w="2652" w:type="dxa"/>
            <w:gridSpan w:val="2"/>
            <w:tcBorders>
              <w:top w:val="single" w:sz="8" w:space="0" w:color="auto"/>
              <w:left w:val="single" w:sz="4" w:space="0" w:color="auto"/>
              <w:bottom w:val="single" w:sz="4" w:space="0" w:color="auto"/>
              <w:right w:val="single" w:sz="8" w:space="0" w:color="000000"/>
            </w:tcBorders>
            <w:shd w:val="clear" w:color="000000" w:fill="8DB4E2"/>
            <w:noWrap/>
            <w:vAlign w:val="center"/>
            <w:hideMark/>
          </w:tcPr>
          <w:p w:rsidR="00AB0496" w:rsidRPr="00A269E3" w:rsidRDefault="00AB0496" w:rsidP="00AB0496">
            <w:pPr>
              <w:jc w:val="center"/>
              <w:rPr>
                <w:b/>
                <w:bCs/>
                <w:color w:val="000000"/>
                <w:sz w:val="22"/>
                <w:szCs w:val="22"/>
                <w:lang w:val="es-GT" w:eastAsia="es-GT"/>
              </w:rPr>
            </w:pPr>
            <w:r w:rsidRPr="00A269E3">
              <w:rPr>
                <w:b/>
                <w:bCs/>
                <w:color w:val="000000"/>
                <w:sz w:val="22"/>
                <w:szCs w:val="22"/>
                <w:lang w:val="es-GT" w:eastAsia="es-GT"/>
              </w:rPr>
              <w:t>Diferencias</w:t>
            </w:r>
          </w:p>
        </w:tc>
        <w:tc>
          <w:tcPr>
            <w:tcW w:w="1945" w:type="dxa"/>
            <w:gridSpan w:val="2"/>
            <w:tcBorders>
              <w:top w:val="single" w:sz="8" w:space="0" w:color="auto"/>
              <w:left w:val="nil"/>
              <w:bottom w:val="single" w:sz="4" w:space="0" w:color="auto"/>
              <w:right w:val="single" w:sz="8" w:space="0" w:color="000000"/>
            </w:tcBorders>
            <w:shd w:val="clear" w:color="000000" w:fill="8DB4E2"/>
            <w:vAlign w:val="center"/>
            <w:hideMark/>
          </w:tcPr>
          <w:p w:rsidR="008B591D" w:rsidRDefault="00AB0496" w:rsidP="008B591D">
            <w:pPr>
              <w:jc w:val="center"/>
              <w:rPr>
                <w:b/>
                <w:bCs/>
                <w:color w:val="000000"/>
                <w:sz w:val="20"/>
                <w:szCs w:val="20"/>
                <w:lang w:val="es-GT" w:eastAsia="es-GT"/>
              </w:rPr>
            </w:pPr>
            <w:r w:rsidRPr="00A269E3">
              <w:rPr>
                <w:b/>
                <w:bCs/>
                <w:color w:val="000000"/>
                <w:sz w:val="20"/>
                <w:szCs w:val="20"/>
                <w:lang w:val="es-GT" w:eastAsia="es-GT"/>
              </w:rPr>
              <w:t xml:space="preserve">Estructura </w:t>
            </w:r>
            <w:r w:rsidR="008B591D">
              <w:rPr>
                <w:b/>
                <w:bCs/>
                <w:color w:val="000000"/>
                <w:sz w:val="20"/>
                <w:szCs w:val="20"/>
                <w:lang w:val="es-GT" w:eastAsia="es-GT"/>
              </w:rPr>
              <w:t xml:space="preserve">% </w:t>
            </w:r>
            <w:r w:rsidRPr="00A269E3">
              <w:rPr>
                <w:b/>
                <w:bCs/>
                <w:color w:val="000000"/>
                <w:sz w:val="20"/>
                <w:szCs w:val="20"/>
                <w:lang w:val="es-GT" w:eastAsia="es-GT"/>
              </w:rPr>
              <w:t>de</w:t>
            </w:r>
          </w:p>
          <w:p w:rsidR="00AB0496" w:rsidRPr="00A269E3" w:rsidRDefault="00AB0496" w:rsidP="008B591D">
            <w:pPr>
              <w:jc w:val="center"/>
              <w:rPr>
                <w:b/>
                <w:bCs/>
                <w:color w:val="000000"/>
                <w:sz w:val="20"/>
                <w:szCs w:val="20"/>
                <w:lang w:val="es-GT" w:eastAsia="es-GT"/>
              </w:rPr>
            </w:pPr>
            <w:r w:rsidRPr="00A269E3">
              <w:rPr>
                <w:b/>
                <w:bCs/>
                <w:color w:val="000000"/>
                <w:sz w:val="20"/>
                <w:szCs w:val="20"/>
                <w:lang w:val="es-GT" w:eastAsia="es-GT"/>
              </w:rPr>
              <w:t xml:space="preserve">la </w:t>
            </w:r>
            <w:r w:rsidR="008B591D">
              <w:rPr>
                <w:b/>
                <w:bCs/>
                <w:color w:val="000000"/>
                <w:sz w:val="20"/>
                <w:szCs w:val="20"/>
                <w:lang w:val="es-GT" w:eastAsia="es-GT"/>
              </w:rPr>
              <w:t>E</w:t>
            </w:r>
            <w:r w:rsidRPr="00A269E3">
              <w:rPr>
                <w:b/>
                <w:bCs/>
                <w:color w:val="000000"/>
                <w:sz w:val="20"/>
                <w:szCs w:val="20"/>
                <w:lang w:val="es-GT" w:eastAsia="es-GT"/>
              </w:rPr>
              <w:t>jecución</w:t>
            </w:r>
          </w:p>
        </w:tc>
      </w:tr>
      <w:tr w:rsidR="00AB0496" w:rsidRPr="00A269E3" w:rsidTr="00AB0496">
        <w:trPr>
          <w:trHeight w:val="308"/>
        </w:trPr>
        <w:tc>
          <w:tcPr>
            <w:tcW w:w="2254" w:type="dxa"/>
            <w:vMerge/>
            <w:tcBorders>
              <w:top w:val="single" w:sz="8" w:space="0" w:color="auto"/>
              <w:left w:val="single" w:sz="8" w:space="0" w:color="auto"/>
              <w:bottom w:val="single" w:sz="4" w:space="0" w:color="000000"/>
              <w:right w:val="nil"/>
            </w:tcBorders>
            <w:vAlign w:val="center"/>
            <w:hideMark/>
          </w:tcPr>
          <w:p w:rsidR="00AB0496" w:rsidRPr="00A269E3" w:rsidRDefault="00AB0496" w:rsidP="00AB0496">
            <w:pPr>
              <w:rPr>
                <w:b/>
                <w:bCs/>
                <w:color w:val="000000"/>
                <w:sz w:val="20"/>
                <w:szCs w:val="20"/>
                <w:lang w:val="es-GT" w:eastAsia="es-GT"/>
              </w:rPr>
            </w:pPr>
          </w:p>
        </w:tc>
        <w:tc>
          <w:tcPr>
            <w:tcW w:w="1105" w:type="dxa"/>
            <w:vMerge/>
            <w:tcBorders>
              <w:top w:val="single" w:sz="8" w:space="0" w:color="auto"/>
              <w:left w:val="single" w:sz="4" w:space="0" w:color="auto"/>
              <w:bottom w:val="single" w:sz="4" w:space="0" w:color="000000"/>
              <w:right w:val="single" w:sz="4" w:space="0" w:color="auto"/>
            </w:tcBorders>
            <w:vAlign w:val="center"/>
            <w:hideMark/>
          </w:tcPr>
          <w:p w:rsidR="00AB0496" w:rsidRPr="00A269E3" w:rsidRDefault="00AB0496" w:rsidP="00AB0496">
            <w:pPr>
              <w:rPr>
                <w:b/>
                <w:bCs/>
                <w:color w:val="000000"/>
                <w:sz w:val="20"/>
                <w:szCs w:val="20"/>
                <w:lang w:val="es-GT" w:eastAsia="es-GT"/>
              </w:rPr>
            </w:pPr>
          </w:p>
        </w:tc>
        <w:tc>
          <w:tcPr>
            <w:tcW w:w="1105" w:type="dxa"/>
            <w:vMerge/>
            <w:tcBorders>
              <w:top w:val="single" w:sz="8" w:space="0" w:color="auto"/>
              <w:left w:val="single" w:sz="4" w:space="0" w:color="auto"/>
              <w:bottom w:val="single" w:sz="4" w:space="0" w:color="000000"/>
              <w:right w:val="single" w:sz="4" w:space="0" w:color="auto"/>
            </w:tcBorders>
            <w:vAlign w:val="center"/>
            <w:hideMark/>
          </w:tcPr>
          <w:p w:rsidR="00AB0496" w:rsidRPr="00A269E3" w:rsidRDefault="00AB0496" w:rsidP="00AB0496">
            <w:pPr>
              <w:rPr>
                <w:b/>
                <w:bCs/>
                <w:color w:val="000000"/>
                <w:sz w:val="20"/>
                <w:szCs w:val="20"/>
                <w:lang w:val="es-GT" w:eastAsia="es-GT"/>
              </w:rPr>
            </w:pPr>
          </w:p>
        </w:tc>
        <w:tc>
          <w:tcPr>
            <w:tcW w:w="1370" w:type="dxa"/>
            <w:tcBorders>
              <w:top w:val="nil"/>
              <w:left w:val="nil"/>
              <w:bottom w:val="single" w:sz="4" w:space="0" w:color="auto"/>
              <w:right w:val="single" w:sz="4" w:space="0" w:color="auto"/>
            </w:tcBorders>
            <w:shd w:val="clear" w:color="000000" w:fill="8DB4E2"/>
            <w:noWrap/>
            <w:vAlign w:val="bottom"/>
            <w:hideMark/>
          </w:tcPr>
          <w:p w:rsidR="00AB0496" w:rsidRPr="00A269E3" w:rsidRDefault="00AB0496" w:rsidP="00AB0496">
            <w:pPr>
              <w:jc w:val="center"/>
              <w:rPr>
                <w:b/>
                <w:bCs/>
                <w:color w:val="000000"/>
                <w:sz w:val="22"/>
                <w:szCs w:val="22"/>
                <w:lang w:val="es-GT" w:eastAsia="es-GT"/>
              </w:rPr>
            </w:pPr>
            <w:r w:rsidRPr="00A269E3">
              <w:rPr>
                <w:b/>
                <w:bCs/>
                <w:color w:val="000000"/>
                <w:sz w:val="22"/>
                <w:szCs w:val="22"/>
                <w:lang w:val="es-GT" w:eastAsia="es-GT"/>
              </w:rPr>
              <w:t>Absolutas</w:t>
            </w:r>
          </w:p>
        </w:tc>
        <w:tc>
          <w:tcPr>
            <w:tcW w:w="1282" w:type="dxa"/>
            <w:tcBorders>
              <w:top w:val="single" w:sz="4" w:space="0" w:color="auto"/>
              <w:left w:val="nil"/>
              <w:bottom w:val="single" w:sz="4" w:space="0" w:color="auto"/>
              <w:right w:val="single" w:sz="8" w:space="0" w:color="auto"/>
            </w:tcBorders>
            <w:shd w:val="clear" w:color="000000" w:fill="8DB4E2"/>
            <w:noWrap/>
            <w:vAlign w:val="bottom"/>
            <w:hideMark/>
          </w:tcPr>
          <w:p w:rsidR="00AB0496" w:rsidRPr="00A269E3" w:rsidRDefault="00AB0496" w:rsidP="00AB0496">
            <w:pPr>
              <w:jc w:val="center"/>
              <w:rPr>
                <w:b/>
                <w:bCs/>
                <w:color w:val="000000"/>
                <w:sz w:val="22"/>
                <w:szCs w:val="22"/>
                <w:lang w:val="es-GT" w:eastAsia="es-GT"/>
              </w:rPr>
            </w:pPr>
            <w:r w:rsidRPr="00A269E3">
              <w:rPr>
                <w:b/>
                <w:bCs/>
                <w:color w:val="000000"/>
                <w:sz w:val="22"/>
                <w:szCs w:val="22"/>
                <w:lang w:val="es-GT" w:eastAsia="es-GT"/>
              </w:rPr>
              <w:t>Relativas</w:t>
            </w:r>
          </w:p>
        </w:tc>
        <w:tc>
          <w:tcPr>
            <w:tcW w:w="972" w:type="dxa"/>
            <w:tcBorders>
              <w:top w:val="nil"/>
              <w:left w:val="nil"/>
              <w:bottom w:val="single" w:sz="4" w:space="0" w:color="auto"/>
              <w:right w:val="single" w:sz="4" w:space="0" w:color="auto"/>
            </w:tcBorders>
            <w:shd w:val="clear" w:color="000000" w:fill="8DB4E2"/>
            <w:noWrap/>
            <w:vAlign w:val="bottom"/>
            <w:hideMark/>
          </w:tcPr>
          <w:p w:rsidR="00AB0496" w:rsidRPr="00A269E3" w:rsidRDefault="00AB0496" w:rsidP="00AB0496">
            <w:pPr>
              <w:jc w:val="center"/>
              <w:rPr>
                <w:b/>
                <w:bCs/>
                <w:color w:val="000000"/>
                <w:sz w:val="22"/>
                <w:szCs w:val="22"/>
                <w:lang w:val="es-GT" w:eastAsia="es-GT"/>
              </w:rPr>
            </w:pPr>
            <w:r w:rsidRPr="00A269E3">
              <w:rPr>
                <w:b/>
                <w:bCs/>
                <w:color w:val="000000"/>
                <w:sz w:val="22"/>
                <w:szCs w:val="22"/>
                <w:lang w:val="es-GT" w:eastAsia="es-GT"/>
              </w:rPr>
              <w:t>201</w:t>
            </w:r>
            <w:r>
              <w:rPr>
                <w:b/>
                <w:bCs/>
                <w:color w:val="000000"/>
                <w:sz w:val="22"/>
                <w:szCs w:val="22"/>
                <w:lang w:val="es-GT" w:eastAsia="es-GT"/>
              </w:rPr>
              <w:t>7</w:t>
            </w:r>
          </w:p>
        </w:tc>
        <w:tc>
          <w:tcPr>
            <w:tcW w:w="972" w:type="dxa"/>
            <w:tcBorders>
              <w:top w:val="nil"/>
              <w:left w:val="nil"/>
              <w:bottom w:val="single" w:sz="4" w:space="0" w:color="auto"/>
              <w:right w:val="single" w:sz="8" w:space="0" w:color="auto"/>
            </w:tcBorders>
            <w:shd w:val="clear" w:color="000000" w:fill="8DB4E2"/>
            <w:noWrap/>
            <w:vAlign w:val="bottom"/>
            <w:hideMark/>
          </w:tcPr>
          <w:p w:rsidR="00AB0496" w:rsidRPr="00A269E3" w:rsidRDefault="00AB0496" w:rsidP="00AB0496">
            <w:pPr>
              <w:jc w:val="center"/>
              <w:rPr>
                <w:b/>
                <w:bCs/>
                <w:color w:val="000000"/>
                <w:sz w:val="22"/>
                <w:szCs w:val="22"/>
                <w:lang w:val="es-GT" w:eastAsia="es-GT"/>
              </w:rPr>
            </w:pPr>
            <w:r w:rsidRPr="00A269E3">
              <w:rPr>
                <w:b/>
                <w:bCs/>
                <w:color w:val="000000"/>
                <w:sz w:val="22"/>
                <w:szCs w:val="22"/>
                <w:lang w:val="es-GT" w:eastAsia="es-GT"/>
              </w:rPr>
              <w:t>201</w:t>
            </w:r>
            <w:r>
              <w:rPr>
                <w:b/>
                <w:bCs/>
                <w:color w:val="000000"/>
                <w:sz w:val="22"/>
                <w:szCs w:val="22"/>
                <w:lang w:val="es-GT" w:eastAsia="es-GT"/>
              </w:rPr>
              <w:t>8</w:t>
            </w:r>
          </w:p>
        </w:tc>
      </w:tr>
      <w:tr w:rsidR="00AB0496" w:rsidRPr="00A269E3" w:rsidTr="00AB0496">
        <w:trPr>
          <w:trHeight w:val="308"/>
        </w:trPr>
        <w:tc>
          <w:tcPr>
            <w:tcW w:w="2254" w:type="dxa"/>
            <w:tcBorders>
              <w:top w:val="nil"/>
              <w:left w:val="single" w:sz="8" w:space="0" w:color="auto"/>
              <w:bottom w:val="nil"/>
              <w:right w:val="nil"/>
            </w:tcBorders>
            <w:shd w:val="clear" w:color="000000" w:fill="FFFFFF"/>
            <w:noWrap/>
            <w:vAlign w:val="bottom"/>
            <w:hideMark/>
          </w:tcPr>
          <w:p w:rsidR="00AB0496" w:rsidRPr="00A269E3" w:rsidRDefault="00AB0496" w:rsidP="00AB0496">
            <w:pPr>
              <w:jc w:val="center"/>
              <w:rPr>
                <w:b/>
                <w:bCs/>
                <w:color w:val="000000"/>
                <w:sz w:val="20"/>
                <w:szCs w:val="20"/>
                <w:lang w:val="es-GT" w:eastAsia="es-GT"/>
              </w:rPr>
            </w:pPr>
            <w:r w:rsidRPr="00A269E3">
              <w:rPr>
                <w:b/>
                <w:bCs/>
                <w:color w:val="000000"/>
                <w:sz w:val="20"/>
                <w:szCs w:val="20"/>
                <w:lang w:val="es-GT" w:eastAsia="es-GT"/>
              </w:rPr>
              <w:t>Total</w:t>
            </w:r>
          </w:p>
        </w:tc>
        <w:tc>
          <w:tcPr>
            <w:tcW w:w="1105" w:type="dxa"/>
            <w:tcBorders>
              <w:top w:val="nil"/>
              <w:left w:val="single" w:sz="4" w:space="0" w:color="auto"/>
              <w:bottom w:val="nil"/>
              <w:right w:val="single" w:sz="4" w:space="0" w:color="auto"/>
            </w:tcBorders>
            <w:shd w:val="clear" w:color="000000" w:fill="FFFFFF"/>
            <w:noWrap/>
            <w:vAlign w:val="bottom"/>
            <w:hideMark/>
          </w:tcPr>
          <w:p w:rsidR="00AB0496" w:rsidRPr="00A269E3" w:rsidRDefault="00AB0496" w:rsidP="00AB0496">
            <w:pPr>
              <w:rPr>
                <w:b/>
                <w:bCs/>
                <w:color w:val="000000"/>
                <w:sz w:val="20"/>
                <w:szCs w:val="20"/>
                <w:lang w:val="es-GT" w:eastAsia="es-GT"/>
              </w:rPr>
            </w:pPr>
            <w:r w:rsidRPr="00A269E3">
              <w:rPr>
                <w:b/>
                <w:bCs/>
                <w:color w:val="000000"/>
                <w:sz w:val="20"/>
                <w:szCs w:val="20"/>
                <w:lang w:val="es-GT" w:eastAsia="es-GT"/>
              </w:rPr>
              <w:t xml:space="preserve">   30,644.5 </w:t>
            </w:r>
          </w:p>
        </w:tc>
        <w:tc>
          <w:tcPr>
            <w:tcW w:w="1105" w:type="dxa"/>
            <w:tcBorders>
              <w:top w:val="nil"/>
              <w:left w:val="nil"/>
              <w:bottom w:val="nil"/>
              <w:right w:val="single" w:sz="4" w:space="0" w:color="auto"/>
            </w:tcBorders>
            <w:shd w:val="clear" w:color="000000" w:fill="FFFFFF"/>
            <w:noWrap/>
            <w:vAlign w:val="bottom"/>
            <w:hideMark/>
          </w:tcPr>
          <w:p w:rsidR="00AB0496" w:rsidRPr="00A269E3" w:rsidRDefault="00AB0496" w:rsidP="00AB0496">
            <w:pPr>
              <w:rPr>
                <w:b/>
                <w:bCs/>
                <w:color w:val="000000"/>
                <w:sz w:val="20"/>
                <w:szCs w:val="20"/>
                <w:lang w:val="es-GT" w:eastAsia="es-GT"/>
              </w:rPr>
            </w:pPr>
            <w:r w:rsidRPr="00A269E3">
              <w:rPr>
                <w:b/>
                <w:bCs/>
                <w:color w:val="000000"/>
                <w:sz w:val="20"/>
                <w:szCs w:val="20"/>
                <w:lang w:val="es-GT" w:eastAsia="es-GT"/>
              </w:rPr>
              <w:t xml:space="preserve">   32,503.6 </w:t>
            </w:r>
          </w:p>
        </w:tc>
        <w:tc>
          <w:tcPr>
            <w:tcW w:w="1370"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right"/>
              <w:rPr>
                <w:b/>
                <w:bCs/>
                <w:color w:val="000000"/>
                <w:sz w:val="22"/>
                <w:szCs w:val="22"/>
                <w:lang w:val="es-GT" w:eastAsia="es-GT"/>
              </w:rPr>
            </w:pPr>
            <w:r w:rsidRPr="00A269E3">
              <w:rPr>
                <w:b/>
                <w:bCs/>
                <w:color w:val="000000"/>
                <w:sz w:val="22"/>
                <w:szCs w:val="22"/>
                <w:lang w:val="es-GT" w:eastAsia="es-GT"/>
              </w:rPr>
              <w:t>1,859.1</w:t>
            </w:r>
          </w:p>
        </w:tc>
        <w:tc>
          <w:tcPr>
            <w:tcW w:w="1282" w:type="dxa"/>
            <w:tcBorders>
              <w:top w:val="nil"/>
              <w:left w:val="nil"/>
              <w:bottom w:val="nil"/>
              <w:right w:val="single" w:sz="8" w:space="0" w:color="auto"/>
            </w:tcBorders>
            <w:shd w:val="clear" w:color="000000" w:fill="FFFFFF"/>
            <w:noWrap/>
            <w:vAlign w:val="bottom"/>
            <w:hideMark/>
          </w:tcPr>
          <w:p w:rsidR="00AB0496" w:rsidRPr="00A269E3" w:rsidRDefault="00AB0496" w:rsidP="00AB0496">
            <w:pPr>
              <w:jc w:val="right"/>
              <w:rPr>
                <w:b/>
                <w:bCs/>
                <w:color w:val="000000"/>
                <w:sz w:val="22"/>
                <w:szCs w:val="22"/>
                <w:lang w:val="es-GT" w:eastAsia="es-GT"/>
              </w:rPr>
            </w:pPr>
            <w:r w:rsidRPr="00A269E3">
              <w:rPr>
                <w:b/>
                <w:bCs/>
                <w:color w:val="000000"/>
                <w:sz w:val="22"/>
                <w:szCs w:val="22"/>
                <w:lang w:val="es-GT" w:eastAsia="es-GT"/>
              </w:rPr>
              <w:t>6.1%</w:t>
            </w:r>
          </w:p>
        </w:tc>
        <w:tc>
          <w:tcPr>
            <w:tcW w:w="972"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center"/>
              <w:rPr>
                <w:b/>
                <w:bCs/>
                <w:color w:val="000000"/>
                <w:sz w:val="22"/>
                <w:szCs w:val="22"/>
                <w:lang w:val="es-GT" w:eastAsia="es-GT"/>
              </w:rPr>
            </w:pPr>
            <w:r w:rsidRPr="00A269E3">
              <w:rPr>
                <w:b/>
                <w:bCs/>
                <w:color w:val="000000"/>
                <w:sz w:val="22"/>
                <w:szCs w:val="22"/>
                <w:lang w:val="es-GT" w:eastAsia="es-GT"/>
              </w:rPr>
              <w:t>100.0%</w:t>
            </w:r>
          </w:p>
        </w:tc>
        <w:tc>
          <w:tcPr>
            <w:tcW w:w="972" w:type="dxa"/>
            <w:tcBorders>
              <w:top w:val="nil"/>
              <w:left w:val="nil"/>
              <w:bottom w:val="nil"/>
              <w:right w:val="single" w:sz="8" w:space="0" w:color="auto"/>
            </w:tcBorders>
            <w:shd w:val="clear" w:color="000000" w:fill="FFFFFF"/>
            <w:noWrap/>
            <w:vAlign w:val="bottom"/>
            <w:hideMark/>
          </w:tcPr>
          <w:p w:rsidR="00AB0496" w:rsidRPr="00A269E3" w:rsidRDefault="00AB0496" w:rsidP="00AB0496">
            <w:pPr>
              <w:jc w:val="center"/>
              <w:rPr>
                <w:b/>
                <w:bCs/>
                <w:color w:val="000000"/>
                <w:sz w:val="22"/>
                <w:szCs w:val="22"/>
                <w:lang w:val="es-GT" w:eastAsia="es-GT"/>
              </w:rPr>
            </w:pPr>
            <w:r w:rsidRPr="00A269E3">
              <w:rPr>
                <w:b/>
                <w:bCs/>
                <w:color w:val="000000"/>
                <w:sz w:val="22"/>
                <w:szCs w:val="22"/>
                <w:lang w:val="es-GT" w:eastAsia="es-GT"/>
              </w:rPr>
              <w:t>100.0%</w:t>
            </w:r>
          </w:p>
        </w:tc>
      </w:tr>
      <w:tr w:rsidR="00AB0496" w:rsidRPr="00A269E3" w:rsidTr="00AB0496">
        <w:trPr>
          <w:trHeight w:val="308"/>
        </w:trPr>
        <w:tc>
          <w:tcPr>
            <w:tcW w:w="2254" w:type="dxa"/>
            <w:tcBorders>
              <w:top w:val="nil"/>
              <w:left w:val="single" w:sz="8" w:space="0" w:color="auto"/>
              <w:bottom w:val="nil"/>
              <w:right w:val="nil"/>
            </w:tcBorders>
            <w:shd w:val="clear" w:color="000000" w:fill="FFFFFF"/>
            <w:noWrap/>
            <w:vAlign w:val="bottom"/>
            <w:hideMark/>
          </w:tcPr>
          <w:p w:rsidR="00AB0496" w:rsidRPr="00A269E3" w:rsidRDefault="00AB0496" w:rsidP="00AB0496">
            <w:pPr>
              <w:rPr>
                <w:color w:val="000000"/>
                <w:sz w:val="20"/>
                <w:szCs w:val="20"/>
                <w:lang w:val="es-GT" w:eastAsia="es-GT"/>
              </w:rPr>
            </w:pPr>
            <w:r w:rsidRPr="00A269E3">
              <w:rPr>
                <w:color w:val="000000"/>
                <w:sz w:val="20"/>
                <w:szCs w:val="20"/>
                <w:lang w:val="es-GT" w:eastAsia="es-GT"/>
              </w:rPr>
              <w:t>Obligaciones</w:t>
            </w:r>
          </w:p>
        </w:tc>
        <w:tc>
          <w:tcPr>
            <w:tcW w:w="1105" w:type="dxa"/>
            <w:tcBorders>
              <w:top w:val="nil"/>
              <w:left w:val="single" w:sz="4" w:space="0" w:color="auto"/>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11,467.9</w:t>
            </w:r>
          </w:p>
        </w:tc>
        <w:tc>
          <w:tcPr>
            <w:tcW w:w="1105"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11,526.6</w:t>
            </w:r>
          </w:p>
        </w:tc>
        <w:tc>
          <w:tcPr>
            <w:tcW w:w="1370"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58.7</w:t>
            </w:r>
          </w:p>
        </w:tc>
        <w:tc>
          <w:tcPr>
            <w:tcW w:w="1282" w:type="dxa"/>
            <w:tcBorders>
              <w:top w:val="nil"/>
              <w:left w:val="nil"/>
              <w:bottom w:val="nil"/>
              <w:right w:val="single" w:sz="8"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0.5%</w:t>
            </w:r>
          </w:p>
        </w:tc>
        <w:tc>
          <w:tcPr>
            <w:tcW w:w="972"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center"/>
              <w:rPr>
                <w:color w:val="000000"/>
                <w:sz w:val="22"/>
                <w:szCs w:val="22"/>
                <w:lang w:val="es-GT" w:eastAsia="es-GT"/>
              </w:rPr>
            </w:pPr>
            <w:r w:rsidRPr="00A269E3">
              <w:rPr>
                <w:color w:val="000000"/>
                <w:sz w:val="22"/>
                <w:szCs w:val="22"/>
                <w:lang w:val="es-GT" w:eastAsia="es-GT"/>
              </w:rPr>
              <w:t>37.4%</w:t>
            </w:r>
          </w:p>
        </w:tc>
        <w:tc>
          <w:tcPr>
            <w:tcW w:w="972" w:type="dxa"/>
            <w:tcBorders>
              <w:top w:val="nil"/>
              <w:left w:val="nil"/>
              <w:bottom w:val="nil"/>
              <w:right w:val="single" w:sz="8" w:space="0" w:color="auto"/>
            </w:tcBorders>
            <w:shd w:val="clear" w:color="000000" w:fill="FFFFFF"/>
            <w:noWrap/>
            <w:vAlign w:val="bottom"/>
            <w:hideMark/>
          </w:tcPr>
          <w:p w:rsidR="00AB0496" w:rsidRPr="00A269E3" w:rsidRDefault="00AB0496" w:rsidP="00AB0496">
            <w:pPr>
              <w:jc w:val="center"/>
              <w:rPr>
                <w:color w:val="000000"/>
                <w:sz w:val="22"/>
                <w:szCs w:val="22"/>
                <w:lang w:val="es-GT" w:eastAsia="es-GT"/>
              </w:rPr>
            </w:pPr>
            <w:r w:rsidRPr="00A269E3">
              <w:rPr>
                <w:color w:val="000000"/>
                <w:sz w:val="22"/>
                <w:szCs w:val="22"/>
                <w:lang w:val="es-GT" w:eastAsia="es-GT"/>
              </w:rPr>
              <w:t>35.5%</w:t>
            </w:r>
          </w:p>
        </w:tc>
      </w:tr>
      <w:tr w:rsidR="00AB0496" w:rsidRPr="00A269E3" w:rsidTr="00AB0496">
        <w:trPr>
          <w:trHeight w:val="308"/>
        </w:trPr>
        <w:tc>
          <w:tcPr>
            <w:tcW w:w="2254" w:type="dxa"/>
            <w:tcBorders>
              <w:top w:val="nil"/>
              <w:left w:val="single" w:sz="8" w:space="0" w:color="auto"/>
              <w:bottom w:val="nil"/>
              <w:right w:val="nil"/>
            </w:tcBorders>
            <w:shd w:val="clear" w:color="000000" w:fill="FFFFFF"/>
            <w:noWrap/>
            <w:vAlign w:val="bottom"/>
            <w:hideMark/>
          </w:tcPr>
          <w:p w:rsidR="00AB0496" w:rsidRPr="00A269E3" w:rsidRDefault="00AB0496" w:rsidP="00AB0496">
            <w:pPr>
              <w:rPr>
                <w:color w:val="000000"/>
                <w:sz w:val="20"/>
                <w:szCs w:val="20"/>
                <w:lang w:val="es-GT" w:eastAsia="es-GT"/>
              </w:rPr>
            </w:pPr>
            <w:r w:rsidRPr="00A269E3">
              <w:rPr>
                <w:color w:val="000000"/>
                <w:sz w:val="20"/>
                <w:szCs w:val="20"/>
                <w:lang w:val="es-GT" w:eastAsia="es-GT"/>
              </w:rPr>
              <w:t>Educación</w:t>
            </w:r>
          </w:p>
        </w:tc>
        <w:tc>
          <w:tcPr>
            <w:tcW w:w="1105" w:type="dxa"/>
            <w:tcBorders>
              <w:top w:val="nil"/>
              <w:left w:val="single" w:sz="4" w:space="0" w:color="auto"/>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5,921.7</w:t>
            </w:r>
          </w:p>
        </w:tc>
        <w:tc>
          <w:tcPr>
            <w:tcW w:w="1105"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6,298.9</w:t>
            </w:r>
          </w:p>
        </w:tc>
        <w:tc>
          <w:tcPr>
            <w:tcW w:w="1370"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377.2</w:t>
            </w:r>
          </w:p>
        </w:tc>
        <w:tc>
          <w:tcPr>
            <w:tcW w:w="1282" w:type="dxa"/>
            <w:tcBorders>
              <w:top w:val="nil"/>
              <w:left w:val="nil"/>
              <w:bottom w:val="nil"/>
              <w:right w:val="single" w:sz="8"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6.4%</w:t>
            </w:r>
          </w:p>
        </w:tc>
        <w:tc>
          <w:tcPr>
            <w:tcW w:w="972"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center"/>
              <w:rPr>
                <w:color w:val="000000"/>
                <w:sz w:val="22"/>
                <w:szCs w:val="22"/>
                <w:lang w:val="es-GT" w:eastAsia="es-GT"/>
              </w:rPr>
            </w:pPr>
            <w:r w:rsidRPr="00A269E3">
              <w:rPr>
                <w:color w:val="000000"/>
                <w:sz w:val="22"/>
                <w:szCs w:val="22"/>
                <w:lang w:val="es-GT" w:eastAsia="es-GT"/>
              </w:rPr>
              <w:t>19.3%</w:t>
            </w:r>
          </w:p>
        </w:tc>
        <w:tc>
          <w:tcPr>
            <w:tcW w:w="972" w:type="dxa"/>
            <w:tcBorders>
              <w:top w:val="nil"/>
              <w:left w:val="nil"/>
              <w:bottom w:val="nil"/>
              <w:right w:val="single" w:sz="8" w:space="0" w:color="auto"/>
            </w:tcBorders>
            <w:shd w:val="clear" w:color="000000" w:fill="FFFFFF"/>
            <w:noWrap/>
            <w:vAlign w:val="bottom"/>
            <w:hideMark/>
          </w:tcPr>
          <w:p w:rsidR="00AB0496" w:rsidRPr="00A269E3" w:rsidRDefault="00AB0496" w:rsidP="00AB0496">
            <w:pPr>
              <w:jc w:val="center"/>
              <w:rPr>
                <w:color w:val="000000"/>
                <w:sz w:val="22"/>
                <w:szCs w:val="22"/>
                <w:lang w:val="es-GT" w:eastAsia="es-GT"/>
              </w:rPr>
            </w:pPr>
            <w:r w:rsidRPr="00A269E3">
              <w:rPr>
                <w:color w:val="000000"/>
                <w:sz w:val="22"/>
                <w:szCs w:val="22"/>
                <w:lang w:val="es-GT" w:eastAsia="es-GT"/>
              </w:rPr>
              <w:t>19.4%</w:t>
            </w:r>
          </w:p>
        </w:tc>
      </w:tr>
      <w:tr w:rsidR="00AB0496" w:rsidRPr="00A269E3" w:rsidTr="00AB0496">
        <w:trPr>
          <w:trHeight w:val="308"/>
        </w:trPr>
        <w:tc>
          <w:tcPr>
            <w:tcW w:w="2254" w:type="dxa"/>
            <w:tcBorders>
              <w:top w:val="nil"/>
              <w:left w:val="single" w:sz="8" w:space="0" w:color="auto"/>
              <w:bottom w:val="nil"/>
              <w:right w:val="nil"/>
            </w:tcBorders>
            <w:shd w:val="clear" w:color="000000" w:fill="FFFFFF"/>
            <w:noWrap/>
            <w:vAlign w:val="bottom"/>
            <w:hideMark/>
          </w:tcPr>
          <w:p w:rsidR="00AB0496" w:rsidRPr="00A269E3" w:rsidRDefault="00AB0496" w:rsidP="00AB0496">
            <w:pPr>
              <w:rPr>
                <w:color w:val="000000"/>
                <w:sz w:val="20"/>
                <w:szCs w:val="20"/>
                <w:lang w:val="es-GT" w:eastAsia="es-GT"/>
              </w:rPr>
            </w:pPr>
            <w:r w:rsidRPr="00A269E3">
              <w:rPr>
                <w:color w:val="000000"/>
                <w:sz w:val="20"/>
                <w:szCs w:val="20"/>
                <w:lang w:val="es-GT" w:eastAsia="es-GT"/>
              </w:rPr>
              <w:t>Servicios de la Deuda</w:t>
            </w:r>
          </w:p>
        </w:tc>
        <w:tc>
          <w:tcPr>
            <w:tcW w:w="1105" w:type="dxa"/>
            <w:tcBorders>
              <w:top w:val="nil"/>
              <w:left w:val="single" w:sz="4" w:space="0" w:color="auto"/>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5,312.8</w:t>
            </w:r>
          </w:p>
        </w:tc>
        <w:tc>
          <w:tcPr>
            <w:tcW w:w="1105"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5,313.4</w:t>
            </w:r>
          </w:p>
        </w:tc>
        <w:tc>
          <w:tcPr>
            <w:tcW w:w="1370"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0.6</w:t>
            </w:r>
          </w:p>
        </w:tc>
        <w:tc>
          <w:tcPr>
            <w:tcW w:w="1282" w:type="dxa"/>
            <w:tcBorders>
              <w:top w:val="nil"/>
              <w:left w:val="nil"/>
              <w:bottom w:val="nil"/>
              <w:right w:val="single" w:sz="8"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0.0%</w:t>
            </w:r>
          </w:p>
        </w:tc>
        <w:tc>
          <w:tcPr>
            <w:tcW w:w="972"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center"/>
              <w:rPr>
                <w:color w:val="000000"/>
                <w:sz w:val="22"/>
                <w:szCs w:val="22"/>
                <w:lang w:val="es-GT" w:eastAsia="es-GT"/>
              </w:rPr>
            </w:pPr>
            <w:r w:rsidRPr="00A269E3">
              <w:rPr>
                <w:color w:val="000000"/>
                <w:sz w:val="22"/>
                <w:szCs w:val="22"/>
                <w:lang w:val="es-GT" w:eastAsia="es-GT"/>
              </w:rPr>
              <w:t>17.3%</w:t>
            </w:r>
          </w:p>
        </w:tc>
        <w:tc>
          <w:tcPr>
            <w:tcW w:w="972" w:type="dxa"/>
            <w:tcBorders>
              <w:top w:val="nil"/>
              <w:left w:val="nil"/>
              <w:bottom w:val="nil"/>
              <w:right w:val="single" w:sz="8" w:space="0" w:color="auto"/>
            </w:tcBorders>
            <w:shd w:val="clear" w:color="000000" w:fill="FFFFFF"/>
            <w:noWrap/>
            <w:vAlign w:val="bottom"/>
            <w:hideMark/>
          </w:tcPr>
          <w:p w:rsidR="00AB0496" w:rsidRPr="00A269E3" w:rsidRDefault="00AB0496" w:rsidP="00AB0496">
            <w:pPr>
              <w:jc w:val="center"/>
              <w:rPr>
                <w:color w:val="000000"/>
                <w:sz w:val="22"/>
                <w:szCs w:val="22"/>
                <w:lang w:val="es-GT" w:eastAsia="es-GT"/>
              </w:rPr>
            </w:pPr>
            <w:r w:rsidRPr="00A269E3">
              <w:rPr>
                <w:color w:val="000000"/>
                <w:sz w:val="22"/>
                <w:szCs w:val="22"/>
                <w:lang w:val="es-GT" w:eastAsia="es-GT"/>
              </w:rPr>
              <w:t>16.3%</w:t>
            </w:r>
          </w:p>
        </w:tc>
      </w:tr>
      <w:tr w:rsidR="00AB0496" w:rsidRPr="00A269E3" w:rsidTr="00AB0496">
        <w:trPr>
          <w:trHeight w:val="308"/>
        </w:trPr>
        <w:tc>
          <w:tcPr>
            <w:tcW w:w="2254" w:type="dxa"/>
            <w:tcBorders>
              <w:top w:val="nil"/>
              <w:left w:val="single" w:sz="8" w:space="0" w:color="auto"/>
              <w:bottom w:val="nil"/>
              <w:right w:val="nil"/>
            </w:tcBorders>
            <w:shd w:val="clear" w:color="000000" w:fill="FFFFFF"/>
            <w:noWrap/>
            <w:vAlign w:val="bottom"/>
            <w:hideMark/>
          </w:tcPr>
          <w:p w:rsidR="00AB0496" w:rsidRPr="00A269E3" w:rsidRDefault="00AB0496" w:rsidP="00AB0496">
            <w:pPr>
              <w:rPr>
                <w:color w:val="000000"/>
                <w:sz w:val="20"/>
                <w:szCs w:val="20"/>
                <w:lang w:val="es-GT" w:eastAsia="es-GT"/>
              </w:rPr>
            </w:pPr>
            <w:r w:rsidRPr="00A269E3">
              <w:rPr>
                <w:color w:val="000000"/>
                <w:sz w:val="20"/>
                <w:szCs w:val="20"/>
                <w:lang w:val="es-GT" w:eastAsia="es-GT"/>
              </w:rPr>
              <w:t>Salud Pública</w:t>
            </w:r>
          </w:p>
        </w:tc>
        <w:tc>
          <w:tcPr>
            <w:tcW w:w="1105" w:type="dxa"/>
            <w:tcBorders>
              <w:top w:val="nil"/>
              <w:left w:val="single" w:sz="4" w:space="0" w:color="auto"/>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2,368.2</w:t>
            </w:r>
          </w:p>
        </w:tc>
        <w:tc>
          <w:tcPr>
            <w:tcW w:w="1105"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2,555.8</w:t>
            </w:r>
          </w:p>
        </w:tc>
        <w:tc>
          <w:tcPr>
            <w:tcW w:w="1370"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187.6</w:t>
            </w:r>
          </w:p>
        </w:tc>
        <w:tc>
          <w:tcPr>
            <w:tcW w:w="1282" w:type="dxa"/>
            <w:tcBorders>
              <w:top w:val="nil"/>
              <w:left w:val="nil"/>
              <w:bottom w:val="nil"/>
              <w:right w:val="single" w:sz="8"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7.9%</w:t>
            </w:r>
          </w:p>
        </w:tc>
        <w:tc>
          <w:tcPr>
            <w:tcW w:w="972"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center"/>
              <w:rPr>
                <w:color w:val="000000"/>
                <w:sz w:val="22"/>
                <w:szCs w:val="22"/>
                <w:lang w:val="es-GT" w:eastAsia="es-GT"/>
              </w:rPr>
            </w:pPr>
            <w:r w:rsidRPr="00A269E3">
              <w:rPr>
                <w:color w:val="000000"/>
                <w:sz w:val="22"/>
                <w:szCs w:val="22"/>
                <w:lang w:val="es-GT" w:eastAsia="es-GT"/>
              </w:rPr>
              <w:t>7.7%</w:t>
            </w:r>
          </w:p>
        </w:tc>
        <w:tc>
          <w:tcPr>
            <w:tcW w:w="972" w:type="dxa"/>
            <w:tcBorders>
              <w:top w:val="nil"/>
              <w:left w:val="nil"/>
              <w:bottom w:val="nil"/>
              <w:right w:val="single" w:sz="8" w:space="0" w:color="auto"/>
            </w:tcBorders>
            <w:shd w:val="clear" w:color="000000" w:fill="FFFFFF"/>
            <w:noWrap/>
            <w:vAlign w:val="bottom"/>
            <w:hideMark/>
          </w:tcPr>
          <w:p w:rsidR="00AB0496" w:rsidRPr="00A269E3" w:rsidRDefault="00AB0496" w:rsidP="00AB0496">
            <w:pPr>
              <w:jc w:val="center"/>
              <w:rPr>
                <w:color w:val="000000"/>
                <w:sz w:val="22"/>
                <w:szCs w:val="22"/>
                <w:lang w:val="es-GT" w:eastAsia="es-GT"/>
              </w:rPr>
            </w:pPr>
            <w:r w:rsidRPr="00A269E3">
              <w:rPr>
                <w:color w:val="000000"/>
                <w:sz w:val="22"/>
                <w:szCs w:val="22"/>
                <w:lang w:val="es-GT" w:eastAsia="es-GT"/>
              </w:rPr>
              <w:t>7.9%</w:t>
            </w:r>
          </w:p>
        </w:tc>
      </w:tr>
      <w:tr w:rsidR="00AB0496" w:rsidRPr="00A269E3" w:rsidTr="00AB0496">
        <w:trPr>
          <w:trHeight w:val="308"/>
        </w:trPr>
        <w:tc>
          <w:tcPr>
            <w:tcW w:w="2254" w:type="dxa"/>
            <w:tcBorders>
              <w:top w:val="nil"/>
              <w:left w:val="single" w:sz="8" w:space="0" w:color="auto"/>
              <w:bottom w:val="nil"/>
              <w:right w:val="nil"/>
            </w:tcBorders>
            <w:shd w:val="clear" w:color="000000" w:fill="FFFFFF"/>
            <w:noWrap/>
            <w:vAlign w:val="bottom"/>
            <w:hideMark/>
          </w:tcPr>
          <w:p w:rsidR="00AB0496" w:rsidRPr="00A269E3" w:rsidRDefault="00AB0496" w:rsidP="00AB0496">
            <w:pPr>
              <w:rPr>
                <w:color w:val="000000"/>
                <w:sz w:val="20"/>
                <w:szCs w:val="20"/>
                <w:lang w:val="es-GT" w:eastAsia="es-GT"/>
              </w:rPr>
            </w:pPr>
            <w:r w:rsidRPr="00A269E3">
              <w:rPr>
                <w:color w:val="000000"/>
                <w:sz w:val="20"/>
                <w:szCs w:val="20"/>
                <w:lang w:val="es-GT" w:eastAsia="es-GT"/>
              </w:rPr>
              <w:t>Gobernación</w:t>
            </w:r>
          </w:p>
        </w:tc>
        <w:tc>
          <w:tcPr>
            <w:tcW w:w="1105" w:type="dxa"/>
            <w:tcBorders>
              <w:top w:val="nil"/>
              <w:left w:val="single" w:sz="4" w:space="0" w:color="auto"/>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1,830.8</w:t>
            </w:r>
          </w:p>
        </w:tc>
        <w:tc>
          <w:tcPr>
            <w:tcW w:w="1105"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2,010.6</w:t>
            </w:r>
          </w:p>
        </w:tc>
        <w:tc>
          <w:tcPr>
            <w:tcW w:w="1370"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179.8</w:t>
            </w:r>
          </w:p>
        </w:tc>
        <w:tc>
          <w:tcPr>
            <w:tcW w:w="1282" w:type="dxa"/>
            <w:tcBorders>
              <w:top w:val="nil"/>
              <w:left w:val="nil"/>
              <w:bottom w:val="nil"/>
              <w:right w:val="single" w:sz="8"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9.8%</w:t>
            </w:r>
          </w:p>
        </w:tc>
        <w:tc>
          <w:tcPr>
            <w:tcW w:w="972"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center"/>
              <w:rPr>
                <w:color w:val="000000"/>
                <w:sz w:val="22"/>
                <w:szCs w:val="22"/>
                <w:lang w:val="es-GT" w:eastAsia="es-GT"/>
              </w:rPr>
            </w:pPr>
            <w:r w:rsidRPr="00A269E3">
              <w:rPr>
                <w:color w:val="000000"/>
                <w:sz w:val="22"/>
                <w:szCs w:val="22"/>
                <w:lang w:val="es-GT" w:eastAsia="es-GT"/>
              </w:rPr>
              <w:t>6.0%</w:t>
            </w:r>
          </w:p>
        </w:tc>
        <w:tc>
          <w:tcPr>
            <w:tcW w:w="972" w:type="dxa"/>
            <w:tcBorders>
              <w:top w:val="nil"/>
              <w:left w:val="nil"/>
              <w:bottom w:val="nil"/>
              <w:right w:val="single" w:sz="8" w:space="0" w:color="auto"/>
            </w:tcBorders>
            <w:shd w:val="clear" w:color="000000" w:fill="FFFFFF"/>
            <w:noWrap/>
            <w:vAlign w:val="bottom"/>
            <w:hideMark/>
          </w:tcPr>
          <w:p w:rsidR="00AB0496" w:rsidRPr="00A269E3" w:rsidRDefault="00AB0496" w:rsidP="00AB0496">
            <w:pPr>
              <w:jc w:val="center"/>
              <w:rPr>
                <w:color w:val="000000"/>
                <w:sz w:val="22"/>
                <w:szCs w:val="22"/>
                <w:lang w:val="es-GT" w:eastAsia="es-GT"/>
              </w:rPr>
            </w:pPr>
            <w:r w:rsidRPr="00A269E3">
              <w:rPr>
                <w:color w:val="000000"/>
                <w:sz w:val="22"/>
                <w:szCs w:val="22"/>
                <w:lang w:val="es-GT" w:eastAsia="es-GT"/>
              </w:rPr>
              <w:t>6.2%</w:t>
            </w:r>
          </w:p>
        </w:tc>
      </w:tr>
      <w:tr w:rsidR="00AB0496" w:rsidRPr="00A269E3" w:rsidTr="00AB0496">
        <w:trPr>
          <w:trHeight w:val="308"/>
        </w:trPr>
        <w:tc>
          <w:tcPr>
            <w:tcW w:w="2254" w:type="dxa"/>
            <w:tcBorders>
              <w:top w:val="nil"/>
              <w:left w:val="single" w:sz="8" w:space="0" w:color="auto"/>
              <w:bottom w:val="nil"/>
              <w:right w:val="nil"/>
            </w:tcBorders>
            <w:shd w:val="clear" w:color="000000" w:fill="FFFFFF"/>
            <w:noWrap/>
            <w:vAlign w:val="bottom"/>
            <w:hideMark/>
          </w:tcPr>
          <w:p w:rsidR="00AB0496" w:rsidRPr="00A269E3" w:rsidRDefault="00AB0496" w:rsidP="00AB0496">
            <w:pPr>
              <w:rPr>
                <w:color w:val="000000"/>
                <w:sz w:val="20"/>
                <w:szCs w:val="20"/>
                <w:lang w:val="es-GT" w:eastAsia="es-GT"/>
              </w:rPr>
            </w:pPr>
            <w:r w:rsidRPr="00A269E3">
              <w:rPr>
                <w:color w:val="000000"/>
                <w:sz w:val="20"/>
                <w:szCs w:val="20"/>
                <w:lang w:val="es-GT" w:eastAsia="es-GT"/>
              </w:rPr>
              <w:t>Comunicaciones</w:t>
            </w:r>
          </w:p>
        </w:tc>
        <w:tc>
          <w:tcPr>
            <w:tcW w:w="1105" w:type="dxa"/>
            <w:tcBorders>
              <w:top w:val="nil"/>
              <w:left w:val="single" w:sz="4" w:space="0" w:color="auto"/>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782.0</w:t>
            </w:r>
          </w:p>
        </w:tc>
        <w:tc>
          <w:tcPr>
            <w:tcW w:w="1105"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1,485.7</w:t>
            </w:r>
          </w:p>
        </w:tc>
        <w:tc>
          <w:tcPr>
            <w:tcW w:w="1370"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703.6</w:t>
            </w:r>
          </w:p>
        </w:tc>
        <w:tc>
          <w:tcPr>
            <w:tcW w:w="1282" w:type="dxa"/>
            <w:tcBorders>
              <w:top w:val="nil"/>
              <w:left w:val="nil"/>
              <w:bottom w:val="nil"/>
              <w:right w:val="single" w:sz="8"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90.0%</w:t>
            </w:r>
          </w:p>
        </w:tc>
        <w:tc>
          <w:tcPr>
            <w:tcW w:w="972"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center"/>
              <w:rPr>
                <w:color w:val="000000"/>
                <w:sz w:val="22"/>
                <w:szCs w:val="22"/>
                <w:lang w:val="es-GT" w:eastAsia="es-GT"/>
              </w:rPr>
            </w:pPr>
            <w:r w:rsidRPr="00A269E3">
              <w:rPr>
                <w:color w:val="000000"/>
                <w:sz w:val="22"/>
                <w:szCs w:val="22"/>
                <w:lang w:val="es-GT" w:eastAsia="es-GT"/>
              </w:rPr>
              <w:t>2.6%</w:t>
            </w:r>
          </w:p>
        </w:tc>
        <w:tc>
          <w:tcPr>
            <w:tcW w:w="972" w:type="dxa"/>
            <w:tcBorders>
              <w:top w:val="nil"/>
              <w:left w:val="nil"/>
              <w:bottom w:val="nil"/>
              <w:right w:val="single" w:sz="8" w:space="0" w:color="auto"/>
            </w:tcBorders>
            <w:shd w:val="clear" w:color="000000" w:fill="FFFFFF"/>
            <w:noWrap/>
            <w:vAlign w:val="bottom"/>
            <w:hideMark/>
          </w:tcPr>
          <w:p w:rsidR="00AB0496" w:rsidRPr="00A269E3" w:rsidRDefault="00AB0496" w:rsidP="00AB0496">
            <w:pPr>
              <w:jc w:val="center"/>
              <w:rPr>
                <w:color w:val="000000"/>
                <w:sz w:val="22"/>
                <w:szCs w:val="22"/>
                <w:lang w:val="es-GT" w:eastAsia="es-GT"/>
              </w:rPr>
            </w:pPr>
            <w:r w:rsidRPr="00A269E3">
              <w:rPr>
                <w:color w:val="000000"/>
                <w:sz w:val="22"/>
                <w:szCs w:val="22"/>
                <w:lang w:val="es-GT" w:eastAsia="es-GT"/>
              </w:rPr>
              <w:t>4.6%</w:t>
            </w:r>
          </w:p>
        </w:tc>
      </w:tr>
      <w:tr w:rsidR="00AB0496" w:rsidRPr="00A269E3" w:rsidTr="00AB0496">
        <w:trPr>
          <w:trHeight w:val="308"/>
        </w:trPr>
        <w:tc>
          <w:tcPr>
            <w:tcW w:w="2254" w:type="dxa"/>
            <w:tcBorders>
              <w:top w:val="nil"/>
              <w:left w:val="single" w:sz="8" w:space="0" w:color="auto"/>
              <w:bottom w:val="nil"/>
              <w:right w:val="nil"/>
            </w:tcBorders>
            <w:shd w:val="clear" w:color="000000" w:fill="FFFFFF"/>
            <w:noWrap/>
            <w:vAlign w:val="bottom"/>
            <w:hideMark/>
          </w:tcPr>
          <w:p w:rsidR="00AB0496" w:rsidRPr="00A269E3" w:rsidRDefault="00AB0496" w:rsidP="00AB0496">
            <w:pPr>
              <w:rPr>
                <w:color w:val="000000"/>
                <w:sz w:val="20"/>
                <w:szCs w:val="20"/>
                <w:lang w:val="es-GT" w:eastAsia="es-GT"/>
              </w:rPr>
            </w:pPr>
            <w:r w:rsidRPr="00A269E3">
              <w:rPr>
                <w:color w:val="000000"/>
                <w:sz w:val="20"/>
                <w:szCs w:val="20"/>
                <w:lang w:val="es-GT" w:eastAsia="es-GT"/>
              </w:rPr>
              <w:t>Defensa</w:t>
            </w:r>
            <w:r w:rsidR="008B591D">
              <w:rPr>
                <w:color w:val="000000"/>
                <w:sz w:val="20"/>
                <w:szCs w:val="20"/>
                <w:lang w:val="es-GT" w:eastAsia="es-GT"/>
              </w:rPr>
              <w:t xml:space="preserve"> Nacional</w:t>
            </w:r>
          </w:p>
        </w:tc>
        <w:tc>
          <w:tcPr>
            <w:tcW w:w="1105" w:type="dxa"/>
            <w:tcBorders>
              <w:top w:val="nil"/>
              <w:left w:val="single" w:sz="4" w:space="0" w:color="auto"/>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859.0</w:t>
            </w:r>
          </w:p>
        </w:tc>
        <w:tc>
          <w:tcPr>
            <w:tcW w:w="1105"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944.6</w:t>
            </w:r>
          </w:p>
        </w:tc>
        <w:tc>
          <w:tcPr>
            <w:tcW w:w="1370"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85.6</w:t>
            </w:r>
          </w:p>
        </w:tc>
        <w:tc>
          <w:tcPr>
            <w:tcW w:w="1282" w:type="dxa"/>
            <w:tcBorders>
              <w:top w:val="nil"/>
              <w:left w:val="nil"/>
              <w:bottom w:val="nil"/>
              <w:right w:val="single" w:sz="8"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10.0%</w:t>
            </w:r>
          </w:p>
        </w:tc>
        <w:tc>
          <w:tcPr>
            <w:tcW w:w="972"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center"/>
              <w:rPr>
                <w:color w:val="000000"/>
                <w:sz w:val="22"/>
                <w:szCs w:val="22"/>
                <w:lang w:val="es-GT" w:eastAsia="es-GT"/>
              </w:rPr>
            </w:pPr>
            <w:r w:rsidRPr="00A269E3">
              <w:rPr>
                <w:color w:val="000000"/>
                <w:sz w:val="22"/>
                <w:szCs w:val="22"/>
                <w:lang w:val="es-GT" w:eastAsia="es-GT"/>
              </w:rPr>
              <w:t>2.8%</w:t>
            </w:r>
          </w:p>
        </w:tc>
        <w:tc>
          <w:tcPr>
            <w:tcW w:w="972" w:type="dxa"/>
            <w:tcBorders>
              <w:top w:val="nil"/>
              <w:left w:val="nil"/>
              <w:bottom w:val="nil"/>
              <w:right w:val="single" w:sz="8" w:space="0" w:color="auto"/>
            </w:tcBorders>
            <w:shd w:val="clear" w:color="000000" w:fill="FFFFFF"/>
            <w:noWrap/>
            <w:vAlign w:val="bottom"/>
            <w:hideMark/>
          </w:tcPr>
          <w:p w:rsidR="00AB0496" w:rsidRPr="00A269E3" w:rsidRDefault="00AB0496" w:rsidP="00AB0496">
            <w:pPr>
              <w:jc w:val="center"/>
              <w:rPr>
                <w:color w:val="000000"/>
                <w:sz w:val="22"/>
                <w:szCs w:val="22"/>
                <w:lang w:val="es-GT" w:eastAsia="es-GT"/>
              </w:rPr>
            </w:pPr>
            <w:r w:rsidRPr="00A269E3">
              <w:rPr>
                <w:color w:val="000000"/>
                <w:sz w:val="22"/>
                <w:szCs w:val="22"/>
                <w:lang w:val="es-GT" w:eastAsia="es-GT"/>
              </w:rPr>
              <w:t>2.9%</w:t>
            </w:r>
          </w:p>
        </w:tc>
      </w:tr>
      <w:tr w:rsidR="00AB0496" w:rsidRPr="00A269E3" w:rsidTr="00AB0496">
        <w:trPr>
          <w:trHeight w:val="308"/>
        </w:trPr>
        <w:tc>
          <w:tcPr>
            <w:tcW w:w="2254" w:type="dxa"/>
            <w:tcBorders>
              <w:top w:val="nil"/>
              <w:left w:val="single" w:sz="8" w:space="0" w:color="auto"/>
              <w:bottom w:val="nil"/>
              <w:right w:val="nil"/>
            </w:tcBorders>
            <w:shd w:val="clear" w:color="000000" w:fill="FFFFFF"/>
            <w:noWrap/>
            <w:vAlign w:val="bottom"/>
            <w:hideMark/>
          </w:tcPr>
          <w:p w:rsidR="00AB0496" w:rsidRPr="00A269E3" w:rsidRDefault="00AB0496" w:rsidP="00AB0496">
            <w:pPr>
              <w:rPr>
                <w:color w:val="000000"/>
                <w:sz w:val="20"/>
                <w:szCs w:val="20"/>
                <w:lang w:val="es-GT" w:eastAsia="es-GT"/>
              </w:rPr>
            </w:pPr>
            <w:r w:rsidRPr="00A269E3">
              <w:rPr>
                <w:color w:val="000000"/>
                <w:sz w:val="20"/>
                <w:szCs w:val="20"/>
                <w:lang w:val="es-GT" w:eastAsia="es-GT"/>
              </w:rPr>
              <w:t>Secretarías</w:t>
            </w:r>
          </w:p>
        </w:tc>
        <w:tc>
          <w:tcPr>
            <w:tcW w:w="1105" w:type="dxa"/>
            <w:tcBorders>
              <w:top w:val="nil"/>
              <w:left w:val="single" w:sz="4" w:space="0" w:color="auto"/>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454.4</w:t>
            </w:r>
          </w:p>
        </w:tc>
        <w:tc>
          <w:tcPr>
            <w:tcW w:w="1105"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502.0</w:t>
            </w:r>
          </w:p>
        </w:tc>
        <w:tc>
          <w:tcPr>
            <w:tcW w:w="1370"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47.6</w:t>
            </w:r>
          </w:p>
        </w:tc>
        <w:tc>
          <w:tcPr>
            <w:tcW w:w="1282" w:type="dxa"/>
            <w:tcBorders>
              <w:top w:val="nil"/>
              <w:left w:val="nil"/>
              <w:bottom w:val="nil"/>
              <w:right w:val="single" w:sz="8"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10.5%</w:t>
            </w:r>
          </w:p>
        </w:tc>
        <w:tc>
          <w:tcPr>
            <w:tcW w:w="972"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center"/>
              <w:rPr>
                <w:color w:val="000000"/>
                <w:sz w:val="22"/>
                <w:szCs w:val="22"/>
                <w:lang w:val="es-GT" w:eastAsia="es-GT"/>
              </w:rPr>
            </w:pPr>
            <w:r w:rsidRPr="00A269E3">
              <w:rPr>
                <w:color w:val="000000"/>
                <w:sz w:val="22"/>
                <w:szCs w:val="22"/>
                <w:lang w:val="es-GT" w:eastAsia="es-GT"/>
              </w:rPr>
              <w:t>1.5%</w:t>
            </w:r>
          </w:p>
        </w:tc>
        <w:tc>
          <w:tcPr>
            <w:tcW w:w="972" w:type="dxa"/>
            <w:tcBorders>
              <w:top w:val="nil"/>
              <w:left w:val="nil"/>
              <w:bottom w:val="nil"/>
              <w:right w:val="single" w:sz="8" w:space="0" w:color="auto"/>
            </w:tcBorders>
            <w:shd w:val="clear" w:color="000000" w:fill="FFFFFF"/>
            <w:noWrap/>
            <w:vAlign w:val="bottom"/>
            <w:hideMark/>
          </w:tcPr>
          <w:p w:rsidR="00AB0496" w:rsidRPr="00A269E3" w:rsidRDefault="00AB0496" w:rsidP="00AB0496">
            <w:pPr>
              <w:jc w:val="center"/>
              <w:rPr>
                <w:color w:val="000000"/>
                <w:sz w:val="22"/>
                <w:szCs w:val="22"/>
                <w:lang w:val="es-GT" w:eastAsia="es-GT"/>
              </w:rPr>
            </w:pPr>
            <w:r w:rsidRPr="00A269E3">
              <w:rPr>
                <w:color w:val="000000"/>
                <w:sz w:val="22"/>
                <w:szCs w:val="22"/>
                <w:lang w:val="es-GT" w:eastAsia="es-GT"/>
              </w:rPr>
              <w:t>1.5%</w:t>
            </w:r>
          </w:p>
        </w:tc>
      </w:tr>
      <w:tr w:rsidR="00AB0496" w:rsidRPr="00A269E3" w:rsidTr="00AB0496">
        <w:trPr>
          <w:trHeight w:val="308"/>
        </w:trPr>
        <w:tc>
          <w:tcPr>
            <w:tcW w:w="2254" w:type="dxa"/>
            <w:tcBorders>
              <w:top w:val="nil"/>
              <w:left w:val="single" w:sz="8" w:space="0" w:color="auto"/>
              <w:bottom w:val="nil"/>
              <w:right w:val="nil"/>
            </w:tcBorders>
            <w:shd w:val="clear" w:color="000000" w:fill="FFFFFF"/>
            <w:noWrap/>
            <w:vAlign w:val="bottom"/>
            <w:hideMark/>
          </w:tcPr>
          <w:p w:rsidR="00AB0496" w:rsidRPr="00A269E3" w:rsidRDefault="00AB0496" w:rsidP="00AB0496">
            <w:pPr>
              <w:rPr>
                <w:color w:val="000000"/>
                <w:sz w:val="20"/>
                <w:szCs w:val="20"/>
                <w:lang w:val="es-GT" w:eastAsia="es-GT"/>
              </w:rPr>
            </w:pPr>
            <w:r w:rsidRPr="00A269E3">
              <w:rPr>
                <w:color w:val="000000"/>
                <w:sz w:val="20"/>
                <w:szCs w:val="20"/>
                <w:lang w:val="es-GT" w:eastAsia="es-GT"/>
              </w:rPr>
              <w:t>Agricultura</w:t>
            </w:r>
          </w:p>
        </w:tc>
        <w:tc>
          <w:tcPr>
            <w:tcW w:w="1105" w:type="dxa"/>
            <w:tcBorders>
              <w:top w:val="nil"/>
              <w:left w:val="single" w:sz="4" w:space="0" w:color="auto"/>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391.5</w:t>
            </w:r>
          </w:p>
        </w:tc>
        <w:tc>
          <w:tcPr>
            <w:tcW w:w="1105"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434.2</w:t>
            </w:r>
          </w:p>
        </w:tc>
        <w:tc>
          <w:tcPr>
            <w:tcW w:w="1370"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42.8</w:t>
            </w:r>
          </w:p>
        </w:tc>
        <w:tc>
          <w:tcPr>
            <w:tcW w:w="1282" w:type="dxa"/>
            <w:tcBorders>
              <w:top w:val="nil"/>
              <w:left w:val="nil"/>
              <w:bottom w:val="nil"/>
              <w:right w:val="single" w:sz="8"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10.9%</w:t>
            </w:r>
          </w:p>
        </w:tc>
        <w:tc>
          <w:tcPr>
            <w:tcW w:w="972"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center"/>
              <w:rPr>
                <w:color w:val="000000"/>
                <w:sz w:val="22"/>
                <w:szCs w:val="22"/>
                <w:lang w:val="es-GT" w:eastAsia="es-GT"/>
              </w:rPr>
            </w:pPr>
            <w:r w:rsidRPr="00A269E3">
              <w:rPr>
                <w:color w:val="000000"/>
                <w:sz w:val="22"/>
                <w:szCs w:val="22"/>
                <w:lang w:val="es-GT" w:eastAsia="es-GT"/>
              </w:rPr>
              <w:t>1.3%</w:t>
            </w:r>
          </w:p>
        </w:tc>
        <w:tc>
          <w:tcPr>
            <w:tcW w:w="972" w:type="dxa"/>
            <w:tcBorders>
              <w:top w:val="nil"/>
              <w:left w:val="nil"/>
              <w:bottom w:val="nil"/>
              <w:right w:val="single" w:sz="8" w:space="0" w:color="auto"/>
            </w:tcBorders>
            <w:shd w:val="clear" w:color="000000" w:fill="FFFFFF"/>
            <w:noWrap/>
            <w:vAlign w:val="bottom"/>
            <w:hideMark/>
          </w:tcPr>
          <w:p w:rsidR="00AB0496" w:rsidRPr="00A269E3" w:rsidRDefault="00AB0496" w:rsidP="00AB0496">
            <w:pPr>
              <w:jc w:val="center"/>
              <w:rPr>
                <w:color w:val="000000"/>
                <w:sz w:val="22"/>
                <w:szCs w:val="22"/>
                <w:lang w:val="es-GT" w:eastAsia="es-GT"/>
              </w:rPr>
            </w:pPr>
            <w:r w:rsidRPr="00A269E3">
              <w:rPr>
                <w:color w:val="000000"/>
                <w:sz w:val="22"/>
                <w:szCs w:val="22"/>
                <w:lang w:val="es-GT" w:eastAsia="es-GT"/>
              </w:rPr>
              <w:t>1.3%</w:t>
            </w:r>
          </w:p>
        </w:tc>
      </w:tr>
      <w:tr w:rsidR="00AB0496" w:rsidRPr="00A269E3" w:rsidTr="00AB0496">
        <w:trPr>
          <w:trHeight w:val="308"/>
        </w:trPr>
        <w:tc>
          <w:tcPr>
            <w:tcW w:w="2254" w:type="dxa"/>
            <w:tcBorders>
              <w:top w:val="nil"/>
              <w:left w:val="single" w:sz="8" w:space="0" w:color="auto"/>
              <w:bottom w:val="nil"/>
              <w:right w:val="nil"/>
            </w:tcBorders>
            <w:shd w:val="clear" w:color="000000" w:fill="FFFFFF"/>
            <w:noWrap/>
            <w:vAlign w:val="bottom"/>
            <w:hideMark/>
          </w:tcPr>
          <w:p w:rsidR="00AB0496" w:rsidRPr="00A269E3" w:rsidRDefault="00AB0496" w:rsidP="00AB0496">
            <w:pPr>
              <w:rPr>
                <w:color w:val="000000"/>
                <w:sz w:val="20"/>
                <w:szCs w:val="20"/>
                <w:lang w:val="es-GT" w:eastAsia="es-GT"/>
              </w:rPr>
            </w:pPr>
            <w:r w:rsidRPr="00A269E3">
              <w:rPr>
                <w:color w:val="000000"/>
                <w:sz w:val="20"/>
                <w:szCs w:val="20"/>
                <w:lang w:val="es-GT" w:eastAsia="es-GT"/>
              </w:rPr>
              <w:t>Trabajo</w:t>
            </w:r>
          </w:p>
        </w:tc>
        <w:tc>
          <w:tcPr>
            <w:tcW w:w="1105" w:type="dxa"/>
            <w:tcBorders>
              <w:top w:val="nil"/>
              <w:left w:val="single" w:sz="4" w:space="0" w:color="auto"/>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297.0</w:t>
            </w:r>
          </w:p>
        </w:tc>
        <w:tc>
          <w:tcPr>
            <w:tcW w:w="1105"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295.7</w:t>
            </w:r>
          </w:p>
        </w:tc>
        <w:tc>
          <w:tcPr>
            <w:tcW w:w="1370"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-1.3</w:t>
            </w:r>
          </w:p>
        </w:tc>
        <w:tc>
          <w:tcPr>
            <w:tcW w:w="1282" w:type="dxa"/>
            <w:tcBorders>
              <w:top w:val="nil"/>
              <w:left w:val="nil"/>
              <w:bottom w:val="nil"/>
              <w:right w:val="single" w:sz="8"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-0.4%</w:t>
            </w:r>
          </w:p>
        </w:tc>
        <w:tc>
          <w:tcPr>
            <w:tcW w:w="972"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center"/>
              <w:rPr>
                <w:color w:val="000000"/>
                <w:sz w:val="22"/>
                <w:szCs w:val="22"/>
                <w:lang w:val="es-GT" w:eastAsia="es-GT"/>
              </w:rPr>
            </w:pPr>
            <w:r w:rsidRPr="00A269E3">
              <w:rPr>
                <w:color w:val="000000"/>
                <w:sz w:val="22"/>
                <w:szCs w:val="22"/>
                <w:lang w:val="es-GT" w:eastAsia="es-GT"/>
              </w:rPr>
              <w:t>1.0%</w:t>
            </w:r>
          </w:p>
        </w:tc>
        <w:tc>
          <w:tcPr>
            <w:tcW w:w="972" w:type="dxa"/>
            <w:tcBorders>
              <w:top w:val="nil"/>
              <w:left w:val="nil"/>
              <w:bottom w:val="nil"/>
              <w:right w:val="single" w:sz="8" w:space="0" w:color="auto"/>
            </w:tcBorders>
            <w:shd w:val="clear" w:color="000000" w:fill="FFFFFF"/>
            <w:noWrap/>
            <w:vAlign w:val="bottom"/>
            <w:hideMark/>
          </w:tcPr>
          <w:p w:rsidR="00AB0496" w:rsidRPr="00A269E3" w:rsidRDefault="00AB0496" w:rsidP="00AB0496">
            <w:pPr>
              <w:jc w:val="center"/>
              <w:rPr>
                <w:color w:val="000000"/>
                <w:sz w:val="22"/>
                <w:szCs w:val="22"/>
                <w:lang w:val="es-GT" w:eastAsia="es-GT"/>
              </w:rPr>
            </w:pPr>
            <w:r w:rsidRPr="00A269E3">
              <w:rPr>
                <w:color w:val="000000"/>
                <w:sz w:val="22"/>
                <w:szCs w:val="22"/>
                <w:lang w:val="es-GT" w:eastAsia="es-GT"/>
              </w:rPr>
              <w:t>0.9%</w:t>
            </w:r>
          </w:p>
        </w:tc>
      </w:tr>
      <w:tr w:rsidR="00AB0496" w:rsidRPr="00A269E3" w:rsidTr="00AB0496">
        <w:trPr>
          <w:trHeight w:val="308"/>
        </w:trPr>
        <w:tc>
          <w:tcPr>
            <w:tcW w:w="2254" w:type="dxa"/>
            <w:tcBorders>
              <w:top w:val="nil"/>
              <w:left w:val="single" w:sz="8" w:space="0" w:color="auto"/>
              <w:bottom w:val="nil"/>
              <w:right w:val="nil"/>
            </w:tcBorders>
            <w:shd w:val="clear" w:color="000000" w:fill="FFFFFF"/>
            <w:noWrap/>
            <w:vAlign w:val="bottom"/>
            <w:hideMark/>
          </w:tcPr>
          <w:p w:rsidR="00AB0496" w:rsidRPr="00A269E3" w:rsidRDefault="00AB0496" w:rsidP="00AB0496">
            <w:pPr>
              <w:rPr>
                <w:color w:val="000000"/>
                <w:sz w:val="20"/>
                <w:szCs w:val="20"/>
                <w:lang w:val="es-GT" w:eastAsia="es-GT"/>
              </w:rPr>
            </w:pPr>
            <w:r w:rsidRPr="00A269E3">
              <w:rPr>
                <w:color w:val="000000"/>
                <w:sz w:val="20"/>
                <w:szCs w:val="20"/>
                <w:lang w:val="es-GT" w:eastAsia="es-GT"/>
              </w:rPr>
              <w:t>Economía</w:t>
            </w:r>
          </w:p>
        </w:tc>
        <w:tc>
          <w:tcPr>
            <w:tcW w:w="1105" w:type="dxa"/>
            <w:tcBorders>
              <w:top w:val="nil"/>
              <w:left w:val="single" w:sz="4" w:space="0" w:color="auto"/>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251.5</w:t>
            </w:r>
          </w:p>
        </w:tc>
        <w:tc>
          <w:tcPr>
            <w:tcW w:w="1105"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130.7</w:t>
            </w:r>
          </w:p>
        </w:tc>
        <w:tc>
          <w:tcPr>
            <w:tcW w:w="1370"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-120.8</w:t>
            </w:r>
          </w:p>
        </w:tc>
        <w:tc>
          <w:tcPr>
            <w:tcW w:w="1282" w:type="dxa"/>
            <w:tcBorders>
              <w:top w:val="nil"/>
              <w:left w:val="nil"/>
              <w:bottom w:val="nil"/>
              <w:right w:val="single" w:sz="8"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-48.0%</w:t>
            </w:r>
          </w:p>
        </w:tc>
        <w:tc>
          <w:tcPr>
            <w:tcW w:w="972"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center"/>
              <w:rPr>
                <w:color w:val="000000"/>
                <w:sz w:val="22"/>
                <w:szCs w:val="22"/>
                <w:lang w:val="es-GT" w:eastAsia="es-GT"/>
              </w:rPr>
            </w:pPr>
            <w:r w:rsidRPr="00A269E3">
              <w:rPr>
                <w:color w:val="000000"/>
                <w:sz w:val="22"/>
                <w:szCs w:val="22"/>
                <w:lang w:val="es-GT" w:eastAsia="es-GT"/>
              </w:rPr>
              <w:t>0.8%</w:t>
            </w:r>
          </w:p>
        </w:tc>
        <w:tc>
          <w:tcPr>
            <w:tcW w:w="972" w:type="dxa"/>
            <w:tcBorders>
              <w:top w:val="nil"/>
              <w:left w:val="nil"/>
              <w:bottom w:val="nil"/>
              <w:right w:val="single" w:sz="8" w:space="0" w:color="auto"/>
            </w:tcBorders>
            <w:shd w:val="clear" w:color="000000" w:fill="FFFFFF"/>
            <w:noWrap/>
            <w:vAlign w:val="bottom"/>
            <w:hideMark/>
          </w:tcPr>
          <w:p w:rsidR="00AB0496" w:rsidRPr="00A269E3" w:rsidRDefault="00AB0496" w:rsidP="00AB0496">
            <w:pPr>
              <w:jc w:val="center"/>
              <w:rPr>
                <w:color w:val="000000"/>
                <w:sz w:val="22"/>
                <w:szCs w:val="22"/>
                <w:lang w:val="es-GT" w:eastAsia="es-GT"/>
              </w:rPr>
            </w:pPr>
            <w:r w:rsidRPr="00A269E3">
              <w:rPr>
                <w:color w:val="000000"/>
                <w:sz w:val="22"/>
                <w:szCs w:val="22"/>
                <w:lang w:val="es-GT" w:eastAsia="es-GT"/>
              </w:rPr>
              <w:t>0.4%</w:t>
            </w:r>
          </w:p>
        </w:tc>
      </w:tr>
      <w:tr w:rsidR="00AB0496" w:rsidRPr="00A269E3" w:rsidTr="00AB0496">
        <w:trPr>
          <w:trHeight w:val="308"/>
        </w:trPr>
        <w:tc>
          <w:tcPr>
            <w:tcW w:w="2254" w:type="dxa"/>
            <w:tcBorders>
              <w:top w:val="nil"/>
              <w:left w:val="single" w:sz="8" w:space="0" w:color="auto"/>
              <w:bottom w:val="nil"/>
              <w:right w:val="nil"/>
            </w:tcBorders>
            <w:shd w:val="clear" w:color="000000" w:fill="FFFFFF"/>
            <w:noWrap/>
            <w:vAlign w:val="bottom"/>
            <w:hideMark/>
          </w:tcPr>
          <w:p w:rsidR="00AB0496" w:rsidRPr="00A269E3" w:rsidRDefault="00AB0496" w:rsidP="00AB0496">
            <w:pPr>
              <w:rPr>
                <w:color w:val="000000"/>
                <w:sz w:val="20"/>
                <w:szCs w:val="20"/>
                <w:lang w:val="es-GT" w:eastAsia="es-GT"/>
              </w:rPr>
            </w:pPr>
            <w:r w:rsidRPr="00A269E3">
              <w:rPr>
                <w:color w:val="000000"/>
                <w:sz w:val="20"/>
                <w:szCs w:val="20"/>
                <w:lang w:val="es-GT" w:eastAsia="es-GT"/>
              </w:rPr>
              <w:t>Relaciones Exteriores</w:t>
            </w:r>
          </w:p>
        </w:tc>
        <w:tc>
          <w:tcPr>
            <w:tcW w:w="1105" w:type="dxa"/>
            <w:tcBorders>
              <w:top w:val="nil"/>
              <w:left w:val="single" w:sz="4" w:space="0" w:color="auto"/>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159.1</w:t>
            </w:r>
          </w:p>
        </w:tc>
        <w:tc>
          <w:tcPr>
            <w:tcW w:w="1105"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180.2</w:t>
            </w:r>
          </w:p>
        </w:tc>
        <w:tc>
          <w:tcPr>
            <w:tcW w:w="1370"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21.1</w:t>
            </w:r>
          </w:p>
        </w:tc>
        <w:tc>
          <w:tcPr>
            <w:tcW w:w="1282" w:type="dxa"/>
            <w:tcBorders>
              <w:top w:val="nil"/>
              <w:left w:val="nil"/>
              <w:bottom w:val="nil"/>
              <w:right w:val="single" w:sz="8"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13.2%</w:t>
            </w:r>
          </w:p>
        </w:tc>
        <w:tc>
          <w:tcPr>
            <w:tcW w:w="972"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center"/>
              <w:rPr>
                <w:color w:val="000000"/>
                <w:sz w:val="22"/>
                <w:szCs w:val="22"/>
                <w:lang w:val="es-GT" w:eastAsia="es-GT"/>
              </w:rPr>
            </w:pPr>
            <w:r w:rsidRPr="00A269E3">
              <w:rPr>
                <w:color w:val="000000"/>
                <w:sz w:val="22"/>
                <w:szCs w:val="22"/>
                <w:lang w:val="es-GT" w:eastAsia="es-GT"/>
              </w:rPr>
              <w:t>0.5%</w:t>
            </w:r>
          </w:p>
        </w:tc>
        <w:tc>
          <w:tcPr>
            <w:tcW w:w="972" w:type="dxa"/>
            <w:tcBorders>
              <w:top w:val="nil"/>
              <w:left w:val="nil"/>
              <w:bottom w:val="nil"/>
              <w:right w:val="single" w:sz="8" w:space="0" w:color="auto"/>
            </w:tcBorders>
            <w:shd w:val="clear" w:color="000000" w:fill="FFFFFF"/>
            <w:noWrap/>
            <w:vAlign w:val="bottom"/>
            <w:hideMark/>
          </w:tcPr>
          <w:p w:rsidR="00AB0496" w:rsidRPr="00A269E3" w:rsidRDefault="00AB0496" w:rsidP="00AB0496">
            <w:pPr>
              <w:jc w:val="center"/>
              <w:rPr>
                <w:color w:val="000000"/>
                <w:sz w:val="22"/>
                <w:szCs w:val="22"/>
                <w:lang w:val="es-GT" w:eastAsia="es-GT"/>
              </w:rPr>
            </w:pPr>
            <w:r w:rsidRPr="00A269E3">
              <w:rPr>
                <w:color w:val="000000"/>
                <w:sz w:val="22"/>
                <w:szCs w:val="22"/>
                <w:lang w:val="es-GT" w:eastAsia="es-GT"/>
              </w:rPr>
              <w:t>0.6%</w:t>
            </w:r>
          </w:p>
        </w:tc>
      </w:tr>
      <w:tr w:rsidR="00AB0496" w:rsidRPr="00A269E3" w:rsidTr="00AB0496">
        <w:trPr>
          <w:trHeight w:val="308"/>
        </w:trPr>
        <w:tc>
          <w:tcPr>
            <w:tcW w:w="2254" w:type="dxa"/>
            <w:tcBorders>
              <w:top w:val="nil"/>
              <w:left w:val="single" w:sz="8" w:space="0" w:color="auto"/>
              <w:bottom w:val="nil"/>
              <w:right w:val="nil"/>
            </w:tcBorders>
            <w:shd w:val="clear" w:color="000000" w:fill="FFFFFF"/>
            <w:noWrap/>
            <w:vAlign w:val="bottom"/>
            <w:hideMark/>
          </w:tcPr>
          <w:p w:rsidR="00AB0496" w:rsidRPr="00A269E3" w:rsidRDefault="00AB0496" w:rsidP="00AB0496">
            <w:pPr>
              <w:rPr>
                <w:color w:val="000000"/>
                <w:sz w:val="20"/>
                <w:szCs w:val="20"/>
                <w:lang w:val="es-GT" w:eastAsia="es-GT"/>
              </w:rPr>
            </w:pPr>
            <w:r w:rsidRPr="00A269E3">
              <w:rPr>
                <w:color w:val="000000"/>
                <w:sz w:val="20"/>
                <w:szCs w:val="20"/>
                <w:lang w:val="es-GT" w:eastAsia="es-GT"/>
              </w:rPr>
              <w:t>Desarrollo Social</w:t>
            </w:r>
          </w:p>
        </w:tc>
        <w:tc>
          <w:tcPr>
            <w:tcW w:w="1105" w:type="dxa"/>
            <w:tcBorders>
              <w:top w:val="nil"/>
              <w:left w:val="single" w:sz="4" w:space="0" w:color="auto"/>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95.6</w:t>
            </w:r>
          </w:p>
        </w:tc>
        <w:tc>
          <w:tcPr>
            <w:tcW w:w="1105"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307.1</w:t>
            </w:r>
          </w:p>
        </w:tc>
        <w:tc>
          <w:tcPr>
            <w:tcW w:w="1370"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211.5</w:t>
            </w:r>
          </w:p>
        </w:tc>
        <w:tc>
          <w:tcPr>
            <w:tcW w:w="1282" w:type="dxa"/>
            <w:tcBorders>
              <w:top w:val="nil"/>
              <w:left w:val="nil"/>
              <w:bottom w:val="nil"/>
              <w:right w:val="single" w:sz="8"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221.3%</w:t>
            </w:r>
          </w:p>
        </w:tc>
        <w:tc>
          <w:tcPr>
            <w:tcW w:w="972"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center"/>
              <w:rPr>
                <w:color w:val="000000"/>
                <w:sz w:val="22"/>
                <w:szCs w:val="22"/>
                <w:lang w:val="es-GT" w:eastAsia="es-GT"/>
              </w:rPr>
            </w:pPr>
            <w:r w:rsidRPr="00A269E3">
              <w:rPr>
                <w:color w:val="000000"/>
                <w:sz w:val="22"/>
                <w:szCs w:val="22"/>
                <w:lang w:val="es-GT" w:eastAsia="es-GT"/>
              </w:rPr>
              <w:t>0.3%</w:t>
            </w:r>
          </w:p>
        </w:tc>
        <w:tc>
          <w:tcPr>
            <w:tcW w:w="972" w:type="dxa"/>
            <w:tcBorders>
              <w:top w:val="nil"/>
              <w:left w:val="nil"/>
              <w:bottom w:val="nil"/>
              <w:right w:val="single" w:sz="8" w:space="0" w:color="auto"/>
            </w:tcBorders>
            <w:shd w:val="clear" w:color="000000" w:fill="FFFFFF"/>
            <w:noWrap/>
            <w:vAlign w:val="bottom"/>
            <w:hideMark/>
          </w:tcPr>
          <w:p w:rsidR="00AB0496" w:rsidRPr="00A269E3" w:rsidRDefault="00AB0496" w:rsidP="00AB0496">
            <w:pPr>
              <w:jc w:val="center"/>
              <w:rPr>
                <w:color w:val="000000"/>
                <w:sz w:val="22"/>
                <w:szCs w:val="22"/>
                <w:lang w:val="es-GT" w:eastAsia="es-GT"/>
              </w:rPr>
            </w:pPr>
            <w:r w:rsidRPr="00A269E3">
              <w:rPr>
                <w:color w:val="000000"/>
                <w:sz w:val="22"/>
                <w:szCs w:val="22"/>
                <w:lang w:val="es-GT" w:eastAsia="es-GT"/>
              </w:rPr>
              <w:t>0.9%</w:t>
            </w:r>
          </w:p>
        </w:tc>
      </w:tr>
      <w:tr w:rsidR="00AB0496" w:rsidRPr="00A269E3" w:rsidTr="00AB0496">
        <w:trPr>
          <w:trHeight w:val="308"/>
        </w:trPr>
        <w:tc>
          <w:tcPr>
            <w:tcW w:w="2254" w:type="dxa"/>
            <w:tcBorders>
              <w:top w:val="nil"/>
              <w:left w:val="single" w:sz="8" w:space="0" w:color="auto"/>
              <w:bottom w:val="nil"/>
              <w:right w:val="nil"/>
            </w:tcBorders>
            <w:shd w:val="clear" w:color="000000" w:fill="FFFFFF"/>
            <w:noWrap/>
            <w:vAlign w:val="bottom"/>
            <w:hideMark/>
          </w:tcPr>
          <w:p w:rsidR="00AB0496" w:rsidRPr="00A269E3" w:rsidRDefault="00AB0496" w:rsidP="00AB0496">
            <w:pPr>
              <w:rPr>
                <w:color w:val="000000"/>
                <w:sz w:val="20"/>
                <w:szCs w:val="20"/>
                <w:lang w:val="es-GT" w:eastAsia="es-GT"/>
              </w:rPr>
            </w:pPr>
            <w:r w:rsidRPr="00A269E3">
              <w:rPr>
                <w:color w:val="000000"/>
                <w:sz w:val="20"/>
                <w:szCs w:val="20"/>
                <w:lang w:val="es-GT" w:eastAsia="es-GT"/>
              </w:rPr>
              <w:t>Cultura y Deportes</w:t>
            </w:r>
          </w:p>
        </w:tc>
        <w:tc>
          <w:tcPr>
            <w:tcW w:w="1105" w:type="dxa"/>
            <w:tcBorders>
              <w:top w:val="nil"/>
              <w:left w:val="single" w:sz="4" w:space="0" w:color="auto"/>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132.5</w:t>
            </w:r>
          </w:p>
        </w:tc>
        <w:tc>
          <w:tcPr>
            <w:tcW w:w="1105"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161.5</w:t>
            </w:r>
          </w:p>
        </w:tc>
        <w:tc>
          <w:tcPr>
            <w:tcW w:w="1370"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29.0</w:t>
            </w:r>
          </w:p>
        </w:tc>
        <w:tc>
          <w:tcPr>
            <w:tcW w:w="1282" w:type="dxa"/>
            <w:tcBorders>
              <w:top w:val="nil"/>
              <w:left w:val="nil"/>
              <w:bottom w:val="nil"/>
              <w:right w:val="single" w:sz="8"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21.8%</w:t>
            </w:r>
          </w:p>
        </w:tc>
        <w:tc>
          <w:tcPr>
            <w:tcW w:w="972"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center"/>
              <w:rPr>
                <w:color w:val="000000"/>
                <w:sz w:val="22"/>
                <w:szCs w:val="22"/>
                <w:lang w:val="es-GT" w:eastAsia="es-GT"/>
              </w:rPr>
            </w:pPr>
            <w:r w:rsidRPr="00A269E3">
              <w:rPr>
                <w:color w:val="000000"/>
                <w:sz w:val="22"/>
                <w:szCs w:val="22"/>
                <w:lang w:val="es-GT" w:eastAsia="es-GT"/>
              </w:rPr>
              <w:t>0.4%</w:t>
            </w:r>
          </w:p>
        </w:tc>
        <w:tc>
          <w:tcPr>
            <w:tcW w:w="972" w:type="dxa"/>
            <w:tcBorders>
              <w:top w:val="nil"/>
              <w:left w:val="nil"/>
              <w:bottom w:val="nil"/>
              <w:right w:val="single" w:sz="8" w:space="0" w:color="auto"/>
            </w:tcBorders>
            <w:shd w:val="clear" w:color="000000" w:fill="FFFFFF"/>
            <w:noWrap/>
            <w:vAlign w:val="bottom"/>
            <w:hideMark/>
          </w:tcPr>
          <w:p w:rsidR="00AB0496" w:rsidRPr="00A269E3" w:rsidRDefault="00AB0496" w:rsidP="00AB0496">
            <w:pPr>
              <w:jc w:val="center"/>
              <w:rPr>
                <w:color w:val="000000"/>
                <w:sz w:val="22"/>
                <w:szCs w:val="22"/>
                <w:lang w:val="es-GT" w:eastAsia="es-GT"/>
              </w:rPr>
            </w:pPr>
            <w:r w:rsidRPr="00A269E3">
              <w:rPr>
                <w:color w:val="000000"/>
                <w:sz w:val="22"/>
                <w:szCs w:val="22"/>
                <w:lang w:val="es-GT" w:eastAsia="es-GT"/>
              </w:rPr>
              <w:t>0.5%</w:t>
            </w:r>
          </w:p>
        </w:tc>
      </w:tr>
      <w:tr w:rsidR="00AB0496" w:rsidRPr="00A269E3" w:rsidTr="00AB0496">
        <w:trPr>
          <w:trHeight w:val="308"/>
        </w:trPr>
        <w:tc>
          <w:tcPr>
            <w:tcW w:w="2254" w:type="dxa"/>
            <w:tcBorders>
              <w:top w:val="nil"/>
              <w:left w:val="single" w:sz="8" w:space="0" w:color="auto"/>
              <w:bottom w:val="nil"/>
              <w:right w:val="nil"/>
            </w:tcBorders>
            <w:shd w:val="clear" w:color="000000" w:fill="FFFFFF"/>
            <w:noWrap/>
            <w:vAlign w:val="bottom"/>
            <w:hideMark/>
          </w:tcPr>
          <w:p w:rsidR="00AB0496" w:rsidRPr="00A269E3" w:rsidRDefault="00AB0496" w:rsidP="00AB0496">
            <w:pPr>
              <w:rPr>
                <w:color w:val="000000"/>
                <w:sz w:val="20"/>
                <w:szCs w:val="20"/>
                <w:lang w:val="es-GT" w:eastAsia="es-GT"/>
              </w:rPr>
            </w:pPr>
            <w:r w:rsidRPr="00A269E3">
              <w:rPr>
                <w:color w:val="000000"/>
                <w:sz w:val="20"/>
                <w:szCs w:val="20"/>
                <w:lang w:val="es-GT" w:eastAsia="es-GT"/>
              </w:rPr>
              <w:t>Finanzas</w:t>
            </w:r>
            <w:r w:rsidR="008B591D">
              <w:rPr>
                <w:color w:val="000000"/>
                <w:sz w:val="20"/>
                <w:szCs w:val="20"/>
                <w:lang w:val="es-GT" w:eastAsia="es-GT"/>
              </w:rPr>
              <w:t xml:space="preserve"> Públicas</w:t>
            </w:r>
          </w:p>
        </w:tc>
        <w:tc>
          <w:tcPr>
            <w:tcW w:w="1105" w:type="dxa"/>
            <w:tcBorders>
              <w:top w:val="nil"/>
              <w:left w:val="single" w:sz="4" w:space="0" w:color="auto"/>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116.3</w:t>
            </w:r>
          </w:p>
        </w:tc>
        <w:tc>
          <w:tcPr>
            <w:tcW w:w="1105"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119.6</w:t>
            </w:r>
          </w:p>
        </w:tc>
        <w:tc>
          <w:tcPr>
            <w:tcW w:w="1370"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3.3</w:t>
            </w:r>
          </w:p>
        </w:tc>
        <w:tc>
          <w:tcPr>
            <w:tcW w:w="1282" w:type="dxa"/>
            <w:tcBorders>
              <w:top w:val="nil"/>
              <w:left w:val="nil"/>
              <w:bottom w:val="nil"/>
              <w:right w:val="single" w:sz="8"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2.8%</w:t>
            </w:r>
          </w:p>
        </w:tc>
        <w:tc>
          <w:tcPr>
            <w:tcW w:w="972"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center"/>
              <w:rPr>
                <w:color w:val="000000"/>
                <w:sz w:val="22"/>
                <w:szCs w:val="22"/>
                <w:lang w:val="es-GT" w:eastAsia="es-GT"/>
              </w:rPr>
            </w:pPr>
            <w:r w:rsidRPr="00A269E3">
              <w:rPr>
                <w:color w:val="000000"/>
                <w:sz w:val="22"/>
                <w:szCs w:val="22"/>
                <w:lang w:val="es-GT" w:eastAsia="es-GT"/>
              </w:rPr>
              <w:t>0.4%</w:t>
            </w:r>
          </w:p>
        </w:tc>
        <w:tc>
          <w:tcPr>
            <w:tcW w:w="972" w:type="dxa"/>
            <w:tcBorders>
              <w:top w:val="nil"/>
              <w:left w:val="nil"/>
              <w:bottom w:val="nil"/>
              <w:right w:val="single" w:sz="8" w:space="0" w:color="auto"/>
            </w:tcBorders>
            <w:shd w:val="clear" w:color="000000" w:fill="FFFFFF"/>
            <w:noWrap/>
            <w:vAlign w:val="bottom"/>
            <w:hideMark/>
          </w:tcPr>
          <w:p w:rsidR="00AB0496" w:rsidRPr="00A269E3" w:rsidRDefault="00AB0496" w:rsidP="00AB0496">
            <w:pPr>
              <w:jc w:val="center"/>
              <w:rPr>
                <w:color w:val="000000"/>
                <w:sz w:val="22"/>
                <w:szCs w:val="22"/>
                <w:lang w:val="es-GT" w:eastAsia="es-GT"/>
              </w:rPr>
            </w:pPr>
            <w:r w:rsidRPr="00A269E3">
              <w:rPr>
                <w:color w:val="000000"/>
                <w:sz w:val="22"/>
                <w:szCs w:val="22"/>
                <w:lang w:val="es-GT" w:eastAsia="es-GT"/>
              </w:rPr>
              <w:t>0.4%</w:t>
            </w:r>
          </w:p>
        </w:tc>
      </w:tr>
      <w:tr w:rsidR="00AB0496" w:rsidRPr="00A269E3" w:rsidTr="00AB0496">
        <w:trPr>
          <w:trHeight w:val="308"/>
        </w:trPr>
        <w:tc>
          <w:tcPr>
            <w:tcW w:w="2254" w:type="dxa"/>
            <w:tcBorders>
              <w:top w:val="nil"/>
              <w:left w:val="single" w:sz="8" w:space="0" w:color="auto"/>
              <w:bottom w:val="nil"/>
              <w:right w:val="nil"/>
            </w:tcBorders>
            <w:shd w:val="clear" w:color="000000" w:fill="FFFFFF"/>
            <w:noWrap/>
            <w:vAlign w:val="bottom"/>
            <w:hideMark/>
          </w:tcPr>
          <w:p w:rsidR="00AB0496" w:rsidRPr="00A269E3" w:rsidRDefault="00AB0496" w:rsidP="00AB0496">
            <w:pPr>
              <w:rPr>
                <w:color w:val="000000"/>
                <w:sz w:val="20"/>
                <w:szCs w:val="20"/>
                <w:lang w:val="es-GT" w:eastAsia="es-GT"/>
              </w:rPr>
            </w:pPr>
            <w:r w:rsidRPr="00A269E3">
              <w:rPr>
                <w:color w:val="000000"/>
                <w:sz w:val="20"/>
                <w:szCs w:val="20"/>
                <w:lang w:val="es-GT" w:eastAsia="es-GT"/>
              </w:rPr>
              <w:t>Presidencia</w:t>
            </w:r>
          </w:p>
        </w:tc>
        <w:tc>
          <w:tcPr>
            <w:tcW w:w="1105" w:type="dxa"/>
            <w:tcBorders>
              <w:top w:val="nil"/>
              <w:left w:val="single" w:sz="4" w:space="0" w:color="auto"/>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94.2</w:t>
            </w:r>
          </w:p>
        </w:tc>
        <w:tc>
          <w:tcPr>
            <w:tcW w:w="1105"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105.4</w:t>
            </w:r>
          </w:p>
        </w:tc>
        <w:tc>
          <w:tcPr>
            <w:tcW w:w="1370"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11.2</w:t>
            </w:r>
          </w:p>
        </w:tc>
        <w:tc>
          <w:tcPr>
            <w:tcW w:w="1282" w:type="dxa"/>
            <w:tcBorders>
              <w:top w:val="nil"/>
              <w:left w:val="nil"/>
              <w:bottom w:val="nil"/>
              <w:right w:val="single" w:sz="8"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11.9%</w:t>
            </w:r>
          </w:p>
        </w:tc>
        <w:tc>
          <w:tcPr>
            <w:tcW w:w="972"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center"/>
              <w:rPr>
                <w:color w:val="000000"/>
                <w:sz w:val="22"/>
                <w:szCs w:val="22"/>
                <w:lang w:val="es-GT" w:eastAsia="es-GT"/>
              </w:rPr>
            </w:pPr>
            <w:r w:rsidRPr="00A269E3">
              <w:rPr>
                <w:color w:val="000000"/>
                <w:sz w:val="22"/>
                <w:szCs w:val="22"/>
                <w:lang w:val="es-GT" w:eastAsia="es-GT"/>
              </w:rPr>
              <w:t>0.3%</w:t>
            </w:r>
          </w:p>
        </w:tc>
        <w:tc>
          <w:tcPr>
            <w:tcW w:w="972" w:type="dxa"/>
            <w:tcBorders>
              <w:top w:val="nil"/>
              <w:left w:val="nil"/>
              <w:bottom w:val="nil"/>
              <w:right w:val="single" w:sz="8" w:space="0" w:color="auto"/>
            </w:tcBorders>
            <w:shd w:val="clear" w:color="000000" w:fill="FFFFFF"/>
            <w:noWrap/>
            <w:vAlign w:val="bottom"/>
            <w:hideMark/>
          </w:tcPr>
          <w:p w:rsidR="00AB0496" w:rsidRPr="00A269E3" w:rsidRDefault="00AB0496" w:rsidP="00AB0496">
            <w:pPr>
              <w:jc w:val="center"/>
              <w:rPr>
                <w:color w:val="000000"/>
                <w:sz w:val="22"/>
                <w:szCs w:val="22"/>
                <w:lang w:val="es-GT" w:eastAsia="es-GT"/>
              </w:rPr>
            </w:pPr>
            <w:r w:rsidRPr="00A269E3">
              <w:rPr>
                <w:color w:val="000000"/>
                <w:sz w:val="22"/>
                <w:szCs w:val="22"/>
                <w:lang w:val="es-GT" w:eastAsia="es-GT"/>
              </w:rPr>
              <w:t>0.3%</w:t>
            </w:r>
          </w:p>
        </w:tc>
      </w:tr>
      <w:tr w:rsidR="00AB0496" w:rsidRPr="00A269E3" w:rsidTr="00AB0496">
        <w:trPr>
          <w:trHeight w:val="308"/>
        </w:trPr>
        <w:tc>
          <w:tcPr>
            <w:tcW w:w="2254" w:type="dxa"/>
            <w:tcBorders>
              <w:top w:val="nil"/>
              <w:left w:val="single" w:sz="8" w:space="0" w:color="auto"/>
              <w:bottom w:val="nil"/>
              <w:right w:val="nil"/>
            </w:tcBorders>
            <w:shd w:val="clear" w:color="000000" w:fill="FFFFFF"/>
            <w:noWrap/>
            <w:vAlign w:val="bottom"/>
            <w:hideMark/>
          </w:tcPr>
          <w:p w:rsidR="00AB0496" w:rsidRPr="00A269E3" w:rsidRDefault="00AB0496" w:rsidP="00AB0496">
            <w:pPr>
              <w:rPr>
                <w:color w:val="000000"/>
                <w:sz w:val="20"/>
                <w:szCs w:val="20"/>
                <w:lang w:val="es-GT" w:eastAsia="es-GT"/>
              </w:rPr>
            </w:pPr>
            <w:r w:rsidRPr="00A269E3">
              <w:rPr>
                <w:color w:val="000000"/>
                <w:sz w:val="20"/>
                <w:szCs w:val="20"/>
                <w:lang w:val="es-GT" w:eastAsia="es-GT"/>
              </w:rPr>
              <w:t>Ambiente</w:t>
            </w:r>
          </w:p>
        </w:tc>
        <w:tc>
          <w:tcPr>
            <w:tcW w:w="1105" w:type="dxa"/>
            <w:tcBorders>
              <w:top w:val="nil"/>
              <w:left w:val="single" w:sz="4" w:space="0" w:color="auto"/>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45.0</w:t>
            </w:r>
          </w:p>
        </w:tc>
        <w:tc>
          <w:tcPr>
            <w:tcW w:w="1105"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55.1</w:t>
            </w:r>
          </w:p>
        </w:tc>
        <w:tc>
          <w:tcPr>
            <w:tcW w:w="1370"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10.1</w:t>
            </w:r>
          </w:p>
        </w:tc>
        <w:tc>
          <w:tcPr>
            <w:tcW w:w="1282" w:type="dxa"/>
            <w:tcBorders>
              <w:top w:val="nil"/>
              <w:left w:val="nil"/>
              <w:bottom w:val="nil"/>
              <w:right w:val="single" w:sz="8"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22.5%</w:t>
            </w:r>
          </w:p>
        </w:tc>
        <w:tc>
          <w:tcPr>
            <w:tcW w:w="972"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center"/>
              <w:rPr>
                <w:color w:val="000000"/>
                <w:sz w:val="22"/>
                <w:szCs w:val="22"/>
                <w:lang w:val="es-GT" w:eastAsia="es-GT"/>
              </w:rPr>
            </w:pPr>
            <w:r w:rsidRPr="00A269E3">
              <w:rPr>
                <w:color w:val="000000"/>
                <w:sz w:val="22"/>
                <w:szCs w:val="22"/>
                <w:lang w:val="es-GT" w:eastAsia="es-GT"/>
              </w:rPr>
              <w:t>0.1%</w:t>
            </w:r>
          </w:p>
        </w:tc>
        <w:tc>
          <w:tcPr>
            <w:tcW w:w="972" w:type="dxa"/>
            <w:tcBorders>
              <w:top w:val="nil"/>
              <w:left w:val="nil"/>
              <w:bottom w:val="nil"/>
              <w:right w:val="single" w:sz="8" w:space="0" w:color="auto"/>
            </w:tcBorders>
            <w:shd w:val="clear" w:color="000000" w:fill="FFFFFF"/>
            <w:noWrap/>
            <w:vAlign w:val="bottom"/>
            <w:hideMark/>
          </w:tcPr>
          <w:p w:rsidR="00AB0496" w:rsidRPr="00A269E3" w:rsidRDefault="00AB0496" w:rsidP="00AB0496">
            <w:pPr>
              <w:jc w:val="center"/>
              <w:rPr>
                <w:color w:val="000000"/>
                <w:sz w:val="22"/>
                <w:szCs w:val="22"/>
                <w:lang w:val="es-GT" w:eastAsia="es-GT"/>
              </w:rPr>
            </w:pPr>
            <w:r w:rsidRPr="00A269E3">
              <w:rPr>
                <w:color w:val="000000"/>
                <w:sz w:val="22"/>
                <w:szCs w:val="22"/>
                <w:lang w:val="es-GT" w:eastAsia="es-GT"/>
              </w:rPr>
              <w:t>0.2%</w:t>
            </w:r>
          </w:p>
        </w:tc>
      </w:tr>
      <w:tr w:rsidR="00AB0496" w:rsidRPr="00A269E3" w:rsidTr="00AB0496">
        <w:trPr>
          <w:trHeight w:val="308"/>
        </w:trPr>
        <w:tc>
          <w:tcPr>
            <w:tcW w:w="2254" w:type="dxa"/>
            <w:tcBorders>
              <w:top w:val="nil"/>
              <w:left w:val="single" w:sz="8" w:space="0" w:color="auto"/>
              <w:bottom w:val="nil"/>
              <w:right w:val="nil"/>
            </w:tcBorders>
            <w:shd w:val="clear" w:color="000000" w:fill="FFFFFF"/>
            <w:noWrap/>
            <w:vAlign w:val="bottom"/>
            <w:hideMark/>
          </w:tcPr>
          <w:p w:rsidR="00AB0496" w:rsidRPr="00A269E3" w:rsidRDefault="00AB0496" w:rsidP="00AB0496">
            <w:pPr>
              <w:rPr>
                <w:color w:val="000000"/>
                <w:sz w:val="20"/>
                <w:szCs w:val="20"/>
                <w:lang w:val="es-GT" w:eastAsia="es-GT"/>
              </w:rPr>
            </w:pPr>
            <w:r w:rsidRPr="00A269E3">
              <w:rPr>
                <w:color w:val="000000"/>
                <w:sz w:val="20"/>
                <w:szCs w:val="20"/>
                <w:lang w:val="es-GT" w:eastAsia="es-GT"/>
              </w:rPr>
              <w:t>PGN</w:t>
            </w:r>
          </w:p>
        </w:tc>
        <w:tc>
          <w:tcPr>
            <w:tcW w:w="1105" w:type="dxa"/>
            <w:tcBorders>
              <w:top w:val="nil"/>
              <w:left w:val="single" w:sz="4" w:space="0" w:color="auto"/>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34.5</w:t>
            </w:r>
          </w:p>
        </w:tc>
        <w:tc>
          <w:tcPr>
            <w:tcW w:w="1105"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46.8</w:t>
            </w:r>
          </w:p>
        </w:tc>
        <w:tc>
          <w:tcPr>
            <w:tcW w:w="1370"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12.3</w:t>
            </w:r>
          </w:p>
        </w:tc>
        <w:tc>
          <w:tcPr>
            <w:tcW w:w="1282" w:type="dxa"/>
            <w:tcBorders>
              <w:top w:val="nil"/>
              <w:left w:val="nil"/>
              <w:bottom w:val="nil"/>
              <w:right w:val="single" w:sz="8"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35.7%</w:t>
            </w:r>
          </w:p>
        </w:tc>
        <w:tc>
          <w:tcPr>
            <w:tcW w:w="972"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center"/>
              <w:rPr>
                <w:color w:val="000000"/>
                <w:sz w:val="22"/>
                <w:szCs w:val="22"/>
                <w:lang w:val="es-GT" w:eastAsia="es-GT"/>
              </w:rPr>
            </w:pPr>
            <w:r w:rsidRPr="00A269E3">
              <w:rPr>
                <w:color w:val="000000"/>
                <w:sz w:val="22"/>
                <w:szCs w:val="22"/>
                <w:lang w:val="es-GT" w:eastAsia="es-GT"/>
              </w:rPr>
              <w:t>0.1%</w:t>
            </w:r>
          </w:p>
        </w:tc>
        <w:tc>
          <w:tcPr>
            <w:tcW w:w="972" w:type="dxa"/>
            <w:tcBorders>
              <w:top w:val="nil"/>
              <w:left w:val="nil"/>
              <w:bottom w:val="nil"/>
              <w:right w:val="single" w:sz="8" w:space="0" w:color="auto"/>
            </w:tcBorders>
            <w:shd w:val="clear" w:color="000000" w:fill="FFFFFF"/>
            <w:noWrap/>
            <w:vAlign w:val="bottom"/>
            <w:hideMark/>
          </w:tcPr>
          <w:p w:rsidR="00AB0496" w:rsidRPr="00A269E3" w:rsidRDefault="00AB0496" w:rsidP="00AB0496">
            <w:pPr>
              <w:jc w:val="center"/>
              <w:rPr>
                <w:color w:val="000000"/>
                <w:sz w:val="22"/>
                <w:szCs w:val="22"/>
                <w:lang w:val="es-GT" w:eastAsia="es-GT"/>
              </w:rPr>
            </w:pPr>
            <w:r w:rsidRPr="00A269E3">
              <w:rPr>
                <w:color w:val="000000"/>
                <w:sz w:val="22"/>
                <w:szCs w:val="22"/>
                <w:lang w:val="es-GT" w:eastAsia="es-GT"/>
              </w:rPr>
              <w:t>0.1%</w:t>
            </w:r>
          </w:p>
        </w:tc>
      </w:tr>
      <w:tr w:rsidR="00AB0496" w:rsidRPr="00A269E3" w:rsidTr="00AB0496">
        <w:trPr>
          <w:trHeight w:val="323"/>
        </w:trPr>
        <w:tc>
          <w:tcPr>
            <w:tcW w:w="2254" w:type="dxa"/>
            <w:tcBorders>
              <w:top w:val="nil"/>
              <w:left w:val="single" w:sz="8" w:space="0" w:color="auto"/>
              <w:bottom w:val="single" w:sz="8" w:space="0" w:color="auto"/>
              <w:right w:val="nil"/>
            </w:tcBorders>
            <w:shd w:val="clear" w:color="000000" w:fill="FFFFFF"/>
            <w:noWrap/>
            <w:vAlign w:val="bottom"/>
            <w:hideMark/>
          </w:tcPr>
          <w:p w:rsidR="00AB0496" w:rsidRPr="00A269E3" w:rsidRDefault="00AB0496" w:rsidP="00AB0496">
            <w:pPr>
              <w:rPr>
                <w:color w:val="000000"/>
                <w:sz w:val="20"/>
                <w:szCs w:val="20"/>
                <w:lang w:val="es-GT" w:eastAsia="es-GT"/>
              </w:rPr>
            </w:pPr>
            <w:r w:rsidRPr="00A269E3">
              <w:rPr>
                <w:color w:val="000000"/>
                <w:sz w:val="20"/>
                <w:szCs w:val="20"/>
                <w:lang w:val="es-GT" w:eastAsia="es-GT"/>
              </w:rPr>
              <w:t>Energía y Minas</w:t>
            </w:r>
          </w:p>
        </w:tc>
        <w:tc>
          <w:tcPr>
            <w:tcW w:w="1105" w:type="dxa"/>
            <w:tcBorders>
              <w:top w:val="nil"/>
              <w:left w:val="single" w:sz="4" w:space="0" w:color="auto"/>
              <w:bottom w:val="single" w:sz="8" w:space="0" w:color="auto"/>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30.5</w:t>
            </w:r>
          </w:p>
        </w:tc>
        <w:tc>
          <w:tcPr>
            <w:tcW w:w="1105" w:type="dxa"/>
            <w:tcBorders>
              <w:top w:val="nil"/>
              <w:left w:val="nil"/>
              <w:bottom w:val="single" w:sz="8" w:space="0" w:color="auto"/>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29.9</w:t>
            </w:r>
          </w:p>
        </w:tc>
        <w:tc>
          <w:tcPr>
            <w:tcW w:w="1370" w:type="dxa"/>
            <w:tcBorders>
              <w:top w:val="nil"/>
              <w:left w:val="single" w:sz="4" w:space="0" w:color="auto"/>
              <w:bottom w:val="single" w:sz="8" w:space="0" w:color="auto"/>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-0.6</w:t>
            </w:r>
          </w:p>
        </w:tc>
        <w:tc>
          <w:tcPr>
            <w:tcW w:w="1282" w:type="dxa"/>
            <w:tcBorders>
              <w:top w:val="nil"/>
              <w:left w:val="nil"/>
              <w:bottom w:val="single" w:sz="8" w:space="0" w:color="auto"/>
              <w:right w:val="single" w:sz="8"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-2.0%</w:t>
            </w:r>
          </w:p>
        </w:tc>
        <w:tc>
          <w:tcPr>
            <w:tcW w:w="972" w:type="dxa"/>
            <w:tcBorders>
              <w:top w:val="nil"/>
              <w:left w:val="nil"/>
              <w:bottom w:val="single" w:sz="8" w:space="0" w:color="auto"/>
              <w:right w:val="single" w:sz="4" w:space="0" w:color="auto"/>
            </w:tcBorders>
            <w:shd w:val="clear" w:color="000000" w:fill="FFFFFF"/>
            <w:noWrap/>
            <w:vAlign w:val="bottom"/>
            <w:hideMark/>
          </w:tcPr>
          <w:p w:rsidR="00AB0496" w:rsidRPr="00A269E3" w:rsidRDefault="00AB0496" w:rsidP="00AB0496">
            <w:pPr>
              <w:jc w:val="center"/>
              <w:rPr>
                <w:color w:val="000000"/>
                <w:sz w:val="22"/>
                <w:szCs w:val="22"/>
                <w:lang w:val="es-GT" w:eastAsia="es-GT"/>
              </w:rPr>
            </w:pPr>
            <w:r w:rsidRPr="00A269E3">
              <w:rPr>
                <w:color w:val="000000"/>
                <w:sz w:val="22"/>
                <w:szCs w:val="22"/>
                <w:lang w:val="es-GT" w:eastAsia="es-GT"/>
              </w:rPr>
              <w:t>0.1%</w:t>
            </w:r>
          </w:p>
        </w:tc>
        <w:tc>
          <w:tcPr>
            <w:tcW w:w="972" w:type="dxa"/>
            <w:tcBorders>
              <w:top w:val="nil"/>
              <w:left w:val="nil"/>
              <w:bottom w:val="single" w:sz="8" w:space="0" w:color="auto"/>
              <w:right w:val="single" w:sz="8" w:space="0" w:color="auto"/>
            </w:tcBorders>
            <w:shd w:val="clear" w:color="000000" w:fill="FFFFFF"/>
            <w:noWrap/>
            <w:vAlign w:val="bottom"/>
            <w:hideMark/>
          </w:tcPr>
          <w:p w:rsidR="00AB0496" w:rsidRPr="00A269E3" w:rsidRDefault="00AB0496" w:rsidP="00AB0496">
            <w:pPr>
              <w:jc w:val="center"/>
              <w:rPr>
                <w:color w:val="000000"/>
                <w:sz w:val="22"/>
                <w:szCs w:val="22"/>
                <w:lang w:val="es-GT" w:eastAsia="es-GT"/>
              </w:rPr>
            </w:pPr>
            <w:r w:rsidRPr="00A269E3">
              <w:rPr>
                <w:color w:val="000000"/>
                <w:sz w:val="22"/>
                <w:szCs w:val="22"/>
                <w:lang w:val="es-GT" w:eastAsia="es-GT"/>
              </w:rPr>
              <w:t>0.1%</w:t>
            </w:r>
          </w:p>
        </w:tc>
      </w:tr>
    </w:tbl>
    <w:p w:rsidR="00AB0496" w:rsidRPr="003115F3" w:rsidRDefault="00AB0496" w:rsidP="00E021FF">
      <w:pPr>
        <w:jc w:val="both"/>
        <w:rPr>
          <w:sz w:val="16"/>
          <w:lang w:val="es-MX"/>
        </w:rPr>
      </w:pPr>
      <w:r w:rsidRPr="003115F3">
        <w:rPr>
          <w:sz w:val="16"/>
          <w:lang w:val="es-MX"/>
        </w:rPr>
        <w:t>Fuente: Ministerio de Finanzas Públicas con base al SICOIN.</w:t>
      </w:r>
    </w:p>
    <w:p w:rsidR="00AB0496" w:rsidRPr="003115F3" w:rsidRDefault="00AB0496" w:rsidP="00E021FF">
      <w:pPr>
        <w:jc w:val="both"/>
        <w:rPr>
          <w:sz w:val="16"/>
          <w:lang w:val="es-MX"/>
        </w:rPr>
      </w:pPr>
      <w:r w:rsidRPr="003115F3">
        <w:rPr>
          <w:sz w:val="16"/>
          <w:lang w:val="es-MX"/>
        </w:rPr>
        <w:t>* Cifras preliminares</w:t>
      </w:r>
      <w:r w:rsidR="000A3EE5">
        <w:rPr>
          <w:sz w:val="16"/>
          <w:lang w:val="es-MX"/>
        </w:rPr>
        <w:t>.</w:t>
      </w:r>
    </w:p>
    <w:p w:rsidR="00AB0496" w:rsidRPr="00FB641E" w:rsidRDefault="00AB0496" w:rsidP="00AB0496">
      <w:pPr>
        <w:jc w:val="both"/>
        <w:rPr>
          <w:lang w:val="es-MX"/>
        </w:rPr>
      </w:pPr>
    </w:p>
    <w:p w:rsidR="00AB0496" w:rsidRPr="00AB0496" w:rsidRDefault="00AB0496" w:rsidP="00AB0496">
      <w:pPr>
        <w:keepNext/>
        <w:keepLines/>
        <w:numPr>
          <w:ilvl w:val="2"/>
          <w:numId w:val="4"/>
        </w:numPr>
        <w:spacing w:before="200"/>
        <w:outlineLvl w:val="2"/>
        <w:rPr>
          <w:b/>
          <w:bCs/>
          <w:lang w:val="es-MX"/>
        </w:rPr>
      </w:pPr>
      <w:bookmarkStart w:id="22" w:name="_Toc494447081"/>
      <w:bookmarkStart w:id="23" w:name="_Toc525824408"/>
      <w:r w:rsidRPr="0072034B">
        <w:rPr>
          <w:b/>
          <w:bCs/>
          <w:lang w:val="es-MX"/>
        </w:rPr>
        <w:t>Gasto Público por Fuente de Financiamiento</w:t>
      </w:r>
      <w:bookmarkEnd w:id="22"/>
      <w:bookmarkEnd w:id="23"/>
    </w:p>
    <w:p w:rsidR="00AB0496" w:rsidRPr="0072034B" w:rsidRDefault="00AB0496" w:rsidP="00AB0496">
      <w:pPr>
        <w:keepNext/>
        <w:keepLines/>
        <w:ind w:left="720"/>
        <w:jc w:val="both"/>
        <w:outlineLvl w:val="2"/>
        <w:rPr>
          <w:sz w:val="32"/>
          <w:lang w:val="es-MX"/>
        </w:rPr>
      </w:pPr>
    </w:p>
    <w:p w:rsidR="00AB0496" w:rsidRDefault="00AB0496" w:rsidP="00AB0496">
      <w:pPr>
        <w:jc w:val="both"/>
        <w:rPr>
          <w:lang w:val="es-MX"/>
        </w:rPr>
      </w:pPr>
      <w:r w:rsidRPr="00FB641E">
        <w:rPr>
          <w:lang w:val="es-MX"/>
        </w:rPr>
        <w:t>La</w:t>
      </w:r>
      <w:r>
        <w:rPr>
          <w:lang w:val="es-MX"/>
        </w:rPr>
        <w:t xml:space="preserve"> ejecución presupuestaria por fuente de financiamiento en el siguiente cuadro está clasificada en tres apartados, cada uno compuesto por diferentes fuentes</w:t>
      </w:r>
      <w:r w:rsidR="00AE3655">
        <w:rPr>
          <w:lang w:val="es-MX"/>
        </w:rPr>
        <w:t>. L</w:t>
      </w:r>
      <w:r>
        <w:rPr>
          <w:lang w:val="es-MX"/>
        </w:rPr>
        <w:t xml:space="preserve">os </w:t>
      </w:r>
      <w:r w:rsidR="00AE3655">
        <w:rPr>
          <w:lang w:val="es-MX"/>
        </w:rPr>
        <w:t>r</w:t>
      </w:r>
      <w:r>
        <w:rPr>
          <w:lang w:val="es-MX"/>
        </w:rPr>
        <w:t xml:space="preserve">ecursos del </w:t>
      </w:r>
      <w:r w:rsidR="00AE3655">
        <w:rPr>
          <w:lang w:val="es-MX"/>
        </w:rPr>
        <w:t>t</w:t>
      </w:r>
      <w:r>
        <w:rPr>
          <w:lang w:val="es-MX"/>
        </w:rPr>
        <w:t xml:space="preserve">esoro incluyen la totalidad de recursos que ingresan al </w:t>
      </w:r>
      <w:r w:rsidR="00AE3655">
        <w:rPr>
          <w:lang w:val="es-MX"/>
        </w:rPr>
        <w:t>Fondo Común</w:t>
      </w:r>
      <w:r>
        <w:rPr>
          <w:lang w:val="es-MX"/>
        </w:rPr>
        <w:t xml:space="preserve"> y tienen por objeto financiar los gastos sin asignación predeterminada en el ordenamiento legal vigente</w:t>
      </w:r>
      <w:r w:rsidR="00AE3655">
        <w:rPr>
          <w:lang w:val="es-MX"/>
        </w:rPr>
        <w:t>;</w:t>
      </w:r>
      <w:r>
        <w:rPr>
          <w:lang w:val="es-MX"/>
        </w:rPr>
        <w:t xml:space="preserve"> es la fuente que mayor recursos destina a la ejecución con alrededor del 60</w:t>
      </w:r>
      <w:r w:rsidR="00AE3655">
        <w:rPr>
          <w:lang w:val="es-MX"/>
        </w:rPr>
        <w:t>.0</w:t>
      </w:r>
      <w:r>
        <w:rPr>
          <w:lang w:val="es-MX"/>
        </w:rPr>
        <w:t>% de forma recurrente al 30 de junio de 2017 y de 2018.</w:t>
      </w:r>
    </w:p>
    <w:p w:rsidR="00AB0496" w:rsidRDefault="00AB0496" w:rsidP="00AB0496">
      <w:pPr>
        <w:jc w:val="both"/>
        <w:rPr>
          <w:lang w:val="es-MX"/>
        </w:rPr>
      </w:pPr>
    </w:p>
    <w:p w:rsidR="00AB0496" w:rsidRDefault="00AB0496" w:rsidP="00AB0496">
      <w:pPr>
        <w:jc w:val="both"/>
        <w:rPr>
          <w:lang w:val="es-MX"/>
        </w:rPr>
      </w:pPr>
      <w:r>
        <w:rPr>
          <w:lang w:val="es-MX"/>
        </w:rPr>
        <w:t xml:space="preserve">También existen los recursos con afectación específica, los cuales se refieren a aquellos que se orientan a financiar específicamente determinados gastos de las instituciones y entes en virtud del mandato legal vigente y al 30 de junio de 2017 y 2018 estas fuentes financiaron el gasto en 23.4% </w:t>
      </w:r>
      <w:r w:rsidR="00AE3655">
        <w:rPr>
          <w:lang w:val="es-MX"/>
        </w:rPr>
        <w:t xml:space="preserve"> </w:t>
      </w:r>
      <w:r>
        <w:rPr>
          <w:lang w:val="es-MX"/>
        </w:rPr>
        <w:t>y</w:t>
      </w:r>
      <w:r w:rsidR="00AE3655">
        <w:rPr>
          <w:lang w:val="es-MX"/>
        </w:rPr>
        <w:t xml:space="preserve"> </w:t>
      </w:r>
      <w:r>
        <w:rPr>
          <w:lang w:val="es-MX"/>
        </w:rPr>
        <w:t xml:space="preserve"> 24.0%</w:t>
      </w:r>
      <w:r w:rsidR="00AE3655">
        <w:rPr>
          <w:lang w:val="es-MX"/>
        </w:rPr>
        <w:t>,</w:t>
      </w:r>
      <w:r>
        <w:rPr>
          <w:lang w:val="es-MX"/>
        </w:rPr>
        <w:t xml:space="preserve"> respectivamente.</w:t>
      </w:r>
    </w:p>
    <w:p w:rsidR="00AB0496" w:rsidRDefault="00AB0496" w:rsidP="00AB0496">
      <w:pPr>
        <w:jc w:val="both"/>
        <w:rPr>
          <w:b/>
          <w:sz w:val="22"/>
          <w:szCs w:val="22"/>
          <w:lang w:val="es-MX"/>
        </w:rPr>
      </w:pPr>
    </w:p>
    <w:p w:rsidR="00522477" w:rsidRDefault="00522477" w:rsidP="00AB0496">
      <w:pPr>
        <w:jc w:val="both"/>
        <w:rPr>
          <w:b/>
          <w:sz w:val="22"/>
          <w:szCs w:val="22"/>
          <w:lang w:val="es-MX"/>
        </w:rPr>
      </w:pPr>
    </w:p>
    <w:p w:rsidR="00AB0496" w:rsidRPr="00734806" w:rsidRDefault="00AB0496" w:rsidP="00AB0496">
      <w:pPr>
        <w:jc w:val="both"/>
        <w:rPr>
          <w:lang w:val="es-MX"/>
        </w:rPr>
      </w:pPr>
      <w:r w:rsidRPr="00734806">
        <w:rPr>
          <w:lang w:val="es-MX"/>
        </w:rPr>
        <w:t xml:space="preserve">Los </w:t>
      </w:r>
      <w:r w:rsidR="00AE3655">
        <w:rPr>
          <w:lang w:val="es-MX"/>
        </w:rPr>
        <w:t>i</w:t>
      </w:r>
      <w:r w:rsidRPr="00734806">
        <w:rPr>
          <w:lang w:val="es-MX"/>
        </w:rPr>
        <w:t xml:space="preserve">ngresos </w:t>
      </w:r>
      <w:r w:rsidR="00AE3655">
        <w:rPr>
          <w:lang w:val="es-MX"/>
        </w:rPr>
        <w:t>p</w:t>
      </w:r>
      <w:r w:rsidRPr="00734806">
        <w:rPr>
          <w:lang w:val="es-MX"/>
        </w:rPr>
        <w:t xml:space="preserve">ropios de las </w:t>
      </w:r>
      <w:r w:rsidR="00AE3655">
        <w:rPr>
          <w:lang w:val="es-MX"/>
        </w:rPr>
        <w:t>i</w:t>
      </w:r>
      <w:r w:rsidRPr="00734806">
        <w:rPr>
          <w:lang w:val="es-MX"/>
        </w:rPr>
        <w:t>nstituciones</w:t>
      </w:r>
      <w:r>
        <w:rPr>
          <w:lang w:val="es-MX"/>
        </w:rPr>
        <w:t xml:space="preserve">, </w:t>
      </w:r>
      <w:r w:rsidRPr="00734806">
        <w:rPr>
          <w:lang w:val="es-MX"/>
        </w:rPr>
        <w:t xml:space="preserve">constituyen los recursos que se </w:t>
      </w:r>
      <w:r w:rsidR="00AE3655">
        <w:rPr>
          <w:lang w:val="es-MX"/>
        </w:rPr>
        <w:t>perciben</w:t>
      </w:r>
      <w:r w:rsidRPr="00734806">
        <w:rPr>
          <w:lang w:val="es-MX"/>
        </w:rPr>
        <w:t xml:space="preserve"> con bases legales y que provienen de la venta de bienes o servicios, ingresos de operación con fines empresariales, entre otros</w:t>
      </w:r>
      <w:r w:rsidR="00AE3655">
        <w:rPr>
          <w:lang w:val="es-MX"/>
        </w:rPr>
        <w:t>,</w:t>
      </w:r>
      <w:r w:rsidRPr="00734806">
        <w:rPr>
          <w:lang w:val="es-MX"/>
        </w:rPr>
        <w:t xml:space="preserve"> generados por las instituciones de la Administración Central, de los cuales el peso en la ejecución presupuestaria es mínimo, llegando a alrededor del 1.0</w:t>
      </w:r>
      <w:r w:rsidR="00AE3655">
        <w:rPr>
          <w:lang w:val="es-MX"/>
        </w:rPr>
        <w:t>%</w:t>
      </w:r>
      <w:r w:rsidRPr="00734806">
        <w:rPr>
          <w:lang w:val="es-MX"/>
        </w:rPr>
        <w:t xml:space="preserve"> de la </w:t>
      </w:r>
      <w:r w:rsidR="00AE3655">
        <w:rPr>
          <w:lang w:val="es-MX"/>
        </w:rPr>
        <w:t>e</w:t>
      </w:r>
      <w:r w:rsidRPr="00734806">
        <w:rPr>
          <w:lang w:val="es-MX"/>
        </w:rPr>
        <w:t>jec</w:t>
      </w:r>
      <w:r>
        <w:rPr>
          <w:lang w:val="es-MX"/>
        </w:rPr>
        <w:t>ución total en ambos años.</w:t>
      </w:r>
    </w:p>
    <w:p w:rsidR="00AB0496" w:rsidRDefault="00AB0496" w:rsidP="00AB0496">
      <w:pPr>
        <w:jc w:val="both"/>
        <w:rPr>
          <w:lang w:val="es-MX"/>
        </w:rPr>
      </w:pPr>
    </w:p>
    <w:p w:rsidR="00AB0496" w:rsidRDefault="00AB0496" w:rsidP="00AB0496">
      <w:pPr>
        <w:jc w:val="both"/>
        <w:rPr>
          <w:lang w:val="es-MX"/>
        </w:rPr>
      </w:pPr>
      <w:r w:rsidRPr="00734806">
        <w:rPr>
          <w:lang w:val="es-MX"/>
        </w:rPr>
        <w:t xml:space="preserve">Finalmente, se ubican la fuentes de financiamiento provenientes de la </w:t>
      </w:r>
      <w:r w:rsidR="00AE3655">
        <w:rPr>
          <w:lang w:val="es-MX"/>
        </w:rPr>
        <w:t>c</w:t>
      </w:r>
      <w:r w:rsidRPr="00734806">
        <w:rPr>
          <w:lang w:val="es-MX"/>
        </w:rPr>
        <w:t xml:space="preserve">olocación de </w:t>
      </w:r>
      <w:r w:rsidR="00AE3655">
        <w:rPr>
          <w:lang w:val="es-MX"/>
        </w:rPr>
        <w:t>b del tesoro</w:t>
      </w:r>
      <w:r w:rsidRPr="00734806">
        <w:rPr>
          <w:lang w:val="es-MX"/>
        </w:rPr>
        <w:t xml:space="preserve">, de </w:t>
      </w:r>
      <w:r w:rsidR="00AE3655">
        <w:rPr>
          <w:lang w:val="es-MX"/>
        </w:rPr>
        <w:t>p</w:t>
      </w:r>
      <w:r w:rsidRPr="00734806">
        <w:rPr>
          <w:lang w:val="es-MX"/>
        </w:rPr>
        <w:t xml:space="preserve">réstamos </w:t>
      </w:r>
      <w:r w:rsidR="00AE3655">
        <w:rPr>
          <w:lang w:val="es-MX"/>
        </w:rPr>
        <w:t xml:space="preserve">externos </w:t>
      </w:r>
      <w:r w:rsidRPr="00734806">
        <w:rPr>
          <w:lang w:val="es-MX"/>
        </w:rPr>
        <w:t xml:space="preserve">y de </w:t>
      </w:r>
      <w:r w:rsidR="00AE3655">
        <w:rPr>
          <w:lang w:val="es-MX"/>
        </w:rPr>
        <w:t>d</w:t>
      </w:r>
      <w:r w:rsidRPr="00734806">
        <w:rPr>
          <w:lang w:val="es-MX"/>
        </w:rPr>
        <w:t xml:space="preserve">onaciones, sean </w:t>
      </w:r>
      <w:r w:rsidR="00AE3655">
        <w:rPr>
          <w:lang w:val="es-MX"/>
        </w:rPr>
        <w:t>é</w:t>
      </w:r>
      <w:r w:rsidRPr="00734806">
        <w:rPr>
          <w:lang w:val="es-MX"/>
        </w:rPr>
        <w:t xml:space="preserve">stas provenientes de </w:t>
      </w:r>
      <w:r w:rsidR="00AE3655">
        <w:rPr>
          <w:lang w:val="es-MX"/>
        </w:rPr>
        <w:t>o</w:t>
      </w:r>
      <w:r w:rsidRPr="00734806">
        <w:rPr>
          <w:lang w:val="es-MX"/>
        </w:rPr>
        <w:t>rganismo</w:t>
      </w:r>
      <w:r w:rsidR="00AE3655">
        <w:rPr>
          <w:lang w:val="es-MX"/>
        </w:rPr>
        <w:t>s</w:t>
      </w:r>
      <w:r w:rsidRPr="00734806">
        <w:rPr>
          <w:lang w:val="es-MX"/>
        </w:rPr>
        <w:t xml:space="preserve"> </w:t>
      </w:r>
      <w:r w:rsidR="00AE3655">
        <w:rPr>
          <w:lang w:val="es-MX"/>
        </w:rPr>
        <w:t>i</w:t>
      </w:r>
      <w:r w:rsidRPr="00734806">
        <w:rPr>
          <w:lang w:val="es-MX"/>
        </w:rPr>
        <w:t xml:space="preserve">nternacionales </w:t>
      </w:r>
      <w:r w:rsidR="00AE3655">
        <w:rPr>
          <w:lang w:val="es-MX"/>
        </w:rPr>
        <w:t>o</w:t>
      </w:r>
      <w:r w:rsidRPr="00734806">
        <w:rPr>
          <w:lang w:val="es-MX"/>
        </w:rPr>
        <w:t xml:space="preserve"> </w:t>
      </w:r>
      <w:r w:rsidR="00AE3655">
        <w:rPr>
          <w:lang w:val="es-MX"/>
        </w:rPr>
        <w:t>i</w:t>
      </w:r>
      <w:r w:rsidRPr="00734806">
        <w:rPr>
          <w:lang w:val="es-MX"/>
        </w:rPr>
        <w:t>nternas, la</w:t>
      </w:r>
      <w:r w:rsidR="00AE3655">
        <w:rPr>
          <w:lang w:val="es-MX"/>
        </w:rPr>
        <w:t>s</w:t>
      </w:r>
      <w:r w:rsidRPr="00734806">
        <w:rPr>
          <w:lang w:val="es-MX"/>
        </w:rPr>
        <w:t xml:space="preserve"> cuales significaron en 2017 el 18.6% y para 2018 el 17.3%</w:t>
      </w:r>
      <w:r w:rsidR="00AE3655">
        <w:rPr>
          <w:lang w:val="es-MX"/>
        </w:rPr>
        <w:t>. Parte de</w:t>
      </w:r>
      <w:r w:rsidRPr="00734806">
        <w:rPr>
          <w:lang w:val="es-MX"/>
        </w:rPr>
        <w:t xml:space="preserve"> estos recursos se destinó para el pago de deuda</w:t>
      </w:r>
      <w:r w:rsidR="00754928">
        <w:rPr>
          <w:lang w:val="es-MX"/>
        </w:rPr>
        <w:t xml:space="preserve"> pública por</w:t>
      </w:r>
      <w:r w:rsidRPr="00734806">
        <w:rPr>
          <w:lang w:val="es-MX"/>
        </w:rPr>
        <w:t xml:space="preserve"> Q</w:t>
      </w:r>
      <w:r w:rsidR="00754928">
        <w:rPr>
          <w:lang w:val="es-MX"/>
        </w:rPr>
        <w:t>.</w:t>
      </w:r>
      <w:r w:rsidRPr="00734806">
        <w:rPr>
          <w:lang w:val="es-MX"/>
        </w:rPr>
        <w:t>4</w:t>
      </w:r>
      <w:proofErr w:type="gramStart"/>
      <w:r w:rsidRPr="00734806">
        <w:rPr>
          <w:lang w:val="es-MX"/>
        </w:rPr>
        <w:t>,274.1</w:t>
      </w:r>
      <w:proofErr w:type="gramEnd"/>
      <w:r w:rsidRPr="00734806">
        <w:rPr>
          <w:lang w:val="es-MX"/>
        </w:rPr>
        <w:t xml:space="preserve"> millones en 2017</w:t>
      </w:r>
      <w:r w:rsidR="00754928">
        <w:rPr>
          <w:lang w:val="es-MX"/>
        </w:rPr>
        <w:t>;</w:t>
      </w:r>
      <w:r w:rsidRPr="00734806">
        <w:rPr>
          <w:lang w:val="es-MX"/>
        </w:rPr>
        <w:t xml:space="preserve"> en tanto que en 2018 se destinaron Q</w:t>
      </w:r>
      <w:r w:rsidR="00754928">
        <w:rPr>
          <w:lang w:val="es-MX"/>
        </w:rPr>
        <w:t>.</w:t>
      </w:r>
      <w:r w:rsidRPr="00734806">
        <w:rPr>
          <w:lang w:val="es-MX"/>
        </w:rPr>
        <w:t>4,007.4 millones</w:t>
      </w:r>
      <w:r w:rsidR="00754928">
        <w:rPr>
          <w:lang w:val="es-MX"/>
        </w:rPr>
        <w:t>. P</w:t>
      </w:r>
      <w:r w:rsidRPr="00734806">
        <w:rPr>
          <w:lang w:val="es-MX"/>
        </w:rPr>
        <w:t xml:space="preserve">or su parte de la fuente </w:t>
      </w:r>
      <w:r w:rsidR="00754928">
        <w:rPr>
          <w:lang w:val="es-MX"/>
        </w:rPr>
        <w:t>r</w:t>
      </w:r>
      <w:r w:rsidRPr="00734806">
        <w:rPr>
          <w:lang w:val="es-MX"/>
        </w:rPr>
        <w:t xml:space="preserve">ecursos del </w:t>
      </w:r>
      <w:r w:rsidR="00754928">
        <w:rPr>
          <w:lang w:val="es-MX"/>
        </w:rPr>
        <w:t>t</w:t>
      </w:r>
      <w:r w:rsidRPr="00734806">
        <w:rPr>
          <w:lang w:val="es-MX"/>
        </w:rPr>
        <w:t>esoro, se destinaron al pago de</w:t>
      </w:r>
      <w:r w:rsidR="00754928">
        <w:rPr>
          <w:lang w:val="es-MX"/>
        </w:rPr>
        <w:t xml:space="preserve"> </w:t>
      </w:r>
      <w:r w:rsidRPr="00734806">
        <w:rPr>
          <w:lang w:val="es-MX"/>
        </w:rPr>
        <w:t>l</w:t>
      </w:r>
      <w:r w:rsidR="00754928">
        <w:rPr>
          <w:lang w:val="es-MX"/>
        </w:rPr>
        <w:t>os</w:t>
      </w:r>
      <w:r w:rsidRPr="00734806">
        <w:rPr>
          <w:lang w:val="es-MX"/>
        </w:rPr>
        <w:t xml:space="preserve"> Servicio</w:t>
      </w:r>
      <w:r w:rsidR="00754928">
        <w:rPr>
          <w:lang w:val="es-MX"/>
        </w:rPr>
        <w:t>s</w:t>
      </w:r>
      <w:r w:rsidRPr="00734806">
        <w:rPr>
          <w:lang w:val="es-MX"/>
        </w:rPr>
        <w:t xml:space="preserve"> de la Deuda</w:t>
      </w:r>
      <w:r w:rsidR="00754928">
        <w:rPr>
          <w:lang w:val="es-MX"/>
        </w:rPr>
        <w:t xml:space="preserve"> Pública</w:t>
      </w:r>
      <w:r w:rsidRPr="00734806">
        <w:rPr>
          <w:lang w:val="es-MX"/>
        </w:rPr>
        <w:t xml:space="preserve"> Q</w:t>
      </w:r>
      <w:r w:rsidR="00754928">
        <w:rPr>
          <w:lang w:val="es-MX"/>
        </w:rPr>
        <w:t>.</w:t>
      </w:r>
      <w:r w:rsidRPr="00734806">
        <w:rPr>
          <w:lang w:val="es-MX"/>
        </w:rPr>
        <w:t>1</w:t>
      </w:r>
      <w:proofErr w:type="gramStart"/>
      <w:r w:rsidRPr="00734806">
        <w:rPr>
          <w:lang w:val="es-MX"/>
        </w:rPr>
        <w:t>,038.7</w:t>
      </w:r>
      <w:proofErr w:type="gramEnd"/>
      <w:r w:rsidRPr="00734806">
        <w:rPr>
          <w:lang w:val="es-MX"/>
        </w:rPr>
        <w:t xml:space="preserve"> millones en 2017 y Q</w:t>
      </w:r>
      <w:r w:rsidR="00754928">
        <w:rPr>
          <w:lang w:val="es-MX"/>
        </w:rPr>
        <w:t>.</w:t>
      </w:r>
      <w:r w:rsidRPr="00734806">
        <w:rPr>
          <w:lang w:val="es-MX"/>
        </w:rPr>
        <w:t>1,306.0 millones en 2018.  De esta fuente se utilizaron Q</w:t>
      </w:r>
      <w:r w:rsidR="00754928">
        <w:rPr>
          <w:lang w:val="es-MX"/>
        </w:rPr>
        <w:t>.</w:t>
      </w:r>
      <w:r w:rsidRPr="00734806">
        <w:rPr>
          <w:lang w:val="es-MX"/>
        </w:rPr>
        <w:t xml:space="preserve">92.1 millones </w:t>
      </w:r>
      <w:r w:rsidR="00754928">
        <w:rPr>
          <w:lang w:val="es-MX"/>
        </w:rPr>
        <w:t>en</w:t>
      </w:r>
      <w:r w:rsidRPr="00734806">
        <w:rPr>
          <w:lang w:val="es-MX"/>
        </w:rPr>
        <w:t xml:space="preserve"> la ejecución del Ministerio de Comunicaciones, Infraestructura y Vivienda en 2017</w:t>
      </w:r>
      <w:r w:rsidR="00754928">
        <w:rPr>
          <w:lang w:val="es-MX"/>
        </w:rPr>
        <w:t>,</w:t>
      </w:r>
      <w:r w:rsidRPr="00734806">
        <w:rPr>
          <w:lang w:val="es-MX"/>
        </w:rPr>
        <w:t xml:space="preserve"> y para 2018 Q</w:t>
      </w:r>
      <w:r w:rsidR="00754928">
        <w:rPr>
          <w:lang w:val="es-MX"/>
        </w:rPr>
        <w:t>.</w:t>
      </w:r>
      <w:r w:rsidRPr="00734806">
        <w:rPr>
          <w:lang w:val="es-MX"/>
        </w:rPr>
        <w:t>590.0 millones.  El resto se utilizó para el funcionamiento de las otras entidades de la Administración Central.</w:t>
      </w:r>
    </w:p>
    <w:p w:rsidR="00EE714B" w:rsidRDefault="00EE714B" w:rsidP="00EE714B">
      <w:pPr>
        <w:rPr>
          <w:b/>
          <w:bCs/>
          <w:lang w:val="es-MX"/>
        </w:rPr>
      </w:pPr>
      <w:bookmarkStart w:id="24" w:name="_Toc494447082"/>
    </w:p>
    <w:p w:rsidR="00EE714B" w:rsidRDefault="00EE714B" w:rsidP="00EE714B">
      <w:pPr>
        <w:rPr>
          <w:b/>
          <w:bCs/>
          <w:lang w:val="es-MX"/>
        </w:rPr>
      </w:pPr>
    </w:p>
    <w:p w:rsidR="00AB0496" w:rsidRPr="009E05CC" w:rsidRDefault="00AB0496" w:rsidP="00EE714B">
      <w:pPr>
        <w:keepNext/>
        <w:keepLines/>
        <w:numPr>
          <w:ilvl w:val="2"/>
          <w:numId w:val="4"/>
        </w:numPr>
        <w:spacing w:before="200"/>
        <w:outlineLvl w:val="2"/>
        <w:rPr>
          <w:b/>
          <w:bCs/>
          <w:lang w:val="es-MX"/>
        </w:rPr>
      </w:pPr>
      <w:bookmarkStart w:id="25" w:name="_Toc525824409"/>
      <w:r w:rsidRPr="009E05CC">
        <w:rPr>
          <w:b/>
          <w:bCs/>
          <w:lang w:val="es-MX"/>
        </w:rPr>
        <w:t>Gasto Social y Acuerdos de Paz</w:t>
      </w:r>
      <w:bookmarkEnd w:id="24"/>
      <w:bookmarkEnd w:id="25"/>
    </w:p>
    <w:p w:rsidR="00AB0496" w:rsidRPr="009E05CC" w:rsidRDefault="00AB0496" w:rsidP="00AB0496">
      <w:pPr>
        <w:jc w:val="both"/>
        <w:rPr>
          <w:lang w:val="es-MX"/>
        </w:rPr>
      </w:pPr>
    </w:p>
    <w:p w:rsidR="00AB0496" w:rsidRPr="009E05CC" w:rsidRDefault="00AB0496" w:rsidP="00AB0496">
      <w:pPr>
        <w:jc w:val="both"/>
      </w:pPr>
      <w:r w:rsidRPr="009E05CC">
        <w:t xml:space="preserve">Uno de los objetivos prioritarios de la actual administración </w:t>
      </w:r>
      <w:r w:rsidR="00A561E8">
        <w:t xml:space="preserve">de gobierno </w:t>
      </w:r>
      <w:r w:rsidRPr="009E05CC">
        <w:t>es continuar apoyando el Gasto Social</w:t>
      </w:r>
      <w:r w:rsidR="006C78B0" w:rsidRPr="006C78B0">
        <w:rPr>
          <w:vertAlign w:val="superscript"/>
        </w:rPr>
        <w:footnoteReference w:id="1"/>
      </w:r>
      <w:r w:rsidRPr="009E05CC">
        <w:t xml:space="preserve"> </w:t>
      </w:r>
      <w:r w:rsidR="006C78B0">
        <w:t>en</w:t>
      </w:r>
      <w:r w:rsidRPr="009E05CC">
        <w:t xml:space="preserve"> cumplimiento </w:t>
      </w:r>
      <w:r w:rsidR="00A561E8">
        <w:t>de</w:t>
      </w:r>
      <w:r w:rsidRPr="009E05CC">
        <w:t xml:space="preserve"> lo establecido </w:t>
      </w:r>
      <w:r w:rsidR="00A561E8">
        <w:t>en</w:t>
      </w:r>
      <w:r w:rsidRPr="009E05CC">
        <w:t xml:space="preserve"> los Acuerdos de Paz</w:t>
      </w:r>
      <w:r w:rsidR="00A561E8">
        <w:t>;</w:t>
      </w:r>
      <w:r w:rsidRPr="009E05CC">
        <w:t xml:space="preserve"> en el Plan Nacional de Desarrollo </w:t>
      </w:r>
      <w:proofErr w:type="spellStart"/>
      <w:r w:rsidRPr="009E05CC">
        <w:t>K’atun</w:t>
      </w:r>
      <w:proofErr w:type="spellEnd"/>
      <w:r w:rsidRPr="009E05CC">
        <w:t>, Nuestra Guatemala 2032</w:t>
      </w:r>
      <w:r w:rsidR="00A561E8">
        <w:t>;</w:t>
      </w:r>
      <w:r w:rsidRPr="009E05CC">
        <w:t xml:space="preserve"> y en la Política General de Gobierno 2016-2020</w:t>
      </w:r>
      <w:r w:rsidR="00A561E8">
        <w:t>. De esa cuenta,</w:t>
      </w:r>
      <w:r w:rsidRPr="009E05CC">
        <w:t xml:space="preserve"> el monto de ejecución presupuestaria del Gasto Social pasó de Q</w:t>
      </w:r>
      <w:r w:rsidR="00A561E8">
        <w:t>.</w:t>
      </w:r>
      <w:r w:rsidRPr="009E05CC">
        <w:t>1</w:t>
      </w:r>
      <w:r>
        <w:t>3</w:t>
      </w:r>
      <w:proofErr w:type="gramStart"/>
      <w:r w:rsidRPr="009E05CC">
        <w:t>,</w:t>
      </w:r>
      <w:r>
        <w:t>129.2</w:t>
      </w:r>
      <w:proofErr w:type="gramEnd"/>
      <w:r w:rsidRPr="009E05CC">
        <w:t xml:space="preserve"> millones en 201</w:t>
      </w:r>
      <w:r>
        <w:t>7</w:t>
      </w:r>
      <w:r w:rsidRPr="009E05CC">
        <w:t xml:space="preserve"> a Q</w:t>
      </w:r>
      <w:r w:rsidR="00A561E8">
        <w:t>.</w:t>
      </w:r>
      <w:r w:rsidRPr="009E05CC">
        <w:t>1</w:t>
      </w:r>
      <w:r>
        <w:t>4</w:t>
      </w:r>
      <w:r w:rsidRPr="009E05CC">
        <w:t>,</w:t>
      </w:r>
      <w:r>
        <w:t>147.1</w:t>
      </w:r>
      <w:r w:rsidRPr="009E05CC">
        <w:t xml:space="preserve"> millones en 201</w:t>
      </w:r>
      <w:r>
        <w:t>8</w:t>
      </w:r>
      <w:r w:rsidR="00A561E8">
        <w:t>;</w:t>
      </w:r>
      <w:r w:rsidRPr="009E05CC">
        <w:t xml:space="preserve"> es decir, tuvo un aumento de Q</w:t>
      </w:r>
      <w:r w:rsidR="00A561E8">
        <w:t>.</w:t>
      </w:r>
      <w:r>
        <w:t>1,017.9</w:t>
      </w:r>
      <w:r w:rsidRPr="009E05CC">
        <w:t xml:space="preserve"> millones </w:t>
      </w:r>
      <w:r>
        <w:t>(7.8</w:t>
      </w:r>
      <w:r w:rsidRPr="009E05CC">
        <w:t>% mayor a lo observado en 201</w:t>
      </w:r>
      <w:r>
        <w:t>7)</w:t>
      </w:r>
      <w:r w:rsidRPr="009E05CC">
        <w:t xml:space="preserve">, </w:t>
      </w:r>
      <w:r>
        <w:t>que</w:t>
      </w:r>
      <w:r w:rsidRPr="009E05CC">
        <w:t xml:space="preserve"> favoreció principalmente el gasto en Salud y Asistencia Social con Q</w:t>
      </w:r>
      <w:r w:rsidR="00A561E8">
        <w:t>.</w:t>
      </w:r>
      <w:r>
        <w:t>638.5</w:t>
      </w:r>
      <w:r w:rsidRPr="009E05CC">
        <w:t xml:space="preserve"> millones</w:t>
      </w:r>
      <w:r>
        <w:t xml:space="preserve"> y</w:t>
      </w:r>
      <w:r w:rsidRPr="009E05CC">
        <w:t xml:space="preserve"> </w:t>
      </w:r>
      <w:r>
        <w:t xml:space="preserve">el de </w:t>
      </w:r>
      <w:r w:rsidRPr="009E05CC">
        <w:t>Educación con Q</w:t>
      </w:r>
      <w:r w:rsidR="00A561E8">
        <w:t>.</w:t>
      </w:r>
      <w:r>
        <w:t>455.4</w:t>
      </w:r>
      <w:r w:rsidRPr="009E05CC">
        <w:t xml:space="preserve"> millones</w:t>
      </w:r>
      <w:r>
        <w:t>.</w:t>
      </w:r>
    </w:p>
    <w:p w:rsidR="00AB0496" w:rsidRPr="009E05CC" w:rsidRDefault="00AB0496" w:rsidP="00AB0496">
      <w:pPr>
        <w:jc w:val="both"/>
      </w:pPr>
    </w:p>
    <w:p w:rsidR="00AB0496" w:rsidRDefault="00AB0496" w:rsidP="00AB0496">
      <w:pPr>
        <w:jc w:val="both"/>
      </w:pPr>
      <w:r w:rsidRPr="009E05CC">
        <w:t xml:space="preserve">Los Acuerdos de Paz incluyen </w:t>
      </w:r>
      <w:r>
        <w:t xml:space="preserve">adicionalmente, </w:t>
      </w:r>
      <w:r w:rsidRPr="009E05CC">
        <w:t>el gasto destinado al Sector Justicia</w:t>
      </w:r>
      <w:r>
        <w:t xml:space="preserve"> el cual</w:t>
      </w:r>
      <w:r w:rsidRPr="009E05CC">
        <w:t xml:space="preserve"> para </w:t>
      </w:r>
      <w:r>
        <w:t xml:space="preserve">el primer semestre </w:t>
      </w:r>
      <w:r w:rsidR="00A561E8">
        <w:t xml:space="preserve">de </w:t>
      </w:r>
      <w:r w:rsidRPr="009E05CC">
        <w:t>201</w:t>
      </w:r>
      <w:r>
        <w:t>8</w:t>
      </w:r>
      <w:r w:rsidRPr="009E05CC">
        <w:t xml:space="preserve"> aumentó </w:t>
      </w:r>
      <w:r>
        <w:t xml:space="preserve">en términos netos </w:t>
      </w:r>
      <w:r w:rsidRPr="009E05CC">
        <w:t>Q</w:t>
      </w:r>
      <w:r w:rsidR="00A561E8">
        <w:t>.</w:t>
      </w:r>
      <w:r>
        <w:t>290.2</w:t>
      </w:r>
      <w:r w:rsidRPr="009E05CC">
        <w:t xml:space="preserve"> millones, pasando de Q</w:t>
      </w:r>
      <w:r w:rsidR="00A561E8">
        <w:t>.</w:t>
      </w:r>
      <w:r w:rsidRPr="009E05CC">
        <w:t>3</w:t>
      </w:r>
      <w:proofErr w:type="gramStart"/>
      <w:r w:rsidRPr="009E05CC">
        <w:t>,</w:t>
      </w:r>
      <w:r>
        <w:t>964.5</w:t>
      </w:r>
      <w:proofErr w:type="gramEnd"/>
      <w:r w:rsidRPr="009E05CC">
        <w:t xml:space="preserve"> millones en 201</w:t>
      </w:r>
      <w:r>
        <w:t>7</w:t>
      </w:r>
      <w:r w:rsidRPr="009E05CC">
        <w:t xml:space="preserve"> a Q</w:t>
      </w:r>
      <w:r w:rsidR="00A561E8">
        <w:t>.</w:t>
      </w:r>
      <w:r>
        <w:t>4</w:t>
      </w:r>
      <w:r w:rsidRPr="009E05CC">
        <w:t>,</w:t>
      </w:r>
      <w:r>
        <w:t>254.7</w:t>
      </w:r>
      <w:r w:rsidRPr="009E05CC">
        <w:t xml:space="preserve"> millones</w:t>
      </w:r>
      <w:r w:rsidR="00A561E8">
        <w:t xml:space="preserve"> en 2018</w:t>
      </w:r>
      <w:r>
        <w:t>. Los subsectores que tuvieron incrementos fueron: Seguridad Interna</w:t>
      </w:r>
      <w:r w:rsidRPr="009E05CC">
        <w:t xml:space="preserve"> con Q</w:t>
      </w:r>
      <w:r w:rsidR="00A561E8">
        <w:t>.</w:t>
      </w:r>
      <w:r>
        <w:t>229.5</w:t>
      </w:r>
      <w:r w:rsidRPr="009E05CC">
        <w:t xml:space="preserve"> millones</w:t>
      </w:r>
      <w:r>
        <w:t xml:space="preserve"> y el</w:t>
      </w:r>
      <w:r w:rsidRPr="009E05CC">
        <w:t xml:space="preserve"> Organismo Judicial y Corte de Constitucionalidad </w:t>
      </w:r>
      <w:r>
        <w:t xml:space="preserve">por </w:t>
      </w:r>
      <w:r w:rsidRPr="009E05CC">
        <w:t>un monto de Q</w:t>
      </w:r>
      <w:r w:rsidR="00A561E8">
        <w:t>.</w:t>
      </w:r>
      <w:r w:rsidRPr="009E05CC">
        <w:t>1</w:t>
      </w:r>
      <w:r>
        <w:t>74.8</w:t>
      </w:r>
      <w:r w:rsidRPr="009E05CC">
        <w:t xml:space="preserve"> millones</w:t>
      </w:r>
      <w:r>
        <w:t>; en tanto que el Ministerio Público disminuyó en Q.114.2 millones.</w:t>
      </w:r>
    </w:p>
    <w:p w:rsidR="00AB0496" w:rsidRPr="009E05CC" w:rsidRDefault="00AB0496" w:rsidP="00AB0496">
      <w:pPr>
        <w:jc w:val="both"/>
      </w:pPr>
    </w:p>
    <w:p w:rsidR="00AB0496" w:rsidRPr="009E05CC" w:rsidRDefault="00AB0496" w:rsidP="00AB0496">
      <w:pPr>
        <w:jc w:val="both"/>
      </w:pPr>
      <w:r>
        <w:t xml:space="preserve">Los dos </w:t>
      </w:r>
      <w:r w:rsidR="00A561E8">
        <w:t>s</w:t>
      </w:r>
      <w:r>
        <w:t xml:space="preserve">ectores que conforman el gasto derivado de los Acuerdos de Paz (Gasto Social y Sector Justicia) </w:t>
      </w:r>
      <w:r w:rsidRPr="009E05CC">
        <w:t>tuvieron un aumento de Q</w:t>
      </w:r>
      <w:r w:rsidR="00A561E8">
        <w:t>.</w:t>
      </w:r>
      <w:r w:rsidRPr="009E05CC">
        <w:t>1</w:t>
      </w:r>
      <w:proofErr w:type="gramStart"/>
      <w:r w:rsidRPr="009E05CC">
        <w:t>,</w:t>
      </w:r>
      <w:r>
        <w:t>308.0</w:t>
      </w:r>
      <w:proofErr w:type="gramEnd"/>
      <w:r w:rsidRPr="009E05CC">
        <w:t xml:space="preserve"> millones </w:t>
      </w:r>
      <w:r>
        <w:t xml:space="preserve">respecto de </w:t>
      </w:r>
      <w:r w:rsidRPr="009E05CC">
        <w:t>201</w:t>
      </w:r>
      <w:r>
        <w:t>7</w:t>
      </w:r>
      <w:r w:rsidRPr="009E05CC">
        <w:t xml:space="preserve">, teniendo mayor impacto en el gasto </w:t>
      </w:r>
      <w:r>
        <w:t>social.</w:t>
      </w:r>
    </w:p>
    <w:p w:rsidR="00AB0496" w:rsidRDefault="00AB0496" w:rsidP="00AB0496">
      <w:pPr>
        <w:jc w:val="both"/>
      </w:pPr>
    </w:p>
    <w:p w:rsidR="00EE714B" w:rsidRDefault="00EE714B" w:rsidP="00AB0496">
      <w:pPr>
        <w:jc w:val="both"/>
      </w:pPr>
    </w:p>
    <w:p w:rsidR="00AB0496" w:rsidRPr="0088577C" w:rsidRDefault="00AB0496" w:rsidP="00AB0496">
      <w:pPr>
        <w:jc w:val="center"/>
        <w:rPr>
          <w:b/>
          <w:sz w:val="22"/>
          <w:szCs w:val="22"/>
          <w:lang w:val="es-MX"/>
        </w:rPr>
      </w:pPr>
      <w:r w:rsidRPr="0088577C">
        <w:rPr>
          <w:b/>
          <w:sz w:val="22"/>
          <w:szCs w:val="22"/>
          <w:lang w:val="es-MX"/>
        </w:rPr>
        <w:lastRenderedPageBreak/>
        <w:t xml:space="preserve">Cuadro </w:t>
      </w:r>
      <w:r w:rsidR="00E5644C">
        <w:rPr>
          <w:b/>
          <w:sz w:val="22"/>
          <w:szCs w:val="22"/>
          <w:lang w:val="es-MX"/>
        </w:rPr>
        <w:t>5</w:t>
      </w:r>
    </w:p>
    <w:p w:rsidR="00AB0496" w:rsidRPr="0088577C" w:rsidRDefault="00AB0496" w:rsidP="00AB0496">
      <w:pPr>
        <w:jc w:val="center"/>
        <w:rPr>
          <w:b/>
          <w:sz w:val="22"/>
          <w:szCs w:val="22"/>
          <w:lang w:val="es-MX"/>
        </w:rPr>
      </w:pPr>
      <w:r w:rsidRPr="0088577C">
        <w:rPr>
          <w:b/>
          <w:sz w:val="22"/>
          <w:szCs w:val="22"/>
          <w:lang w:val="es-MX"/>
        </w:rPr>
        <w:t>Ejecución Presupuestaria del Gasto Social y Acuerdos de Paz</w:t>
      </w:r>
    </w:p>
    <w:p w:rsidR="00AB0496" w:rsidRPr="0088577C" w:rsidRDefault="00AB0496" w:rsidP="00AB0496">
      <w:pPr>
        <w:jc w:val="center"/>
        <w:rPr>
          <w:b/>
          <w:sz w:val="22"/>
          <w:szCs w:val="22"/>
          <w:lang w:val="es-MX"/>
        </w:rPr>
      </w:pPr>
      <w:r w:rsidRPr="0088577C">
        <w:rPr>
          <w:b/>
          <w:sz w:val="22"/>
          <w:szCs w:val="22"/>
          <w:lang w:val="es-MX"/>
        </w:rPr>
        <w:t xml:space="preserve">Al 30 de junio </w:t>
      </w:r>
      <w:r w:rsidR="00F14D52">
        <w:rPr>
          <w:b/>
          <w:sz w:val="22"/>
          <w:szCs w:val="22"/>
          <w:lang w:val="es-MX"/>
        </w:rPr>
        <w:t>de cada año</w:t>
      </w:r>
    </w:p>
    <w:p w:rsidR="00AB0496" w:rsidRDefault="00AB0496" w:rsidP="00AB0496">
      <w:pPr>
        <w:jc w:val="center"/>
        <w:rPr>
          <w:b/>
          <w:sz w:val="22"/>
          <w:szCs w:val="22"/>
          <w:lang w:val="es-MX"/>
        </w:rPr>
      </w:pPr>
      <w:r w:rsidRPr="0088577C">
        <w:rPr>
          <w:b/>
          <w:sz w:val="22"/>
          <w:szCs w:val="22"/>
          <w:lang w:val="es-MX"/>
        </w:rPr>
        <w:t>(Cifras en Millones de Quetzales)</w:t>
      </w:r>
    </w:p>
    <w:tbl>
      <w:tblPr>
        <w:tblW w:w="9087" w:type="dxa"/>
        <w:tblInd w:w="55" w:type="dxa"/>
        <w:tblCellMar>
          <w:left w:w="70" w:type="dxa"/>
          <w:right w:w="70" w:type="dxa"/>
        </w:tblCellMar>
        <w:tblLook w:val="04A0" w:firstRow="1" w:lastRow="0" w:firstColumn="1" w:lastColumn="0" w:noHBand="0" w:noVBand="1"/>
      </w:tblPr>
      <w:tblGrid>
        <w:gridCol w:w="2992"/>
        <w:gridCol w:w="1276"/>
        <w:gridCol w:w="1276"/>
        <w:gridCol w:w="1275"/>
        <w:gridCol w:w="1134"/>
        <w:gridCol w:w="1134"/>
      </w:tblGrid>
      <w:tr w:rsidR="00FA31BF" w:rsidRPr="00FA31BF" w:rsidTr="00FA31BF">
        <w:trPr>
          <w:trHeight w:val="315"/>
        </w:trPr>
        <w:tc>
          <w:tcPr>
            <w:tcW w:w="2992" w:type="dxa"/>
            <w:vMerge w:val="restart"/>
            <w:tcBorders>
              <w:top w:val="single" w:sz="8" w:space="0" w:color="auto"/>
              <w:left w:val="single" w:sz="8" w:space="0" w:color="auto"/>
              <w:bottom w:val="single" w:sz="4" w:space="0" w:color="auto"/>
              <w:right w:val="nil"/>
            </w:tcBorders>
            <w:shd w:val="clear" w:color="000000" w:fill="8DB4E2"/>
            <w:vAlign w:val="center"/>
            <w:hideMark/>
          </w:tcPr>
          <w:p w:rsidR="00FA31BF" w:rsidRPr="00FA31BF" w:rsidRDefault="00FA31BF" w:rsidP="00FA31BF">
            <w:pPr>
              <w:jc w:val="center"/>
              <w:rPr>
                <w:b/>
                <w:bCs/>
                <w:color w:val="000000"/>
                <w:sz w:val="20"/>
                <w:szCs w:val="20"/>
                <w:lang w:val="es-GT" w:eastAsia="es-GT"/>
              </w:rPr>
            </w:pPr>
            <w:r w:rsidRPr="00FA31BF">
              <w:rPr>
                <w:b/>
                <w:bCs/>
                <w:color w:val="000000"/>
                <w:sz w:val="20"/>
                <w:szCs w:val="20"/>
                <w:lang w:val="es-GT" w:eastAsia="es-GT"/>
              </w:rPr>
              <w:t>Sector</w:t>
            </w:r>
          </w:p>
        </w:tc>
        <w:tc>
          <w:tcPr>
            <w:tcW w:w="1276" w:type="dxa"/>
            <w:vMerge w:val="restart"/>
            <w:tcBorders>
              <w:top w:val="single" w:sz="8" w:space="0" w:color="auto"/>
              <w:left w:val="single" w:sz="4" w:space="0" w:color="auto"/>
              <w:bottom w:val="single" w:sz="4" w:space="0" w:color="auto"/>
              <w:right w:val="single" w:sz="4" w:space="0" w:color="auto"/>
            </w:tcBorders>
            <w:shd w:val="clear" w:color="000000" w:fill="8DB4E2"/>
            <w:vAlign w:val="center"/>
            <w:hideMark/>
          </w:tcPr>
          <w:p w:rsidR="00FA31BF" w:rsidRPr="00FA31BF" w:rsidRDefault="00FA31BF" w:rsidP="00FA31BF">
            <w:pPr>
              <w:jc w:val="center"/>
              <w:rPr>
                <w:b/>
                <w:bCs/>
                <w:color w:val="000000"/>
                <w:sz w:val="20"/>
                <w:szCs w:val="20"/>
                <w:lang w:val="es-GT" w:eastAsia="es-GT"/>
              </w:rPr>
            </w:pPr>
            <w:r w:rsidRPr="00FA31BF">
              <w:rPr>
                <w:b/>
                <w:bCs/>
                <w:color w:val="000000"/>
                <w:sz w:val="20"/>
                <w:szCs w:val="20"/>
                <w:lang w:val="es-GT" w:eastAsia="es-GT"/>
              </w:rPr>
              <w:t>2016</w:t>
            </w:r>
          </w:p>
        </w:tc>
        <w:tc>
          <w:tcPr>
            <w:tcW w:w="1276" w:type="dxa"/>
            <w:vMerge w:val="restart"/>
            <w:tcBorders>
              <w:top w:val="single" w:sz="8" w:space="0" w:color="auto"/>
              <w:left w:val="single" w:sz="4" w:space="0" w:color="auto"/>
              <w:bottom w:val="single" w:sz="4" w:space="0" w:color="auto"/>
              <w:right w:val="single" w:sz="4" w:space="0" w:color="auto"/>
            </w:tcBorders>
            <w:shd w:val="clear" w:color="000000" w:fill="8DB4E2"/>
            <w:vAlign w:val="center"/>
            <w:hideMark/>
          </w:tcPr>
          <w:p w:rsidR="00FA31BF" w:rsidRPr="00FA31BF" w:rsidRDefault="00FA31BF" w:rsidP="00FA31BF">
            <w:pPr>
              <w:jc w:val="center"/>
              <w:rPr>
                <w:b/>
                <w:bCs/>
                <w:color w:val="000000"/>
                <w:sz w:val="20"/>
                <w:szCs w:val="20"/>
                <w:lang w:val="es-GT" w:eastAsia="es-GT"/>
              </w:rPr>
            </w:pPr>
            <w:r w:rsidRPr="00FA31BF">
              <w:rPr>
                <w:b/>
                <w:bCs/>
                <w:color w:val="000000"/>
                <w:sz w:val="20"/>
                <w:szCs w:val="20"/>
                <w:lang w:val="es-GT" w:eastAsia="es-GT"/>
              </w:rPr>
              <w:t>2017</w:t>
            </w:r>
          </w:p>
        </w:tc>
        <w:tc>
          <w:tcPr>
            <w:tcW w:w="1275" w:type="dxa"/>
            <w:vMerge w:val="restart"/>
            <w:tcBorders>
              <w:top w:val="single" w:sz="8" w:space="0" w:color="auto"/>
              <w:left w:val="single" w:sz="4" w:space="0" w:color="auto"/>
              <w:bottom w:val="single" w:sz="4" w:space="0" w:color="auto"/>
              <w:right w:val="single" w:sz="4" w:space="0" w:color="auto"/>
            </w:tcBorders>
            <w:shd w:val="clear" w:color="000000" w:fill="8DB4E2"/>
            <w:vAlign w:val="center"/>
            <w:hideMark/>
          </w:tcPr>
          <w:p w:rsidR="00FA31BF" w:rsidRPr="00FA31BF" w:rsidRDefault="00FA31BF" w:rsidP="00FA31BF">
            <w:pPr>
              <w:jc w:val="center"/>
              <w:rPr>
                <w:b/>
                <w:bCs/>
                <w:color w:val="000000"/>
                <w:sz w:val="20"/>
                <w:szCs w:val="20"/>
                <w:lang w:val="es-GT" w:eastAsia="es-GT"/>
              </w:rPr>
            </w:pPr>
            <w:r w:rsidRPr="00FA31BF">
              <w:rPr>
                <w:b/>
                <w:bCs/>
                <w:color w:val="000000"/>
                <w:sz w:val="20"/>
                <w:szCs w:val="20"/>
                <w:lang w:val="es-GT" w:eastAsia="es-GT"/>
              </w:rPr>
              <w:t>2018</w:t>
            </w:r>
          </w:p>
        </w:tc>
        <w:tc>
          <w:tcPr>
            <w:tcW w:w="2268" w:type="dxa"/>
            <w:gridSpan w:val="2"/>
            <w:tcBorders>
              <w:top w:val="single" w:sz="8" w:space="0" w:color="auto"/>
              <w:left w:val="nil"/>
              <w:bottom w:val="single" w:sz="4" w:space="0" w:color="auto"/>
              <w:right w:val="single" w:sz="8" w:space="0" w:color="000000"/>
            </w:tcBorders>
            <w:shd w:val="clear" w:color="000000" w:fill="8DB4E2"/>
            <w:noWrap/>
            <w:vAlign w:val="bottom"/>
            <w:hideMark/>
          </w:tcPr>
          <w:p w:rsidR="00FA31BF" w:rsidRPr="00FA31BF" w:rsidRDefault="00FA31BF" w:rsidP="00FA31BF">
            <w:pPr>
              <w:jc w:val="center"/>
              <w:rPr>
                <w:b/>
                <w:bCs/>
                <w:color w:val="000000"/>
                <w:sz w:val="20"/>
                <w:szCs w:val="20"/>
                <w:lang w:val="es-GT" w:eastAsia="es-GT"/>
              </w:rPr>
            </w:pPr>
            <w:r w:rsidRPr="00FA31BF">
              <w:rPr>
                <w:b/>
                <w:bCs/>
                <w:color w:val="000000"/>
                <w:sz w:val="20"/>
                <w:szCs w:val="20"/>
                <w:lang w:val="es-GT" w:eastAsia="es-GT"/>
              </w:rPr>
              <w:t>Diferencias</w:t>
            </w:r>
            <w:r>
              <w:rPr>
                <w:b/>
                <w:bCs/>
                <w:color w:val="000000"/>
                <w:sz w:val="20"/>
                <w:szCs w:val="20"/>
                <w:lang w:val="es-GT" w:eastAsia="es-GT"/>
              </w:rPr>
              <w:t xml:space="preserve"> 2018 y 2017</w:t>
            </w:r>
          </w:p>
        </w:tc>
      </w:tr>
      <w:tr w:rsidR="00FA31BF" w:rsidRPr="00FA31BF" w:rsidTr="00FA31BF">
        <w:trPr>
          <w:trHeight w:val="315"/>
        </w:trPr>
        <w:tc>
          <w:tcPr>
            <w:tcW w:w="2992" w:type="dxa"/>
            <w:vMerge/>
            <w:tcBorders>
              <w:top w:val="single" w:sz="8" w:space="0" w:color="auto"/>
              <w:left w:val="single" w:sz="8" w:space="0" w:color="auto"/>
              <w:bottom w:val="single" w:sz="4" w:space="0" w:color="auto"/>
              <w:right w:val="nil"/>
            </w:tcBorders>
            <w:vAlign w:val="center"/>
            <w:hideMark/>
          </w:tcPr>
          <w:p w:rsidR="00FA31BF" w:rsidRPr="00FA31BF" w:rsidRDefault="00FA31BF" w:rsidP="00FA31BF">
            <w:pPr>
              <w:rPr>
                <w:b/>
                <w:bCs/>
                <w:color w:val="000000"/>
                <w:sz w:val="20"/>
                <w:szCs w:val="20"/>
                <w:lang w:val="es-GT" w:eastAsia="es-GT"/>
              </w:rPr>
            </w:pPr>
          </w:p>
        </w:tc>
        <w:tc>
          <w:tcPr>
            <w:tcW w:w="1276" w:type="dxa"/>
            <w:vMerge/>
            <w:tcBorders>
              <w:top w:val="single" w:sz="8" w:space="0" w:color="auto"/>
              <w:left w:val="single" w:sz="4" w:space="0" w:color="auto"/>
              <w:bottom w:val="single" w:sz="4" w:space="0" w:color="auto"/>
              <w:right w:val="single" w:sz="4" w:space="0" w:color="auto"/>
            </w:tcBorders>
            <w:vAlign w:val="center"/>
            <w:hideMark/>
          </w:tcPr>
          <w:p w:rsidR="00FA31BF" w:rsidRPr="00FA31BF" w:rsidRDefault="00FA31BF" w:rsidP="00FA31BF">
            <w:pPr>
              <w:rPr>
                <w:b/>
                <w:bCs/>
                <w:color w:val="000000"/>
                <w:sz w:val="20"/>
                <w:szCs w:val="20"/>
                <w:lang w:val="es-GT" w:eastAsia="es-GT"/>
              </w:rPr>
            </w:pPr>
          </w:p>
        </w:tc>
        <w:tc>
          <w:tcPr>
            <w:tcW w:w="1276" w:type="dxa"/>
            <w:vMerge/>
            <w:tcBorders>
              <w:top w:val="single" w:sz="8" w:space="0" w:color="auto"/>
              <w:left w:val="single" w:sz="4" w:space="0" w:color="auto"/>
              <w:bottom w:val="single" w:sz="4" w:space="0" w:color="auto"/>
              <w:right w:val="single" w:sz="4" w:space="0" w:color="auto"/>
            </w:tcBorders>
            <w:vAlign w:val="center"/>
            <w:hideMark/>
          </w:tcPr>
          <w:p w:rsidR="00FA31BF" w:rsidRPr="00FA31BF" w:rsidRDefault="00FA31BF" w:rsidP="00FA31BF">
            <w:pPr>
              <w:rPr>
                <w:b/>
                <w:bCs/>
                <w:color w:val="000000"/>
                <w:sz w:val="20"/>
                <w:szCs w:val="20"/>
                <w:lang w:val="es-GT" w:eastAsia="es-GT"/>
              </w:rPr>
            </w:pPr>
          </w:p>
        </w:tc>
        <w:tc>
          <w:tcPr>
            <w:tcW w:w="1275" w:type="dxa"/>
            <w:vMerge/>
            <w:tcBorders>
              <w:top w:val="single" w:sz="8" w:space="0" w:color="auto"/>
              <w:left w:val="single" w:sz="4" w:space="0" w:color="auto"/>
              <w:bottom w:val="single" w:sz="4" w:space="0" w:color="auto"/>
              <w:right w:val="single" w:sz="4" w:space="0" w:color="auto"/>
            </w:tcBorders>
            <w:vAlign w:val="center"/>
            <w:hideMark/>
          </w:tcPr>
          <w:p w:rsidR="00FA31BF" w:rsidRPr="00FA31BF" w:rsidRDefault="00FA31BF" w:rsidP="00FA31BF">
            <w:pPr>
              <w:rPr>
                <w:b/>
                <w:bCs/>
                <w:color w:val="000000"/>
                <w:sz w:val="20"/>
                <w:szCs w:val="20"/>
                <w:lang w:val="es-GT" w:eastAsia="es-GT"/>
              </w:rPr>
            </w:pPr>
          </w:p>
        </w:tc>
        <w:tc>
          <w:tcPr>
            <w:tcW w:w="1134" w:type="dxa"/>
            <w:tcBorders>
              <w:top w:val="single" w:sz="4" w:space="0" w:color="auto"/>
              <w:left w:val="nil"/>
              <w:bottom w:val="single" w:sz="4" w:space="0" w:color="auto"/>
              <w:right w:val="single" w:sz="4" w:space="0" w:color="auto"/>
            </w:tcBorders>
            <w:shd w:val="clear" w:color="000000" w:fill="8DB4E2"/>
            <w:noWrap/>
            <w:vAlign w:val="bottom"/>
            <w:hideMark/>
          </w:tcPr>
          <w:p w:rsidR="00FA31BF" w:rsidRPr="00FA31BF" w:rsidRDefault="00FA31BF" w:rsidP="00FA31BF">
            <w:pPr>
              <w:jc w:val="center"/>
              <w:rPr>
                <w:b/>
                <w:bCs/>
                <w:color w:val="000000"/>
                <w:sz w:val="20"/>
                <w:szCs w:val="20"/>
                <w:lang w:val="es-GT" w:eastAsia="es-GT"/>
              </w:rPr>
            </w:pPr>
            <w:r w:rsidRPr="00FA31BF">
              <w:rPr>
                <w:b/>
                <w:bCs/>
                <w:color w:val="000000"/>
                <w:sz w:val="20"/>
                <w:szCs w:val="20"/>
                <w:lang w:val="es-GT" w:eastAsia="es-GT"/>
              </w:rPr>
              <w:t>Absolutas</w:t>
            </w:r>
          </w:p>
        </w:tc>
        <w:tc>
          <w:tcPr>
            <w:tcW w:w="1134" w:type="dxa"/>
            <w:tcBorders>
              <w:top w:val="nil"/>
              <w:left w:val="nil"/>
              <w:bottom w:val="single" w:sz="4" w:space="0" w:color="auto"/>
              <w:right w:val="single" w:sz="8" w:space="0" w:color="auto"/>
            </w:tcBorders>
            <w:shd w:val="clear" w:color="000000" w:fill="8DB4E2"/>
            <w:noWrap/>
            <w:vAlign w:val="bottom"/>
            <w:hideMark/>
          </w:tcPr>
          <w:p w:rsidR="00FA31BF" w:rsidRPr="00FA31BF" w:rsidRDefault="00FA31BF" w:rsidP="00FA31BF">
            <w:pPr>
              <w:jc w:val="center"/>
              <w:rPr>
                <w:b/>
                <w:bCs/>
                <w:color w:val="000000"/>
                <w:sz w:val="20"/>
                <w:szCs w:val="20"/>
                <w:lang w:val="es-GT" w:eastAsia="es-GT"/>
              </w:rPr>
            </w:pPr>
            <w:r w:rsidRPr="00FA31BF">
              <w:rPr>
                <w:b/>
                <w:bCs/>
                <w:color w:val="000000"/>
                <w:sz w:val="20"/>
                <w:szCs w:val="20"/>
                <w:lang w:val="es-GT" w:eastAsia="es-GT"/>
              </w:rPr>
              <w:t>Relativas</w:t>
            </w:r>
          </w:p>
        </w:tc>
      </w:tr>
      <w:tr w:rsidR="00FA31BF" w:rsidRPr="00FA31BF" w:rsidTr="00FA31BF">
        <w:trPr>
          <w:trHeight w:val="315"/>
        </w:trPr>
        <w:tc>
          <w:tcPr>
            <w:tcW w:w="2992" w:type="dxa"/>
            <w:tcBorders>
              <w:top w:val="nil"/>
              <w:left w:val="single" w:sz="8" w:space="0" w:color="auto"/>
              <w:bottom w:val="nil"/>
              <w:right w:val="nil"/>
            </w:tcBorders>
            <w:shd w:val="clear" w:color="000000" w:fill="FFFFFF"/>
            <w:noWrap/>
            <w:vAlign w:val="bottom"/>
            <w:hideMark/>
          </w:tcPr>
          <w:p w:rsidR="00FA31BF" w:rsidRPr="00FA31BF" w:rsidRDefault="00FA31BF" w:rsidP="00FA31BF">
            <w:pPr>
              <w:jc w:val="center"/>
              <w:rPr>
                <w:b/>
                <w:bCs/>
                <w:color w:val="000000"/>
                <w:sz w:val="20"/>
                <w:szCs w:val="20"/>
                <w:lang w:val="es-GT" w:eastAsia="es-GT"/>
              </w:rPr>
            </w:pPr>
            <w:r w:rsidRPr="00FA31BF">
              <w:rPr>
                <w:b/>
                <w:bCs/>
                <w:color w:val="000000"/>
                <w:sz w:val="20"/>
                <w:szCs w:val="20"/>
                <w:lang w:val="es-GT" w:eastAsia="es-GT"/>
              </w:rPr>
              <w:t>Total</w:t>
            </w:r>
          </w:p>
        </w:tc>
        <w:tc>
          <w:tcPr>
            <w:tcW w:w="1276" w:type="dxa"/>
            <w:tcBorders>
              <w:top w:val="nil"/>
              <w:left w:val="single" w:sz="4" w:space="0" w:color="auto"/>
              <w:bottom w:val="nil"/>
              <w:right w:val="single" w:sz="4" w:space="0" w:color="auto"/>
            </w:tcBorders>
            <w:shd w:val="clear" w:color="000000" w:fill="FFFFFF"/>
            <w:noWrap/>
            <w:vAlign w:val="bottom"/>
            <w:hideMark/>
          </w:tcPr>
          <w:p w:rsidR="00FA31BF" w:rsidRPr="00FA31BF" w:rsidRDefault="00FA31BF" w:rsidP="00FA31BF">
            <w:pPr>
              <w:rPr>
                <w:b/>
                <w:bCs/>
                <w:color w:val="000000"/>
                <w:sz w:val="20"/>
                <w:szCs w:val="20"/>
                <w:lang w:val="es-GT" w:eastAsia="es-GT"/>
              </w:rPr>
            </w:pPr>
            <w:r w:rsidRPr="00FA31BF">
              <w:rPr>
                <w:b/>
                <w:bCs/>
                <w:color w:val="000000"/>
                <w:sz w:val="20"/>
                <w:szCs w:val="20"/>
                <w:lang w:val="es-GT" w:eastAsia="es-GT"/>
              </w:rPr>
              <w:t xml:space="preserve">   16,073.7 </w:t>
            </w:r>
          </w:p>
        </w:tc>
        <w:tc>
          <w:tcPr>
            <w:tcW w:w="1276" w:type="dxa"/>
            <w:tcBorders>
              <w:top w:val="nil"/>
              <w:left w:val="nil"/>
              <w:bottom w:val="nil"/>
              <w:right w:val="single" w:sz="4" w:space="0" w:color="auto"/>
            </w:tcBorders>
            <w:shd w:val="clear" w:color="000000" w:fill="FFFFFF"/>
            <w:noWrap/>
            <w:vAlign w:val="bottom"/>
            <w:hideMark/>
          </w:tcPr>
          <w:p w:rsidR="00FA31BF" w:rsidRPr="00FA31BF" w:rsidRDefault="00FA31BF" w:rsidP="00FA31BF">
            <w:pPr>
              <w:rPr>
                <w:b/>
                <w:bCs/>
                <w:color w:val="000000"/>
                <w:sz w:val="20"/>
                <w:szCs w:val="20"/>
                <w:lang w:val="es-GT" w:eastAsia="es-GT"/>
              </w:rPr>
            </w:pPr>
            <w:r w:rsidRPr="00FA31BF">
              <w:rPr>
                <w:b/>
                <w:bCs/>
                <w:color w:val="000000"/>
                <w:sz w:val="20"/>
                <w:szCs w:val="20"/>
                <w:lang w:val="es-GT" w:eastAsia="es-GT"/>
              </w:rPr>
              <w:t xml:space="preserve">   17,093.7 </w:t>
            </w:r>
          </w:p>
        </w:tc>
        <w:tc>
          <w:tcPr>
            <w:tcW w:w="1275" w:type="dxa"/>
            <w:tcBorders>
              <w:top w:val="nil"/>
              <w:left w:val="nil"/>
              <w:bottom w:val="nil"/>
              <w:right w:val="single" w:sz="4" w:space="0" w:color="auto"/>
            </w:tcBorders>
            <w:shd w:val="clear" w:color="000000" w:fill="FFFFFF"/>
            <w:noWrap/>
            <w:vAlign w:val="bottom"/>
            <w:hideMark/>
          </w:tcPr>
          <w:p w:rsidR="00FA31BF" w:rsidRPr="00FA31BF" w:rsidRDefault="00FA31BF" w:rsidP="00FA31BF">
            <w:pPr>
              <w:rPr>
                <w:b/>
                <w:bCs/>
                <w:color w:val="000000"/>
                <w:sz w:val="20"/>
                <w:szCs w:val="20"/>
                <w:lang w:val="es-GT" w:eastAsia="es-GT"/>
              </w:rPr>
            </w:pPr>
            <w:r w:rsidRPr="00FA31BF">
              <w:rPr>
                <w:b/>
                <w:bCs/>
                <w:color w:val="000000"/>
                <w:sz w:val="20"/>
                <w:szCs w:val="20"/>
                <w:lang w:val="es-GT" w:eastAsia="es-GT"/>
              </w:rPr>
              <w:t xml:space="preserve">   18,401.8 </w:t>
            </w:r>
          </w:p>
        </w:tc>
        <w:tc>
          <w:tcPr>
            <w:tcW w:w="1134" w:type="dxa"/>
            <w:tcBorders>
              <w:top w:val="nil"/>
              <w:left w:val="nil"/>
              <w:bottom w:val="nil"/>
              <w:right w:val="single" w:sz="4" w:space="0" w:color="auto"/>
            </w:tcBorders>
            <w:shd w:val="clear" w:color="000000" w:fill="FFFFFF"/>
            <w:noWrap/>
            <w:vAlign w:val="bottom"/>
            <w:hideMark/>
          </w:tcPr>
          <w:p w:rsidR="00FA31BF" w:rsidRPr="00FA31BF" w:rsidRDefault="00FA31BF" w:rsidP="00FA31BF">
            <w:pPr>
              <w:rPr>
                <w:b/>
                <w:bCs/>
                <w:color w:val="000000"/>
                <w:sz w:val="20"/>
                <w:szCs w:val="20"/>
                <w:lang w:val="es-GT" w:eastAsia="es-GT"/>
              </w:rPr>
            </w:pPr>
            <w:r w:rsidRPr="00FA31BF">
              <w:rPr>
                <w:b/>
                <w:bCs/>
                <w:color w:val="000000"/>
                <w:sz w:val="20"/>
                <w:szCs w:val="20"/>
                <w:lang w:val="es-GT" w:eastAsia="es-GT"/>
              </w:rPr>
              <w:t xml:space="preserve">     1,308.1 </w:t>
            </w:r>
          </w:p>
        </w:tc>
        <w:tc>
          <w:tcPr>
            <w:tcW w:w="1134" w:type="dxa"/>
            <w:tcBorders>
              <w:top w:val="nil"/>
              <w:left w:val="nil"/>
              <w:bottom w:val="nil"/>
              <w:right w:val="single" w:sz="8" w:space="0" w:color="auto"/>
            </w:tcBorders>
            <w:shd w:val="clear" w:color="000000" w:fill="FFFFFF"/>
            <w:noWrap/>
            <w:vAlign w:val="bottom"/>
            <w:hideMark/>
          </w:tcPr>
          <w:p w:rsidR="00FA31BF" w:rsidRPr="00FA31BF" w:rsidRDefault="00FA31BF" w:rsidP="00FA31BF">
            <w:pPr>
              <w:jc w:val="right"/>
              <w:rPr>
                <w:b/>
                <w:bCs/>
                <w:color w:val="000000"/>
                <w:sz w:val="20"/>
                <w:szCs w:val="20"/>
                <w:lang w:val="es-GT" w:eastAsia="es-GT"/>
              </w:rPr>
            </w:pPr>
            <w:r w:rsidRPr="00FA31BF">
              <w:rPr>
                <w:b/>
                <w:bCs/>
                <w:color w:val="000000"/>
                <w:sz w:val="20"/>
                <w:szCs w:val="20"/>
                <w:lang w:val="es-GT" w:eastAsia="es-GT"/>
              </w:rPr>
              <w:t>7.7%</w:t>
            </w:r>
          </w:p>
        </w:tc>
      </w:tr>
      <w:tr w:rsidR="00FA31BF" w:rsidRPr="00FA31BF" w:rsidTr="00FA31BF">
        <w:trPr>
          <w:trHeight w:val="315"/>
        </w:trPr>
        <w:tc>
          <w:tcPr>
            <w:tcW w:w="2992" w:type="dxa"/>
            <w:tcBorders>
              <w:top w:val="nil"/>
              <w:left w:val="single" w:sz="8" w:space="0" w:color="auto"/>
              <w:bottom w:val="nil"/>
              <w:right w:val="nil"/>
            </w:tcBorders>
            <w:shd w:val="clear" w:color="000000" w:fill="FFFFFF"/>
            <w:noWrap/>
            <w:vAlign w:val="bottom"/>
            <w:hideMark/>
          </w:tcPr>
          <w:p w:rsidR="00FA31BF" w:rsidRPr="00FA31BF" w:rsidRDefault="00FA31BF" w:rsidP="00FA31BF">
            <w:pPr>
              <w:rPr>
                <w:color w:val="000000"/>
                <w:sz w:val="20"/>
                <w:szCs w:val="20"/>
                <w:lang w:val="es-GT" w:eastAsia="es-GT"/>
              </w:rPr>
            </w:pPr>
            <w:r w:rsidRPr="00FA31BF">
              <w:rPr>
                <w:color w:val="000000"/>
                <w:sz w:val="20"/>
                <w:szCs w:val="20"/>
                <w:lang w:val="es-GT" w:eastAsia="es-GT"/>
              </w:rPr>
              <w:t>Salud y Asistencia Social</w:t>
            </w:r>
          </w:p>
        </w:tc>
        <w:tc>
          <w:tcPr>
            <w:tcW w:w="1276" w:type="dxa"/>
            <w:tcBorders>
              <w:top w:val="nil"/>
              <w:left w:val="single" w:sz="4" w:space="0" w:color="auto"/>
              <w:bottom w:val="nil"/>
              <w:right w:val="single" w:sz="4" w:space="0" w:color="auto"/>
            </w:tcBorders>
            <w:shd w:val="clear" w:color="000000" w:fill="FFFFFF"/>
            <w:noWrap/>
            <w:vAlign w:val="bottom"/>
            <w:hideMark/>
          </w:tcPr>
          <w:p w:rsidR="00FA31BF" w:rsidRPr="00FA31BF" w:rsidRDefault="00FA31BF" w:rsidP="00FA31BF">
            <w:pPr>
              <w:rPr>
                <w:color w:val="000000"/>
                <w:sz w:val="20"/>
                <w:szCs w:val="20"/>
                <w:lang w:val="es-GT" w:eastAsia="es-GT"/>
              </w:rPr>
            </w:pPr>
            <w:r w:rsidRPr="00FA31BF">
              <w:rPr>
                <w:color w:val="000000"/>
                <w:sz w:val="20"/>
                <w:szCs w:val="20"/>
                <w:lang w:val="es-GT" w:eastAsia="es-GT"/>
              </w:rPr>
              <w:t xml:space="preserve">     5,312.2 </w:t>
            </w:r>
          </w:p>
        </w:tc>
        <w:tc>
          <w:tcPr>
            <w:tcW w:w="1276" w:type="dxa"/>
            <w:tcBorders>
              <w:top w:val="nil"/>
              <w:left w:val="nil"/>
              <w:bottom w:val="nil"/>
              <w:right w:val="single" w:sz="4" w:space="0" w:color="auto"/>
            </w:tcBorders>
            <w:shd w:val="clear" w:color="000000" w:fill="FFFFFF"/>
            <w:noWrap/>
            <w:vAlign w:val="bottom"/>
            <w:hideMark/>
          </w:tcPr>
          <w:p w:rsidR="00FA31BF" w:rsidRPr="00FA31BF" w:rsidRDefault="00FA31BF" w:rsidP="00FA31BF">
            <w:pPr>
              <w:rPr>
                <w:color w:val="000000"/>
                <w:sz w:val="20"/>
                <w:szCs w:val="20"/>
                <w:lang w:val="es-GT" w:eastAsia="es-GT"/>
              </w:rPr>
            </w:pPr>
            <w:r w:rsidRPr="00FA31BF">
              <w:rPr>
                <w:color w:val="000000"/>
                <w:sz w:val="20"/>
                <w:szCs w:val="20"/>
                <w:lang w:val="es-GT" w:eastAsia="es-GT"/>
              </w:rPr>
              <w:t xml:space="preserve">     5,543.1 </w:t>
            </w:r>
          </w:p>
        </w:tc>
        <w:tc>
          <w:tcPr>
            <w:tcW w:w="1275" w:type="dxa"/>
            <w:tcBorders>
              <w:top w:val="nil"/>
              <w:left w:val="nil"/>
              <w:bottom w:val="nil"/>
              <w:right w:val="single" w:sz="4" w:space="0" w:color="auto"/>
            </w:tcBorders>
            <w:shd w:val="clear" w:color="000000" w:fill="FFFFFF"/>
            <w:noWrap/>
            <w:vAlign w:val="bottom"/>
            <w:hideMark/>
          </w:tcPr>
          <w:p w:rsidR="00FA31BF" w:rsidRPr="00FA31BF" w:rsidRDefault="00FA31BF" w:rsidP="00FA31BF">
            <w:pPr>
              <w:rPr>
                <w:color w:val="000000"/>
                <w:sz w:val="20"/>
                <w:szCs w:val="20"/>
                <w:lang w:val="es-GT" w:eastAsia="es-GT"/>
              </w:rPr>
            </w:pPr>
            <w:r w:rsidRPr="00FA31BF">
              <w:rPr>
                <w:color w:val="000000"/>
                <w:sz w:val="20"/>
                <w:szCs w:val="20"/>
                <w:lang w:val="es-GT" w:eastAsia="es-GT"/>
              </w:rPr>
              <w:t xml:space="preserve">     6,181.6 </w:t>
            </w:r>
          </w:p>
        </w:tc>
        <w:tc>
          <w:tcPr>
            <w:tcW w:w="1134" w:type="dxa"/>
            <w:tcBorders>
              <w:top w:val="nil"/>
              <w:left w:val="nil"/>
              <w:bottom w:val="nil"/>
              <w:right w:val="single" w:sz="4" w:space="0" w:color="auto"/>
            </w:tcBorders>
            <w:shd w:val="clear" w:color="000000" w:fill="FFFFFF"/>
            <w:noWrap/>
            <w:vAlign w:val="bottom"/>
            <w:hideMark/>
          </w:tcPr>
          <w:p w:rsidR="00FA31BF" w:rsidRPr="00FA31BF" w:rsidRDefault="00FA31BF" w:rsidP="00FA31BF">
            <w:pPr>
              <w:rPr>
                <w:color w:val="000000"/>
                <w:sz w:val="20"/>
                <w:szCs w:val="20"/>
                <w:lang w:val="es-GT" w:eastAsia="es-GT"/>
              </w:rPr>
            </w:pPr>
            <w:r w:rsidRPr="00FA31BF">
              <w:rPr>
                <w:color w:val="000000"/>
                <w:sz w:val="20"/>
                <w:szCs w:val="20"/>
                <w:lang w:val="es-GT" w:eastAsia="es-GT"/>
              </w:rPr>
              <w:t xml:space="preserve">        638.5 </w:t>
            </w:r>
          </w:p>
        </w:tc>
        <w:tc>
          <w:tcPr>
            <w:tcW w:w="1134" w:type="dxa"/>
            <w:tcBorders>
              <w:top w:val="nil"/>
              <w:left w:val="nil"/>
              <w:bottom w:val="nil"/>
              <w:right w:val="single" w:sz="8" w:space="0" w:color="auto"/>
            </w:tcBorders>
            <w:shd w:val="clear" w:color="000000" w:fill="FFFFFF"/>
            <w:noWrap/>
            <w:vAlign w:val="bottom"/>
            <w:hideMark/>
          </w:tcPr>
          <w:p w:rsidR="00FA31BF" w:rsidRPr="00FA31BF" w:rsidRDefault="00FA31BF" w:rsidP="00FA31BF">
            <w:pPr>
              <w:jc w:val="right"/>
              <w:rPr>
                <w:color w:val="000000"/>
                <w:sz w:val="20"/>
                <w:szCs w:val="20"/>
                <w:lang w:val="es-GT" w:eastAsia="es-GT"/>
              </w:rPr>
            </w:pPr>
            <w:r w:rsidRPr="00FA31BF">
              <w:rPr>
                <w:color w:val="000000"/>
                <w:sz w:val="20"/>
                <w:szCs w:val="20"/>
                <w:lang w:val="es-GT" w:eastAsia="es-GT"/>
              </w:rPr>
              <w:t>11.5%</w:t>
            </w:r>
          </w:p>
        </w:tc>
      </w:tr>
      <w:tr w:rsidR="00FA31BF" w:rsidRPr="00FA31BF" w:rsidTr="00FA31BF">
        <w:trPr>
          <w:trHeight w:val="315"/>
        </w:trPr>
        <w:tc>
          <w:tcPr>
            <w:tcW w:w="2992" w:type="dxa"/>
            <w:tcBorders>
              <w:top w:val="nil"/>
              <w:left w:val="single" w:sz="8" w:space="0" w:color="auto"/>
              <w:bottom w:val="nil"/>
              <w:right w:val="nil"/>
            </w:tcBorders>
            <w:shd w:val="clear" w:color="000000" w:fill="FFFFFF"/>
            <w:noWrap/>
            <w:vAlign w:val="bottom"/>
            <w:hideMark/>
          </w:tcPr>
          <w:p w:rsidR="00FA31BF" w:rsidRPr="00FA31BF" w:rsidRDefault="00FA31BF" w:rsidP="00FA31BF">
            <w:pPr>
              <w:rPr>
                <w:color w:val="000000"/>
                <w:sz w:val="20"/>
                <w:szCs w:val="20"/>
                <w:lang w:val="es-GT" w:eastAsia="es-GT"/>
              </w:rPr>
            </w:pPr>
            <w:r w:rsidRPr="00FA31BF">
              <w:rPr>
                <w:color w:val="000000"/>
                <w:sz w:val="20"/>
                <w:szCs w:val="20"/>
                <w:lang w:val="es-GT" w:eastAsia="es-GT"/>
              </w:rPr>
              <w:t>Educación, Ciencia y Cultura</w:t>
            </w:r>
          </w:p>
        </w:tc>
        <w:tc>
          <w:tcPr>
            <w:tcW w:w="1276" w:type="dxa"/>
            <w:tcBorders>
              <w:top w:val="nil"/>
              <w:left w:val="single" w:sz="4" w:space="0" w:color="auto"/>
              <w:bottom w:val="nil"/>
              <w:right w:val="single" w:sz="4" w:space="0" w:color="auto"/>
            </w:tcBorders>
            <w:shd w:val="clear" w:color="000000" w:fill="FFFFFF"/>
            <w:noWrap/>
            <w:vAlign w:val="bottom"/>
            <w:hideMark/>
          </w:tcPr>
          <w:p w:rsidR="00FA31BF" w:rsidRPr="00FA31BF" w:rsidRDefault="00FA31BF" w:rsidP="00FA31BF">
            <w:pPr>
              <w:rPr>
                <w:color w:val="000000"/>
                <w:sz w:val="20"/>
                <w:szCs w:val="20"/>
                <w:lang w:val="es-GT" w:eastAsia="es-GT"/>
              </w:rPr>
            </w:pPr>
            <w:r w:rsidRPr="00FA31BF">
              <w:rPr>
                <w:color w:val="000000"/>
                <w:sz w:val="20"/>
                <w:szCs w:val="20"/>
                <w:lang w:val="es-GT" w:eastAsia="es-GT"/>
              </w:rPr>
              <w:t xml:space="preserve">     7,358.9 </w:t>
            </w:r>
          </w:p>
        </w:tc>
        <w:tc>
          <w:tcPr>
            <w:tcW w:w="1276" w:type="dxa"/>
            <w:tcBorders>
              <w:top w:val="nil"/>
              <w:left w:val="nil"/>
              <w:bottom w:val="nil"/>
              <w:right w:val="single" w:sz="4" w:space="0" w:color="auto"/>
            </w:tcBorders>
            <w:shd w:val="clear" w:color="000000" w:fill="FFFFFF"/>
            <w:noWrap/>
            <w:vAlign w:val="bottom"/>
            <w:hideMark/>
          </w:tcPr>
          <w:p w:rsidR="00FA31BF" w:rsidRPr="00FA31BF" w:rsidRDefault="00FA31BF" w:rsidP="00FA31BF">
            <w:pPr>
              <w:rPr>
                <w:color w:val="000000"/>
                <w:sz w:val="20"/>
                <w:szCs w:val="20"/>
                <w:lang w:val="es-GT" w:eastAsia="es-GT"/>
              </w:rPr>
            </w:pPr>
            <w:r w:rsidRPr="00FA31BF">
              <w:rPr>
                <w:color w:val="000000"/>
                <w:sz w:val="20"/>
                <w:szCs w:val="20"/>
                <w:lang w:val="es-GT" w:eastAsia="es-GT"/>
              </w:rPr>
              <w:t xml:space="preserve">     7,479.1 </w:t>
            </w:r>
          </w:p>
        </w:tc>
        <w:tc>
          <w:tcPr>
            <w:tcW w:w="1275" w:type="dxa"/>
            <w:tcBorders>
              <w:top w:val="nil"/>
              <w:left w:val="nil"/>
              <w:bottom w:val="nil"/>
              <w:right w:val="single" w:sz="4" w:space="0" w:color="auto"/>
            </w:tcBorders>
            <w:shd w:val="clear" w:color="000000" w:fill="FFFFFF"/>
            <w:noWrap/>
            <w:vAlign w:val="bottom"/>
            <w:hideMark/>
          </w:tcPr>
          <w:p w:rsidR="00FA31BF" w:rsidRPr="00FA31BF" w:rsidRDefault="00FA31BF" w:rsidP="00FA31BF">
            <w:pPr>
              <w:rPr>
                <w:color w:val="000000"/>
                <w:sz w:val="20"/>
                <w:szCs w:val="20"/>
                <w:lang w:val="es-GT" w:eastAsia="es-GT"/>
              </w:rPr>
            </w:pPr>
            <w:r w:rsidRPr="00FA31BF">
              <w:rPr>
                <w:color w:val="000000"/>
                <w:sz w:val="20"/>
                <w:szCs w:val="20"/>
                <w:lang w:val="es-GT" w:eastAsia="es-GT"/>
              </w:rPr>
              <w:t xml:space="preserve">     7,934.5 </w:t>
            </w:r>
          </w:p>
        </w:tc>
        <w:tc>
          <w:tcPr>
            <w:tcW w:w="1134" w:type="dxa"/>
            <w:tcBorders>
              <w:top w:val="nil"/>
              <w:left w:val="nil"/>
              <w:bottom w:val="nil"/>
              <w:right w:val="single" w:sz="4" w:space="0" w:color="auto"/>
            </w:tcBorders>
            <w:shd w:val="clear" w:color="000000" w:fill="FFFFFF"/>
            <w:noWrap/>
            <w:vAlign w:val="bottom"/>
            <w:hideMark/>
          </w:tcPr>
          <w:p w:rsidR="00FA31BF" w:rsidRPr="00FA31BF" w:rsidRDefault="00FA31BF" w:rsidP="00FA31BF">
            <w:pPr>
              <w:rPr>
                <w:color w:val="000000"/>
                <w:sz w:val="20"/>
                <w:szCs w:val="20"/>
                <w:lang w:val="es-GT" w:eastAsia="es-GT"/>
              </w:rPr>
            </w:pPr>
            <w:r w:rsidRPr="00FA31BF">
              <w:rPr>
                <w:color w:val="000000"/>
                <w:sz w:val="20"/>
                <w:szCs w:val="20"/>
                <w:lang w:val="es-GT" w:eastAsia="es-GT"/>
              </w:rPr>
              <w:t xml:space="preserve">        455.4 </w:t>
            </w:r>
          </w:p>
        </w:tc>
        <w:tc>
          <w:tcPr>
            <w:tcW w:w="1134" w:type="dxa"/>
            <w:tcBorders>
              <w:top w:val="nil"/>
              <w:left w:val="nil"/>
              <w:bottom w:val="nil"/>
              <w:right w:val="single" w:sz="8" w:space="0" w:color="auto"/>
            </w:tcBorders>
            <w:shd w:val="clear" w:color="000000" w:fill="FFFFFF"/>
            <w:noWrap/>
            <w:vAlign w:val="bottom"/>
            <w:hideMark/>
          </w:tcPr>
          <w:p w:rsidR="00FA31BF" w:rsidRPr="00FA31BF" w:rsidRDefault="00FA31BF" w:rsidP="00FA31BF">
            <w:pPr>
              <w:jc w:val="right"/>
              <w:rPr>
                <w:color w:val="000000"/>
                <w:sz w:val="20"/>
                <w:szCs w:val="20"/>
                <w:lang w:val="es-GT" w:eastAsia="es-GT"/>
              </w:rPr>
            </w:pPr>
            <w:r w:rsidRPr="00FA31BF">
              <w:rPr>
                <w:color w:val="000000"/>
                <w:sz w:val="20"/>
                <w:szCs w:val="20"/>
                <w:lang w:val="es-GT" w:eastAsia="es-GT"/>
              </w:rPr>
              <w:t>6.1%</w:t>
            </w:r>
          </w:p>
        </w:tc>
      </w:tr>
      <w:tr w:rsidR="00FA31BF" w:rsidRPr="00FA31BF" w:rsidTr="00FA31BF">
        <w:trPr>
          <w:trHeight w:val="315"/>
        </w:trPr>
        <w:tc>
          <w:tcPr>
            <w:tcW w:w="2992" w:type="dxa"/>
            <w:tcBorders>
              <w:top w:val="nil"/>
              <w:left w:val="single" w:sz="8" w:space="0" w:color="auto"/>
              <w:bottom w:val="nil"/>
              <w:right w:val="nil"/>
            </w:tcBorders>
            <w:shd w:val="clear" w:color="000000" w:fill="FFFFFF"/>
            <w:noWrap/>
            <w:vAlign w:val="bottom"/>
            <w:hideMark/>
          </w:tcPr>
          <w:p w:rsidR="00FA31BF" w:rsidRPr="00FA31BF" w:rsidRDefault="00FA31BF" w:rsidP="00FA31BF">
            <w:pPr>
              <w:rPr>
                <w:color w:val="000000"/>
                <w:sz w:val="20"/>
                <w:szCs w:val="20"/>
                <w:lang w:val="es-GT" w:eastAsia="es-GT"/>
              </w:rPr>
            </w:pPr>
            <w:r w:rsidRPr="00FA31BF">
              <w:rPr>
                <w:color w:val="000000"/>
                <w:sz w:val="20"/>
                <w:szCs w:val="20"/>
                <w:lang w:val="es-GT" w:eastAsia="es-GT"/>
              </w:rPr>
              <w:t>Vivienda</w:t>
            </w:r>
          </w:p>
        </w:tc>
        <w:tc>
          <w:tcPr>
            <w:tcW w:w="1276" w:type="dxa"/>
            <w:tcBorders>
              <w:top w:val="nil"/>
              <w:left w:val="single" w:sz="4" w:space="0" w:color="auto"/>
              <w:bottom w:val="nil"/>
              <w:right w:val="single" w:sz="4" w:space="0" w:color="auto"/>
            </w:tcBorders>
            <w:shd w:val="clear" w:color="000000" w:fill="FFFFFF"/>
            <w:noWrap/>
            <w:vAlign w:val="bottom"/>
            <w:hideMark/>
          </w:tcPr>
          <w:p w:rsidR="00FA31BF" w:rsidRPr="00FA31BF" w:rsidRDefault="00FA31BF" w:rsidP="00FA31BF">
            <w:pPr>
              <w:rPr>
                <w:color w:val="000000"/>
                <w:sz w:val="20"/>
                <w:szCs w:val="20"/>
                <w:lang w:val="es-GT" w:eastAsia="es-GT"/>
              </w:rPr>
            </w:pPr>
            <w:r w:rsidRPr="00FA31BF">
              <w:rPr>
                <w:color w:val="000000"/>
                <w:sz w:val="20"/>
                <w:szCs w:val="20"/>
                <w:lang w:val="es-GT" w:eastAsia="es-GT"/>
              </w:rPr>
              <w:t xml:space="preserve">          21.8 </w:t>
            </w:r>
          </w:p>
        </w:tc>
        <w:tc>
          <w:tcPr>
            <w:tcW w:w="1276" w:type="dxa"/>
            <w:tcBorders>
              <w:top w:val="nil"/>
              <w:left w:val="nil"/>
              <w:bottom w:val="nil"/>
              <w:right w:val="single" w:sz="4" w:space="0" w:color="auto"/>
            </w:tcBorders>
            <w:shd w:val="clear" w:color="000000" w:fill="FFFFFF"/>
            <w:noWrap/>
            <w:vAlign w:val="bottom"/>
            <w:hideMark/>
          </w:tcPr>
          <w:p w:rsidR="00FA31BF" w:rsidRPr="00FA31BF" w:rsidRDefault="00FA31BF" w:rsidP="00FA31BF">
            <w:pPr>
              <w:rPr>
                <w:color w:val="000000"/>
                <w:sz w:val="20"/>
                <w:szCs w:val="20"/>
                <w:lang w:val="es-GT" w:eastAsia="es-GT"/>
              </w:rPr>
            </w:pPr>
            <w:r w:rsidRPr="00FA31BF">
              <w:rPr>
                <w:color w:val="000000"/>
                <w:sz w:val="20"/>
                <w:szCs w:val="20"/>
                <w:lang w:val="es-GT" w:eastAsia="es-GT"/>
              </w:rPr>
              <w:t xml:space="preserve">        107.0 </w:t>
            </w:r>
          </w:p>
        </w:tc>
        <w:tc>
          <w:tcPr>
            <w:tcW w:w="1275" w:type="dxa"/>
            <w:tcBorders>
              <w:top w:val="nil"/>
              <w:left w:val="nil"/>
              <w:bottom w:val="nil"/>
              <w:right w:val="single" w:sz="4" w:space="0" w:color="auto"/>
            </w:tcBorders>
            <w:shd w:val="clear" w:color="000000" w:fill="FFFFFF"/>
            <w:noWrap/>
            <w:vAlign w:val="bottom"/>
            <w:hideMark/>
          </w:tcPr>
          <w:p w:rsidR="00FA31BF" w:rsidRPr="00FA31BF" w:rsidRDefault="00FA31BF" w:rsidP="00FA31BF">
            <w:pPr>
              <w:rPr>
                <w:color w:val="000000"/>
                <w:sz w:val="20"/>
                <w:szCs w:val="20"/>
                <w:lang w:val="es-GT" w:eastAsia="es-GT"/>
              </w:rPr>
            </w:pPr>
            <w:r w:rsidRPr="00FA31BF">
              <w:rPr>
                <w:color w:val="000000"/>
                <w:sz w:val="20"/>
                <w:szCs w:val="20"/>
                <w:lang w:val="es-GT" w:eastAsia="es-GT"/>
              </w:rPr>
              <w:t xml:space="preserve">          31.0 </w:t>
            </w:r>
          </w:p>
        </w:tc>
        <w:tc>
          <w:tcPr>
            <w:tcW w:w="1134" w:type="dxa"/>
            <w:tcBorders>
              <w:top w:val="nil"/>
              <w:left w:val="nil"/>
              <w:bottom w:val="nil"/>
              <w:right w:val="single" w:sz="4" w:space="0" w:color="auto"/>
            </w:tcBorders>
            <w:shd w:val="clear" w:color="000000" w:fill="FFFFFF"/>
            <w:noWrap/>
            <w:vAlign w:val="bottom"/>
            <w:hideMark/>
          </w:tcPr>
          <w:p w:rsidR="00FA31BF" w:rsidRPr="00FA31BF" w:rsidRDefault="00FA31BF" w:rsidP="00FA31BF">
            <w:pPr>
              <w:rPr>
                <w:color w:val="000000"/>
                <w:sz w:val="20"/>
                <w:szCs w:val="20"/>
                <w:lang w:val="es-GT" w:eastAsia="es-GT"/>
              </w:rPr>
            </w:pPr>
            <w:r w:rsidRPr="00FA31BF">
              <w:rPr>
                <w:color w:val="000000"/>
                <w:sz w:val="20"/>
                <w:szCs w:val="20"/>
                <w:lang w:val="es-GT" w:eastAsia="es-GT"/>
              </w:rPr>
              <w:t xml:space="preserve">         (76.0)</w:t>
            </w:r>
          </w:p>
        </w:tc>
        <w:tc>
          <w:tcPr>
            <w:tcW w:w="1134" w:type="dxa"/>
            <w:tcBorders>
              <w:top w:val="nil"/>
              <w:left w:val="nil"/>
              <w:bottom w:val="nil"/>
              <w:right w:val="single" w:sz="8" w:space="0" w:color="auto"/>
            </w:tcBorders>
            <w:shd w:val="clear" w:color="000000" w:fill="FFFFFF"/>
            <w:noWrap/>
            <w:vAlign w:val="bottom"/>
            <w:hideMark/>
          </w:tcPr>
          <w:p w:rsidR="00FA31BF" w:rsidRPr="00FA31BF" w:rsidRDefault="00FA31BF" w:rsidP="00FA31BF">
            <w:pPr>
              <w:jc w:val="right"/>
              <w:rPr>
                <w:color w:val="000000"/>
                <w:sz w:val="20"/>
                <w:szCs w:val="20"/>
                <w:lang w:val="es-GT" w:eastAsia="es-GT"/>
              </w:rPr>
            </w:pPr>
            <w:r w:rsidRPr="00FA31BF">
              <w:rPr>
                <w:color w:val="000000"/>
                <w:sz w:val="20"/>
                <w:szCs w:val="20"/>
                <w:lang w:val="es-GT" w:eastAsia="es-GT"/>
              </w:rPr>
              <w:t>-71.0%</w:t>
            </w:r>
          </w:p>
        </w:tc>
      </w:tr>
      <w:tr w:rsidR="00FA31BF" w:rsidRPr="00FA31BF" w:rsidTr="00FA31BF">
        <w:trPr>
          <w:trHeight w:val="315"/>
        </w:trPr>
        <w:tc>
          <w:tcPr>
            <w:tcW w:w="2992" w:type="dxa"/>
            <w:tcBorders>
              <w:top w:val="nil"/>
              <w:left w:val="single" w:sz="8" w:space="0" w:color="auto"/>
              <w:bottom w:val="nil"/>
              <w:right w:val="nil"/>
            </w:tcBorders>
            <w:shd w:val="clear" w:color="000000" w:fill="FFFFFF"/>
            <w:noWrap/>
            <w:vAlign w:val="bottom"/>
            <w:hideMark/>
          </w:tcPr>
          <w:p w:rsidR="00FA31BF" w:rsidRPr="00FA31BF" w:rsidRDefault="00FA31BF" w:rsidP="00FA31BF">
            <w:pPr>
              <w:jc w:val="center"/>
              <w:rPr>
                <w:b/>
                <w:bCs/>
                <w:color w:val="000000"/>
                <w:sz w:val="20"/>
                <w:szCs w:val="20"/>
                <w:lang w:val="es-GT" w:eastAsia="es-GT"/>
              </w:rPr>
            </w:pPr>
            <w:r w:rsidRPr="00FA31BF">
              <w:rPr>
                <w:b/>
                <w:bCs/>
                <w:color w:val="000000"/>
                <w:sz w:val="20"/>
                <w:szCs w:val="20"/>
                <w:lang w:val="es-GT" w:eastAsia="es-GT"/>
              </w:rPr>
              <w:t>Gasto Social</w:t>
            </w:r>
          </w:p>
        </w:tc>
        <w:tc>
          <w:tcPr>
            <w:tcW w:w="1276" w:type="dxa"/>
            <w:tcBorders>
              <w:top w:val="nil"/>
              <w:left w:val="single" w:sz="4" w:space="0" w:color="auto"/>
              <w:bottom w:val="nil"/>
              <w:right w:val="single" w:sz="4" w:space="0" w:color="auto"/>
            </w:tcBorders>
            <w:shd w:val="clear" w:color="000000" w:fill="FFFFFF"/>
            <w:noWrap/>
            <w:vAlign w:val="bottom"/>
            <w:hideMark/>
          </w:tcPr>
          <w:p w:rsidR="00FA31BF" w:rsidRPr="00FA31BF" w:rsidRDefault="00FA31BF" w:rsidP="00FA31BF">
            <w:pPr>
              <w:rPr>
                <w:b/>
                <w:bCs/>
                <w:color w:val="000000"/>
                <w:sz w:val="20"/>
                <w:szCs w:val="20"/>
                <w:lang w:val="es-GT" w:eastAsia="es-GT"/>
              </w:rPr>
            </w:pPr>
            <w:r w:rsidRPr="00FA31BF">
              <w:rPr>
                <w:b/>
                <w:bCs/>
                <w:color w:val="000000"/>
                <w:sz w:val="20"/>
                <w:szCs w:val="20"/>
                <w:lang w:val="es-GT" w:eastAsia="es-GT"/>
              </w:rPr>
              <w:t xml:space="preserve">   12,692.9 </w:t>
            </w:r>
          </w:p>
        </w:tc>
        <w:tc>
          <w:tcPr>
            <w:tcW w:w="1276" w:type="dxa"/>
            <w:tcBorders>
              <w:top w:val="nil"/>
              <w:left w:val="nil"/>
              <w:bottom w:val="nil"/>
              <w:right w:val="single" w:sz="4" w:space="0" w:color="auto"/>
            </w:tcBorders>
            <w:shd w:val="clear" w:color="000000" w:fill="FFFFFF"/>
            <w:noWrap/>
            <w:vAlign w:val="bottom"/>
            <w:hideMark/>
          </w:tcPr>
          <w:p w:rsidR="00FA31BF" w:rsidRPr="00FA31BF" w:rsidRDefault="00FA31BF" w:rsidP="00FA31BF">
            <w:pPr>
              <w:rPr>
                <w:b/>
                <w:bCs/>
                <w:color w:val="000000"/>
                <w:sz w:val="20"/>
                <w:szCs w:val="20"/>
                <w:lang w:val="es-GT" w:eastAsia="es-GT"/>
              </w:rPr>
            </w:pPr>
            <w:r w:rsidRPr="00FA31BF">
              <w:rPr>
                <w:b/>
                <w:bCs/>
                <w:color w:val="000000"/>
                <w:sz w:val="20"/>
                <w:szCs w:val="20"/>
                <w:lang w:val="es-GT" w:eastAsia="es-GT"/>
              </w:rPr>
              <w:t xml:space="preserve">   13,129.2 </w:t>
            </w:r>
          </w:p>
        </w:tc>
        <w:tc>
          <w:tcPr>
            <w:tcW w:w="1275" w:type="dxa"/>
            <w:tcBorders>
              <w:top w:val="nil"/>
              <w:left w:val="nil"/>
              <w:bottom w:val="nil"/>
              <w:right w:val="single" w:sz="4" w:space="0" w:color="auto"/>
            </w:tcBorders>
            <w:shd w:val="clear" w:color="000000" w:fill="FFFFFF"/>
            <w:noWrap/>
            <w:vAlign w:val="bottom"/>
            <w:hideMark/>
          </w:tcPr>
          <w:p w:rsidR="00FA31BF" w:rsidRPr="00FA31BF" w:rsidRDefault="00FA31BF" w:rsidP="00FA31BF">
            <w:pPr>
              <w:rPr>
                <w:b/>
                <w:bCs/>
                <w:color w:val="000000"/>
                <w:sz w:val="20"/>
                <w:szCs w:val="20"/>
                <w:lang w:val="es-GT" w:eastAsia="es-GT"/>
              </w:rPr>
            </w:pPr>
            <w:r w:rsidRPr="00FA31BF">
              <w:rPr>
                <w:b/>
                <w:bCs/>
                <w:color w:val="000000"/>
                <w:sz w:val="20"/>
                <w:szCs w:val="20"/>
                <w:lang w:val="es-GT" w:eastAsia="es-GT"/>
              </w:rPr>
              <w:t xml:space="preserve">   14,147.1 </w:t>
            </w:r>
          </w:p>
        </w:tc>
        <w:tc>
          <w:tcPr>
            <w:tcW w:w="1134" w:type="dxa"/>
            <w:tcBorders>
              <w:top w:val="nil"/>
              <w:left w:val="nil"/>
              <w:bottom w:val="nil"/>
              <w:right w:val="single" w:sz="4" w:space="0" w:color="auto"/>
            </w:tcBorders>
            <w:shd w:val="clear" w:color="000000" w:fill="FFFFFF"/>
            <w:noWrap/>
            <w:vAlign w:val="bottom"/>
            <w:hideMark/>
          </w:tcPr>
          <w:p w:rsidR="00FA31BF" w:rsidRPr="00FA31BF" w:rsidRDefault="00FA31BF" w:rsidP="00FA31BF">
            <w:pPr>
              <w:rPr>
                <w:b/>
                <w:bCs/>
                <w:color w:val="000000"/>
                <w:sz w:val="20"/>
                <w:szCs w:val="20"/>
                <w:lang w:val="es-GT" w:eastAsia="es-GT"/>
              </w:rPr>
            </w:pPr>
            <w:r w:rsidRPr="00FA31BF">
              <w:rPr>
                <w:b/>
                <w:bCs/>
                <w:color w:val="000000"/>
                <w:sz w:val="20"/>
                <w:szCs w:val="20"/>
                <w:lang w:val="es-GT" w:eastAsia="es-GT"/>
              </w:rPr>
              <w:t xml:space="preserve">     1,017.9 </w:t>
            </w:r>
          </w:p>
        </w:tc>
        <w:tc>
          <w:tcPr>
            <w:tcW w:w="1134" w:type="dxa"/>
            <w:tcBorders>
              <w:top w:val="nil"/>
              <w:left w:val="nil"/>
              <w:bottom w:val="nil"/>
              <w:right w:val="single" w:sz="8" w:space="0" w:color="auto"/>
            </w:tcBorders>
            <w:shd w:val="clear" w:color="000000" w:fill="FFFFFF"/>
            <w:noWrap/>
            <w:vAlign w:val="bottom"/>
            <w:hideMark/>
          </w:tcPr>
          <w:p w:rsidR="00FA31BF" w:rsidRPr="00FA31BF" w:rsidRDefault="00FA31BF" w:rsidP="00FA31BF">
            <w:pPr>
              <w:jc w:val="right"/>
              <w:rPr>
                <w:b/>
                <w:bCs/>
                <w:color w:val="000000"/>
                <w:sz w:val="20"/>
                <w:szCs w:val="20"/>
                <w:lang w:val="es-GT" w:eastAsia="es-GT"/>
              </w:rPr>
            </w:pPr>
            <w:r w:rsidRPr="00FA31BF">
              <w:rPr>
                <w:b/>
                <w:bCs/>
                <w:color w:val="000000"/>
                <w:sz w:val="20"/>
                <w:szCs w:val="20"/>
                <w:lang w:val="es-GT" w:eastAsia="es-GT"/>
              </w:rPr>
              <w:t>7.8%</w:t>
            </w:r>
          </w:p>
        </w:tc>
      </w:tr>
      <w:tr w:rsidR="00FA31BF" w:rsidRPr="00FA31BF" w:rsidTr="00FA31BF">
        <w:trPr>
          <w:trHeight w:val="315"/>
        </w:trPr>
        <w:tc>
          <w:tcPr>
            <w:tcW w:w="2992" w:type="dxa"/>
            <w:tcBorders>
              <w:top w:val="nil"/>
              <w:left w:val="single" w:sz="8" w:space="0" w:color="auto"/>
              <w:bottom w:val="nil"/>
              <w:right w:val="nil"/>
            </w:tcBorders>
            <w:shd w:val="clear" w:color="000000" w:fill="FFFFFF"/>
            <w:noWrap/>
            <w:vAlign w:val="bottom"/>
            <w:hideMark/>
          </w:tcPr>
          <w:p w:rsidR="00FA31BF" w:rsidRPr="00FA31BF" w:rsidRDefault="00FA31BF" w:rsidP="00FA31BF">
            <w:pPr>
              <w:rPr>
                <w:color w:val="000000"/>
                <w:sz w:val="20"/>
                <w:szCs w:val="20"/>
                <w:lang w:val="es-GT" w:eastAsia="es-GT"/>
              </w:rPr>
            </w:pPr>
            <w:r w:rsidRPr="00FA31BF">
              <w:rPr>
                <w:color w:val="000000"/>
                <w:sz w:val="20"/>
                <w:szCs w:val="20"/>
                <w:lang w:val="es-GT" w:eastAsia="es-GT"/>
              </w:rPr>
              <w:t>Seguridad Interna</w:t>
            </w:r>
          </w:p>
        </w:tc>
        <w:tc>
          <w:tcPr>
            <w:tcW w:w="1276" w:type="dxa"/>
            <w:tcBorders>
              <w:top w:val="nil"/>
              <w:left w:val="single" w:sz="4" w:space="0" w:color="auto"/>
              <w:bottom w:val="nil"/>
              <w:right w:val="single" w:sz="4" w:space="0" w:color="auto"/>
            </w:tcBorders>
            <w:shd w:val="clear" w:color="000000" w:fill="FFFFFF"/>
            <w:noWrap/>
            <w:vAlign w:val="bottom"/>
            <w:hideMark/>
          </w:tcPr>
          <w:p w:rsidR="00FA31BF" w:rsidRPr="00FA31BF" w:rsidRDefault="00FA31BF" w:rsidP="00FA31BF">
            <w:pPr>
              <w:rPr>
                <w:color w:val="000000"/>
                <w:sz w:val="20"/>
                <w:szCs w:val="20"/>
                <w:lang w:val="es-GT" w:eastAsia="es-GT"/>
              </w:rPr>
            </w:pPr>
            <w:r w:rsidRPr="00FA31BF">
              <w:rPr>
                <w:color w:val="000000"/>
                <w:sz w:val="20"/>
                <w:szCs w:val="20"/>
                <w:lang w:val="es-GT" w:eastAsia="es-GT"/>
              </w:rPr>
              <w:t xml:space="preserve">     1,757.7 </w:t>
            </w:r>
          </w:p>
        </w:tc>
        <w:tc>
          <w:tcPr>
            <w:tcW w:w="1276" w:type="dxa"/>
            <w:tcBorders>
              <w:top w:val="nil"/>
              <w:left w:val="nil"/>
              <w:bottom w:val="nil"/>
              <w:right w:val="single" w:sz="4" w:space="0" w:color="auto"/>
            </w:tcBorders>
            <w:shd w:val="clear" w:color="000000" w:fill="FFFFFF"/>
            <w:noWrap/>
            <w:vAlign w:val="bottom"/>
            <w:hideMark/>
          </w:tcPr>
          <w:p w:rsidR="00FA31BF" w:rsidRPr="00FA31BF" w:rsidRDefault="00FA31BF" w:rsidP="00FA31BF">
            <w:pPr>
              <w:rPr>
                <w:color w:val="000000"/>
                <w:sz w:val="20"/>
                <w:szCs w:val="20"/>
                <w:lang w:val="es-GT" w:eastAsia="es-GT"/>
              </w:rPr>
            </w:pPr>
            <w:r w:rsidRPr="00FA31BF">
              <w:rPr>
                <w:color w:val="000000"/>
                <w:sz w:val="20"/>
                <w:szCs w:val="20"/>
                <w:lang w:val="es-GT" w:eastAsia="es-GT"/>
              </w:rPr>
              <w:t xml:space="preserve">     1,884.7 </w:t>
            </w:r>
          </w:p>
        </w:tc>
        <w:tc>
          <w:tcPr>
            <w:tcW w:w="1275" w:type="dxa"/>
            <w:tcBorders>
              <w:top w:val="nil"/>
              <w:left w:val="nil"/>
              <w:bottom w:val="nil"/>
              <w:right w:val="single" w:sz="4" w:space="0" w:color="auto"/>
            </w:tcBorders>
            <w:shd w:val="clear" w:color="000000" w:fill="FFFFFF"/>
            <w:noWrap/>
            <w:vAlign w:val="bottom"/>
            <w:hideMark/>
          </w:tcPr>
          <w:p w:rsidR="00FA31BF" w:rsidRPr="00FA31BF" w:rsidRDefault="00FA31BF" w:rsidP="00FA31BF">
            <w:pPr>
              <w:rPr>
                <w:color w:val="000000"/>
                <w:sz w:val="20"/>
                <w:szCs w:val="20"/>
                <w:lang w:val="es-GT" w:eastAsia="es-GT"/>
              </w:rPr>
            </w:pPr>
            <w:r w:rsidRPr="00FA31BF">
              <w:rPr>
                <w:color w:val="000000"/>
                <w:sz w:val="20"/>
                <w:szCs w:val="20"/>
                <w:lang w:val="es-GT" w:eastAsia="es-GT"/>
              </w:rPr>
              <w:t xml:space="preserve">     2,114.2 </w:t>
            </w:r>
          </w:p>
        </w:tc>
        <w:tc>
          <w:tcPr>
            <w:tcW w:w="1134" w:type="dxa"/>
            <w:tcBorders>
              <w:top w:val="nil"/>
              <w:left w:val="nil"/>
              <w:bottom w:val="nil"/>
              <w:right w:val="single" w:sz="4" w:space="0" w:color="auto"/>
            </w:tcBorders>
            <w:shd w:val="clear" w:color="000000" w:fill="FFFFFF"/>
            <w:noWrap/>
            <w:vAlign w:val="bottom"/>
            <w:hideMark/>
          </w:tcPr>
          <w:p w:rsidR="00FA31BF" w:rsidRPr="00FA31BF" w:rsidRDefault="00FA31BF" w:rsidP="00FA31BF">
            <w:pPr>
              <w:rPr>
                <w:color w:val="000000"/>
                <w:sz w:val="20"/>
                <w:szCs w:val="20"/>
                <w:lang w:val="es-GT" w:eastAsia="es-GT"/>
              </w:rPr>
            </w:pPr>
            <w:r w:rsidRPr="00FA31BF">
              <w:rPr>
                <w:color w:val="000000"/>
                <w:sz w:val="20"/>
                <w:szCs w:val="20"/>
                <w:lang w:val="es-GT" w:eastAsia="es-GT"/>
              </w:rPr>
              <w:t xml:space="preserve">        229.5 </w:t>
            </w:r>
          </w:p>
        </w:tc>
        <w:tc>
          <w:tcPr>
            <w:tcW w:w="1134" w:type="dxa"/>
            <w:tcBorders>
              <w:top w:val="nil"/>
              <w:left w:val="nil"/>
              <w:bottom w:val="nil"/>
              <w:right w:val="single" w:sz="8" w:space="0" w:color="auto"/>
            </w:tcBorders>
            <w:shd w:val="clear" w:color="000000" w:fill="FFFFFF"/>
            <w:noWrap/>
            <w:vAlign w:val="bottom"/>
            <w:hideMark/>
          </w:tcPr>
          <w:p w:rsidR="00FA31BF" w:rsidRPr="00FA31BF" w:rsidRDefault="00FA31BF" w:rsidP="00FA31BF">
            <w:pPr>
              <w:jc w:val="right"/>
              <w:rPr>
                <w:color w:val="000000"/>
                <w:sz w:val="20"/>
                <w:szCs w:val="20"/>
                <w:lang w:val="es-GT" w:eastAsia="es-GT"/>
              </w:rPr>
            </w:pPr>
            <w:r w:rsidRPr="00FA31BF">
              <w:rPr>
                <w:color w:val="000000"/>
                <w:sz w:val="20"/>
                <w:szCs w:val="20"/>
                <w:lang w:val="es-GT" w:eastAsia="es-GT"/>
              </w:rPr>
              <w:t>12.2%</w:t>
            </w:r>
          </w:p>
        </w:tc>
      </w:tr>
      <w:tr w:rsidR="00FA31BF" w:rsidRPr="00FA31BF" w:rsidTr="00FA31BF">
        <w:trPr>
          <w:trHeight w:val="315"/>
        </w:trPr>
        <w:tc>
          <w:tcPr>
            <w:tcW w:w="2992" w:type="dxa"/>
            <w:tcBorders>
              <w:top w:val="nil"/>
              <w:left w:val="single" w:sz="8" w:space="0" w:color="auto"/>
              <w:bottom w:val="nil"/>
              <w:right w:val="nil"/>
            </w:tcBorders>
            <w:shd w:val="clear" w:color="000000" w:fill="FFFFFF"/>
            <w:noWrap/>
            <w:vAlign w:val="bottom"/>
            <w:hideMark/>
          </w:tcPr>
          <w:p w:rsidR="00FA31BF" w:rsidRPr="00FA31BF" w:rsidRDefault="00FA31BF" w:rsidP="00FA31BF">
            <w:pPr>
              <w:rPr>
                <w:color w:val="000000"/>
                <w:sz w:val="20"/>
                <w:szCs w:val="20"/>
                <w:lang w:val="es-GT" w:eastAsia="es-GT"/>
              </w:rPr>
            </w:pPr>
            <w:r w:rsidRPr="00FA31BF">
              <w:rPr>
                <w:color w:val="000000"/>
                <w:sz w:val="20"/>
                <w:szCs w:val="20"/>
                <w:lang w:val="es-GT" w:eastAsia="es-GT"/>
              </w:rPr>
              <w:t>Organismo Judicial y C.C</w:t>
            </w:r>
          </w:p>
        </w:tc>
        <w:tc>
          <w:tcPr>
            <w:tcW w:w="1276" w:type="dxa"/>
            <w:tcBorders>
              <w:top w:val="nil"/>
              <w:left w:val="single" w:sz="4" w:space="0" w:color="auto"/>
              <w:bottom w:val="nil"/>
              <w:right w:val="single" w:sz="4" w:space="0" w:color="auto"/>
            </w:tcBorders>
            <w:shd w:val="clear" w:color="000000" w:fill="FFFFFF"/>
            <w:noWrap/>
            <w:vAlign w:val="bottom"/>
            <w:hideMark/>
          </w:tcPr>
          <w:p w:rsidR="00FA31BF" w:rsidRPr="00FA31BF" w:rsidRDefault="00FA31BF" w:rsidP="00FA31BF">
            <w:pPr>
              <w:rPr>
                <w:color w:val="000000"/>
                <w:sz w:val="20"/>
                <w:szCs w:val="20"/>
                <w:lang w:val="es-GT" w:eastAsia="es-GT"/>
              </w:rPr>
            </w:pPr>
            <w:r w:rsidRPr="00FA31BF">
              <w:rPr>
                <w:color w:val="000000"/>
                <w:sz w:val="20"/>
                <w:szCs w:val="20"/>
                <w:lang w:val="es-GT" w:eastAsia="es-GT"/>
              </w:rPr>
              <w:t xml:space="preserve">        988.7 </w:t>
            </w:r>
          </w:p>
        </w:tc>
        <w:tc>
          <w:tcPr>
            <w:tcW w:w="1276" w:type="dxa"/>
            <w:tcBorders>
              <w:top w:val="nil"/>
              <w:left w:val="nil"/>
              <w:bottom w:val="nil"/>
              <w:right w:val="single" w:sz="4" w:space="0" w:color="auto"/>
            </w:tcBorders>
            <w:shd w:val="clear" w:color="000000" w:fill="FFFFFF"/>
            <w:noWrap/>
            <w:vAlign w:val="bottom"/>
            <w:hideMark/>
          </w:tcPr>
          <w:p w:rsidR="00FA31BF" w:rsidRPr="00FA31BF" w:rsidRDefault="00FA31BF" w:rsidP="00FA31BF">
            <w:pPr>
              <w:rPr>
                <w:color w:val="000000"/>
                <w:sz w:val="20"/>
                <w:szCs w:val="20"/>
                <w:lang w:val="es-GT" w:eastAsia="es-GT"/>
              </w:rPr>
            </w:pPr>
            <w:r w:rsidRPr="00FA31BF">
              <w:rPr>
                <w:color w:val="000000"/>
                <w:sz w:val="20"/>
                <w:szCs w:val="20"/>
                <w:lang w:val="es-GT" w:eastAsia="es-GT"/>
              </w:rPr>
              <w:t xml:space="preserve">     1,123.8 </w:t>
            </w:r>
          </w:p>
        </w:tc>
        <w:tc>
          <w:tcPr>
            <w:tcW w:w="1275" w:type="dxa"/>
            <w:tcBorders>
              <w:top w:val="nil"/>
              <w:left w:val="nil"/>
              <w:bottom w:val="nil"/>
              <w:right w:val="single" w:sz="4" w:space="0" w:color="auto"/>
            </w:tcBorders>
            <w:shd w:val="clear" w:color="000000" w:fill="FFFFFF"/>
            <w:noWrap/>
            <w:vAlign w:val="bottom"/>
            <w:hideMark/>
          </w:tcPr>
          <w:p w:rsidR="00FA31BF" w:rsidRPr="00FA31BF" w:rsidRDefault="00FA31BF" w:rsidP="00FA31BF">
            <w:pPr>
              <w:rPr>
                <w:color w:val="000000"/>
                <w:sz w:val="20"/>
                <w:szCs w:val="20"/>
                <w:lang w:val="es-GT" w:eastAsia="es-GT"/>
              </w:rPr>
            </w:pPr>
            <w:r w:rsidRPr="00FA31BF">
              <w:rPr>
                <w:color w:val="000000"/>
                <w:sz w:val="20"/>
                <w:szCs w:val="20"/>
                <w:lang w:val="es-GT" w:eastAsia="es-GT"/>
              </w:rPr>
              <w:t xml:space="preserve">     1,298.7 </w:t>
            </w:r>
          </w:p>
        </w:tc>
        <w:tc>
          <w:tcPr>
            <w:tcW w:w="1134" w:type="dxa"/>
            <w:tcBorders>
              <w:top w:val="nil"/>
              <w:left w:val="nil"/>
              <w:bottom w:val="nil"/>
              <w:right w:val="single" w:sz="4" w:space="0" w:color="auto"/>
            </w:tcBorders>
            <w:shd w:val="clear" w:color="000000" w:fill="FFFFFF"/>
            <w:noWrap/>
            <w:vAlign w:val="bottom"/>
            <w:hideMark/>
          </w:tcPr>
          <w:p w:rsidR="00FA31BF" w:rsidRPr="00FA31BF" w:rsidRDefault="00FA31BF" w:rsidP="00FA31BF">
            <w:pPr>
              <w:rPr>
                <w:color w:val="000000"/>
                <w:sz w:val="20"/>
                <w:szCs w:val="20"/>
                <w:lang w:val="es-GT" w:eastAsia="es-GT"/>
              </w:rPr>
            </w:pPr>
            <w:r w:rsidRPr="00FA31BF">
              <w:rPr>
                <w:color w:val="000000"/>
                <w:sz w:val="20"/>
                <w:szCs w:val="20"/>
                <w:lang w:val="es-GT" w:eastAsia="es-GT"/>
              </w:rPr>
              <w:t xml:space="preserve">        174.9 </w:t>
            </w:r>
          </w:p>
        </w:tc>
        <w:tc>
          <w:tcPr>
            <w:tcW w:w="1134" w:type="dxa"/>
            <w:tcBorders>
              <w:top w:val="nil"/>
              <w:left w:val="nil"/>
              <w:bottom w:val="nil"/>
              <w:right w:val="single" w:sz="8" w:space="0" w:color="auto"/>
            </w:tcBorders>
            <w:shd w:val="clear" w:color="000000" w:fill="FFFFFF"/>
            <w:noWrap/>
            <w:vAlign w:val="bottom"/>
            <w:hideMark/>
          </w:tcPr>
          <w:p w:rsidR="00FA31BF" w:rsidRPr="00FA31BF" w:rsidRDefault="00FA31BF" w:rsidP="00FA31BF">
            <w:pPr>
              <w:jc w:val="right"/>
              <w:rPr>
                <w:color w:val="000000"/>
                <w:sz w:val="20"/>
                <w:szCs w:val="20"/>
                <w:lang w:val="es-GT" w:eastAsia="es-GT"/>
              </w:rPr>
            </w:pPr>
            <w:r w:rsidRPr="00FA31BF">
              <w:rPr>
                <w:color w:val="000000"/>
                <w:sz w:val="20"/>
                <w:szCs w:val="20"/>
                <w:lang w:val="es-GT" w:eastAsia="es-GT"/>
              </w:rPr>
              <w:t>15.6%</w:t>
            </w:r>
          </w:p>
        </w:tc>
      </w:tr>
      <w:tr w:rsidR="00FA31BF" w:rsidRPr="00FA31BF" w:rsidTr="00FA31BF">
        <w:trPr>
          <w:trHeight w:val="330"/>
        </w:trPr>
        <w:tc>
          <w:tcPr>
            <w:tcW w:w="2992" w:type="dxa"/>
            <w:tcBorders>
              <w:top w:val="nil"/>
              <w:left w:val="single" w:sz="8" w:space="0" w:color="auto"/>
              <w:bottom w:val="nil"/>
              <w:right w:val="nil"/>
            </w:tcBorders>
            <w:shd w:val="clear" w:color="000000" w:fill="FFFFFF"/>
            <w:noWrap/>
            <w:vAlign w:val="bottom"/>
            <w:hideMark/>
          </w:tcPr>
          <w:p w:rsidR="00FA31BF" w:rsidRPr="00FA31BF" w:rsidRDefault="00FA31BF" w:rsidP="00FA31BF">
            <w:pPr>
              <w:rPr>
                <w:color w:val="000000"/>
                <w:sz w:val="20"/>
                <w:szCs w:val="20"/>
                <w:lang w:val="es-GT" w:eastAsia="es-GT"/>
              </w:rPr>
            </w:pPr>
            <w:r w:rsidRPr="00FA31BF">
              <w:rPr>
                <w:color w:val="000000"/>
                <w:sz w:val="20"/>
                <w:szCs w:val="20"/>
                <w:lang w:val="es-GT" w:eastAsia="es-GT"/>
              </w:rPr>
              <w:t>Ministerio Público</w:t>
            </w:r>
          </w:p>
        </w:tc>
        <w:tc>
          <w:tcPr>
            <w:tcW w:w="1276" w:type="dxa"/>
            <w:tcBorders>
              <w:top w:val="nil"/>
              <w:left w:val="single" w:sz="4" w:space="0" w:color="auto"/>
              <w:bottom w:val="nil"/>
              <w:right w:val="single" w:sz="4" w:space="0" w:color="auto"/>
            </w:tcBorders>
            <w:shd w:val="clear" w:color="000000" w:fill="FFFFFF"/>
            <w:noWrap/>
            <w:vAlign w:val="bottom"/>
            <w:hideMark/>
          </w:tcPr>
          <w:p w:rsidR="00FA31BF" w:rsidRPr="00FA31BF" w:rsidRDefault="00FA31BF" w:rsidP="00FA31BF">
            <w:pPr>
              <w:rPr>
                <w:color w:val="000000"/>
                <w:sz w:val="20"/>
                <w:szCs w:val="20"/>
                <w:lang w:val="es-GT" w:eastAsia="es-GT"/>
              </w:rPr>
            </w:pPr>
            <w:r w:rsidRPr="00FA31BF">
              <w:rPr>
                <w:color w:val="000000"/>
                <w:sz w:val="20"/>
                <w:szCs w:val="20"/>
                <w:lang w:val="es-GT" w:eastAsia="es-GT"/>
              </w:rPr>
              <w:t xml:space="preserve">        634.5 </w:t>
            </w:r>
          </w:p>
        </w:tc>
        <w:tc>
          <w:tcPr>
            <w:tcW w:w="1276" w:type="dxa"/>
            <w:tcBorders>
              <w:top w:val="nil"/>
              <w:left w:val="nil"/>
              <w:bottom w:val="nil"/>
              <w:right w:val="single" w:sz="4" w:space="0" w:color="auto"/>
            </w:tcBorders>
            <w:shd w:val="clear" w:color="000000" w:fill="FFFFFF"/>
            <w:noWrap/>
            <w:vAlign w:val="bottom"/>
            <w:hideMark/>
          </w:tcPr>
          <w:p w:rsidR="00FA31BF" w:rsidRPr="00FA31BF" w:rsidRDefault="00FA31BF" w:rsidP="00FA31BF">
            <w:pPr>
              <w:rPr>
                <w:color w:val="000000"/>
                <w:sz w:val="20"/>
                <w:szCs w:val="20"/>
                <w:lang w:val="es-GT" w:eastAsia="es-GT"/>
              </w:rPr>
            </w:pPr>
            <w:r w:rsidRPr="00FA31BF">
              <w:rPr>
                <w:color w:val="000000"/>
                <w:sz w:val="20"/>
                <w:szCs w:val="20"/>
                <w:lang w:val="es-GT" w:eastAsia="es-GT"/>
              </w:rPr>
              <w:t xml:space="preserve">        956.0 </w:t>
            </w:r>
          </w:p>
        </w:tc>
        <w:tc>
          <w:tcPr>
            <w:tcW w:w="1275" w:type="dxa"/>
            <w:tcBorders>
              <w:top w:val="nil"/>
              <w:left w:val="nil"/>
              <w:bottom w:val="nil"/>
              <w:right w:val="single" w:sz="4" w:space="0" w:color="auto"/>
            </w:tcBorders>
            <w:shd w:val="clear" w:color="000000" w:fill="FFFFFF"/>
            <w:noWrap/>
            <w:vAlign w:val="bottom"/>
            <w:hideMark/>
          </w:tcPr>
          <w:p w:rsidR="00FA31BF" w:rsidRPr="00FA31BF" w:rsidRDefault="00FA31BF" w:rsidP="00FA31BF">
            <w:pPr>
              <w:rPr>
                <w:color w:val="000000"/>
                <w:sz w:val="20"/>
                <w:szCs w:val="20"/>
                <w:lang w:val="es-GT" w:eastAsia="es-GT"/>
              </w:rPr>
            </w:pPr>
            <w:r w:rsidRPr="00FA31BF">
              <w:rPr>
                <w:color w:val="000000"/>
                <w:sz w:val="20"/>
                <w:szCs w:val="20"/>
                <w:lang w:val="es-GT" w:eastAsia="es-GT"/>
              </w:rPr>
              <w:t xml:space="preserve">        841.8 </w:t>
            </w:r>
          </w:p>
        </w:tc>
        <w:tc>
          <w:tcPr>
            <w:tcW w:w="1134" w:type="dxa"/>
            <w:tcBorders>
              <w:top w:val="nil"/>
              <w:left w:val="nil"/>
              <w:bottom w:val="nil"/>
              <w:right w:val="single" w:sz="4" w:space="0" w:color="auto"/>
            </w:tcBorders>
            <w:shd w:val="clear" w:color="000000" w:fill="FFFFFF"/>
            <w:noWrap/>
            <w:vAlign w:val="bottom"/>
            <w:hideMark/>
          </w:tcPr>
          <w:p w:rsidR="00FA31BF" w:rsidRPr="00FA31BF" w:rsidRDefault="00FA31BF" w:rsidP="00FA31BF">
            <w:pPr>
              <w:rPr>
                <w:color w:val="000000"/>
                <w:sz w:val="20"/>
                <w:szCs w:val="20"/>
                <w:lang w:val="es-GT" w:eastAsia="es-GT"/>
              </w:rPr>
            </w:pPr>
            <w:r w:rsidRPr="00FA31BF">
              <w:rPr>
                <w:color w:val="000000"/>
                <w:sz w:val="20"/>
                <w:szCs w:val="20"/>
                <w:lang w:val="es-GT" w:eastAsia="es-GT"/>
              </w:rPr>
              <w:t xml:space="preserve">       (114.2)</w:t>
            </w:r>
          </w:p>
        </w:tc>
        <w:tc>
          <w:tcPr>
            <w:tcW w:w="1134" w:type="dxa"/>
            <w:tcBorders>
              <w:top w:val="nil"/>
              <w:left w:val="nil"/>
              <w:bottom w:val="nil"/>
              <w:right w:val="single" w:sz="8" w:space="0" w:color="auto"/>
            </w:tcBorders>
            <w:shd w:val="clear" w:color="000000" w:fill="FFFFFF"/>
            <w:noWrap/>
            <w:vAlign w:val="bottom"/>
            <w:hideMark/>
          </w:tcPr>
          <w:p w:rsidR="00FA31BF" w:rsidRPr="00FA31BF" w:rsidRDefault="00FA31BF" w:rsidP="00FA31BF">
            <w:pPr>
              <w:jc w:val="right"/>
              <w:rPr>
                <w:color w:val="000000"/>
                <w:sz w:val="20"/>
                <w:szCs w:val="20"/>
                <w:lang w:val="es-GT" w:eastAsia="es-GT"/>
              </w:rPr>
            </w:pPr>
            <w:r w:rsidRPr="00FA31BF">
              <w:rPr>
                <w:color w:val="000000"/>
                <w:sz w:val="20"/>
                <w:szCs w:val="20"/>
                <w:lang w:val="es-GT" w:eastAsia="es-GT"/>
              </w:rPr>
              <w:t>-11.9%</w:t>
            </w:r>
          </w:p>
        </w:tc>
      </w:tr>
      <w:tr w:rsidR="00FA31BF" w:rsidRPr="00FA31BF" w:rsidTr="00FA31BF">
        <w:trPr>
          <w:trHeight w:val="330"/>
        </w:trPr>
        <w:tc>
          <w:tcPr>
            <w:tcW w:w="2992" w:type="dxa"/>
            <w:tcBorders>
              <w:top w:val="nil"/>
              <w:left w:val="single" w:sz="8" w:space="0" w:color="auto"/>
              <w:bottom w:val="single" w:sz="8" w:space="0" w:color="auto"/>
              <w:right w:val="single" w:sz="4" w:space="0" w:color="auto"/>
            </w:tcBorders>
            <w:shd w:val="clear" w:color="auto" w:fill="auto"/>
            <w:noWrap/>
            <w:vAlign w:val="bottom"/>
            <w:hideMark/>
          </w:tcPr>
          <w:p w:rsidR="00FA31BF" w:rsidRPr="00FA31BF" w:rsidRDefault="00FA31BF" w:rsidP="00FA31BF">
            <w:pPr>
              <w:jc w:val="center"/>
              <w:rPr>
                <w:b/>
                <w:bCs/>
                <w:color w:val="000000"/>
                <w:sz w:val="20"/>
                <w:szCs w:val="20"/>
                <w:lang w:val="es-GT" w:eastAsia="es-GT"/>
              </w:rPr>
            </w:pPr>
            <w:r w:rsidRPr="00FA31BF">
              <w:rPr>
                <w:b/>
                <w:bCs/>
                <w:color w:val="000000"/>
                <w:sz w:val="20"/>
                <w:szCs w:val="20"/>
                <w:lang w:val="es-GT" w:eastAsia="es-GT"/>
              </w:rPr>
              <w:t>Sector Justicia</w:t>
            </w:r>
          </w:p>
        </w:tc>
        <w:tc>
          <w:tcPr>
            <w:tcW w:w="1276" w:type="dxa"/>
            <w:tcBorders>
              <w:top w:val="nil"/>
              <w:left w:val="single" w:sz="4" w:space="0" w:color="auto"/>
              <w:bottom w:val="single" w:sz="8" w:space="0" w:color="auto"/>
              <w:right w:val="single" w:sz="4" w:space="0" w:color="auto"/>
            </w:tcBorders>
            <w:shd w:val="clear" w:color="auto" w:fill="auto"/>
            <w:noWrap/>
            <w:vAlign w:val="bottom"/>
            <w:hideMark/>
          </w:tcPr>
          <w:p w:rsidR="00FA31BF" w:rsidRPr="00FA31BF" w:rsidRDefault="00FA31BF" w:rsidP="00FA31BF">
            <w:pPr>
              <w:rPr>
                <w:b/>
                <w:bCs/>
                <w:color w:val="000000"/>
                <w:sz w:val="20"/>
                <w:szCs w:val="20"/>
                <w:lang w:val="es-GT" w:eastAsia="es-GT"/>
              </w:rPr>
            </w:pPr>
            <w:r w:rsidRPr="00FA31BF">
              <w:rPr>
                <w:b/>
                <w:bCs/>
                <w:color w:val="000000"/>
                <w:sz w:val="20"/>
                <w:szCs w:val="20"/>
                <w:lang w:val="es-GT" w:eastAsia="es-GT"/>
              </w:rPr>
              <w:t xml:space="preserve">     3,380.9 </w:t>
            </w:r>
          </w:p>
        </w:tc>
        <w:tc>
          <w:tcPr>
            <w:tcW w:w="1276" w:type="dxa"/>
            <w:tcBorders>
              <w:top w:val="nil"/>
              <w:left w:val="nil"/>
              <w:bottom w:val="single" w:sz="8" w:space="0" w:color="auto"/>
              <w:right w:val="single" w:sz="4" w:space="0" w:color="auto"/>
            </w:tcBorders>
            <w:shd w:val="clear" w:color="auto" w:fill="auto"/>
            <w:noWrap/>
            <w:vAlign w:val="bottom"/>
            <w:hideMark/>
          </w:tcPr>
          <w:p w:rsidR="00FA31BF" w:rsidRPr="00FA31BF" w:rsidRDefault="00FA31BF" w:rsidP="00FA31BF">
            <w:pPr>
              <w:rPr>
                <w:b/>
                <w:bCs/>
                <w:color w:val="000000"/>
                <w:sz w:val="20"/>
                <w:szCs w:val="20"/>
                <w:lang w:val="es-GT" w:eastAsia="es-GT"/>
              </w:rPr>
            </w:pPr>
            <w:r w:rsidRPr="00FA31BF">
              <w:rPr>
                <w:b/>
                <w:bCs/>
                <w:color w:val="000000"/>
                <w:sz w:val="20"/>
                <w:szCs w:val="20"/>
                <w:lang w:val="es-GT" w:eastAsia="es-GT"/>
              </w:rPr>
              <w:t xml:space="preserve">     3,964.5 </w:t>
            </w:r>
          </w:p>
        </w:tc>
        <w:tc>
          <w:tcPr>
            <w:tcW w:w="1275" w:type="dxa"/>
            <w:tcBorders>
              <w:top w:val="nil"/>
              <w:left w:val="nil"/>
              <w:bottom w:val="single" w:sz="8" w:space="0" w:color="auto"/>
              <w:right w:val="single" w:sz="4" w:space="0" w:color="auto"/>
            </w:tcBorders>
            <w:shd w:val="clear" w:color="auto" w:fill="auto"/>
            <w:noWrap/>
            <w:vAlign w:val="bottom"/>
            <w:hideMark/>
          </w:tcPr>
          <w:p w:rsidR="00FA31BF" w:rsidRPr="00FA31BF" w:rsidRDefault="00FA31BF" w:rsidP="00FA31BF">
            <w:pPr>
              <w:rPr>
                <w:b/>
                <w:bCs/>
                <w:color w:val="000000"/>
                <w:sz w:val="20"/>
                <w:szCs w:val="20"/>
                <w:lang w:val="es-GT" w:eastAsia="es-GT"/>
              </w:rPr>
            </w:pPr>
            <w:r w:rsidRPr="00FA31BF">
              <w:rPr>
                <w:b/>
                <w:bCs/>
                <w:color w:val="000000"/>
                <w:sz w:val="20"/>
                <w:szCs w:val="20"/>
                <w:lang w:val="es-GT" w:eastAsia="es-GT"/>
              </w:rPr>
              <w:t xml:space="preserve">     4,254.7 </w:t>
            </w:r>
          </w:p>
        </w:tc>
        <w:tc>
          <w:tcPr>
            <w:tcW w:w="1134" w:type="dxa"/>
            <w:tcBorders>
              <w:top w:val="nil"/>
              <w:left w:val="nil"/>
              <w:bottom w:val="single" w:sz="8" w:space="0" w:color="auto"/>
              <w:right w:val="single" w:sz="4" w:space="0" w:color="auto"/>
            </w:tcBorders>
            <w:shd w:val="clear" w:color="auto" w:fill="auto"/>
            <w:noWrap/>
            <w:vAlign w:val="bottom"/>
            <w:hideMark/>
          </w:tcPr>
          <w:p w:rsidR="00FA31BF" w:rsidRPr="00FA31BF" w:rsidRDefault="00FA31BF" w:rsidP="00FA31BF">
            <w:pPr>
              <w:rPr>
                <w:b/>
                <w:bCs/>
                <w:color w:val="000000"/>
                <w:sz w:val="20"/>
                <w:szCs w:val="20"/>
                <w:lang w:val="es-GT" w:eastAsia="es-GT"/>
              </w:rPr>
            </w:pPr>
            <w:r w:rsidRPr="00FA31BF">
              <w:rPr>
                <w:b/>
                <w:bCs/>
                <w:color w:val="000000"/>
                <w:sz w:val="20"/>
                <w:szCs w:val="20"/>
                <w:lang w:val="es-GT" w:eastAsia="es-GT"/>
              </w:rPr>
              <w:t xml:space="preserve">        290.2 </w:t>
            </w:r>
          </w:p>
        </w:tc>
        <w:tc>
          <w:tcPr>
            <w:tcW w:w="1134" w:type="dxa"/>
            <w:tcBorders>
              <w:top w:val="nil"/>
              <w:left w:val="nil"/>
              <w:bottom w:val="single" w:sz="8" w:space="0" w:color="auto"/>
              <w:right w:val="single" w:sz="8" w:space="0" w:color="auto"/>
            </w:tcBorders>
            <w:shd w:val="clear" w:color="000000" w:fill="FFFFFF"/>
            <w:noWrap/>
            <w:vAlign w:val="bottom"/>
            <w:hideMark/>
          </w:tcPr>
          <w:p w:rsidR="00FA31BF" w:rsidRPr="00FA31BF" w:rsidRDefault="00FA31BF" w:rsidP="00FA31BF">
            <w:pPr>
              <w:jc w:val="right"/>
              <w:rPr>
                <w:b/>
                <w:bCs/>
                <w:color w:val="000000"/>
                <w:sz w:val="20"/>
                <w:szCs w:val="20"/>
                <w:lang w:val="es-GT" w:eastAsia="es-GT"/>
              </w:rPr>
            </w:pPr>
            <w:r w:rsidRPr="00FA31BF">
              <w:rPr>
                <w:b/>
                <w:bCs/>
                <w:color w:val="000000"/>
                <w:sz w:val="20"/>
                <w:szCs w:val="20"/>
                <w:lang w:val="es-GT" w:eastAsia="es-GT"/>
              </w:rPr>
              <w:t>7.3%</w:t>
            </w:r>
          </w:p>
        </w:tc>
      </w:tr>
    </w:tbl>
    <w:p w:rsidR="00AB0496" w:rsidRPr="009E05CC" w:rsidRDefault="00AB0496" w:rsidP="00E021FF">
      <w:pPr>
        <w:jc w:val="both"/>
        <w:rPr>
          <w:sz w:val="16"/>
          <w:lang w:val="es-MX"/>
        </w:rPr>
      </w:pPr>
      <w:r w:rsidRPr="009E05CC">
        <w:rPr>
          <w:sz w:val="16"/>
          <w:lang w:val="es-MX"/>
        </w:rPr>
        <w:t>Fuente: Ministerio de Finanzas Públicas con base al SICOIN.</w:t>
      </w:r>
    </w:p>
    <w:p w:rsidR="00AB0496" w:rsidRPr="009E05CC" w:rsidRDefault="00AB0496" w:rsidP="00E021FF">
      <w:pPr>
        <w:jc w:val="both"/>
        <w:rPr>
          <w:sz w:val="16"/>
          <w:lang w:val="es-MX"/>
        </w:rPr>
      </w:pPr>
      <w:r w:rsidRPr="009E05CC">
        <w:rPr>
          <w:sz w:val="16"/>
          <w:lang w:val="es-MX"/>
        </w:rPr>
        <w:t>* Cifras preliminares</w:t>
      </w:r>
      <w:r w:rsidR="000A3EE5">
        <w:rPr>
          <w:sz w:val="16"/>
          <w:lang w:val="es-MX"/>
        </w:rPr>
        <w:t>.</w:t>
      </w:r>
    </w:p>
    <w:p w:rsidR="00AB0496" w:rsidRDefault="00AB0496" w:rsidP="00AB0496">
      <w:pPr>
        <w:rPr>
          <w:lang w:val="es-MX"/>
        </w:rPr>
      </w:pPr>
    </w:p>
    <w:p w:rsidR="00522477" w:rsidRPr="009E05CC" w:rsidRDefault="00522477" w:rsidP="00AB0496">
      <w:pPr>
        <w:rPr>
          <w:lang w:val="es-MX"/>
        </w:rPr>
      </w:pPr>
    </w:p>
    <w:p w:rsidR="00AB0496" w:rsidRDefault="00AB0496" w:rsidP="00AB0496">
      <w:pPr>
        <w:jc w:val="both"/>
        <w:rPr>
          <w:lang w:val="es-MX"/>
        </w:rPr>
      </w:pPr>
      <w:r w:rsidRPr="009E05CC">
        <w:rPr>
          <w:lang w:val="es-MX"/>
        </w:rPr>
        <w:t>Dentro del porcentaje de ejecución presupuestaria total, de acuerdo a las cifras observadas, el año de mayor ejecución</w:t>
      </w:r>
      <w:r>
        <w:rPr>
          <w:lang w:val="es-MX"/>
        </w:rPr>
        <w:t xml:space="preserve"> </w:t>
      </w:r>
      <w:r w:rsidRPr="009E05CC">
        <w:rPr>
          <w:lang w:val="es-MX"/>
        </w:rPr>
        <w:t>es 201</w:t>
      </w:r>
      <w:r>
        <w:rPr>
          <w:lang w:val="es-MX"/>
        </w:rPr>
        <w:t xml:space="preserve">8; en el cual, </w:t>
      </w:r>
      <w:r w:rsidRPr="009E05CC">
        <w:rPr>
          <w:lang w:val="es-MX"/>
        </w:rPr>
        <w:t xml:space="preserve">el gasto destinado a los sectores de los Acuerdos de Paz </w:t>
      </w:r>
      <w:r>
        <w:rPr>
          <w:lang w:val="es-MX"/>
        </w:rPr>
        <w:t>corresponde al</w:t>
      </w:r>
      <w:r w:rsidRPr="009E05CC">
        <w:rPr>
          <w:lang w:val="es-MX"/>
        </w:rPr>
        <w:t xml:space="preserve"> </w:t>
      </w:r>
      <w:r>
        <w:rPr>
          <w:lang w:val="es-MX"/>
        </w:rPr>
        <w:t xml:space="preserve">43.5% y al </w:t>
      </w:r>
      <w:r w:rsidR="00FA31BF">
        <w:rPr>
          <w:lang w:val="es-MX"/>
        </w:rPr>
        <w:t>S</w:t>
      </w:r>
      <w:r>
        <w:rPr>
          <w:lang w:val="es-MX"/>
        </w:rPr>
        <w:t xml:space="preserve">ector </w:t>
      </w:r>
      <w:r w:rsidR="00FA31BF">
        <w:rPr>
          <w:lang w:val="es-MX"/>
        </w:rPr>
        <w:t>J</w:t>
      </w:r>
      <w:r>
        <w:rPr>
          <w:lang w:val="es-MX"/>
        </w:rPr>
        <w:t>usticia el 13.1%.</w:t>
      </w:r>
    </w:p>
    <w:p w:rsidR="00AB0496" w:rsidRPr="009E05CC" w:rsidRDefault="00AB0496" w:rsidP="00AB0496">
      <w:pPr>
        <w:jc w:val="both"/>
        <w:rPr>
          <w:lang w:val="es-MX"/>
        </w:rPr>
      </w:pPr>
    </w:p>
    <w:p w:rsidR="00AB0496" w:rsidRPr="009E05CC" w:rsidRDefault="00AB0496" w:rsidP="00AB0496">
      <w:pPr>
        <w:jc w:val="both"/>
        <w:rPr>
          <w:lang w:val="es-MX"/>
        </w:rPr>
      </w:pPr>
      <w:r w:rsidRPr="009E05CC">
        <w:rPr>
          <w:lang w:val="es-MX"/>
        </w:rPr>
        <w:t xml:space="preserve">Al observar las cifras desagregadas, </w:t>
      </w:r>
      <w:r>
        <w:rPr>
          <w:lang w:val="es-MX"/>
        </w:rPr>
        <w:t xml:space="preserve">en 2016 </w:t>
      </w:r>
      <w:r w:rsidRPr="009E05CC">
        <w:rPr>
          <w:lang w:val="es-MX"/>
        </w:rPr>
        <w:t xml:space="preserve">el </w:t>
      </w:r>
      <w:r w:rsidR="00FA31BF">
        <w:rPr>
          <w:lang w:val="es-MX"/>
        </w:rPr>
        <w:t>G</w:t>
      </w:r>
      <w:r w:rsidRPr="009E05CC">
        <w:rPr>
          <w:lang w:val="es-MX"/>
        </w:rPr>
        <w:t xml:space="preserve">asto </w:t>
      </w:r>
      <w:r w:rsidR="00FA31BF">
        <w:rPr>
          <w:lang w:val="es-MX"/>
        </w:rPr>
        <w:t>S</w:t>
      </w:r>
      <w:r w:rsidRPr="009E05CC">
        <w:rPr>
          <w:lang w:val="es-MX"/>
        </w:rPr>
        <w:t>ocial reporta la mayor ejecución</w:t>
      </w:r>
      <w:r>
        <w:rPr>
          <w:lang w:val="es-MX"/>
        </w:rPr>
        <w:t xml:space="preserve"> en </w:t>
      </w:r>
      <w:r w:rsidRPr="009E05CC">
        <w:rPr>
          <w:lang w:val="es-MX"/>
        </w:rPr>
        <w:t xml:space="preserve">el período </w:t>
      </w:r>
      <w:r>
        <w:rPr>
          <w:lang w:val="es-MX"/>
        </w:rPr>
        <w:t>con un porcentaje de</w:t>
      </w:r>
      <w:r w:rsidRPr="009E05CC">
        <w:rPr>
          <w:lang w:val="es-MX"/>
        </w:rPr>
        <w:t xml:space="preserve"> </w:t>
      </w:r>
      <w:r>
        <w:rPr>
          <w:lang w:val="es-MX"/>
        </w:rPr>
        <w:t>44.3</w:t>
      </w:r>
      <w:r w:rsidRPr="009E05CC">
        <w:rPr>
          <w:lang w:val="es-MX"/>
        </w:rPr>
        <w:t xml:space="preserve">% del gasto total, en tanto que </w:t>
      </w:r>
      <w:r>
        <w:rPr>
          <w:lang w:val="es-MX"/>
        </w:rPr>
        <w:t>e</w:t>
      </w:r>
      <w:r w:rsidRPr="009E05CC">
        <w:rPr>
          <w:lang w:val="es-MX"/>
        </w:rPr>
        <w:t>l gasto destinado al sector justicia, ha mantenido un aumento constante, pasando de 1</w:t>
      </w:r>
      <w:r>
        <w:rPr>
          <w:lang w:val="es-MX"/>
        </w:rPr>
        <w:t>1.8</w:t>
      </w:r>
      <w:r w:rsidRPr="009E05CC">
        <w:rPr>
          <w:lang w:val="es-MX"/>
        </w:rPr>
        <w:t>% en 201</w:t>
      </w:r>
      <w:r>
        <w:rPr>
          <w:lang w:val="es-MX"/>
        </w:rPr>
        <w:t xml:space="preserve">6, </w:t>
      </w:r>
      <w:r w:rsidRPr="009E05CC">
        <w:rPr>
          <w:lang w:val="es-MX"/>
        </w:rPr>
        <w:t>1</w:t>
      </w:r>
      <w:r>
        <w:rPr>
          <w:lang w:val="es-MX"/>
        </w:rPr>
        <w:t>2.9</w:t>
      </w:r>
      <w:r w:rsidRPr="009E05CC">
        <w:rPr>
          <w:lang w:val="es-MX"/>
        </w:rPr>
        <w:t>% en 201</w:t>
      </w:r>
      <w:r>
        <w:rPr>
          <w:lang w:val="es-MX"/>
        </w:rPr>
        <w:t>7</w:t>
      </w:r>
      <w:r w:rsidRPr="009E05CC">
        <w:rPr>
          <w:lang w:val="es-MX"/>
        </w:rPr>
        <w:t xml:space="preserve"> y </w:t>
      </w:r>
      <w:r>
        <w:rPr>
          <w:lang w:val="es-MX"/>
        </w:rPr>
        <w:t>13.1% para 2018,</w:t>
      </w:r>
      <w:r w:rsidRPr="009E05CC">
        <w:rPr>
          <w:lang w:val="es-MX"/>
        </w:rPr>
        <w:t xml:space="preserve"> </w:t>
      </w:r>
      <w:r>
        <w:rPr>
          <w:lang w:val="es-MX"/>
        </w:rPr>
        <w:t xml:space="preserve">orientado </w:t>
      </w:r>
      <w:r w:rsidRPr="009E05CC">
        <w:rPr>
          <w:lang w:val="es-MX"/>
        </w:rPr>
        <w:t xml:space="preserve">principalmente </w:t>
      </w:r>
      <w:r>
        <w:rPr>
          <w:lang w:val="es-MX"/>
        </w:rPr>
        <w:t>a Seguridad Interna.</w:t>
      </w:r>
    </w:p>
    <w:p w:rsidR="00E635A3" w:rsidRDefault="00E635A3" w:rsidP="00AB0496">
      <w:pPr>
        <w:jc w:val="center"/>
        <w:rPr>
          <w:b/>
          <w:sz w:val="22"/>
          <w:szCs w:val="22"/>
          <w:lang w:val="es-MX"/>
        </w:rPr>
      </w:pPr>
    </w:p>
    <w:p w:rsidR="00AB0496" w:rsidRPr="0088577C" w:rsidRDefault="00AB0496" w:rsidP="00AB0496">
      <w:pPr>
        <w:jc w:val="center"/>
        <w:rPr>
          <w:b/>
          <w:sz w:val="22"/>
          <w:szCs w:val="22"/>
          <w:lang w:val="es-MX"/>
        </w:rPr>
      </w:pPr>
      <w:r w:rsidRPr="0088577C">
        <w:rPr>
          <w:b/>
          <w:sz w:val="22"/>
          <w:szCs w:val="22"/>
          <w:lang w:val="es-MX"/>
        </w:rPr>
        <w:t xml:space="preserve">Cuadro </w:t>
      </w:r>
      <w:r w:rsidR="00E5644C">
        <w:rPr>
          <w:b/>
          <w:sz w:val="22"/>
          <w:szCs w:val="22"/>
          <w:lang w:val="es-MX"/>
        </w:rPr>
        <w:t>6</w:t>
      </w:r>
    </w:p>
    <w:p w:rsidR="00AB0496" w:rsidRPr="0088577C" w:rsidRDefault="00AB0496" w:rsidP="00AB0496">
      <w:pPr>
        <w:jc w:val="center"/>
        <w:rPr>
          <w:b/>
          <w:sz w:val="22"/>
          <w:szCs w:val="22"/>
          <w:lang w:val="es-MX"/>
        </w:rPr>
      </w:pPr>
      <w:r w:rsidRPr="0088577C">
        <w:rPr>
          <w:b/>
          <w:sz w:val="22"/>
          <w:szCs w:val="22"/>
          <w:lang w:val="es-MX"/>
        </w:rPr>
        <w:t>Ejecución Presupuestaria del Gasto Social y Acuerdos de Paz</w:t>
      </w:r>
    </w:p>
    <w:p w:rsidR="00AB0496" w:rsidRDefault="00AB0496" w:rsidP="00AB0496">
      <w:pPr>
        <w:jc w:val="center"/>
        <w:rPr>
          <w:b/>
          <w:sz w:val="22"/>
          <w:szCs w:val="22"/>
          <w:lang w:val="es-MX"/>
        </w:rPr>
      </w:pPr>
      <w:r w:rsidRPr="0088577C">
        <w:rPr>
          <w:b/>
          <w:sz w:val="22"/>
          <w:szCs w:val="22"/>
          <w:lang w:val="es-MX"/>
        </w:rPr>
        <w:t>Al 30 de junio de cada año</w:t>
      </w:r>
    </w:p>
    <w:p w:rsidR="00AB0496" w:rsidRDefault="00F14D52" w:rsidP="00AB0496">
      <w:pPr>
        <w:jc w:val="center"/>
        <w:rPr>
          <w:b/>
          <w:sz w:val="22"/>
          <w:szCs w:val="22"/>
          <w:lang w:val="es-MX"/>
        </w:rPr>
      </w:pPr>
      <w:r>
        <w:rPr>
          <w:b/>
          <w:sz w:val="22"/>
          <w:szCs w:val="22"/>
          <w:lang w:val="es-MX"/>
        </w:rPr>
        <w:t>(En P</w:t>
      </w:r>
      <w:r w:rsidR="00AB0496">
        <w:rPr>
          <w:b/>
          <w:sz w:val="22"/>
          <w:szCs w:val="22"/>
          <w:lang w:val="es-MX"/>
        </w:rPr>
        <w:t>orcentaje</w:t>
      </w:r>
      <w:r>
        <w:rPr>
          <w:b/>
          <w:sz w:val="22"/>
          <w:szCs w:val="22"/>
          <w:lang w:val="es-MX"/>
        </w:rPr>
        <w:t>s</w:t>
      </w:r>
      <w:r w:rsidR="00AB0496">
        <w:rPr>
          <w:b/>
          <w:sz w:val="22"/>
          <w:szCs w:val="22"/>
          <w:lang w:val="es-MX"/>
        </w:rPr>
        <w:t xml:space="preserve"> del </w:t>
      </w:r>
      <w:r>
        <w:rPr>
          <w:b/>
          <w:sz w:val="22"/>
          <w:szCs w:val="22"/>
          <w:lang w:val="es-MX"/>
        </w:rPr>
        <w:t>P</w:t>
      </w:r>
      <w:r w:rsidR="00AB0496">
        <w:rPr>
          <w:b/>
          <w:sz w:val="22"/>
          <w:szCs w:val="22"/>
          <w:lang w:val="es-MX"/>
        </w:rPr>
        <w:t xml:space="preserve">resupuesto </w:t>
      </w:r>
      <w:r>
        <w:rPr>
          <w:b/>
          <w:sz w:val="22"/>
          <w:szCs w:val="22"/>
          <w:lang w:val="es-MX"/>
        </w:rPr>
        <w:t>E</w:t>
      </w:r>
      <w:r w:rsidR="00AB0496">
        <w:rPr>
          <w:b/>
          <w:sz w:val="22"/>
          <w:szCs w:val="22"/>
          <w:lang w:val="es-MX"/>
        </w:rPr>
        <w:t>jecutado</w:t>
      </w:r>
      <w:r>
        <w:rPr>
          <w:b/>
          <w:sz w:val="22"/>
          <w:szCs w:val="22"/>
          <w:lang w:val="es-MX"/>
        </w:rPr>
        <w:t>)</w:t>
      </w:r>
    </w:p>
    <w:tbl>
      <w:tblPr>
        <w:tblW w:w="8946" w:type="dxa"/>
        <w:tblInd w:w="55" w:type="dxa"/>
        <w:tblCellMar>
          <w:left w:w="70" w:type="dxa"/>
          <w:right w:w="70" w:type="dxa"/>
        </w:tblCellMar>
        <w:tblLook w:val="04A0" w:firstRow="1" w:lastRow="0" w:firstColumn="1" w:lastColumn="0" w:noHBand="0" w:noVBand="1"/>
      </w:tblPr>
      <w:tblGrid>
        <w:gridCol w:w="3417"/>
        <w:gridCol w:w="1985"/>
        <w:gridCol w:w="1843"/>
        <w:gridCol w:w="1701"/>
      </w:tblGrid>
      <w:tr w:rsidR="00AB0496" w:rsidRPr="00747B18" w:rsidTr="000A3EE5">
        <w:trPr>
          <w:trHeight w:val="315"/>
        </w:trPr>
        <w:tc>
          <w:tcPr>
            <w:tcW w:w="3417" w:type="dxa"/>
            <w:tcBorders>
              <w:top w:val="single" w:sz="8" w:space="0" w:color="auto"/>
              <w:left w:val="single" w:sz="8" w:space="0" w:color="auto"/>
              <w:bottom w:val="single" w:sz="4" w:space="0" w:color="auto"/>
              <w:right w:val="nil"/>
            </w:tcBorders>
            <w:shd w:val="clear" w:color="000000" w:fill="8DB4E2"/>
            <w:noWrap/>
            <w:vAlign w:val="center"/>
            <w:hideMark/>
          </w:tcPr>
          <w:p w:rsidR="00AB0496" w:rsidRPr="00747B18" w:rsidRDefault="00AB0496" w:rsidP="00AB0496">
            <w:pPr>
              <w:jc w:val="center"/>
              <w:rPr>
                <w:b/>
                <w:bCs/>
                <w:color w:val="000000"/>
                <w:sz w:val="22"/>
                <w:szCs w:val="22"/>
                <w:lang w:val="es-GT" w:eastAsia="es-GT"/>
              </w:rPr>
            </w:pPr>
            <w:r w:rsidRPr="00747B18">
              <w:rPr>
                <w:b/>
                <w:bCs/>
                <w:color w:val="000000"/>
                <w:sz w:val="22"/>
                <w:szCs w:val="22"/>
                <w:lang w:val="es-GT" w:eastAsia="es-GT"/>
              </w:rPr>
              <w:t>Sector</w:t>
            </w:r>
          </w:p>
        </w:tc>
        <w:tc>
          <w:tcPr>
            <w:tcW w:w="1985" w:type="dxa"/>
            <w:tcBorders>
              <w:top w:val="single" w:sz="8" w:space="0" w:color="auto"/>
              <w:left w:val="single" w:sz="4" w:space="0" w:color="auto"/>
              <w:bottom w:val="single" w:sz="4" w:space="0" w:color="auto"/>
              <w:right w:val="single" w:sz="4" w:space="0" w:color="auto"/>
            </w:tcBorders>
            <w:shd w:val="clear" w:color="000000" w:fill="8DB4E2"/>
            <w:noWrap/>
            <w:vAlign w:val="center"/>
            <w:hideMark/>
          </w:tcPr>
          <w:p w:rsidR="00AB0496" w:rsidRPr="00747B18" w:rsidRDefault="00AB0496" w:rsidP="00AB0496">
            <w:pPr>
              <w:jc w:val="center"/>
              <w:rPr>
                <w:b/>
                <w:bCs/>
                <w:color w:val="000000"/>
                <w:sz w:val="22"/>
                <w:szCs w:val="22"/>
                <w:lang w:val="es-GT" w:eastAsia="es-GT"/>
              </w:rPr>
            </w:pPr>
            <w:r w:rsidRPr="00747B18">
              <w:rPr>
                <w:b/>
                <w:bCs/>
                <w:color w:val="000000"/>
                <w:sz w:val="22"/>
                <w:szCs w:val="22"/>
                <w:lang w:val="es-GT" w:eastAsia="es-GT"/>
              </w:rPr>
              <w:t>2016</w:t>
            </w:r>
          </w:p>
        </w:tc>
        <w:tc>
          <w:tcPr>
            <w:tcW w:w="1843" w:type="dxa"/>
            <w:tcBorders>
              <w:top w:val="single" w:sz="8" w:space="0" w:color="auto"/>
              <w:left w:val="nil"/>
              <w:bottom w:val="single" w:sz="4" w:space="0" w:color="auto"/>
              <w:right w:val="single" w:sz="4" w:space="0" w:color="auto"/>
            </w:tcBorders>
            <w:shd w:val="clear" w:color="000000" w:fill="8DB4E2"/>
            <w:noWrap/>
            <w:vAlign w:val="center"/>
            <w:hideMark/>
          </w:tcPr>
          <w:p w:rsidR="00AB0496" w:rsidRPr="00747B18" w:rsidRDefault="00AB0496" w:rsidP="00AB0496">
            <w:pPr>
              <w:jc w:val="center"/>
              <w:rPr>
                <w:b/>
                <w:bCs/>
                <w:color w:val="000000"/>
                <w:sz w:val="22"/>
                <w:szCs w:val="22"/>
                <w:lang w:val="es-GT" w:eastAsia="es-GT"/>
              </w:rPr>
            </w:pPr>
            <w:r w:rsidRPr="00747B18">
              <w:rPr>
                <w:b/>
                <w:bCs/>
                <w:color w:val="000000"/>
                <w:sz w:val="22"/>
                <w:szCs w:val="22"/>
                <w:lang w:val="es-GT" w:eastAsia="es-GT"/>
              </w:rPr>
              <w:t>2017</w:t>
            </w:r>
          </w:p>
        </w:tc>
        <w:tc>
          <w:tcPr>
            <w:tcW w:w="1701" w:type="dxa"/>
            <w:tcBorders>
              <w:top w:val="single" w:sz="8" w:space="0" w:color="auto"/>
              <w:left w:val="single" w:sz="4" w:space="0" w:color="auto"/>
              <w:bottom w:val="single" w:sz="4" w:space="0" w:color="auto"/>
              <w:right w:val="single" w:sz="8" w:space="0" w:color="auto"/>
            </w:tcBorders>
            <w:shd w:val="clear" w:color="000000" w:fill="8DB4E2"/>
            <w:noWrap/>
            <w:vAlign w:val="center"/>
            <w:hideMark/>
          </w:tcPr>
          <w:p w:rsidR="00AB0496" w:rsidRPr="00747B18" w:rsidRDefault="00AB0496" w:rsidP="00AB0496">
            <w:pPr>
              <w:jc w:val="center"/>
              <w:rPr>
                <w:b/>
                <w:bCs/>
                <w:color w:val="000000"/>
                <w:sz w:val="22"/>
                <w:szCs w:val="22"/>
                <w:lang w:val="es-GT" w:eastAsia="es-GT"/>
              </w:rPr>
            </w:pPr>
            <w:r w:rsidRPr="00747B18">
              <w:rPr>
                <w:b/>
                <w:bCs/>
                <w:color w:val="000000"/>
                <w:sz w:val="22"/>
                <w:szCs w:val="22"/>
                <w:lang w:val="es-GT" w:eastAsia="es-GT"/>
              </w:rPr>
              <w:t>2018*</w:t>
            </w:r>
          </w:p>
        </w:tc>
      </w:tr>
      <w:tr w:rsidR="00AB0496" w:rsidRPr="00747B18" w:rsidTr="000A3EE5">
        <w:trPr>
          <w:trHeight w:val="315"/>
        </w:trPr>
        <w:tc>
          <w:tcPr>
            <w:tcW w:w="3417" w:type="dxa"/>
            <w:tcBorders>
              <w:top w:val="nil"/>
              <w:left w:val="single" w:sz="8" w:space="0" w:color="auto"/>
              <w:bottom w:val="nil"/>
              <w:right w:val="nil"/>
            </w:tcBorders>
            <w:shd w:val="clear" w:color="000000" w:fill="FFFFFF"/>
            <w:noWrap/>
            <w:vAlign w:val="bottom"/>
            <w:hideMark/>
          </w:tcPr>
          <w:p w:rsidR="00AB0496" w:rsidRPr="00747B18" w:rsidRDefault="00AB0496" w:rsidP="00AB0496">
            <w:pPr>
              <w:jc w:val="center"/>
              <w:rPr>
                <w:b/>
                <w:bCs/>
                <w:color w:val="000000"/>
                <w:sz w:val="22"/>
                <w:szCs w:val="22"/>
                <w:lang w:val="es-GT" w:eastAsia="es-GT"/>
              </w:rPr>
            </w:pPr>
            <w:r w:rsidRPr="00747B18">
              <w:rPr>
                <w:b/>
                <w:bCs/>
                <w:color w:val="000000"/>
                <w:sz w:val="22"/>
                <w:szCs w:val="22"/>
                <w:lang w:val="es-GT" w:eastAsia="es-GT"/>
              </w:rPr>
              <w:t>Total</w:t>
            </w:r>
          </w:p>
        </w:tc>
        <w:tc>
          <w:tcPr>
            <w:tcW w:w="1985" w:type="dxa"/>
            <w:tcBorders>
              <w:top w:val="nil"/>
              <w:left w:val="single" w:sz="4" w:space="0" w:color="auto"/>
              <w:bottom w:val="nil"/>
              <w:right w:val="single" w:sz="4" w:space="0" w:color="auto"/>
            </w:tcBorders>
            <w:shd w:val="clear" w:color="000000" w:fill="FFFFFF"/>
            <w:noWrap/>
            <w:vAlign w:val="bottom"/>
            <w:hideMark/>
          </w:tcPr>
          <w:p w:rsidR="00AB0496" w:rsidRPr="00747B18" w:rsidRDefault="00AB0496" w:rsidP="00AB0496">
            <w:pPr>
              <w:jc w:val="center"/>
              <w:rPr>
                <w:b/>
                <w:bCs/>
                <w:color w:val="000000"/>
                <w:sz w:val="22"/>
                <w:szCs w:val="22"/>
                <w:lang w:val="es-GT" w:eastAsia="es-GT"/>
              </w:rPr>
            </w:pPr>
            <w:r w:rsidRPr="00747B18">
              <w:rPr>
                <w:b/>
                <w:bCs/>
                <w:color w:val="000000"/>
                <w:sz w:val="22"/>
                <w:szCs w:val="22"/>
                <w:lang w:val="es-GT" w:eastAsia="es-GT"/>
              </w:rPr>
              <w:t>56.1%</w:t>
            </w:r>
          </w:p>
        </w:tc>
        <w:tc>
          <w:tcPr>
            <w:tcW w:w="1843" w:type="dxa"/>
            <w:tcBorders>
              <w:top w:val="nil"/>
              <w:left w:val="nil"/>
              <w:bottom w:val="nil"/>
              <w:right w:val="single" w:sz="4" w:space="0" w:color="auto"/>
            </w:tcBorders>
            <w:shd w:val="clear" w:color="000000" w:fill="FFFFFF"/>
            <w:noWrap/>
            <w:vAlign w:val="bottom"/>
            <w:hideMark/>
          </w:tcPr>
          <w:p w:rsidR="00AB0496" w:rsidRPr="00747B18" w:rsidRDefault="00AB0496" w:rsidP="00AB0496">
            <w:pPr>
              <w:jc w:val="center"/>
              <w:rPr>
                <w:b/>
                <w:bCs/>
                <w:color w:val="000000"/>
                <w:sz w:val="22"/>
                <w:szCs w:val="22"/>
                <w:lang w:val="es-GT" w:eastAsia="es-GT"/>
              </w:rPr>
            </w:pPr>
            <w:r w:rsidRPr="00747B18">
              <w:rPr>
                <w:b/>
                <w:bCs/>
                <w:color w:val="000000"/>
                <w:sz w:val="22"/>
                <w:szCs w:val="22"/>
                <w:lang w:val="es-GT" w:eastAsia="es-GT"/>
              </w:rPr>
              <w:t>55.8%</w:t>
            </w:r>
          </w:p>
        </w:tc>
        <w:tc>
          <w:tcPr>
            <w:tcW w:w="1701" w:type="dxa"/>
            <w:tcBorders>
              <w:top w:val="nil"/>
              <w:left w:val="nil"/>
              <w:bottom w:val="nil"/>
              <w:right w:val="single" w:sz="8" w:space="0" w:color="auto"/>
            </w:tcBorders>
            <w:shd w:val="clear" w:color="000000" w:fill="FFFFFF"/>
            <w:noWrap/>
            <w:vAlign w:val="bottom"/>
            <w:hideMark/>
          </w:tcPr>
          <w:p w:rsidR="00AB0496" w:rsidRPr="00747B18" w:rsidRDefault="00AB0496" w:rsidP="00AB0496">
            <w:pPr>
              <w:jc w:val="center"/>
              <w:rPr>
                <w:b/>
                <w:bCs/>
                <w:color w:val="000000"/>
                <w:sz w:val="22"/>
                <w:szCs w:val="22"/>
                <w:lang w:val="es-GT" w:eastAsia="es-GT"/>
              </w:rPr>
            </w:pPr>
            <w:r w:rsidRPr="00747B18">
              <w:rPr>
                <w:b/>
                <w:bCs/>
                <w:color w:val="000000"/>
                <w:sz w:val="22"/>
                <w:szCs w:val="22"/>
                <w:lang w:val="es-GT" w:eastAsia="es-GT"/>
              </w:rPr>
              <w:t>56.6%</w:t>
            </w:r>
          </w:p>
        </w:tc>
      </w:tr>
      <w:tr w:rsidR="00AB0496" w:rsidRPr="00747B18" w:rsidTr="000A3EE5">
        <w:trPr>
          <w:trHeight w:val="315"/>
        </w:trPr>
        <w:tc>
          <w:tcPr>
            <w:tcW w:w="3417" w:type="dxa"/>
            <w:tcBorders>
              <w:top w:val="nil"/>
              <w:left w:val="single" w:sz="8" w:space="0" w:color="auto"/>
              <w:bottom w:val="nil"/>
              <w:right w:val="nil"/>
            </w:tcBorders>
            <w:shd w:val="clear" w:color="000000" w:fill="FFFFFF"/>
            <w:noWrap/>
            <w:vAlign w:val="bottom"/>
            <w:hideMark/>
          </w:tcPr>
          <w:p w:rsidR="00AB0496" w:rsidRPr="00747B18" w:rsidRDefault="00AB0496" w:rsidP="00AB0496">
            <w:pPr>
              <w:rPr>
                <w:color w:val="000000"/>
                <w:sz w:val="22"/>
                <w:szCs w:val="22"/>
                <w:lang w:val="es-GT" w:eastAsia="es-GT"/>
              </w:rPr>
            </w:pPr>
            <w:r w:rsidRPr="00747B18">
              <w:rPr>
                <w:color w:val="000000"/>
                <w:sz w:val="22"/>
                <w:szCs w:val="22"/>
                <w:lang w:val="es-GT" w:eastAsia="es-GT"/>
              </w:rPr>
              <w:t>Salud y Asistencia Social</w:t>
            </w:r>
          </w:p>
        </w:tc>
        <w:tc>
          <w:tcPr>
            <w:tcW w:w="1985" w:type="dxa"/>
            <w:tcBorders>
              <w:top w:val="nil"/>
              <w:left w:val="single" w:sz="4" w:space="0" w:color="auto"/>
              <w:bottom w:val="nil"/>
              <w:right w:val="single" w:sz="4" w:space="0" w:color="auto"/>
            </w:tcBorders>
            <w:shd w:val="clear" w:color="000000" w:fill="FFFFFF"/>
            <w:noWrap/>
            <w:vAlign w:val="bottom"/>
            <w:hideMark/>
          </w:tcPr>
          <w:p w:rsidR="00AB0496" w:rsidRPr="00747B18" w:rsidRDefault="00AB0496" w:rsidP="00AB0496">
            <w:pPr>
              <w:jc w:val="center"/>
              <w:rPr>
                <w:color w:val="000000"/>
                <w:sz w:val="22"/>
                <w:szCs w:val="22"/>
                <w:lang w:val="es-GT" w:eastAsia="es-GT"/>
              </w:rPr>
            </w:pPr>
            <w:r w:rsidRPr="00747B18">
              <w:rPr>
                <w:color w:val="000000"/>
                <w:sz w:val="22"/>
                <w:szCs w:val="22"/>
                <w:lang w:val="es-GT" w:eastAsia="es-GT"/>
              </w:rPr>
              <w:t>18.5%</w:t>
            </w:r>
          </w:p>
        </w:tc>
        <w:tc>
          <w:tcPr>
            <w:tcW w:w="1843" w:type="dxa"/>
            <w:tcBorders>
              <w:top w:val="nil"/>
              <w:left w:val="nil"/>
              <w:bottom w:val="nil"/>
              <w:right w:val="single" w:sz="4" w:space="0" w:color="auto"/>
            </w:tcBorders>
            <w:shd w:val="clear" w:color="000000" w:fill="FFFFFF"/>
            <w:noWrap/>
            <w:vAlign w:val="bottom"/>
            <w:hideMark/>
          </w:tcPr>
          <w:p w:rsidR="00AB0496" w:rsidRPr="00747B18" w:rsidRDefault="00AB0496" w:rsidP="00AB0496">
            <w:pPr>
              <w:jc w:val="center"/>
              <w:rPr>
                <w:color w:val="000000"/>
                <w:sz w:val="22"/>
                <w:szCs w:val="22"/>
                <w:lang w:val="es-GT" w:eastAsia="es-GT"/>
              </w:rPr>
            </w:pPr>
            <w:r w:rsidRPr="00747B18">
              <w:rPr>
                <w:color w:val="000000"/>
                <w:sz w:val="22"/>
                <w:szCs w:val="22"/>
                <w:lang w:val="es-GT" w:eastAsia="es-GT"/>
              </w:rPr>
              <w:t>18.1%</w:t>
            </w:r>
          </w:p>
        </w:tc>
        <w:tc>
          <w:tcPr>
            <w:tcW w:w="1701" w:type="dxa"/>
            <w:tcBorders>
              <w:top w:val="nil"/>
              <w:left w:val="nil"/>
              <w:bottom w:val="nil"/>
              <w:right w:val="single" w:sz="8" w:space="0" w:color="auto"/>
            </w:tcBorders>
            <w:shd w:val="clear" w:color="000000" w:fill="FFFFFF"/>
            <w:noWrap/>
            <w:vAlign w:val="bottom"/>
            <w:hideMark/>
          </w:tcPr>
          <w:p w:rsidR="00AB0496" w:rsidRPr="00747B18" w:rsidRDefault="00AB0496" w:rsidP="00AB0496">
            <w:pPr>
              <w:jc w:val="center"/>
              <w:rPr>
                <w:color w:val="000000"/>
                <w:sz w:val="22"/>
                <w:szCs w:val="22"/>
                <w:lang w:val="es-GT" w:eastAsia="es-GT"/>
              </w:rPr>
            </w:pPr>
            <w:r w:rsidRPr="00747B18">
              <w:rPr>
                <w:color w:val="000000"/>
                <w:sz w:val="22"/>
                <w:szCs w:val="22"/>
                <w:lang w:val="es-GT" w:eastAsia="es-GT"/>
              </w:rPr>
              <w:t>19.0%</w:t>
            </w:r>
          </w:p>
        </w:tc>
      </w:tr>
      <w:tr w:rsidR="00AB0496" w:rsidRPr="00747B18" w:rsidTr="000A3EE5">
        <w:trPr>
          <w:trHeight w:val="315"/>
        </w:trPr>
        <w:tc>
          <w:tcPr>
            <w:tcW w:w="3417" w:type="dxa"/>
            <w:tcBorders>
              <w:top w:val="nil"/>
              <w:left w:val="single" w:sz="8" w:space="0" w:color="auto"/>
              <w:bottom w:val="nil"/>
              <w:right w:val="nil"/>
            </w:tcBorders>
            <w:shd w:val="clear" w:color="000000" w:fill="FFFFFF"/>
            <w:noWrap/>
            <w:vAlign w:val="bottom"/>
            <w:hideMark/>
          </w:tcPr>
          <w:p w:rsidR="00AB0496" w:rsidRPr="00747B18" w:rsidRDefault="00AB0496" w:rsidP="00AB0496">
            <w:pPr>
              <w:rPr>
                <w:color w:val="000000"/>
                <w:sz w:val="22"/>
                <w:szCs w:val="22"/>
                <w:lang w:val="es-GT" w:eastAsia="es-GT"/>
              </w:rPr>
            </w:pPr>
            <w:r w:rsidRPr="00747B18">
              <w:rPr>
                <w:color w:val="000000"/>
                <w:sz w:val="22"/>
                <w:szCs w:val="22"/>
                <w:lang w:val="es-GT" w:eastAsia="es-GT"/>
              </w:rPr>
              <w:t>Educación, Ciencia y Cultura</w:t>
            </w:r>
          </w:p>
        </w:tc>
        <w:tc>
          <w:tcPr>
            <w:tcW w:w="1985" w:type="dxa"/>
            <w:tcBorders>
              <w:top w:val="nil"/>
              <w:left w:val="single" w:sz="4" w:space="0" w:color="auto"/>
              <w:bottom w:val="nil"/>
              <w:right w:val="single" w:sz="4" w:space="0" w:color="auto"/>
            </w:tcBorders>
            <w:shd w:val="clear" w:color="000000" w:fill="FFFFFF"/>
            <w:noWrap/>
            <w:vAlign w:val="bottom"/>
            <w:hideMark/>
          </w:tcPr>
          <w:p w:rsidR="00AB0496" w:rsidRPr="00747B18" w:rsidRDefault="00AB0496" w:rsidP="00AB0496">
            <w:pPr>
              <w:jc w:val="center"/>
              <w:rPr>
                <w:color w:val="000000"/>
                <w:sz w:val="22"/>
                <w:szCs w:val="22"/>
                <w:lang w:val="es-GT" w:eastAsia="es-GT"/>
              </w:rPr>
            </w:pPr>
            <w:r w:rsidRPr="00747B18">
              <w:rPr>
                <w:color w:val="000000"/>
                <w:sz w:val="22"/>
                <w:szCs w:val="22"/>
                <w:lang w:val="es-GT" w:eastAsia="es-GT"/>
              </w:rPr>
              <w:t>25.7%</w:t>
            </w:r>
          </w:p>
        </w:tc>
        <w:tc>
          <w:tcPr>
            <w:tcW w:w="1843" w:type="dxa"/>
            <w:tcBorders>
              <w:top w:val="nil"/>
              <w:left w:val="nil"/>
              <w:bottom w:val="nil"/>
              <w:right w:val="single" w:sz="4" w:space="0" w:color="auto"/>
            </w:tcBorders>
            <w:shd w:val="clear" w:color="000000" w:fill="FFFFFF"/>
            <w:noWrap/>
            <w:vAlign w:val="bottom"/>
            <w:hideMark/>
          </w:tcPr>
          <w:p w:rsidR="00AB0496" w:rsidRPr="00747B18" w:rsidRDefault="00AB0496" w:rsidP="00AB0496">
            <w:pPr>
              <w:jc w:val="center"/>
              <w:rPr>
                <w:color w:val="000000"/>
                <w:sz w:val="22"/>
                <w:szCs w:val="22"/>
                <w:lang w:val="es-GT" w:eastAsia="es-GT"/>
              </w:rPr>
            </w:pPr>
            <w:r w:rsidRPr="00747B18">
              <w:rPr>
                <w:color w:val="000000"/>
                <w:sz w:val="22"/>
                <w:szCs w:val="22"/>
                <w:lang w:val="es-GT" w:eastAsia="es-GT"/>
              </w:rPr>
              <w:t>24.4%</w:t>
            </w:r>
          </w:p>
        </w:tc>
        <w:tc>
          <w:tcPr>
            <w:tcW w:w="1701" w:type="dxa"/>
            <w:tcBorders>
              <w:top w:val="nil"/>
              <w:left w:val="nil"/>
              <w:bottom w:val="nil"/>
              <w:right w:val="single" w:sz="8" w:space="0" w:color="auto"/>
            </w:tcBorders>
            <w:shd w:val="clear" w:color="000000" w:fill="FFFFFF"/>
            <w:noWrap/>
            <w:vAlign w:val="bottom"/>
            <w:hideMark/>
          </w:tcPr>
          <w:p w:rsidR="00AB0496" w:rsidRPr="00747B18" w:rsidRDefault="00AB0496" w:rsidP="00AB0496">
            <w:pPr>
              <w:jc w:val="center"/>
              <w:rPr>
                <w:color w:val="000000"/>
                <w:sz w:val="22"/>
                <w:szCs w:val="22"/>
                <w:lang w:val="es-GT" w:eastAsia="es-GT"/>
              </w:rPr>
            </w:pPr>
            <w:r w:rsidRPr="00747B18">
              <w:rPr>
                <w:color w:val="000000"/>
                <w:sz w:val="22"/>
                <w:szCs w:val="22"/>
                <w:lang w:val="es-GT" w:eastAsia="es-GT"/>
              </w:rPr>
              <w:t>24.4%</w:t>
            </w:r>
          </w:p>
        </w:tc>
      </w:tr>
      <w:tr w:rsidR="00AB0496" w:rsidRPr="00747B18" w:rsidTr="000A3EE5">
        <w:trPr>
          <w:trHeight w:val="315"/>
        </w:trPr>
        <w:tc>
          <w:tcPr>
            <w:tcW w:w="3417" w:type="dxa"/>
            <w:tcBorders>
              <w:top w:val="nil"/>
              <w:left w:val="single" w:sz="8" w:space="0" w:color="auto"/>
              <w:bottom w:val="nil"/>
              <w:right w:val="nil"/>
            </w:tcBorders>
            <w:shd w:val="clear" w:color="000000" w:fill="FFFFFF"/>
            <w:noWrap/>
            <w:vAlign w:val="bottom"/>
            <w:hideMark/>
          </w:tcPr>
          <w:p w:rsidR="00AB0496" w:rsidRPr="00747B18" w:rsidRDefault="00AB0496" w:rsidP="00AB0496">
            <w:pPr>
              <w:rPr>
                <w:color w:val="000000"/>
                <w:sz w:val="22"/>
                <w:szCs w:val="22"/>
                <w:lang w:val="es-GT" w:eastAsia="es-GT"/>
              </w:rPr>
            </w:pPr>
            <w:r w:rsidRPr="00747B18">
              <w:rPr>
                <w:color w:val="000000"/>
                <w:sz w:val="22"/>
                <w:szCs w:val="22"/>
                <w:lang w:val="es-GT" w:eastAsia="es-GT"/>
              </w:rPr>
              <w:t>Vivienda</w:t>
            </w:r>
          </w:p>
        </w:tc>
        <w:tc>
          <w:tcPr>
            <w:tcW w:w="1985" w:type="dxa"/>
            <w:tcBorders>
              <w:top w:val="nil"/>
              <w:left w:val="single" w:sz="4" w:space="0" w:color="auto"/>
              <w:bottom w:val="nil"/>
              <w:right w:val="single" w:sz="4" w:space="0" w:color="auto"/>
            </w:tcBorders>
            <w:shd w:val="clear" w:color="000000" w:fill="FFFFFF"/>
            <w:noWrap/>
            <w:vAlign w:val="bottom"/>
            <w:hideMark/>
          </w:tcPr>
          <w:p w:rsidR="00AB0496" w:rsidRPr="00747B18" w:rsidRDefault="00AB0496" w:rsidP="00AB0496">
            <w:pPr>
              <w:jc w:val="center"/>
              <w:rPr>
                <w:color w:val="000000"/>
                <w:sz w:val="22"/>
                <w:szCs w:val="22"/>
                <w:lang w:val="es-GT" w:eastAsia="es-GT"/>
              </w:rPr>
            </w:pPr>
            <w:r w:rsidRPr="00747B18">
              <w:rPr>
                <w:color w:val="000000"/>
                <w:sz w:val="22"/>
                <w:szCs w:val="22"/>
                <w:lang w:val="es-GT" w:eastAsia="es-GT"/>
              </w:rPr>
              <w:t>0.1%</w:t>
            </w:r>
          </w:p>
        </w:tc>
        <w:tc>
          <w:tcPr>
            <w:tcW w:w="1843" w:type="dxa"/>
            <w:tcBorders>
              <w:top w:val="nil"/>
              <w:left w:val="nil"/>
              <w:bottom w:val="nil"/>
              <w:right w:val="single" w:sz="4" w:space="0" w:color="auto"/>
            </w:tcBorders>
            <w:shd w:val="clear" w:color="000000" w:fill="FFFFFF"/>
            <w:noWrap/>
            <w:vAlign w:val="bottom"/>
            <w:hideMark/>
          </w:tcPr>
          <w:p w:rsidR="00AB0496" w:rsidRPr="00747B18" w:rsidRDefault="00AB0496" w:rsidP="00AB0496">
            <w:pPr>
              <w:jc w:val="center"/>
              <w:rPr>
                <w:color w:val="000000"/>
                <w:sz w:val="22"/>
                <w:szCs w:val="22"/>
                <w:lang w:val="es-GT" w:eastAsia="es-GT"/>
              </w:rPr>
            </w:pPr>
            <w:r w:rsidRPr="00747B18">
              <w:rPr>
                <w:color w:val="000000"/>
                <w:sz w:val="22"/>
                <w:szCs w:val="22"/>
                <w:lang w:val="es-GT" w:eastAsia="es-GT"/>
              </w:rPr>
              <w:t>0.3%</w:t>
            </w:r>
          </w:p>
        </w:tc>
        <w:tc>
          <w:tcPr>
            <w:tcW w:w="1701" w:type="dxa"/>
            <w:tcBorders>
              <w:top w:val="nil"/>
              <w:left w:val="nil"/>
              <w:bottom w:val="nil"/>
              <w:right w:val="single" w:sz="8" w:space="0" w:color="auto"/>
            </w:tcBorders>
            <w:shd w:val="clear" w:color="000000" w:fill="FFFFFF"/>
            <w:noWrap/>
            <w:vAlign w:val="bottom"/>
            <w:hideMark/>
          </w:tcPr>
          <w:p w:rsidR="00AB0496" w:rsidRPr="00747B18" w:rsidRDefault="00AB0496" w:rsidP="00AB0496">
            <w:pPr>
              <w:jc w:val="center"/>
              <w:rPr>
                <w:color w:val="000000"/>
                <w:sz w:val="22"/>
                <w:szCs w:val="22"/>
                <w:lang w:val="es-GT" w:eastAsia="es-GT"/>
              </w:rPr>
            </w:pPr>
            <w:r w:rsidRPr="00747B18">
              <w:rPr>
                <w:color w:val="000000"/>
                <w:sz w:val="22"/>
                <w:szCs w:val="22"/>
                <w:lang w:val="es-GT" w:eastAsia="es-GT"/>
              </w:rPr>
              <w:t>0.1%</w:t>
            </w:r>
          </w:p>
        </w:tc>
      </w:tr>
      <w:tr w:rsidR="00AB0496" w:rsidRPr="00747B18" w:rsidTr="000A3EE5">
        <w:trPr>
          <w:trHeight w:val="315"/>
        </w:trPr>
        <w:tc>
          <w:tcPr>
            <w:tcW w:w="3417" w:type="dxa"/>
            <w:tcBorders>
              <w:top w:val="nil"/>
              <w:left w:val="single" w:sz="8" w:space="0" w:color="auto"/>
              <w:bottom w:val="nil"/>
              <w:right w:val="nil"/>
            </w:tcBorders>
            <w:shd w:val="clear" w:color="000000" w:fill="FFFFFF"/>
            <w:noWrap/>
            <w:vAlign w:val="bottom"/>
            <w:hideMark/>
          </w:tcPr>
          <w:p w:rsidR="00AB0496" w:rsidRPr="00747B18" w:rsidRDefault="00AB0496" w:rsidP="00AB0496">
            <w:pPr>
              <w:jc w:val="center"/>
              <w:rPr>
                <w:b/>
                <w:bCs/>
                <w:color w:val="000000"/>
                <w:sz w:val="22"/>
                <w:szCs w:val="22"/>
                <w:lang w:val="es-GT" w:eastAsia="es-GT"/>
              </w:rPr>
            </w:pPr>
            <w:r w:rsidRPr="00747B18">
              <w:rPr>
                <w:b/>
                <w:bCs/>
                <w:color w:val="000000"/>
                <w:sz w:val="22"/>
                <w:szCs w:val="22"/>
                <w:lang w:val="es-GT" w:eastAsia="es-GT"/>
              </w:rPr>
              <w:t>Gasto Social</w:t>
            </w:r>
          </w:p>
        </w:tc>
        <w:tc>
          <w:tcPr>
            <w:tcW w:w="1985" w:type="dxa"/>
            <w:tcBorders>
              <w:top w:val="nil"/>
              <w:left w:val="single" w:sz="4" w:space="0" w:color="auto"/>
              <w:bottom w:val="nil"/>
              <w:right w:val="single" w:sz="4" w:space="0" w:color="auto"/>
            </w:tcBorders>
            <w:shd w:val="clear" w:color="000000" w:fill="FFFFFF"/>
            <w:noWrap/>
            <w:vAlign w:val="bottom"/>
            <w:hideMark/>
          </w:tcPr>
          <w:p w:rsidR="00AB0496" w:rsidRPr="00747B18" w:rsidRDefault="00AB0496" w:rsidP="00AB0496">
            <w:pPr>
              <w:jc w:val="center"/>
              <w:rPr>
                <w:b/>
                <w:bCs/>
                <w:color w:val="000000"/>
                <w:sz w:val="22"/>
                <w:szCs w:val="22"/>
                <w:lang w:val="es-GT" w:eastAsia="es-GT"/>
              </w:rPr>
            </w:pPr>
            <w:r w:rsidRPr="00747B18">
              <w:rPr>
                <w:b/>
                <w:bCs/>
                <w:color w:val="000000"/>
                <w:sz w:val="22"/>
                <w:szCs w:val="22"/>
                <w:lang w:val="es-GT" w:eastAsia="es-GT"/>
              </w:rPr>
              <w:t>44.3%</w:t>
            </w:r>
          </w:p>
        </w:tc>
        <w:tc>
          <w:tcPr>
            <w:tcW w:w="1843" w:type="dxa"/>
            <w:tcBorders>
              <w:top w:val="nil"/>
              <w:left w:val="nil"/>
              <w:bottom w:val="nil"/>
              <w:right w:val="single" w:sz="4" w:space="0" w:color="auto"/>
            </w:tcBorders>
            <w:shd w:val="clear" w:color="000000" w:fill="FFFFFF"/>
            <w:noWrap/>
            <w:vAlign w:val="bottom"/>
            <w:hideMark/>
          </w:tcPr>
          <w:p w:rsidR="00AB0496" w:rsidRPr="00747B18" w:rsidRDefault="00AB0496" w:rsidP="00AB0496">
            <w:pPr>
              <w:jc w:val="center"/>
              <w:rPr>
                <w:b/>
                <w:bCs/>
                <w:color w:val="000000"/>
                <w:sz w:val="22"/>
                <w:szCs w:val="22"/>
                <w:lang w:val="es-GT" w:eastAsia="es-GT"/>
              </w:rPr>
            </w:pPr>
            <w:r w:rsidRPr="00747B18">
              <w:rPr>
                <w:b/>
                <w:bCs/>
                <w:color w:val="000000"/>
                <w:sz w:val="22"/>
                <w:szCs w:val="22"/>
                <w:lang w:val="es-GT" w:eastAsia="es-GT"/>
              </w:rPr>
              <w:t>42.8%</w:t>
            </w:r>
          </w:p>
        </w:tc>
        <w:tc>
          <w:tcPr>
            <w:tcW w:w="1701" w:type="dxa"/>
            <w:tcBorders>
              <w:top w:val="nil"/>
              <w:left w:val="nil"/>
              <w:bottom w:val="nil"/>
              <w:right w:val="single" w:sz="8" w:space="0" w:color="auto"/>
            </w:tcBorders>
            <w:shd w:val="clear" w:color="000000" w:fill="FFFFFF"/>
            <w:noWrap/>
            <w:vAlign w:val="bottom"/>
            <w:hideMark/>
          </w:tcPr>
          <w:p w:rsidR="00AB0496" w:rsidRPr="00747B18" w:rsidRDefault="00AB0496" w:rsidP="00AB0496">
            <w:pPr>
              <w:jc w:val="center"/>
              <w:rPr>
                <w:b/>
                <w:bCs/>
                <w:color w:val="000000"/>
                <w:sz w:val="22"/>
                <w:szCs w:val="22"/>
                <w:lang w:val="es-GT" w:eastAsia="es-GT"/>
              </w:rPr>
            </w:pPr>
            <w:r w:rsidRPr="00747B18">
              <w:rPr>
                <w:b/>
                <w:bCs/>
                <w:color w:val="000000"/>
                <w:sz w:val="22"/>
                <w:szCs w:val="22"/>
                <w:lang w:val="es-GT" w:eastAsia="es-GT"/>
              </w:rPr>
              <w:t>43.5%</w:t>
            </w:r>
          </w:p>
        </w:tc>
      </w:tr>
      <w:tr w:rsidR="00AB0496" w:rsidRPr="00747B18" w:rsidTr="000A3EE5">
        <w:trPr>
          <w:trHeight w:val="315"/>
        </w:trPr>
        <w:tc>
          <w:tcPr>
            <w:tcW w:w="3417" w:type="dxa"/>
            <w:tcBorders>
              <w:top w:val="nil"/>
              <w:left w:val="single" w:sz="8" w:space="0" w:color="auto"/>
              <w:bottom w:val="nil"/>
              <w:right w:val="nil"/>
            </w:tcBorders>
            <w:shd w:val="clear" w:color="000000" w:fill="FFFFFF"/>
            <w:noWrap/>
            <w:vAlign w:val="bottom"/>
            <w:hideMark/>
          </w:tcPr>
          <w:p w:rsidR="00AB0496" w:rsidRPr="00747B18" w:rsidRDefault="00AB0496" w:rsidP="00AB0496">
            <w:pPr>
              <w:rPr>
                <w:color w:val="000000"/>
                <w:sz w:val="22"/>
                <w:szCs w:val="22"/>
                <w:lang w:val="es-GT" w:eastAsia="es-GT"/>
              </w:rPr>
            </w:pPr>
            <w:r w:rsidRPr="00747B18">
              <w:rPr>
                <w:color w:val="000000"/>
                <w:sz w:val="22"/>
                <w:szCs w:val="22"/>
                <w:lang w:val="es-GT" w:eastAsia="es-GT"/>
              </w:rPr>
              <w:t>Seguridad Interna</w:t>
            </w:r>
          </w:p>
        </w:tc>
        <w:tc>
          <w:tcPr>
            <w:tcW w:w="1985" w:type="dxa"/>
            <w:tcBorders>
              <w:top w:val="nil"/>
              <w:left w:val="single" w:sz="4" w:space="0" w:color="auto"/>
              <w:bottom w:val="nil"/>
              <w:right w:val="single" w:sz="4" w:space="0" w:color="auto"/>
            </w:tcBorders>
            <w:shd w:val="clear" w:color="000000" w:fill="FFFFFF"/>
            <w:noWrap/>
            <w:vAlign w:val="bottom"/>
            <w:hideMark/>
          </w:tcPr>
          <w:p w:rsidR="00AB0496" w:rsidRPr="00747B18" w:rsidRDefault="00AB0496" w:rsidP="00AB0496">
            <w:pPr>
              <w:jc w:val="center"/>
              <w:rPr>
                <w:color w:val="000000"/>
                <w:sz w:val="22"/>
                <w:szCs w:val="22"/>
                <w:lang w:val="es-GT" w:eastAsia="es-GT"/>
              </w:rPr>
            </w:pPr>
            <w:r w:rsidRPr="00747B18">
              <w:rPr>
                <w:color w:val="000000"/>
                <w:sz w:val="22"/>
                <w:szCs w:val="22"/>
                <w:lang w:val="es-GT" w:eastAsia="es-GT"/>
              </w:rPr>
              <w:t>6.1%</w:t>
            </w:r>
          </w:p>
        </w:tc>
        <w:tc>
          <w:tcPr>
            <w:tcW w:w="1843" w:type="dxa"/>
            <w:tcBorders>
              <w:top w:val="nil"/>
              <w:left w:val="nil"/>
              <w:bottom w:val="nil"/>
              <w:right w:val="single" w:sz="4" w:space="0" w:color="auto"/>
            </w:tcBorders>
            <w:shd w:val="clear" w:color="000000" w:fill="FFFFFF"/>
            <w:noWrap/>
            <w:vAlign w:val="bottom"/>
            <w:hideMark/>
          </w:tcPr>
          <w:p w:rsidR="00AB0496" w:rsidRPr="00747B18" w:rsidRDefault="00AB0496" w:rsidP="00AB0496">
            <w:pPr>
              <w:jc w:val="center"/>
              <w:rPr>
                <w:color w:val="000000"/>
                <w:sz w:val="22"/>
                <w:szCs w:val="22"/>
                <w:lang w:val="es-GT" w:eastAsia="es-GT"/>
              </w:rPr>
            </w:pPr>
            <w:r w:rsidRPr="00747B18">
              <w:rPr>
                <w:color w:val="000000"/>
                <w:sz w:val="22"/>
                <w:szCs w:val="22"/>
                <w:lang w:val="es-GT" w:eastAsia="es-GT"/>
              </w:rPr>
              <w:t>6.2%</w:t>
            </w:r>
          </w:p>
        </w:tc>
        <w:tc>
          <w:tcPr>
            <w:tcW w:w="1701" w:type="dxa"/>
            <w:tcBorders>
              <w:top w:val="nil"/>
              <w:left w:val="nil"/>
              <w:bottom w:val="nil"/>
              <w:right w:val="single" w:sz="8" w:space="0" w:color="auto"/>
            </w:tcBorders>
            <w:shd w:val="clear" w:color="000000" w:fill="FFFFFF"/>
            <w:noWrap/>
            <w:vAlign w:val="bottom"/>
            <w:hideMark/>
          </w:tcPr>
          <w:p w:rsidR="00AB0496" w:rsidRPr="00747B18" w:rsidRDefault="00AB0496" w:rsidP="00AB0496">
            <w:pPr>
              <w:jc w:val="center"/>
              <w:rPr>
                <w:color w:val="000000"/>
                <w:sz w:val="22"/>
                <w:szCs w:val="22"/>
                <w:lang w:val="es-GT" w:eastAsia="es-GT"/>
              </w:rPr>
            </w:pPr>
            <w:r w:rsidRPr="00747B18">
              <w:rPr>
                <w:color w:val="000000"/>
                <w:sz w:val="22"/>
                <w:szCs w:val="22"/>
                <w:lang w:val="es-GT" w:eastAsia="es-GT"/>
              </w:rPr>
              <w:t>6.5%</w:t>
            </w:r>
          </w:p>
        </w:tc>
      </w:tr>
      <w:tr w:rsidR="00AB0496" w:rsidRPr="00747B18" w:rsidTr="000A3EE5">
        <w:trPr>
          <w:trHeight w:val="315"/>
        </w:trPr>
        <w:tc>
          <w:tcPr>
            <w:tcW w:w="3417" w:type="dxa"/>
            <w:tcBorders>
              <w:top w:val="nil"/>
              <w:left w:val="single" w:sz="8" w:space="0" w:color="auto"/>
              <w:bottom w:val="nil"/>
              <w:right w:val="nil"/>
            </w:tcBorders>
            <w:shd w:val="clear" w:color="000000" w:fill="FFFFFF"/>
            <w:noWrap/>
            <w:vAlign w:val="bottom"/>
            <w:hideMark/>
          </w:tcPr>
          <w:p w:rsidR="00AB0496" w:rsidRPr="00747B18" w:rsidRDefault="00AB0496" w:rsidP="00AB0496">
            <w:pPr>
              <w:rPr>
                <w:color w:val="000000"/>
                <w:sz w:val="22"/>
                <w:szCs w:val="22"/>
                <w:lang w:val="es-GT" w:eastAsia="es-GT"/>
              </w:rPr>
            </w:pPr>
            <w:r w:rsidRPr="00747B18">
              <w:rPr>
                <w:color w:val="000000"/>
                <w:sz w:val="22"/>
                <w:szCs w:val="22"/>
                <w:lang w:val="es-GT" w:eastAsia="es-GT"/>
              </w:rPr>
              <w:t>Organismo Judicial y C.C</w:t>
            </w:r>
          </w:p>
        </w:tc>
        <w:tc>
          <w:tcPr>
            <w:tcW w:w="1985" w:type="dxa"/>
            <w:tcBorders>
              <w:top w:val="nil"/>
              <w:left w:val="single" w:sz="4" w:space="0" w:color="auto"/>
              <w:bottom w:val="nil"/>
              <w:right w:val="single" w:sz="4" w:space="0" w:color="auto"/>
            </w:tcBorders>
            <w:shd w:val="clear" w:color="000000" w:fill="FFFFFF"/>
            <w:noWrap/>
            <w:vAlign w:val="bottom"/>
            <w:hideMark/>
          </w:tcPr>
          <w:p w:rsidR="00AB0496" w:rsidRPr="00747B18" w:rsidRDefault="00AB0496" w:rsidP="00AB0496">
            <w:pPr>
              <w:jc w:val="center"/>
              <w:rPr>
                <w:color w:val="000000"/>
                <w:sz w:val="22"/>
                <w:szCs w:val="22"/>
                <w:lang w:val="es-GT" w:eastAsia="es-GT"/>
              </w:rPr>
            </w:pPr>
            <w:r w:rsidRPr="00747B18">
              <w:rPr>
                <w:color w:val="000000"/>
                <w:sz w:val="22"/>
                <w:szCs w:val="22"/>
                <w:lang w:val="es-GT" w:eastAsia="es-GT"/>
              </w:rPr>
              <w:t>3.5%</w:t>
            </w:r>
          </w:p>
        </w:tc>
        <w:tc>
          <w:tcPr>
            <w:tcW w:w="1843" w:type="dxa"/>
            <w:tcBorders>
              <w:top w:val="nil"/>
              <w:left w:val="nil"/>
              <w:bottom w:val="nil"/>
              <w:right w:val="single" w:sz="4" w:space="0" w:color="auto"/>
            </w:tcBorders>
            <w:shd w:val="clear" w:color="000000" w:fill="FFFFFF"/>
            <w:noWrap/>
            <w:vAlign w:val="bottom"/>
            <w:hideMark/>
          </w:tcPr>
          <w:p w:rsidR="00AB0496" w:rsidRPr="00747B18" w:rsidRDefault="00AB0496" w:rsidP="00AB0496">
            <w:pPr>
              <w:jc w:val="center"/>
              <w:rPr>
                <w:color w:val="000000"/>
                <w:sz w:val="22"/>
                <w:szCs w:val="22"/>
                <w:lang w:val="es-GT" w:eastAsia="es-GT"/>
              </w:rPr>
            </w:pPr>
            <w:r w:rsidRPr="00747B18">
              <w:rPr>
                <w:color w:val="000000"/>
                <w:sz w:val="22"/>
                <w:szCs w:val="22"/>
                <w:lang w:val="es-GT" w:eastAsia="es-GT"/>
              </w:rPr>
              <w:t>3.7%</w:t>
            </w:r>
          </w:p>
        </w:tc>
        <w:tc>
          <w:tcPr>
            <w:tcW w:w="1701" w:type="dxa"/>
            <w:tcBorders>
              <w:top w:val="nil"/>
              <w:left w:val="nil"/>
              <w:bottom w:val="nil"/>
              <w:right w:val="single" w:sz="8" w:space="0" w:color="auto"/>
            </w:tcBorders>
            <w:shd w:val="clear" w:color="000000" w:fill="FFFFFF"/>
            <w:noWrap/>
            <w:vAlign w:val="bottom"/>
            <w:hideMark/>
          </w:tcPr>
          <w:p w:rsidR="00AB0496" w:rsidRPr="00747B18" w:rsidRDefault="00AB0496" w:rsidP="00AB0496">
            <w:pPr>
              <w:jc w:val="center"/>
              <w:rPr>
                <w:color w:val="000000"/>
                <w:sz w:val="22"/>
                <w:szCs w:val="22"/>
                <w:lang w:val="es-GT" w:eastAsia="es-GT"/>
              </w:rPr>
            </w:pPr>
            <w:r w:rsidRPr="00747B18">
              <w:rPr>
                <w:color w:val="000000"/>
                <w:sz w:val="22"/>
                <w:szCs w:val="22"/>
                <w:lang w:val="es-GT" w:eastAsia="es-GT"/>
              </w:rPr>
              <w:t>4.0%</w:t>
            </w:r>
          </w:p>
        </w:tc>
      </w:tr>
      <w:tr w:rsidR="00AB0496" w:rsidRPr="00747B18" w:rsidTr="000A3EE5">
        <w:trPr>
          <w:trHeight w:val="315"/>
        </w:trPr>
        <w:tc>
          <w:tcPr>
            <w:tcW w:w="3417" w:type="dxa"/>
            <w:tcBorders>
              <w:top w:val="nil"/>
              <w:left w:val="single" w:sz="8" w:space="0" w:color="auto"/>
              <w:bottom w:val="nil"/>
              <w:right w:val="nil"/>
            </w:tcBorders>
            <w:shd w:val="clear" w:color="000000" w:fill="FFFFFF"/>
            <w:noWrap/>
            <w:vAlign w:val="bottom"/>
            <w:hideMark/>
          </w:tcPr>
          <w:p w:rsidR="00AB0496" w:rsidRPr="00747B18" w:rsidRDefault="00AB0496" w:rsidP="00AB0496">
            <w:pPr>
              <w:rPr>
                <w:color w:val="000000"/>
                <w:sz w:val="22"/>
                <w:szCs w:val="22"/>
                <w:lang w:val="es-GT" w:eastAsia="es-GT"/>
              </w:rPr>
            </w:pPr>
            <w:r w:rsidRPr="00747B18">
              <w:rPr>
                <w:color w:val="000000"/>
                <w:sz w:val="22"/>
                <w:szCs w:val="22"/>
                <w:lang w:val="es-GT" w:eastAsia="es-GT"/>
              </w:rPr>
              <w:t>Ministerio Público</w:t>
            </w:r>
          </w:p>
        </w:tc>
        <w:tc>
          <w:tcPr>
            <w:tcW w:w="1985" w:type="dxa"/>
            <w:tcBorders>
              <w:top w:val="nil"/>
              <w:left w:val="single" w:sz="4" w:space="0" w:color="auto"/>
              <w:bottom w:val="nil"/>
              <w:right w:val="single" w:sz="4" w:space="0" w:color="auto"/>
            </w:tcBorders>
            <w:shd w:val="clear" w:color="000000" w:fill="FFFFFF"/>
            <w:noWrap/>
            <w:vAlign w:val="bottom"/>
            <w:hideMark/>
          </w:tcPr>
          <w:p w:rsidR="00AB0496" w:rsidRPr="00747B18" w:rsidRDefault="00AB0496" w:rsidP="00AB0496">
            <w:pPr>
              <w:jc w:val="center"/>
              <w:rPr>
                <w:color w:val="000000"/>
                <w:sz w:val="22"/>
                <w:szCs w:val="22"/>
                <w:lang w:val="es-GT" w:eastAsia="es-GT"/>
              </w:rPr>
            </w:pPr>
            <w:r w:rsidRPr="00747B18">
              <w:rPr>
                <w:color w:val="000000"/>
                <w:sz w:val="22"/>
                <w:szCs w:val="22"/>
                <w:lang w:val="es-GT" w:eastAsia="es-GT"/>
              </w:rPr>
              <w:t>2.2%</w:t>
            </w:r>
          </w:p>
        </w:tc>
        <w:tc>
          <w:tcPr>
            <w:tcW w:w="1843" w:type="dxa"/>
            <w:tcBorders>
              <w:top w:val="nil"/>
              <w:left w:val="nil"/>
              <w:bottom w:val="nil"/>
              <w:right w:val="single" w:sz="4" w:space="0" w:color="auto"/>
            </w:tcBorders>
            <w:shd w:val="clear" w:color="000000" w:fill="FFFFFF"/>
            <w:noWrap/>
            <w:vAlign w:val="bottom"/>
            <w:hideMark/>
          </w:tcPr>
          <w:p w:rsidR="00AB0496" w:rsidRPr="00747B18" w:rsidRDefault="00AB0496" w:rsidP="00AB0496">
            <w:pPr>
              <w:jc w:val="center"/>
              <w:rPr>
                <w:color w:val="000000"/>
                <w:sz w:val="22"/>
                <w:szCs w:val="22"/>
                <w:lang w:val="es-GT" w:eastAsia="es-GT"/>
              </w:rPr>
            </w:pPr>
            <w:r w:rsidRPr="00747B18">
              <w:rPr>
                <w:color w:val="000000"/>
                <w:sz w:val="22"/>
                <w:szCs w:val="22"/>
                <w:lang w:val="es-GT" w:eastAsia="es-GT"/>
              </w:rPr>
              <w:t>3.1%</w:t>
            </w:r>
          </w:p>
        </w:tc>
        <w:tc>
          <w:tcPr>
            <w:tcW w:w="1701" w:type="dxa"/>
            <w:tcBorders>
              <w:top w:val="nil"/>
              <w:left w:val="nil"/>
              <w:bottom w:val="nil"/>
              <w:right w:val="single" w:sz="8" w:space="0" w:color="auto"/>
            </w:tcBorders>
            <w:shd w:val="clear" w:color="000000" w:fill="FFFFFF"/>
            <w:noWrap/>
            <w:vAlign w:val="bottom"/>
            <w:hideMark/>
          </w:tcPr>
          <w:p w:rsidR="00AB0496" w:rsidRPr="00747B18" w:rsidRDefault="00AB0496" w:rsidP="00AB0496">
            <w:pPr>
              <w:jc w:val="center"/>
              <w:rPr>
                <w:color w:val="000000"/>
                <w:sz w:val="22"/>
                <w:szCs w:val="22"/>
                <w:lang w:val="es-GT" w:eastAsia="es-GT"/>
              </w:rPr>
            </w:pPr>
            <w:r w:rsidRPr="00747B18">
              <w:rPr>
                <w:color w:val="000000"/>
                <w:sz w:val="22"/>
                <w:szCs w:val="22"/>
                <w:lang w:val="es-GT" w:eastAsia="es-GT"/>
              </w:rPr>
              <w:t>2.6%</w:t>
            </w:r>
          </w:p>
        </w:tc>
      </w:tr>
      <w:tr w:rsidR="00AB0496" w:rsidRPr="00747B18" w:rsidTr="000A3EE5">
        <w:trPr>
          <w:trHeight w:val="330"/>
        </w:trPr>
        <w:tc>
          <w:tcPr>
            <w:tcW w:w="3417" w:type="dxa"/>
            <w:tcBorders>
              <w:top w:val="nil"/>
              <w:left w:val="single" w:sz="8" w:space="0" w:color="auto"/>
              <w:bottom w:val="single" w:sz="8" w:space="0" w:color="auto"/>
              <w:right w:val="nil"/>
            </w:tcBorders>
            <w:shd w:val="clear" w:color="000000" w:fill="FFFFFF"/>
            <w:noWrap/>
            <w:vAlign w:val="bottom"/>
            <w:hideMark/>
          </w:tcPr>
          <w:p w:rsidR="00AB0496" w:rsidRPr="00747B18" w:rsidRDefault="00AB0496" w:rsidP="00AB0496">
            <w:pPr>
              <w:jc w:val="center"/>
              <w:rPr>
                <w:b/>
                <w:bCs/>
                <w:color w:val="000000"/>
                <w:sz w:val="22"/>
                <w:szCs w:val="22"/>
                <w:lang w:val="es-GT" w:eastAsia="es-GT"/>
              </w:rPr>
            </w:pPr>
            <w:r w:rsidRPr="00747B18">
              <w:rPr>
                <w:b/>
                <w:bCs/>
                <w:color w:val="000000"/>
                <w:sz w:val="22"/>
                <w:szCs w:val="22"/>
                <w:lang w:val="es-GT" w:eastAsia="es-GT"/>
              </w:rPr>
              <w:t>Sector Justicia</w:t>
            </w:r>
          </w:p>
        </w:tc>
        <w:tc>
          <w:tcPr>
            <w:tcW w:w="1985" w:type="dxa"/>
            <w:tcBorders>
              <w:top w:val="nil"/>
              <w:left w:val="single" w:sz="4" w:space="0" w:color="auto"/>
              <w:bottom w:val="single" w:sz="8" w:space="0" w:color="auto"/>
              <w:right w:val="single" w:sz="4" w:space="0" w:color="auto"/>
            </w:tcBorders>
            <w:shd w:val="clear" w:color="000000" w:fill="FFFFFF"/>
            <w:noWrap/>
            <w:vAlign w:val="bottom"/>
            <w:hideMark/>
          </w:tcPr>
          <w:p w:rsidR="00AB0496" w:rsidRPr="00747B18" w:rsidRDefault="00AB0496" w:rsidP="00AB0496">
            <w:pPr>
              <w:jc w:val="center"/>
              <w:rPr>
                <w:b/>
                <w:bCs/>
                <w:color w:val="000000"/>
                <w:sz w:val="22"/>
                <w:szCs w:val="22"/>
                <w:lang w:val="es-GT" w:eastAsia="es-GT"/>
              </w:rPr>
            </w:pPr>
            <w:r w:rsidRPr="00747B18">
              <w:rPr>
                <w:b/>
                <w:bCs/>
                <w:color w:val="000000"/>
                <w:sz w:val="22"/>
                <w:szCs w:val="22"/>
                <w:lang w:val="es-GT" w:eastAsia="es-GT"/>
              </w:rPr>
              <w:t>11.8%</w:t>
            </w:r>
          </w:p>
        </w:tc>
        <w:tc>
          <w:tcPr>
            <w:tcW w:w="1843" w:type="dxa"/>
            <w:tcBorders>
              <w:top w:val="nil"/>
              <w:left w:val="nil"/>
              <w:bottom w:val="single" w:sz="8" w:space="0" w:color="auto"/>
              <w:right w:val="single" w:sz="4" w:space="0" w:color="auto"/>
            </w:tcBorders>
            <w:shd w:val="clear" w:color="000000" w:fill="FFFFFF"/>
            <w:noWrap/>
            <w:vAlign w:val="bottom"/>
            <w:hideMark/>
          </w:tcPr>
          <w:p w:rsidR="00AB0496" w:rsidRPr="00747B18" w:rsidRDefault="00AB0496" w:rsidP="00AB0496">
            <w:pPr>
              <w:jc w:val="center"/>
              <w:rPr>
                <w:b/>
                <w:bCs/>
                <w:color w:val="000000"/>
                <w:sz w:val="22"/>
                <w:szCs w:val="22"/>
                <w:lang w:val="es-GT" w:eastAsia="es-GT"/>
              </w:rPr>
            </w:pPr>
            <w:r w:rsidRPr="00747B18">
              <w:rPr>
                <w:b/>
                <w:bCs/>
                <w:color w:val="000000"/>
                <w:sz w:val="22"/>
                <w:szCs w:val="22"/>
                <w:lang w:val="es-GT" w:eastAsia="es-GT"/>
              </w:rPr>
              <w:t>12.9%</w:t>
            </w:r>
          </w:p>
        </w:tc>
        <w:tc>
          <w:tcPr>
            <w:tcW w:w="1701" w:type="dxa"/>
            <w:tcBorders>
              <w:top w:val="nil"/>
              <w:left w:val="nil"/>
              <w:bottom w:val="single" w:sz="8" w:space="0" w:color="auto"/>
              <w:right w:val="single" w:sz="8" w:space="0" w:color="auto"/>
            </w:tcBorders>
            <w:shd w:val="clear" w:color="000000" w:fill="FFFFFF"/>
            <w:noWrap/>
            <w:vAlign w:val="bottom"/>
            <w:hideMark/>
          </w:tcPr>
          <w:p w:rsidR="00AB0496" w:rsidRPr="00747B18" w:rsidRDefault="00AB0496" w:rsidP="00AB0496">
            <w:pPr>
              <w:jc w:val="center"/>
              <w:rPr>
                <w:b/>
                <w:bCs/>
                <w:color w:val="000000"/>
                <w:sz w:val="22"/>
                <w:szCs w:val="22"/>
                <w:lang w:val="es-GT" w:eastAsia="es-GT"/>
              </w:rPr>
            </w:pPr>
            <w:r w:rsidRPr="00747B18">
              <w:rPr>
                <w:b/>
                <w:bCs/>
                <w:color w:val="000000"/>
                <w:sz w:val="22"/>
                <w:szCs w:val="22"/>
                <w:lang w:val="es-GT" w:eastAsia="es-GT"/>
              </w:rPr>
              <w:t>13.1%</w:t>
            </w:r>
          </w:p>
        </w:tc>
      </w:tr>
      <w:tr w:rsidR="00AB0496" w:rsidRPr="00467ED3" w:rsidTr="000A3EE5">
        <w:trPr>
          <w:trHeight w:val="330"/>
        </w:trPr>
        <w:tc>
          <w:tcPr>
            <w:tcW w:w="3417" w:type="dxa"/>
            <w:tcBorders>
              <w:top w:val="nil"/>
              <w:left w:val="nil"/>
              <w:bottom w:val="nil"/>
              <w:right w:val="nil"/>
            </w:tcBorders>
            <w:shd w:val="clear" w:color="000000" w:fill="FFFFFF"/>
            <w:noWrap/>
            <w:vAlign w:val="bottom"/>
            <w:hideMark/>
          </w:tcPr>
          <w:p w:rsidR="00AB0496" w:rsidRPr="00467ED3" w:rsidRDefault="00AB0496" w:rsidP="00AB0496">
            <w:pPr>
              <w:rPr>
                <w:b/>
                <w:color w:val="000000"/>
                <w:sz w:val="22"/>
                <w:szCs w:val="22"/>
                <w:lang w:val="es-GT" w:eastAsia="es-GT"/>
              </w:rPr>
            </w:pPr>
            <w:r w:rsidRPr="00467ED3">
              <w:rPr>
                <w:b/>
                <w:color w:val="000000"/>
                <w:sz w:val="22"/>
                <w:szCs w:val="22"/>
                <w:lang w:val="es-GT" w:eastAsia="es-GT"/>
              </w:rPr>
              <w:t>Ejecución Presupuestaria</w:t>
            </w:r>
            <w:r w:rsidR="0069616A">
              <w:rPr>
                <w:b/>
                <w:color w:val="000000"/>
                <w:sz w:val="22"/>
                <w:szCs w:val="22"/>
                <w:lang w:val="es-GT" w:eastAsia="es-GT"/>
              </w:rPr>
              <w:t xml:space="preserve"> Total</w:t>
            </w:r>
          </w:p>
        </w:tc>
        <w:tc>
          <w:tcPr>
            <w:tcW w:w="1985" w:type="dxa"/>
            <w:tcBorders>
              <w:top w:val="nil"/>
              <w:left w:val="nil"/>
              <w:bottom w:val="nil"/>
              <w:right w:val="nil"/>
            </w:tcBorders>
            <w:shd w:val="clear" w:color="000000" w:fill="FFFFFF"/>
            <w:noWrap/>
            <w:vAlign w:val="bottom"/>
            <w:hideMark/>
          </w:tcPr>
          <w:p w:rsidR="00AB0496" w:rsidRPr="00467ED3" w:rsidRDefault="00AB0496" w:rsidP="00AB0496">
            <w:pPr>
              <w:jc w:val="center"/>
              <w:rPr>
                <w:b/>
                <w:color w:val="000000"/>
                <w:sz w:val="22"/>
                <w:szCs w:val="22"/>
                <w:lang w:val="es-GT" w:eastAsia="es-GT"/>
              </w:rPr>
            </w:pPr>
            <w:r w:rsidRPr="00467ED3">
              <w:rPr>
                <w:b/>
                <w:color w:val="000000"/>
                <w:sz w:val="22"/>
                <w:szCs w:val="22"/>
                <w:lang w:val="es-GT" w:eastAsia="es-GT"/>
              </w:rPr>
              <w:t xml:space="preserve">28,650.0 </w:t>
            </w:r>
          </w:p>
        </w:tc>
        <w:tc>
          <w:tcPr>
            <w:tcW w:w="1843" w:type="dxa"/>
            <w:tcBorders>
              <w:top w:val="nil"/>
              <w:left w:val="nil"/>
              <w:bottom w:val="nil"/>
              <w:right w:val="nil"/>
            </w:tcBorders>
            <w:shd w:val="clear" w:color="000000" w:fill="FFFFFF"/>
            <w:noWrap/>
            <w:vAlign w:val="bottom"/>
            <w:hideMark/>
          </w:tcPr>
          <w:p w:rsidR="00AB0496" w:rsidRPr="00467ED3" w:rsidRDefault="00AB0496" w:rsidP="00AB0496">
            <w:pPr>
              <w:jc w:val="center"/>
              <w:rPr>
                <w:b/>
                <w:color w:val="000000"/>
                <w:sz w:val="22"/>
                <w:szCs w:val="22"/>
                <w:lang w:val="es-GT" w:eastAsia="es-GT"/>
              </w:rPr>
            </w:pPr>
            <w:r w:rsidRPr="00467ED3">
              <w:rPr>
                <w:b/>
                <w:color w:val="000000"/>
                <w:sz w:val="22"/>
                <w:szCs w:val="22"/>
                <w:lang w:val="es-GT" w:eastAsia="es-GT"/>
              </w:rPr>
              <w:t xml:space="preserve">30,644.5 </w:t>
            </w:r>
          </w:p>
        </w:tc>
        <w:tc>
          <w:tcPr>
            <w:tcW w:w="1701" w:type="dxa"/>
            <w:tcBorders>
              <w:top w:val="nil"/>
              <w:left w:val="nil"/>
              <w:bottom w:val="nil"/>
              <w:right w:val="nil"/>
            </w:tcBorders>
            <w:shd w:val="clear" w:color="000000" w:fill="FFFFFF"/>
            <w:noWrap/>
            <w:vAlign w:val="bottom"/>
            <w:hideMark/>
          </w:tcPr>
          <w:p w:rsidR="00AB0496" w:rsidRPr="00467ED3" w:rsidRDefault="00AB0496" w:rsidP="00AB0496">
            <w:pPr>
              <w:jc w:val="center"/>
              <w:rPr>
                <w:b/>
                <w:color w:val="000000"/>
                <w:sz w:val="22"/>
                <w:szCs w:val="22"/>
                <w:lang w:val="es-GT" w:eastAsia="es-GT"/>
              </w:rPr>
            </w:pPr>
            <w:r w:rsidRPr="00467ED3">
              <w:rPr>
                <w:b/>
                <w:color w:val="000000"/>
                <w:sz w:val="22"/>
                <w:szCs w:val="22"/>
                <w:lang w:val="es-GT" w:eastAsia="es-GT"/>
              </w:rPr>
              <w:t xml:space="preserve">32,503.7 </w:t>
            </w:r>
          </w:p>
        </w:tc>
      </w:tr>
    </w:tbl>
    <w:p w:rsidR="004720E6" w:rsidRPr="00522477" w:rsidRDefault="004720E6" w:rsidP="00AB0496">
      <w:pPr>
        <w:rPr>
          <w:sz w:val="10"/>
          <w:lang w:val="es-MX"/>
        </w:rPr>
      </w:pPr>
    </w:p>
    <w:p w:rsidR="00AB0496" w:rsidRPr="003115F3" w:rsidRDefault="00AB0496" w:rsidP="00E021FF">
      <w:pPr>
        <w:jc w:val="both"/>
        <w:rPr>
          <w:sz w:val="16"/>
          <w:lang w:val="es-MX"/>
        </w:rPr>
      </w:pPr>
      <w:r w:rsidRPr="003115F3">
        <w:rPr>
          <w:sz w:val="16"/>
          <w:lang w:val="es-MX"/>
        </w:rPr>
        <w:t>Fuente: Ministerio de Finanzas Públicas con base al SICOIN.</w:t>
      </w:r>
    </w:p>
    <w:p w:rsidR="00AB0496" w:rsidRDefault="00AB0496" w:rsidP="00E021FF">
      <w:pPr>
        <w:jc w:val="both"/>
        <w:rPr>
          <w:sz w:val="16"/>
          <w:lang w:val="es-MX"/>
        </w:rPr>
      </w:pPr>
      <w:r w:rsidRPr="003115F3">
        <w:rPr>
          <w:sz w:val="16"/>
          <w:lang w:val="es-MX"/>
        </w:rPr>
        <w:t>* Cifras preliminares</w:t>
      </w:r>
      <w:r w:rsidR="000A3EE5">
        <w:rPr>
          <w:sz w:val="16"/>
          <w:lang w:val="es-MX"/>
        </w:rPr>
        <w:t>.</w:t>
      </w:r>
    </w:p>
    <w:p w:rsidR="00AB0496" w:rsidRPr="00FB641E" w:rsidRDefault="00AB0496" w:rsidP="00AB0496">
      <w:pPr>
        <w:keepNext/>
        <w:keepLines/>
        <w:numPr>
          <w:ilvl w:val="2"/>
          <w:numId w:val="4"/>
        </w:numPr>
        <w:spacing w:before="200"/>
        <w:outlineLvl w:val="2"/>
        <w:rPr>
          <w:b/>
          <w:bCs/>
          <w:lang w:val="es-MX"/>
        </w:rPr>
      </w:pPr>
      <w:bookmarkStart w:id="26" w:name="_Toc494447083"/>
      <w:bookmarkStart w:id="27" w:name="_Toc525824410"/>
      <w:r w:rsidRPr="00FB641E">
        <w:rPr>
          <w:b/>
          <w:bCs/>
          <w:lang w:val="es-MX"/>
        </w:rPr>
        <w:lastRenderedPageBreak/>
        <w:t xml:space="preserve">Gasto </w:t>
      </w:r>
      <w:r>
        <w:rPr>
          <w:b/>
          <w:bCs/>
          <w:lang w:val="es-MX"/>
        </w:rPr>
        <w:t>E</w:t>
      </w:r>
      <w:r w:rsidRPr="00FB641E">
        <w:rPr>
          <w:b/>
          <w:bCs/>
          <w:lang w:val="es-MX"/>
        </w:rPr>
        <w:t xml:space="preserve">jecutado a través de </w:t>
      </w:r>
      <w:r>
        <w:rPr>
          <w:b/>
          <w:bCs/>
          <w:lang w:val="es-MX"/>
        </w:rPr>
        <w:t>F</w:t>
      </w:r>
      <w:r w:rsidRPr="00FB641E">
        <w:rPr>
          <w:b/>
          <w:bCs/>
          <w:lang w:val="es-MX"/>
        </w:rPr>
        <w:t>ideicomisos</w:t>
      </w:r>
      <w:bookmarkEnd w:id="26"/>
      <w:bookmarkEnd w:id="27"/>
    </w:p>
    <w:p w:rsidR="00AB0496" w:rsidRPr="00FB641E" w:rsidRDefault="00AB0496" w:rsidP="00AB0496">
      <w:pPr>
        <w:jc w:val="both"/>
        <w:rPr>
          <w:lang w:val="es-MX"/>
        </w:rPr>
      </w:pPr>
    </w:p>
    <w:p w:rsidR="00AB0496" w:rsidRDefault="00AB0496" w:rsidP="00AB0496">
      <w:pPr>
        <w:jc w:val="both"/>
        <w:rPr>
          <w:lang w:val="es-MX"/>
        </w:rPr>
      </w:pPr>
      <w:r w:rsidRPr="00FB641E">
        <w:rPr>
          <w:lang w:val="es-MX"/>
        </w:rPr>
        <w:t>Al 30 de junio de 201</w:t>
      </w:r>
      <w:r>
        <w:rPr>
          <w:lang w:val="es-MX"/>
        </w:rPr>
        <w:t>8</w:t>
      </w:r>
      <w:r w:rsidRPr="00FB641E">
        <w:rPr>
          <w:lang w:val="es-MX"/>
        </w:rPr>
        <w:t xml:space="preserve">, la ejecución </w:t>
      </w:r>
      <w:r>
        <w:rPr>
          <w:lang w:val="es-MX"/>
        </w:rPr>
        <w:t xml:space="preserve">a través de </w:t>
      </w:r>
      <w:r w:rsidRPr="00FB641E">
        <w:rPr>
          <w:lang w:val="es-MX"/>
        </w:rPr>
        <w:t>fideicomisos</w:t>
      </w:r>
      <w:r w:rsidR="004720E6" w:rsidRPr="004720E6">
        <w:rPr>
          <w:vertAlign w:val="superscript"/>
        </w:rPr>
        <w:footnoteReference w:id="2"/>
      </w:r>
      <w:r>
        <w:rPr>
          <w:lang w:val="es-MX"/>
        </w:rPr>
        <w:t xml:space="preserve"> aumentó en Q</w:t>
      </w:r>
      <w:r w:rsidR="009F1469">
        <w:rPr>
          <w:lang w:val="es-MX"/>
        </w:rPr>
        <w:t>.</w:t>
      </w:r>
      <w:r>
        <w:rPr>
          <w:lang w:val="es-MX"/>
        </w:rPr>
        <w:t xml:space="preserve">131.4 millones respecto </w:t>
      </w:r>
      <w:r w:rsidR="009F1469">
        <w:rPr>
          <w:lang w:val="es-MX"/>
        </w:rPr>
        <w:t>de</w:t>
      </w:r>
      <w:r>
        <w:rPr>
          <w:lang w:val="es-MX"/>
        </w:rPr>
        <w:t xml:space="preserve"> lo observado en el mismo período de 2017, pasando de Q</w:t>
      </w:r>
      <w:r w:rsidR="009F1469">
        <w:rPr>
          <w:lang w:val="es-MX"/>
        </w:rPr>
        <w:t>.</w:t>
      </w:r>
      <w:r>
        <w:rPr>
          <w:lang w:val="es-MX"/>
        </w:rPr>
        <w:t>146.3 millones (0.5%) a Q</w:t>
      </w:r>
      <w:r w:rsidR="009F1469">
        <w:rPr>
          <w:lang w:val="es-MX"/>
        </w:rPr>
        <w:t>.</w:t>
      </w:r>
      <w:r>
        <w:rPr>
          <w:lang w:val="es-MX"/>
        </w:rPr>
        <w:t>277.7 millones en 2018, (1.0%)</w:t>
      </w:r>
      <w:r w:rsidR="009F1469">
        <w:rPr>
          <w:lang w:val="es-MX"/>
        </w:rPr>
        <w:t>,</w:t>
      </w:r>
      <w:r>
        <w:rPr>
          <w:lang w:val="es-MX"/>
        </w:rPr>
        <w:t xml:space="preserve"> de la ejecución total.</w:t>
      </w:r>
    </w:p>
    <w:p w:rsidR="00AB0496" w:rsidRDefault="00AB0496" w:rsidP="00AB0496">
      <w:pPr>
        <w:jc w:val="both"/>
        <w:rPr>
          <w:lang w:val="es-MX"/>
        </w:rPr>
      </w:pPr>
    </w:p>
    <w:p w:rsidR="00AB0496" w:rsidRPr="00FB641E" w:rsidRDefault="00AB0496" w:rsidP="00AB0496">
      <w:pPr>
        <w:jc w:val="both"/>
        <w:rPr>
          <w:lang w:val="es-MX"/>
        </w:rPr>
      </w:pPr>
      <w:r>
        <w:rPr>
          <w:lang w:val="es-MX"/>
        </w:rPr>
        <w:t xml:space="preserve">Resalta el incremento </w:t>
      </w:r>
      <w:r w:rsidR="001A2E58">
        <w:rPr>
          <w:lang w:val="es-MX"/>
        </w:rPr>
        <w:t xml:space="preserve">en 2018 respecto de 2017, </w:t>
      </w:r>
      <w:r>
        <w:rPr>
          <w:lang w:val="es-MX"/>
        </w:rPr>
        <w:t>en los fideicomisos del Fondo de Protección Social Q.117.4 millones y el Fondo Social de Solidaridad Q.76.3 millones. Asimismo, es conveniente mencionar que el Fideicomiso de Inversión para la Vivienda disminuyó en Q.77.6 millones</w:t>
      </w:r>
      <w:r w:rsidR="001A2E58">
        <w:rPr>
          <w:lang w:val="es-MX"/>
        </w:rPr>
        <w:t>, en 2018 con relación a lo observado en 2017</w:t>
      </w:r>
      <w:r>
        <w:rPr>
          <w:lang w:val="es-MX"/>
        </w:rPr>
        <w:t>.</w:t>
      </w:r>
    </w:p>
    <w:p w:rsidR="00AB0496" w:rsidRDefault="00AB0496" w:rsidP="00AB0496">
      <w:pPr>
        <w:jc w:val="both"/>
        <w:rPr>
          <w:lang w:val="es-MX"/>
        </w:rPr>
      </w:pPr>
    </w:p>
    <w:p w:rsidR="00522477" w:rsidRDefault="00522477" w:rsidP="00AB0496">
      <w:pPr>
        <w:jc w:val="both"/>
        <w:rPr>
          <w:lang w:val="es-MX"/>
        </w:rPr>
      </w:pPr>
    </w:p>
    <w:p w:rsidR="00AB0496" w:rsidRPr="0088577C" w:rsidRDefault="00AB0496" w:rsidP="00AB0496">
      <w:pPr>
        <w:jc w:val="center"/>
        <w:rPr>
          <w:b/>
          <w:sz w:val="22"/>
          <w:szCs w:val="22"/>
          <w:lang w:val="es-MX"/>
        </w:rPr>
      </w:pPr>
      <w:r w:rsidRPr="0088577C">
        <w:rPr>
          <w:b/>
          <w:sz w:val="22"/>
          <w:szCs w:val="22"/>
          <w:lang w:val="es-MX"/>
        </w:rPr>
        <w:t xml:space="preserve">Cuadro </w:t>
      </w:r>
      <w:r w:rsidR="00E5644C">
        <w:rPr>
          <w:b/>
          <w:sz w:val="22"/>
          <w:szCs w:val="22"/>
          <w:lang w:val="es-MX"/>
        </w:rPr>
        <w:t>7</w:t>
      </w:r>
    </w:p>
    <w:p w:rsidR="00AB0496" w:rsidRPr="0088577C" w:rsidRDefault="00AB0496" w:rsidP="00AB0496">
      <w:pPr>
        <w:jc w:val="center"/>
        <w:rPr>
          <w:b/>
          <w:sz w:val="22"/>
          <w:szCs w:val="22"/>
          <w:lang w:val="es-MX"/>
        </w:rPr>
      </w:pPr>
      <w:r w:rsidRPr="0088577C">
        <w:rPr>
          <w:b/>
          <w:sz w:val="22"/>
          <w:szCs w:val="22"/>
          <w:lang w:val="es-MX"/>
        </w:rPr>
        <w:t>Ejecución Presupuestaria a través de Fideicomisos</w:t>
      </w:r>
    </w:p>
    <w:p w:rsidR="00AB0496" w:rsidRPr="0088577C" w:rsidRDefault="00AB0496" w:rsidP="00AB0496">
      <w:pPr>
        <w:jc w:val="center"/>
        <w:rPr>
          <w:b/>
          <w:sz w:val="22"/>
          <w:szCs w:val="22"/>
          <w:lang w:val="es-MX"/>
        </w:rPr>
      </w:pPr>
      <w:r w:rsidRPr="0088577C">
        <w:rPr>
          <w:b/>
          <w:sz w:val="22"/>
          <w:szCs w:val="22"/>
          <w:lang w:val="es-MX"/>
        </w:rPr>
        <w:t xml:space="preserve">Al 30 de junio </w:t>
      </w:r>
      <w:r w:rsidR="00CA01CC">
        <w:rPr>
          <w:b/>
          <w:sz w:val="22"/>
          <w:szCs w:val="22"/>
          <w:lang w:val="es-MX"/>
        </w:rPr>
        <w:t>de cada año</w:t>
      </w:r>
    </w:p>
    <w:p w:rsidR="00AB0496" w:rsidRPr="0088577C" w:rsidRDefault="00AB0496" w:rsidP="00AB0496">
      <w:pPr>
        <w:jc w:val="center"/>
        <w:rPr>
          <w:b/>
          <w:sz w:val="22"/>
          <w:szCs w:val="22"/>
          <w:lang w:val="es-MX"/>
        </w:rPr>
      </w:pPr>
      <w:r w:rsidRPr="0088577C">
        <w:rPr>
          <w:b/>
          <w:sz w:val="22"/>
          <w:szCs w:val="22"/>
          <w:lang w:val="es-MX"/>
        </w:rPr>
        <w:t>(Cifras en Millones de Quetzales)</w:t>
      </w:r>
    </w:p>
    <w:tbl>
      <w:tblPr>
        <w:tblW w:w="8857" w:type="dxa"/>
        <w:tblInd w:w="55" w:type="dxa"/>
        <w:tblCellMar>
          <w:left w:w="70" w:type="dxa"/>
          <w:right w:w="70" w:type="dxa"/>
        </w:tblCellMar>
        <w:tblLook w:val="04A0" w:firstRow="1" w:lastRow="0" w:firstColumn="1" w:lastColumn="0" w:noHBand="0" w:noVBand="1"/>
      </w:tblPr>
      <w:tblGrid>
        <w:gridCol w:w="4611"/>
        <w:gridCol w:w="1030"/>
        <w:gridCol w:w="1030"/>
        <w:gridCol w:w="1071"/>
        <w:gridCol w:w="1115"/>
      </w:tblGrid>
      <w:tr w:rsidR="004720E6" w:rsidRPr="004720E6" w:rsidTr="004720E6">
        <w:trPr>
          <w:trHeight w:val="263"/>
        </w:trPr>
        <w:tc>
          <w:tcPr>
            <w:tcW w:w="4611" w:type="dxa"/>
            <w:vMerge w:val="restart"/>
            <w:tcBorders>
              <w:top w:val="single" w:sz="8" w:space="0" w:color="auto"/>
              <w:left w:val="single" w:sz="8" w:space="0" w:color="auto"/>
              <w:bottom w:val="single" w:sz="4" w:space="0" w:color="000000"/>
              <w:right w:val="single" w:sz="4" w:space="0" w:color="auto"/>
            </w:tcBorders>
            <w:shd w:val="clear" w:color="000000" w:fill="8DB4E2"/>
            <w:vAlign w:val="center"/>
            <w:hideMark/>
          </w:tcPr>
          <w:p w:rsidR="004720E6" w:rsidRPr="004720E6" w:rsidRDefault="004720E6" w:rsidP="004720E6">
            <w:pPr>
              <w:jc w:val="center"/>
              <w:rPr>
                <w:b/>
                <w:bCs/>
                <w:sz w:val="22"/>
                <w:szCs w:val="22"/>
                <w:lang w:val="es-GT" w:eastAsia="es-GT"/>
              </w:rPr>
            </w:pPr>
            <w:r w:rsidRPr="004720E6">
              <w:rPr>
                <w:b/>
                <w:bCs/>
                <w:sz w:val="22"/>
                <w:szCs w:val="22"/>
                <w:lang w:val="es-GT" w:eastAsia="es-GT"/>
              </w:rPr>
              <w:t>Descripción</w:t>
            </w:r>
          </w:p>
        </w:tc>
        <w:tc>
          <w:tcPr>
            <w:tcW w:w="1030" w:type="dxa"/>
            <w:vMerge w:val="restart"/>
            <w:tcBorders>
              <w:top w:val="single" w:sz="8" w:space="0" w:color="auto"/>
              <w:left w:val="single" w:sz="4" w:space="0" w:color="auto"/>
              <w:bottom w:val="single" w:sz="4" w:space="0" w:color="000000"/>
              <w:right w:val="single" w:sz="4" w:space="0" w:color="auto"/>
            </w:tcBorders>
            <w:shd w:val="clear" w:color="000000" w:fill="8DB4E2"/>
            <w:vAlign w:val="center"/>
            <w:hideMark/>
          </w:tcPr>
          <w:p w:rsidR="004720E6" w:rsidRPr="004720E6" w:rsidRDefault="004720E6" w:rsidP="004720E6">
            <w:pPr>
              <w:jc w:val="center"/>
              <w:rPr>
                <w:b/>
                <w:bCs/>
                <w:sz w:val="22"/>
                <w:szCs w:val="22"/>
                <w:lang w:val="es-GT" w:eastAsia="es-GT"/>
              </w:rPr>
            </w:pPr>
            <w:r w:rsidRPr="004720E6">
              <w:rPr>
                <w:b/>
                <w:bCs/>
                <w:sz w:val="22"/>
                <w:szCs w:val="22"/>
                <w:lang w:val="es-GT" w:eastAsia="es-GT"/>
              </w:rPr>
              <w:t>2017</w:t>
            </w:r>
          </w:p>
        </w:tc>
        <w:tc>
          <w:tcPr>
            <w:tcW w:w="1030" w:type="dxa"/>
            <w:vMerge w:val="restart"/>
            <w:tcBorders>
              <w:top w:val="single" w:sz="8" w:space="0" w:color="auto"/>
              <w:left w:val="single" w:sz="4" w:space="0" w:color="auto"/>
              <w:bottom w:val="single" w:sz="4" w:space="0" w:color="000000"/>
              <w:right w:val="single" w:sz="4" w:space="0" w:color="auto"/>
            </w:tcBorders>
            <w:shd w:val="clear" w:color="000000" w:fill="8DB4E2"/>
            <w:vAlign w:val="center"/>
            <w:hideMark/>
          </w:tcPr>
          <w:p w:rsidR="004720E6" w:rsidRPr="004720E6" w:rsidRDefault="004720E6" w:rsidP="004720E6">
            <w:pPr>
              <w:jc w:val="center"/>
              <w:rPr>
                <w:b/>
                <w:bCs/>
                <w:sz w:val="22"/>
                <w:szCs w:val="22"/>
                <w:lang w:val="es-GT" w:eastAsia="es-GT"/>
              </w:rPr>
            </w:pPr>
            <w:r w:rsidRPr="004720E6">
              <w:rPr>
                <w:b/>
                <w:bCs/>
                <w:sz w:val="22"/>
                <w:szCs w:val="22"/>
                <w:lang w:val="es-GT" w:eastAsia="es-GT"/>
              </w:rPr>
              <w:t>2018</w:t>
            </w:r>
          </w:p>
        </w:tc>
        <w:tc>
          <w:tcPr>
            <w:tcW w:w="2186" w:type="dxa"/>
            <w:gridSpan w:val="2"/>
            <w:tcBorders>
              <w:top w:val="single" w:sz="8" w:space="0" w:color="auto"/>
              <w:left w:val="single" w:sz="4" w:space="0" w:color="auto"/>
              <w:bottom w:val="single" w:sz="4" w:space="0" w:color="auto"/>
              <w:right w:val="single" w:sz="8" w:space="0" w:color="000000"/>
            </w:tcBorders>
            <w:shd w:val="clear" w:color="000000" w:fill="8DB4E2"/>
            <w:noWrap/>
            <w:vAlign w:val="bottom"/>
            <w:hideMark/>
          </w:tcPr>
          <w:p w:rsidR="004720E6" w:rsidRPr="004720E6" w:rsidRDefault="004720E6" w:rsidP="004720E6">
            <w:pPr>
              <w:jc w:val="center"/>
              <w:rPr>
                <w:b/>
                <w:bCs/>
                <w:sz w:val="22"/>
                <w:szCs w:val="22"/>
                <w:lang w:val="es-GT" w:eastAsia="es-GT"/>
              </w:rPr>
            </w:pPr>
            <w:r w:rsidRPr="004720E6">
              <w:rPr>
                <w:b/>
                <w:bCs/>
                <w:sz w:val="22"/>
                <w:szCs w:val="22"/>
                <w:lang w:val="es-GT" w:eastAsia="es-GT"/>
              </w:rPr>
              <w:t>Diferencias</w:t>
            </w:r>
          </w:p>
        </w:tc>
      </w:tr>
      <w:tr w:rsidR="004720E6" w:rsidRPr="004720E6" w:rsidTr="004720E6">
        <w:trPr>
          <w:trHeight w:val="263"/>
        </w:trPr>
        <w:tc>
          <w:tcPr>
            <w:tcW w:w="4611" w:type="dxa"/>
            <w:vMerge/>
            <w:tcBorders>
              <w:top w:val="single" w:sz="8" w:space="0" w:color="auto"/>
              <w:left w:val="single" w:sz="8" w:space="0" w:color="auto"/>
              <w:bottom w:val="single" w:sz="4" w:space="0" w:color="000000"/>
              <w:right w:val="single" w:sz="4" w:space="0" w:color="auto"/>
            </w:tcBorders>
            <w:vAlign w:val="center"/>
            <w:hideMark/>
          </w:tcPr>
          <w:p w:rsidR="004720E6" w:rsidRPr="004720E6" w:rsidRDefault="004720E6" w:rsidP="004720E6">
            <w:pPr>
              <w:rPr>
                <w:b/>
                <w:bCs/>
                <w:sz w:val="22"/>
                <w:szCs w:val="22"/>
                <w:lang w:val="es-GT" w:eastAsia="es-GT"/>
              </w:rPr>
            </w:pPr>
          </w:p>
        </w:tc>
        <w:tc>
          <w:tcPr>
            <w:tcW w:w="1030" w:type="dxa"/>
            <w:vMerge/>
            <w:tcBorders>
              <w:top w:val="single" w:sz="8" w:space="0" w:color="auto"/>
              <w:left w:val="single" w:sz="4" w:space="0" w:color="auto"/>
              <w:bottom w:val="single" w:sz="4" w:space="0" w:color="000000"/>
              <w:right w:val="single" w:sz="4" w:space="0" w:color="auto"/>
            </w:tcBorders>
            <w:vAlign w:val="center"/>
            <w:hideMark/>
          </w:tcPr>
          <w:p w:rsidR="004720E6" w:rsidRPr="004720E6" w:rsidRDefault="004720E6" w:rsidP="004720E6">
            <w:pPr>
              <w:rPr>
                <w:b/>
                <w:bCs/>
                <w:sz w:val="22"/>
                <w:szCs w:val="22"/>
                <w:lang w:val="es-GT" w:eastAsia="es-GT"/>
              </w:rPr>
            </w:pPr>
          </w:p>
        </w:tc>
        <w:tc>
          <w:tcPr>
            <w:tcW w:w="1030" w:type="dxa"/>
            <w:vMerge/>
            <w:tcBorders>
              <w:top w:val="single" w:sz="8" w:space="0" w:color="auto"/>
              <w:left w:val="single" w:sz="4" w:space="0" w:color="auto"/>
              <w:bottom w:val="single" w:sz="4" w:space="0" w:color="000000"/>
              <w:right w:val="single" w:sz="4" w:space="0" w:color="auto"/>
            </w:tcBorders>
            <w:vAlign w:val="center"/>
            <w:hideMark/>
          </w:tcPr>
          <w:p w:rsidR="004720E6" w:rsidRPr="004720E6" w:rsidRDefault="004720E6" w:rsidP="004720E6">
            <w:pPr>
              <w:rPr>
                <w:b/>
                <w:bCs/>
                <w:sz w:val="22"/>
                <w:szCs w:val="22"/>
                <w:lang w:val="es-GT" w:eastAsia="es-GT"/>
              </w:rPr>
            </w:pPr>
          </w:p>
        </w:tc>
        <w:tc>
          <w:tcPr>
            <w:tcW w:w="1071" w:type="dxa"/>
            <w:tcBorders>
              <w:top w:val="nil"/>
              <w:left w:val="nil"/>
              <w:bottom w:val="single" w:sz="4" w:space="0" w:color="auto"/>
              <w:right w:val="single" w:sz="4" w:space="0" w:color="auto"/>
            </w:tcBorders>
            <w:shd w:val="clear" w:color="000000" w:fill="8DB4E2"/>
            <w:noWrap/>
            <w:vAlign w:val="bottom"/>
            <w:hideMark/>
          </w:tcPr>
          <w:p w:rsidR="004720E6" w:rsidRPr="004720E6" w:rsidRDefault="004720E6" w:rsidP="004720E6">
            <w:pPr>
              <w:jc w:val="center"/>
              <w:rPr>
                <w:b/>
                <w:bCs/>
                <w:sz w:val="22"/>
                <w:szCs w:val="22"/>
                <w:lang w:val="es-GT" w:eastAsia="es-GT"/>
              </w:rPr>
            </w:pPr>
            <w:r w:rsidRPr="004720E6">
              <w:rPr>
                <w:b/>
                <w:bCs/>
                <w:sz w:val="22"/>
                <w:szCs w:val="22"/>
                <w:lang w:val="es-GT" w:eastAsia="es-GT"/>
              </w:rPr>
              <w:t xml:space="preserve">Absolutas </w:t>
            </w:r>
          </w:p>
        </w:tc>
        <w:tc>
          <w:tcPr>
            <w:tcW w:w="1115" w:type="dxa"/>
            <w:tcBorders>
              <w:top w:val="nil"/>
              <w:left w:val="nil"/>
              <w:bottom w:val="single" w:sz="4" w:space="0" w:color="auto"/>
              <w:right w:val="single" w:sz="8" w:space="0" w:color="auto"/>
            </w:tcBorders>
            <w:shd w:val="clear" w:color="000000" w:fill="8DB4E2"/>
            <w:noWrap/>
            <w:vAlign w:val="bottom"/>
            <w:hideMark/>
          </w:tcPr>
          <w:p w:rsidR="004720E6" w:rsidRPr="004720E6" w:rsidRDefault="004720E6" w:rsidP="004720E6">
            <w:pPr>
              <w:jc w:val="center"/>
              <w:rPr>
                <w:b/>
                <w:bCs/>
                <w:sz w:val="22"/>
                <w:szCs w:val="22"/>
                <w:lang w:val="es-GT" w:eastAsia="es-GT"/>
              </w:rPr>
            </w:pPr>
            <w:r w:rsidRPr="004720E6">
              <w:rPr>
                <w:b/>
                <w:bCs/>
                <w:sz w:val="22"/>
                <w:szCs w:val="22"/>
                <w:lang w:val="es-GT" w:eastAsia="es-GT"/>
              </w:rPr>
              <w:t>Relativas</w:t>
            </w:r>
          </w:p>
        </w:tc>
      </w:tr>
      <w:tr w:rsidR="004720E6" w:rsidRPr="004720E6" w:rsidTr="004720E6">
        <w:trPr>
          <w:trHeight w:val="263"/>
        </w:trPr>
        <w:tc>
          <w:tcPr>
            <w:tcW w:w="4611" w:type="dxa"/>
            <w:tcBorders>
              <w:top w:val="nil"/>
              <w:left w:val="single" w:sz="8" w:space="0" w:color="auto"/>
              <w:bottom w:val="nil"/>
              <w:right w:val="single" w:sz="4" w:space="0" w:color="auto"/>
            </w:tcBorders>
            <w:shd w:val="clear" w:color="000000" w:fill="auto"/>
            <w:vAlign w:val="bottom"/>
            <w:hideMark/>
          </w:tcPr>
          <w:p w:rsidR="004720E6" w:rsidRPr="004720E6" w:rsidRDefault="004720E6" w:rsidP="004720E6">
            <w:pPr>
              <w:jc w:val="center"/>
              <w:rPr>
                <w:b/>
                <w:bCs/>
                <w:sz w:val="22"/>
                <w:szCs w:val="22"/>
                <w:lang w:val="es-GT" w:eastAsia="es-GT"/>
              </w:rPr>
            </w:pPr>
            <w:r w:rsidRPr="004720E6">
              <w:rPr>
                <w:b/>
                <w:bCs/>
                <w:sz w:val="22"/>
                <w:szCs w:val="22"/>
                <w:lang w:val="es-GT" w:eastAsia="es-GT"/>
              </w:rPr>
              <w:t>Total</w:t>
            </w:r>
          </w:p>
        </w:tc>
        <w:tc>
          <w:tcPr>
            <w:tcW w:w="1030" w:type="dxa"/>
            <w:tcBorders>
              <w:top w:val="nil"/>
              <w:left w:val="single" w:sz="4" w:space="0" w:color="auto"/>
              <w:bottom w:val="nil"/>
              <w:right w:val="single" w:sz="4" w:space="0" w:color="auto"/>
            </w:tcBorders>
            <w:shd w:val="clear" w:color="000000" w:fill="auto"/>
            <w:vAlign w:val="bottom"/>
            <w:hideMark/>
          </w:tcPr>
          <w:p w:rsidR="004720E6" w:rsidRPr="001A2E58" w:rsidRDefault="004720E6" w:rsidP="004720E6">
            <w:pPr>
              <w:jc w:val="center"/>
              <w:rPr>
                <w:b/>
                <w:bCs/>
                <w:sz w:val="22"/>
                <w:szCs w:val="22"/>
                <w:lang w:val="es-GT" w:eastAsia="es-GT"/>
              </w:rPr>
            </w:pPr>
            <w:r w:rsidRPr="001A2E58">
              <w:rPr>
                <w:b/>
                <w:bCs/>
                <w:sz w:val="22"/>
                <w:szCs w:val="22"/>
                <w:lang w:val="es-GT" w:eastAsia="es-GT"/>
              </w:rPr>
              <w:t>146.3</w:t>
            </w:r>
          </w:p>
        </w:tc>
        <w:tc>
          <w:tcPr>
            <w:tcW w:w="1030" w:type="dxa"/>
            <w:tcBorders>
              <w:top w:val="nil"/>
              <w:left w:val="nil"/>
              <w:bottom w:val="nil"/>
              <w:right w:val="single" w:sz="4" w:space="0" w:color="auto"/>
            </w:tcBorders>
            <w:shd w:val="clear" w:color="000000" w:fill="auto"/>
            <w:vAlign w:val="bottom"/>
            <w:hideMark/>
          </w:tcPr>
          <w:p w:rsidR="004720E6" w:rsidRPr="001A2E58" w:rsidRDefault="004720E6" w:rsidP="004720E6">
            <w:pPr>
              <w:jc w:val="center"/>
              <w:rPr>
                <w:b/>
                <w:bCs/>
                <w:sz w:val="22"/>
                <w:szCs w:val="22"/>
                <w:lang w:val="es-GT" w:eastAsia="es-GT"/>
              </w:rPr>
            </w:pPr>
            <w:r w:rsidRPr="001A2E58">
              <w:rPr>
                <w:b/>
                <w:bCs/>
                <w:sz w:val="22"/>
                <w:szCs w:val="22"/>
                <w:lang w:val="es-GT" w:eastAsia="es-GT"/>
              </w:rPr>
              <w:t>277.7</w:t>
            </w:r>
          </w:p>
        </w:tc>
        <w:tc>
          <w:tcPr>
            <w:tcW w:w="1071" w:type="dxa"/>
            <w:tcBorders>
              <w:top w:val="nil"/>
              <w:left w:val="nil"/>
              <w:bottom w:val="nil"/>
              <w:right w:val="single" w:sz="4" w:space="0" w:color="auto"/>
            </w:tcBorders>
            <w:shd w:val="clear" w:color="000000" w:fill="auto"/>
            <w:vAlign w:val="bottom"/>
            <w:hideMark/>
          </w:tcPr>
          <w:p w:rsidR="004720E6" w:rsidRPr="001A2E58" w:rsidRDefault="004720E6" w:rsidP="004720E6">
            <w:pPr>
              <w:jc w:val="center"/>
              <w:rPr>
                <w:b/>
                <w:bCs/>
                <w:sz w:val="22"/>
                <w:szCs w:val="22"/>
                <w:lang w:val="es-GT" w:eastAsia="es-GT"/>
              </w:rPr>
            </w:pPr>
            <w:r w:rsidRPr="001A2E58">
              <w:rPr>
                <w:b/>
                <w:bCs/>
                <w:sz w:val="22"/>
                <w:szCs w:val="22"/>
                <w:lang w:val="es-GT" w:eastAsia="es-GT"/>
              </w:rPr>
              <w:t>131.4</w:t>
            </w:r>
          </w:p>
        </w:tc>
        <w:tc>
          <w:tcPr>
            <w:tcW w:w="1115" w:type="dxa"/>
            <w:tcBorders>
              <w:top w:val="nil"/>
              <w:left w:val="nil"/>
              <w:bottom w:val="nil"/>
              <w:right w:val="single" w:sz="8" w:space="0" w:color="auto"/>
            </w:tcBorders>
            <w:shd w:val="clear" w:color="000000" w:fill="FFFFFF"/>
            <w:noWrap/>
            <w:vAlign w:val="bottom"/>
            <w:hideMark/>
          </w:tcPr>
          <w:p w:rsidR="004720E6" w:rsidRPr="001A2E58" w:rsidRDefault="004720E6" w:rsidP="004720E6">
            <w:pPr>
              <w:jc w:val="right"/>
              <w:rPr>
                <w:b/>
                <w:bCs/>
                <w:sz w:val="22"/>
                <w:szCs w:val="22"/>
                <w:lang w:val="es-GT" w:eastAsia="es-GT"/>
              </w:rPr>
            </w:pPr>
            <w:r w:rsidRPr="001A2E58">
              <w:rPr>
                <w:b/>
                <w:bCs/>
                <w:sz w:val="22"/>
                <w:szCs w:val="22"/>
                <w:lang w:val="es-GT" w:eastAsia="es-GT"/>
              </w:rPr>
              <w:t>89.8%</w:t>
            </w:r>
          </w:p>
        </w:tc>
      </w:tr>
      <w:tr w:rsidR="004720E6" w:rsidRPr="004720E6" w:rsidTr="004720E6">
        <w:trPr>
          <w:trHeight w:val="263"/>
        </w:trPr>
        <w:tc>
          <w:tcPr>
            <w:tcW w:w="4611" w:type="dxa"/>
            <w:tcBorders>
              <w:top w:val="nil"/>
              <w:left w:val="single" w:sz="8" w:space="0" w:color="auto"/>
              <w:bottom w:val="nil"/>
              <w:right w:val="single" w:sz="4" w:space="0" w:color="auto"/>
            </w:tcBorders>
            <w:shd w:val="clear" w:color="000000" w:fill="auto"/>
            <w:hideMark/>
          </w:tcPr>
          <w:p w:rsidR="004720E6" w:rsidRPr="004720E6" w:rsidRDefault="004720E6" w:rsidP="004720E6">
            <w:pPr>
              <w:rPr>
                <w:sz w:val="22"/>
                <w:szCs w:val="22"/>
                <w:lang w:val="es-GT" w:eastAsia="es-GT"/>
              </w:rPr>
            </w:pPr>
            <w:r w:rsidRPr="004720E6">
              <w:rPr>
                <w:sz w:val="22"/>
                <w:szCs w:val="22"/>
                <w:lang w:val="es-GT" w:eastAsia="es-GT"/>
              </w:rPr>
              <w:t xml:space="preserve">Fondo Nacional para la Conservación de la Naturaleza </w:t>
            </w:r>
          </w:p>
        </w:tc>
        <w:tc>
          <w:tcPr>
            <w:tcW w:w="1030" w:type="dxa"/>
            <w:tcBorders>
              <w:top w:val="nil"/>
              <w:left w:val="single" w:sz="4" w:space="0" w:color="auto"/>
              <w:bottom w:val="nil"/>
              <w:right w:val="single" w:sz="4" w:space="0" w:color="auto"/>
            </w:tcBorders>
            <w:shd w:val="clear" w:color="000000" w:fill="auto"/>
            <w:vAlign w:val="bottom"/>
            <w:hideMark/>
          </w:tcPr>
          <w:p w:rsidR="004720E6" w:rsidRPr="004720E6" w:rsidRDefault="004720E6" w:rsidP="004720E6">
            <w:pPr>
              <w:jc w:val="center"/>
              <w:rPr>
                <w:sz w:val="22"/>
                <w:szCs w:val="22"/>
                <w:lang w:val="es-GT" w:eastAsia="es-GT"/>
              </w:rPr>
            </w:pPr>
            <w:r w:rsidRPr="004720E6">
              <w:rPr>
                <w:sz w:val="22"/>
                <w:szCs w:val="22"/>
                <w:lang w:val="es-GT" w:eastAsia="es-GT"/>
              </w:rPr>
              <w:t> </w:t>
            </w:r>
          </w:p>
        </w:tc>
        <w:tc>
          <w:tcPr>
            <w:tcW w:w="1030" w:type="dxa"/>
            <w:tcBorders>
              <w:top w:val="nil"/>
              <w:left w:val="nil"/>
              <w:bottom w:val="nil"/>
              <w:right w:val="single" w:sz="4" w:space="0" w:color="auto"/>
            </w:tcBorders>
            <w:shd w:val="clear" w:color="000000" w:fill="auto"/>
            <w:vAlign w:val="bottom"/>
            <w:hideMark/>
          </w:tcPr>
          <w:p w:rsidR="004720E6" w:rsidRPr="004720E6" w:rsidRDefault="004720E6" w:rsidP="004720E6">
            <w:pPr>
              <w:jc w:val="center"/>
              <w:rPr>
                <w:sz w:val="22"/>
                <w:szCs w:val="22"/>
                <w:lang w:val="es-GT" w:eastAsia="es-GT"/>
              </w:rPr>
            </w:pPr>
            <w:r w:rsidRPr="004720E6">
              <w:rPr>
                <w:sz w:val="22"/>
                <w:szCs w:val="22"/>
                <w:lang w:val="es-GT" w:eastAsia="es-GT"/>
              </w:rPr>
              <w:t>1.0</w:t>
            </w:r>
          </w:p>
        </w:tc>
        <w:tc>
          <w:tcPr>
            <w:tcW w:w="1071" w:type="dxa"/>
            <w:tcBorders>
              <w:top w:val="nil"/>
              <w:left w:val="nil"/>
              <w:bottom w:val="nil"/>
              <w:right w:val="single" w:sz="4" w:space="0" w:color="auto"/>
            </w:tcBorders>
            <w:shd w:val="clear" w:color="000000" w:fill="FFFFFF"/>
            <w:noWrap/>
            <w:vAlign w:val="bottom"/>
            <w:hideMark/>
          </w:tcPr>
          <w:p w:rsidR="004720E6" w:rsidRPr="004720E6" w:rsidRDefault="004720E6" w:rsidP="004720E6">
            <w:pPr>
              <w:jc w:val="right"/>
              <w:rPr>
                <w:sz w:val="22"/>
                <w:szCs w:val="22"/>
                <w:lang w:val="es-GT" w:eastAsia="es-GT"/>
              </w:rPr>
            </w:pPr>
            <w:r w:rsidRPr="004720E6">
              <w:rPr>
                <w:sz w:val="22"/>
                <w:szCs w:val="22"/>
                <w:lang w:val="es-GT" w:eastAsia="es-GT"/>
              </w:rPr>
              <w:t>1.0</w:t>
            </w:r>
          </w:p>
        </w:tc>
        <w:tc>
          <w:tcPr>
            <w:tcW w:w="1115" w:type="dxa"/>
            <w:tcBorders>
              <w:top w:val="nil"/>
              <w:left w:val="nil"/>
              <w:bottom w:val="nil"/>
              <w:right w:val="single" w:sz="8" w:space="0" w:color="auto"/>
            </w:tcBorders>
            <w:shd w:val="clear" w:color="000000" w:fill="FFFFFF"/>
            <w:noWrap/>
            <w:vAlign w:val="bottom"/>
            <w:hideMark/>
          </w:tcPr>
          <w:p w:rsidR="004720E6" w:rsidRPr="004720E6" w:rsidRDefault="004720E6" w:rsidP="004720E6">
            <w:pPr>
              <w:rPr>
                <w:sz w:val="22"/>
                <w:szCs w:val="22"/>
                <w:lang w:val="es-GT" w:eastAsia="es-GT"/>
              </w:rPr>
            </w:pPr>
          </w:p>
        </w:tc>
      </w:tr>
      <w:tr w:rsidR="004720E6" w:rsidRPr="004720E6" w:rsidTr="004720E6">
        <w:trPr>
          <w:trHeight w:val="601"/>
        </w:trPr>
        <w:tc>
          <w:tcPr>
            <w:tcW w:w="4611" w:type="dxa"/>
            <w:tcBorders>
              <w:top w:val="nil"/>
              <w:left w:val="single" w:sz="8" w:space="0" w:color="auto"/>
              <w:bottom w:val="nil"/>
              <w:right w:val="single" w:sz="4" w:space="0" w:color="auto"/>
            </w:tcBorders>
            <w:shd w:val="clear" w:color="000000" w:fill="auto"/>
            <w:hideMark/>
          </w:tcPr>
          <w:p w:rsidR="004720E6" w:rsidRPr="004720E6" w:rsidRDefault="004720E6" w:rsidP="004720E6">
            <w:pPr>
              <w:rPr>
                <w:sz w:val="22"/>
                <w:szCs w:val="22"/>
                <w:lang w:val="es-GT" w:eastAsia="es-GT"/>
              </w:rPr>
            </w:pPr>
            <w:r w:rsidRPr="004720E6">
              <w:rPr>
                <w:sz w:val="22"/>
                <w:szCs w:val="22"/>
                <w:lang w:val="es-GT" w:eastAsia="es-GT"/>
              </w:rPr>
              <w:t>Fondo Nacional para la Reactivación y Modernización de la Actividad Agropecuaria</w:t>
            </w:r>
          </w:p>
        </w:tc>
        <w:tc>
          <w:tcPr>
            <w:tcW w:w="1030" w:type="dxa"/>
            <w:tcBorders>
              <w:top w:val="nil"/>
              <w:left w:val="single" w:sz="4" w:space="0" w:color="auto"/>
              <w:bottom w:val="nil"/>
              <w:right w:val="single" w:sz="4" w:space="0" w:color="auto"/>
            </w:tcBorders>
            <w:shd w:val="clear" w:color="000000" w:fill="auto"/>
            <w:vAlign w:val="bottom"/>
            <w:hideMark/>
          </w:tcPr>
          <w:p w:rsidR="004720E6" w:rsidRPr="004720E6" w:rsidRDefault="004720E6" w:rsidP="004720E6">
            <w:pPr>
              <w:jc w:val="center"/>
              <w:rPr>
                <w:sz w:val="22"/>
                <w:szCs w:val="22"/>
                <w:lang w:val="es-GT" w:eastAsia="es-GT"/>
              </w:rPr>
            </w:pPr>
            <w:r w:rsidRPr="004720E6">
              <w:rPr>
                <w:sz w:val="22"/>
                <w:szCs w:val="22"/>
                <w:lang w:val="es-GT" w:eastAsia="es-GT"/>
              </w:rPr>
              <w:t>7.3</w:t>
            </w:r>
          </w:p>
        </w:tc>
        <w:tc>
          <w:tcPr>
            <w:tcW w:w="1030" w:type="dxa"/>
            <w:tcBorders>
              <w:top w:val="nil"/>
              <w:left w:val="nil"/>
              <w:bottom w:val="nil"/>
              <w:right w:val="nil"/>
            </w:tcBorders>
            <w:shd w:val="clear" w:color="000000" w:fill="auto"/>
            <w:noWrap/>
            <w:vAlign w:val="bottom"/>
            <w:hideMark/>
          </w:tcPr>
          <w:p w:rsidR="004720E6" w:rsidRPr="004720E6" w:rsidRDefault="004720E6" w:rsidP="004720E6">
            <w:pPr>
              <w:jc w:val="right"/>
              <w:rPr>
                <w:color w:val="000000"/>
                <w:sz w:val="22"/>
                <w:szCs w:val="22"/>
                <w:lang w:val="es-GT" w:eastAsia="es-GT"/>
              </w:rPr>
            </w:pPr>
            <w:r w:rsidRPr="004720E6">
              <w:rPr>
                <w:color w:val="000000"/>
                <w:sz w:val="22"/>
                <w:szCs w:val="22"/>
                <w:lang w:val="es-GT" w:eastAsia="es-GT"/>
              </w:rPr>
              <w:t>22.9</w:t>
            </w:r>
          </w:p>
        </w:tc>
        <w:tc>
          <w:tcPr>
            <w:tcW w:w="1071" w:type="dxa"/>
            <w:tcBorders>
              <w:top w:val="nil"/>
              <w:left w:val="single" w:sz="4" w:space="0" w:color="auto"/>
              <w:bottom w:val="nil"/>
              <w:right w:val="single" w:sz="4" w:space="0" w:color="auto"/>
            </w:tcBorders>
            <w:shd w:val="clear" w:color="000000" w:fill="FFFFFF"/>
            <w:noWrap/>
            <w:vAlign w:val="bottom"/>
            <w:hideMark/>
          </w:tcPr>
          <w:p w:rsidR="004720E6" w:rsidRPr="004720E6" w:rsidRDefault="004720E6" w:rsidP="004720E6">
            <w:pPr>
              <w:jc w:val="right"/>
              <w:rPr>
                <w:sz w:val="22"/>
                <w:szCs w:val="22"/>
                <w:lang w:val="es-GT" w:eastAsia="es-GT"/>
              </w:rPr>
            </w:pPr>
            <w:r w:rsidRPr="004720E6">
              <w:rPr>
                <w:sz w:val="22"/>
                <w:szCs w:val="22"/>
                <w:lang w:val="es-GT" w:eastAsia="es-GT"/>
              </w:rPr>
              <w:t>15.6</w:t>
            </w:r>
          </w:p>
        </w:tc>
        <w:tc>
          <w:tcPr>
            <w:tcW w:w="1115" w:type="dxa"/>
            <w:tcBorders>
              <w:top w:val="nil"/>
              <w:left w:val="nil"/>
              <w:bottom w:val="nil"/>
              <w:right w:val="single" w:sz="8" w:space="0" w:color="auto"/>
            </w:tcBorders>
            <w:shd w:val="clear" w:color="000000" w:fill="FFFFFF"/>
            <w:noWrap/>
            <w:vAlign w:val="bottom"/>
            <w:hideMark/>
          </w:tcPr>
          <w:p w:rsidR="004720E6" w:rsidRPr="004720E6" w:rsidRDefault="004720E6" w:rsidP="004720E6">
            <w:pPr>
              <w:jc w:val="right"/>
              <w:rPr>
                <w:sz w:val="22"/>
                <w:szCs w:val="22"/>
                <w:lang w:val="es-GT" w:eastAsia="es-GT"/>
              </w:rPr>
            </w:pPr>
            <w:r w:rsidRPr="004720E6">
              <w:rPr>
                <w:sz w:val="22"/>
                <w:szCs w:val="22"/>
                <w:lang w:val="es-GT" w:eastAsia="es-GT"/>
              </w:rPr>
              <w:t>214.2%</w:t>
            </w:r>
          </w:p>
        </w:tc>
      </w:tr>
      <w:tr w:rsidR="004720E6" w:rsidRPr="004720E6" w:rsidTr="004720E6">
        <w:trPr>
          <w:trHeight w:val="601"/>
        </w:trPr>
        <w:tc>
          <w:tcPr>
            <w:tcW w:w="4611" w:type="dxa"/>
            <w:tcBorders>
              <w:top w:val="nil"/>
              <w:left w:val="single" w:sz="8" w:space="0" w:color="auto"/>
              <w:bottom w:val="nil"/>
              <w:right w:val="single" w:sz="4" w:space="0" w:color="auto"/>
            </w:tcBorders>
            <w:shd w:val="clear" w:color="000000" w:fill="auto"/>
            <w:hideMark/>
          </w:tcPr>
          <w:p w:rsidR="004720E6" w:rsidRPr="004720E6" w:rsidRDefault="004720E6" w:rsidP="004720E6">
            <w:pPr>
              <w:rPr>
                <w:sz w:val="22"/>
                <w:szCs w:val="22"/>
                <w:lang w:val="es-GT" w:eastAsia="es-GT"/>
              </w:rPr>
            </w:pPr>
            <w:r w:rsidRPr="004720E6">
              <w:rPr>
                <w:sz w:val="22"/>
                <w:szCs w:val="22"/>
                <w:lang w:val="es-GT" w:eastAsia="es-GT"/>
              </w:rPr>
              <w:t>Apoyo Financiero para los Productores del Sector Cafetalero</w:t>
            </w:r>
          </w:p>
        </w:tc>
        <w:tc>
          <w:tcPr>
            <w:tcW w:w="1030" w:type="dxa"/>
            <w:tcBorders>
              <w:top w:val="nil"/>
              <w:left w:val="single" w:sz="4" w:space="0" w:color="auto"/>
              <w:bottom w:val="nil"/>
              <w:right w:val="single" w:sz="4" w:space="0" w:color="auto"/>
            </w:tcBorders>
            <w:shd w:val="clear" w:color="000000" w:fill="auto"/>
            <w:vAlign w:val="bottom"/>
            <w:hideMark/>
          </w:tcPr>
          <w:p w:rsidR="004720E6" w:rsidRPr="004720E6" w:rsidRDefault="004720E6" w:rsidP="004720E6">
            <w:pPr>
              <w:jc w:val="center"/>
              <w:rPr>
                <w:sz w:val="22"/>
                <w:szCs w:val="22"/>
                <w:lang w:val="es-GT" w:eastAsia="es-GT"/>
              </w:rPr>
            </w:pPr>
            <w:r w:rsidRPr="004720E6">
              <w:rPr>
                <w:sz w:val="22"/>
                <w:szCs w:val="22"/>
                <w:lang w:val="es-GT" w:eastAsia="es-GT"/>
              </w:rPr>
              <w:t>9.9</w:t>
            </w:r>
          </w:p>
        </w:tc>
        <w:tc>
          <w:tcPr>
            <w:tcW w:w="1030" w:type="dxa"/>
            <w:tcBorders>
              <w:top w:val="nil"/>
              <w:left w:val="nil"/>
              <w:bottom w:val="nil"/>
              <w:right w:val="nil"/>
            </w:tcBorders>
            <w:shd w:val="clear" w:color="000000" w:fill="auto"/>
            <w:noWrap/>
            <w:vAlign w:val="bottom"/>
            <w:hideMark/>
          </w:tcPr>
          <w:p w:rsidR="004720E6" w:rsidRPr="004720E6" w:rsidRDefault="004720E6" w:rsidP="004720E6">
            <w:pPr>
              <w:rPr>
                <w:color w:val="000000"/>
                <w:sz w:val="22"/>
                <w:szCs w:val="22"/>
                <w:lang w:val="es-GT" w:eastAsia="es-GT"/>
              </w:rPr>
            </w:pPr>
          </w:p>
        </w:tc>
        <w:tc>
          <w:tcPr>
            <w:tcW w:w="1071" w:type="dxa"/>
            <w:tcBorders>
              <w:top w:val="nil"/>
              <w:left w:val="single" w:sz="4" w:space="0" w:color="auto"/>
              <w:bottom w:val="nil"/>
              <w:right w:val="single" w:sz="4" w:space="0" w:color="auto"/>
            </w:tcBorders>
            <w:shd w:val="clear" w:color="000000" w:fill="FFFFFF"/>
            <w:noWrap/>
            <w:vAlign w:val="bottom"/>
            <w:hideMark/>
          </w:tcPr>
          <w:p w:rsidR="004720E6" w:rsidRPr="004720E6" w:rsidRDefault="004720E6" w:rsidP="004720E6">
            <w:pPr>
              <w:jc w:val="right"/>
              <w:rPr>
                <w:sz w:val="22"/>
                <w:szCs w:val="22"/>
                <w:lang w:val="es-GT" w:eastAsia="es-GT"/>
              </w:rPr>
            </w:pPr>
            <w:r w:rsidRPr="004720E6">
              <w:rPr>
                <w:sz w:val="22"/>
                <w:szCs w:val="22"/>
                <w:lang w:val="es-GT" w:eastAsia="es-GT"/>
              </w:rPr>
              <w:t>-9.9</w:t>
            </w:r>
          </w:p>
        </w:tc>
        <w:tc>
          <w:tcPr>
            <w:tcW w:w="1115" w:type="dxa"/>
            <w:tcBorders>
              <w:top w:val="nil"/>
              <w:left w:val="nil"/>
              <w:bottom w:val="nil"/>
              <w:right w:val="single" w:sz="8" w:space="0" w:color="auto"/>
            </w:tcBorders>
            <w:shd w:val="clear" w:color="000000" w:fill="FFFFFF"/>
            <w:noWrap/>
            <w:vAlign w:val="bottom"/>
            <w:hideMark/>
          </w:tcPr>
          <w:p w:rsidR="004720E6" w:rsidRPr="004720E6" w:rsidRDefault="004720E6" w:rsidP="004720E6">
            <w:pPr>
              <w:jc w:val="right"/>
              <w:rPr>
                <w:sz w:val="22"/>
                <w:szCs w:val="22"/>
                <w:lang w:val="es-GT" w:eastAsia="es-GT"/>
              </w:rPr>
            </w:pPr>
            <w:r w:rsidRPr="004720E6">
              <w:rPr>
                <w:sz w:val="22"/>
                <w:szCs w:val="22"/>
                <w:lang w:val="es-GT" w:eastAsia="es-GT"/>
              </w:rPr>
              <w:t>-100.0%</w:t>
            </w:r>
          </w:p>
        </w:tc>
      </w:tr>
      <w:tr w:rsidR="004720E6" w:rsidRPr="004720E6" w:rsidTr="004720E6">
        <w:trPr>
          <w:trHeight w:val="263"/>
        </w:trPr>
        <w:tc>
          <w:tcPr>
            <w:tcW w:w="4611" w:type="dxa"/>
            <w:tcBorders>
              <w:top w:val="nil"/>
              <w:left w:val="single" w:sz="8" w:space="0" w:color="auto"/>
              <w:bottom w:val="nil"/>
              <w:right w:val="single" w:sz="4" w:space="0" w:color="auto"/>
            </w:tcBorders>
            <w:shd w:val="clear" w:color="000000" w:fill="auto"/>
            <w:vAlign w:val="bottom"/>
            <w:hideMark/>
          </w:tcPr>
          <w:p w:rsidR="004720E6" w:rsidRPr="004720E6" w:rsidRDefault="004720E6" w:rsidP="004720E6">
            <w:pPr>
              <w:rPr>
                <w:sz w:val="22"/>
                <w:szCs w:val="22"/>
                <w:lang w:val="es-GT" w:eastAsia="es-GT"/>
              </w:rPr>
            </w:pPr>
            <w:r w:rsidRPr="004720E6">
              <w:rPr>
                <w:sz w:val="22"/>
                <w:szCs w:val="22"/>
                <w:lang w:val="es-GT" w:eastAsia="es-GT"/>
              </w:rPr>
              <w:t>Fondo de Protección Social</w:t>
            </w:r>
          </w:p>
        </w:tc>
        <w:tc>
          <w:tcPr>
            <w:tcW w:w="1030" w:type="dxa"/>
            <w:tcBorders>
              <w:top w:val="nil"/>
              <w:left w:val="single" w:sz="4" w:space="0" w:color="auto"/>
              <w:bottom w:val="nil"/>
              <w:right w:val="single" w:sz="4" w:space="0" w:color="auto"/>
            </w:tcBorders>
            <w:shd w:val="clear" w:color="000000" w:fill="auto"/>
            <w:vAlign w:val="bottom"/>
            <w:hideMark/>
          </w:tcPr>
          <w:p w:rsidR="004720E6" w:rsidRPr="004720E6" w:rsidRDefault="004720E6" w:rsidP="004720E6">
            <w:pPr>
              <w:jc w:val="center"/>
              <w:rPr>
                <w:sz w:val="22"/>
                <w:szCs w:val="22"/>
                <w:lang w:val="es-GT" w:eastAsia="es-GT"/>
              </w:rPr>
            </w:pPr>
            <w:r w:rsidRPr="004720E6">
              <w:rPr>
                <w:sz w:val="22"/>
                <w:szCs w:val="22"/>
                <w:lang w:val="es-GT" w:eastAsia="es-GT"/>
              </w:rPr>
              <w:t> </w:t>
            </w:r>
          </w:p>
        </w:tc>
        <w:tc>
          <w:tcPr>
            <w:tcW w:w="1030" w:type="dxa"/>
            <w:tcBorders>
              <w:top w:val="nil"/>
              <w:left w:val="nil"/>
              <w:bottom w:val="nil"/>
              <w:right w:val="nil"/>
            </w:tcBorders>
            <w:shd w:val="clear" w:color="000000" w:fill="auto"/>
            <w:noWrap/>
            <w:vAlign w:val="bottom"/>
            <w:hideMark/>
          </w:tcPr>
          <w:p w:rsidR="004720E6" w:rsidRPr="004720E6" w:rsidRDefault="004720E6" w:rsidP="004720E6">
            <w:pPr>
              <w:jc w:val="right"/>
              <w:rPr>
                <w:color w:val="000000"/>
                <w:sz w:val="22"/>
                <w:szCs w:val="22"/>
                <w:lang w:val="es-GT" w:eastAsia="es-GT"/>
              </w:rPr>
            </w:pPr>
            <w:r w:rsidRPr="004720E6">
              <w:rPr>
                <w:color w:val="000000"/>
                <w:sz w:val="22"/>
                <w:szCs w:val="22"/>
                <w:lang w:val="es-GT" w:eastAsia="es-GT"/>
              </w:rPr>
              <w:t>117.4</w:t>
            </w:r>
          </w:p>
        </w:tc>
        <w:tc>
          <w:tcPr>
            <w:tcW w:w="1071" w:type="dxa"/>
            <w:tcBorders>
              <w:top w:val="nil"/>
              <w:left w:val="single" w:sz="4" w:space="0" w:color="auto"/>
              <w:bottom w:val="nil"/>
              <w:right w:val="single" w:sz="4" w:space="0" w:color="auto"/>
            </w:tcBorders>
            <w:shd w:val="clear" w:color="000000" w:fill="FFFFFF"/>
            <w:noWrap/>
            <w:vAlign w:val="bottom"/>
            <w:hideMark/>
          </w:tcPr>
          <w:p w:rsidR="004720E6" w:rsidRPr="004720E6" w:rsidRDefault="004720E6" w:rsidP="004720E6">
            <w:pPr>
              <w:jc w:val="right"/>
              <w:rPr>
                <w:sz w:val="22"/>
                <w:szCs w:val="22"/>
                <w:lang w:val="es-GT" w:eastAsia="es-GT"/>
              </w:rPr>
            </w:pPr>
            <w:r w:rsidRPr="004720E6">
              <w:rPr>
                <w:sz w:val="22"/>
                <w:szCs w:val="22"/>
                <w:lang w:val="es-GT" w:eastAsia="es-GT"/>
              </w:rPr>
              <w:t>117.4</w:t>
            </w:r>
          </w:p>
        </w:tc>
        <w:tc>
          <w:tcPr>
            <w:tcW w:w="1115" w:type="dxa"/>
            <w:tcBorders>
              <w:top w:val="nil"/>
              <w:left w:val="nil"/>
              <w:bottom w:val="nil"/>
              <w:right w:val="single" w:sz="8" w:space="0" w:color="auto"/>
            </w:tcBorders>
            <w:shd w:val="clear" w:color="000000" w:fill="FFFFFF"/>
            <w:noWrap/>
            <w:vAlign w:val="bottom"/>
            <w:hideMark/>
          </w:tcPr>
          <w:p w:rsidR="004720E6" w:rsidRPr="004720E6" w:rsidRDefault="004720E6" w:rsidP="004720E6">
            <w:pPr>
              <w:rPr>
                <w:sz w:val="22"/>
                <w:szCs w:val="22"/>
                <w:lang w:val="es-GT" w:eastAsia="es-GT"/>
              </w:rPr>
            </w:pPr>
          </w:p>
        </w:tc>
      </w:tr>
      <w:tr w:rsidR="004720E6" w:rsidRPr="004720E6" w:rsidTr="004720E6">
        <w:trPr>
          <w:trHeight w:val="263"/>
        </w:trPr>
        <w:tc>
          <w:tcPr>
            <w:tcW w:w="4611" w:type="dxa"/>
            <w:tcBorders>
              <w:top w:val="nil"/>
              <w:left w:val="single" w:sz="8" w:space="0" w:color="auto"/>
              <w:bottom w:val="nil"/>
              <w:right w:val="single" w:sz="4" w:space="0" w:color="auto"/>
            </w:tcBorders>
            <w:shd w:val="clear" w:color="000000" w:fill="auto"/>
            <w:vAlign w:val="bottom"/>
            <w:hideMark/>
          </w:tcPr>
          <w:p w:rsidR="004720E6" w:rsidRPr="004720E6" w:rsidRDefault="004720E6" w:rsidP="004720E6">
            <w:pPr>
              <w:rPr>
                <w:sz w:val="22"/>
                <w:szCs w:val="22"/>
                <w:lang w:val="es-GT" w:eastAsia="es-GT"/>
              </w:rPr>
            </w:pPr>
            <w:r w:rsidRPr="004720E6">
              <w:rPr>
                <w:sz w:val="22"/>
                <w:szCs w:val="22"/>
                <w:lang w:val="es-GT" w:eastAsia="es-GT"/>
              </w:rPr>
              <w:t>Fondo Social de Solidaridad</w:t>
            </w:r>
          </w:p>
        </w:tc>
        <w:tc>
          <w:tcPr>
            <w:tcW w:w="1030" w:type="dxa"/>
            <w:tcBorders>
              <w:top w:val="nil"/>
              <w:left w:val="single" w:sz="4" w:space="0" w:color="auto"/>
              <w:bottom w:val="nil"/>
              <w:right w:val="single" w:sz="4" w:space="0" w:color="auto"/>
            </w:tcBorders>
            <w:shd w:val="clear" w:color="000000" w:fill="auto"/>
            <w:vAlign w:val="bottom"/>
            <w:hideMark/>
          </w:tcPr>
          <w:p w:rsidR="004720E6" w:rsidRPr="004720E6" w:rsidRDefault="004720E6" w:rsidP="004720E6">
            <w:pPr>
              <w:jc w:val="center"/>
              <w:rPr>
                <w:sz w:val="22"/>
                <w:szCs w:val="22"/>
                <w:lang w:val="es-GT" w:eastAsia="es-GT"/>
              </w:rPr>
            </w:pPr>
            <w:r w:rsidRPr="004720E6">
              <w:rPr>
                <w:sz w:val="22"/>
                <w:szCs w:val="22"/>
                <w:lang w:val="es-GT" w:eastAsia="es-GT"/>
              </w:rPr>
              <w:t>29.3</w:t>
            </w:r>
          </w:p>
        </w:tc>
        <w:tc>
          <w:tcPr>
            <w:tcW w:w="1030" w:type="dxa"/>
            <w:tcBorders>
              <w:top w:val="nil"/>
              <w:left w:val="nil"/>
              <w:bottom w:val="nil"/>
              <w:right w:val="nil"/>
            </w:tcBorders>
            <w:shd w:val="clear" w:color="000000" w:fill="auto"/>
            <w:noWrap/>
            <w:vAlign w:val="bottom"/>
            <w:hideMark/>
          </w:tcPr>
          <w:p w:rsidR="004720E6" w:rsidRPr="004720E6" w:rsidRDefault="004720E6" w:rsidP="004720E6">
            <w:pPr>
              <w:jc w:val="right"/>
              <w:rPr>
                <w:color w:val="000000"/>
                <w:sz w:val="22"/>
                <w:szCs w:val="22"/>
                <w:lang w:val="es-GT" w:eastAsia="es-GT"/>
              </w:rPr>
            </w:pPr>
            <w:r w:rsidRPr="004720E6">
              <w:rPr>
                <w:color w:val="000000"/>
                <w:sz w:val="22"/>
                <w:szCs w:val="22"/>
                <w:lang w:val="es-GT" w:eastAsia="es-GT"/>
              </w:rPr>
              <w:t>105.6</w:t>
            </w:r>
          </w:p>
        </w:tc>
        <w:tc>
          <w:tcPr>
            <w:tcW w:w="1071" w:type="dxa"/>
            <w:tcBorders>
              <w:top w:val="nil"/>
              <w:left w:val="single" w:sz="4" w:space="0" w:color="auto"/>
              <w:bottom w:val="nil"/>
              <w:right w:val="single" w:sz="4" w:space="0" w:color="auto"/>
            </w:tcBorders>
            <w:shd w:val="clear" w:color="000000" w:fill="FFFFFF"/>
            <w:noWrap/>
            <w:vAlign w:val="bottom"/>
            <w:hideMark/>
          </w:tcPr>
          <w:p w:rsidR="004720E6" w:rsidRPr="004720E6" w:rsidRDefault="004720E6" w:rsidP="004720E6">
            <w:pPr>
              <w:jc w:val="right"/>
              <w:rPr>
                <w:sz w:val="22"/>
                <w:szCs w:val="22"/>
                <w:lang w:val="es-GT" w:eastAsia="es-GT"/>
              </w:rPr>
            </w:pPr>
            <w:r w:rsidRPr="004720E6">
              <w:rPr>
                <w:sz w:val="22"/>
                <w:szCs w:val="22"/>
                <w:lang w:val="es-GT" w:eastAsia="es-GT"/>
              </w:rPr>
              <w:t>76.3</w:t>
            </w:r>
          </w:p>
        </w:tc>
        <w:tc>
          <w:tcPr>
            <w:tcW w:w="1115" w:type="dxa"/>
            <w:tcBorders>
              <w:top w:val="nil"/>
              <w:left w:val="nil"/>
              <w:bottom w:val="nil"/>
              <w:right w:val="single" w:sz="8" w:space="0" w:color="auto"/>
            </w:tcBorders>
            <w:shd w:val="clear" w:color="000000" w:fill="FFFFFF"/>
            <w:noWrap/>
            <w:vAlign w:val="bottom"/>
            <w:hideMark/>
          </w:tcPr>
          <w:p w:rsidR="004720E6" w:rsidRPr="004720E6" w:rsidRDefault="004720E6" w:rsidP="004720E6">
            <w:pPr>
              <w:jc w:val="right"/>
              <w:rPr>
                <w:sz w:val="22"/>
                <w:szCs w:val="22"/>
                <w:lang w:val="es-GT" w:eastAsia="es-GT"/>
              </w:rPr>
            </w:pPr>
            <w:r w:rsidRPr="004720E6">
              <w:rPr>
                <w:sz w:val="22"/>
                <w:szCs w:val="22"/>
                <w:lang w:val="es-GT" w:eastAsia="es-GT"/>
              </w:rPr>
              <w:t>260.3%</w:t>
            </w:r>
          </w:p>
        </w:tc>
      </w:tr>
      <w:tr w:rsidR="004720E6" w:rsidRPr="004720E6" w:rsidTr="004720E6">
        <w:trPr>
          <w:trHeight w:val="263"/>
        </w:trPr>
        <w:tc>
          <w:tcPr>
            <w:tcW w:w="4611" w:type="dxa"/>
            <w:tcBorders>
              <w:top w:val="nil"/>
              <w:left w:val="single" w:sz="8" w:space="0" w:color="auto"/>
              <w:bottom w:val="nil"/>
              <w:right w:val="single" w:sz="4" w:space="0" w:color="auto"/>
            </w:tcBorders>
            <w:shd w:val="clear" w:color="000000" w:fill="auto"/>
            <w:vAlign w:val="bottom"/>
            <w:hideMark/>
          </w:tcPr>
          <w:p w:rsidR="004720E6" w:rsidRPr="004720E6" w:rsidRDefault="004720E6" w:rsidP="004720E6">
            <w:pPr>
              <w:rPr>
                <w:sz w:val="22"/>
                <w:szCs w:val="22"/>
                <w:lang w:val="es-GT" w:eastAsia="es-GT"/>
              </w:rPr>
            </w:pPr>
            <w:r w:rsidRPr="004720E6">
              <w:rPr>
                <w:sz w:val="22"/>
                <w:szCs w:val="22"/>
                <w:lang w:val="es-GT" w:eastAsia="es-GT"/>
              </w:rPr>
              <w:t>Fondo de Desarrollo Indígena Guatemalteco</w:t>
            </w:r>
          </w:p>
        </w:tc>
        <w:tc>
          <w:tcPr>
            <w:tcW w:w="1030" w:type="dxa"/>
            <w:tcBorders>
              <w:top w:val="nil"/>
              <w:left w:val="single" w:sz="4" w:space="0" w:color="auto"/>
              <w:bottom w:val="nil"/>
              <w:right w:val="single" w:sz="4" w:space="0" w:color="auto"/>
            </w:tcBorders>
            <w:shd w:val="clear" w:color="000000" w:fill="auto"/>
            <w:vAlign w:val="bottom"/>
            <w:hideMark/>
          </w:tcPr>
          <w:p w:rsidR="004720E6" w:rsidRPr="004720E6" w:rsidRDefault="004720E6" w:rsidP="004720E6">
            <w:pPr>
              <w:jc w:val="center"/>
              <w:rPr>
                <w:sz w:val="22"/>
                <w:szCs w:val="22"/>
                <w:lang w:val="es-GT" w:eastAsia="es-GT"/>
              </w:rPr>
            </w:pPr>
            <w:r w:rsidRPr="004720E6">
              <w:rPr>
                <w:sz w:val="22"/>
                <w:szCs w:val="22"/>
                <w:lang w:val="es-GT" w:eastAsia="es-GT"/>
              </w:rPr>
              <w:t>1.6</w:t>
            </w:r>
          </w:p>
        </w:tc>
        <w:tc>
          <w:tcPr>
            <w:tcW w:w="1030" w:type="dxa"/>
            <w:tcBorders>
              <w:top w:val="nil"/>
              <w:left w:val="nil"/>
              <w:bottom w:val="nil"/>
              <w:right w:val="nil"/>
            </w:tcBorders>
            <w:shd w:val="clear" w:color="000000" w:fill="auto"/>
            <w:noWrap/>
            <w:vAlign w:val="bottom"/>
            <w:hideMark/>
          </w:tcPr>
          <w:p w:rsidR="004720E6" w:rsidRPr="004720E6" w:rsidRDefault="004720E6" w:rsidP="004720E6">
            <w:pPr>
              <w:jc w:val="right"/>
              <w:rPr>
                <w:color w:val="000000"/>
                <w:sz w:val="22"/>
                <w:szCs w:val="22"/>
                <w:lang w:val="es-GT" w:eastAsia="es-GT"/>
              </w:rPr>
            </w:pPr>
            <w:r w:rsidRPr="004720E6">
              <w:rPr>
                <w:color w:val="000000"/>
                <w:sz w:val="22"/>
                <w:szCs w:val="22"/>
                <w:lang w:val="es-GT" w:eastAsia="es-GT"/>
              </w:rPr>
              <w:t>8.0</w:t>
            </w:r>
          </w:p>
        </w:tc>
        <w:tc>
          <w:tcPr>
            <w:tcW w:w="1071" w:type="dxa"/>
            <w:tcBorders>
              <w:top w:val="nil"/>
              <w:left w:val="single" w:sz="4" w:space="0" w:color="auto"/>
              <w:bottom w:val="nil"/>
              <w:right w:val="single" w:sz="4" w:space="0" w:color="auto"/>
            </w:tcBorders>
            <w:shd w:val="clear" w:color="000000" w:fill="FFFFFF"/>
            <w:noWrap/>
            <w:vAlign w:val="bottom"/>
            <w:hideMark/>
          </w:tcPr>
          <w:p w:rsidR="004720E6" w:rsidRPr="004720E6" w:rsidRDefault="004720E6" w:rsidP="004720E6">
            <w:pPr>
              <w:jc w:val="right"/>
              <w:rPr>
                <w:sz w:val="22"/>
                <w:szCs w:val="22"/>
                <w:lang w:val="es-GT" w:eastAsia="es-GT"/>
              </w:rPr>
            </w:pPr>
            <w:r w:rsidRPr="004720E6">
              <w:rPr>
                <w:sz w:val="22"/>
                <w:szCs w:val="22"/>
                <w:lang w:val="es-GT" w:eastAsia="es-GT"/>
              </w:rPr>
              <w:t>6.5</w:t>
            </w:r>
          </w:p>
        </w:tc>
        <w:tc>
          <w:tcPr>
            <w:tcW w:w="1115" w:type="dxa"/>
            <w:tcBorders>
              <w:top w:val="nil"/>
              <w:left w:val="nil"/>
              <w:bottom w:val="nil"/>
              <w:right w:val="single" w:sz="8" w:space="0" w:color="auto"/>
            </w:tcBorders>
            <w:shd w:val="clear" w:color="000000" w:fill="FFFFFF"/>
            <w:noWrap/>
            <w:vAlign w:val="bottom"/>
            <w:hideMark/>
          </w:tcPr>
          <w:p w:rsidR="004720E6" w:rsidRPr="004720E6" w:rsidRDefault="004720E6" w:rsidP="004720E6">
            <w:pPr>
              <w:jc w:val="right"/>
              <w:rPr>
                <w:sz w:val="22"/>
                <w:szCs w:val="22"/>
                <w:lang w:val="es-GT" w:eastAsia="es-GT"/>
              </w:rPr>
            </w:pPr>
            <w:r w:rsidRPr="004720E6">
              <w:rPr>
                <w:sz w:val="22"/>
                <w:szCs w:val="22"/>
                <w:lang w:val="es-GT" w:eastAsia="es-GT"/>
              </w:rPr>
              <w:t>407.8%</w:t>
            </w:r>
          </w:p>
        </w:tc>
      </w:tr>
      <w:tr w:rsidR="004720E6" w:rsidRPr="004720E6" w:rsidTr="004720E6">
        <w:trPr>
          <w:trHeight w:val="263"/>
        </w:trPr>
        <w:tc>
          <w:tcPr>
            <w:tcW w:w="4611" w:type="dxa"/>
            <w:tcBorders>
              <w:top w:val="nil"/>
              <w:left w:val="single" w:sz="8" w:space="0" w:color="auto"/>
              <w:bottom w:val="nil"/>
              <w:right w:val="single" w:sz="4" w:space="0" w:color="auto"/>
            </w:tcBorders>
            <w:shd w:val="clear" w:color="000000" w:fill="auto"/>
            <w:vAlign w:val="bottom"/>
            <w:hideMark/>
          </w:tcPr>
          <w:p w:rsidR="004720E6" w:rsidRPr="004720E6" w:rsidRDefault="001A2E58" w:rsidP="004720E6">
            <w:pPr>
              <w:rPr>
                <w:sz w:val="22"/>
                <w:szCs w:val="22"/>
                <w:lang w:val="es-GT" w:eastAsia="es-GT"/>
              </w:rPr>
            </w:pPr>
            <w:r>
              <w:rPr>
                <w:sz w:val="22"/>
                <w:szCs w:val="22"/>
                <w:lang w:val="es-GT" w:eastAsia="es-GT"/>
              </w:rPr>
              <w:t xml:space="preserve">Fondo de </w:t>
            </w:r>
            <w:r w:rsidR="004720E6" w:rsidRPr="004720E6">
              <w:rPr>
                <w:sz w:val="22"/>
                <w:szCs w:val="22"/>
                <w:lang w:val="es-GT" w:eastAsia="es-GT"/>
              </w:rPr>
              <w:t>Inversión para la Vivienda</w:t>
            </w:r>
          </w:p>
        </w:tc>
        <w:tc>
          <w:tcPr>
            <w:tcW w:w="1030" w:type="dxa"/>
            <w:tcBorders>
              <w:top w:val="nil"/>
              <w:left w:val="single" w:sz="4" w:space="0" w:color="auto"/>
              <w:bottom w:val="nil"/>
              <w:right w:val="single" w:sz="4" w:space="0" w:color="auto"/>
            </w:tcBorders>
            <w:shd w:val="clear" w:color="000000" w:fill="auto"/>
            <w:vAlign w:val="bottom"/>
            <w:hideMark/>
          </w:tcPr>
          <w:p w:rsidR="004720E6" w:rsidRPr="004720E6" w:rsidRDefault="004720E6" w:rsidP="004720E6">
            <w:pPr>
              <w:jc w:val="center"/>
              <w:rPr>
                <w:sz w:val="22"/>
                <w:szCs w:val="22"/>
                <w:lang w:val="es-GT" w:eastAsia="es-GT"/>
              </w:rPr>
            </w:pPr>
            <w:r w:rsidRPr="004720E6">
              <w:rPr>
                <w:sz w:val="22"/>
                <w:szCs w:val="22"/>
                <w:lang w:val="es-GT" w:eastAsia="es-GT"/>
              </w:rPr>
              <w:t>97.6</w:t>
            </w:r>
          </w:p>
        </w:tc>
        <w:tc>
          <w:tcPr>
            <w:tcW w:w="1030" w:type="dxa"/>
            <w:tcBorders>
              <w:top w:val="nil"/>
              <w:left w:val="nil"/>
              <w:bottom w:val="nil"/>
              <w:right w:val="nil"/>
            </w:tcBorders>
            <w:shd w:val="clear" w:color="000000" w:fill="auto"/>
            <w:noWrap/>
            <w:vAlign w:val="bottom"/>
            <w:hideMark/>
          </w:tcPr>
          <w:p w:rsidR="004720E6" w:rsidRPr="004720E6" w:rsidRDefault="004720E6" w:rsidP="004720E6">
            <w:pPr>
              <w:jc w:val="right"/>
              <w:rPr>
                <w:color w:val="000000"/>
                <w:sz w:val="22"/>
                <w:szCs w:val="22"/>
                <w:lang w:val="es-GT" w:eastAsia="es-GT"/>
              </w:rPr>
            </w:pPr>
            <w:r w:rsidRPr="004720E6">
              <w:rPr>
                <w:color w:val="000000"/>
                <w:sz w:val="22"/>
                <w:szCs w:val="22"/>
                <w:lang w:val="es-GT" w:eastAsia="es-GT"/>
              </w:rPr>
              <w:t>20.0</w:t>
            </w:r>
          </w:p>
        </w:tc>
        <w:tc>
          <w:tcPr>
            <w:tcW w:w="1071" w:type="dxa"/>
            <w:tcBorders>
              <w:top w:val="nil"/>
              <w:left w:val="single" w:sz="4" w:space="0" w:color="auto"/>
              <w:bottom w:val="nil"/>
              <w:right w:val="single" w:sz="4" w:space="0" w:color="auto"/>
            </w:tcBorders>
            <w:shd w:val="clear" w:color="000000" w:fill="FFFFFF"/>
            <w:noWrap/>
            <w:vAlign w:val="bottom"/>
            <w:hideMark/>
          </w:tcPr>
          <w:p w:rsidR="004720E6" w:rsidRPr="004720E6" w:rsidRDefault="004720E6" w:rsidP="004720E6">
            <w:pPr>
              <w:jc w:val="right"/>
              <w:rPr>
                <w:sz w:val="22"/>
                <w:szCs w:val="22"/>
                <w:lang w:val="es-GT" w:eastAsia="es-GT"/>
              </w:rPr>
            </w:pPr>
            <w:r w:rsidRPr="004720E6">
              <w:rPr>
                <w:sz w:val="22"/>
                <w:szCs w:val="22"/>
                <w:lang w:val="es-GT" w:eastAsia="es-GT"/>
              </w:rPr>
              <w:t>-77.6</w:t>
            </w:r>
          </w:p>
        </w:tc>
        <w:tc>
          <w:tcPr>
            <w:tcW w:w="1115" w:type="dxa"/>
            <w:tcBorders>
              <w:top w:val="nil"/>
              <w:left w:val="nil"/>
              <w:bottom w:val="nil"/>
              <w:right w:val="single" w:sz="8" w:space="0" w:color="auto"/>
            </w:tcBorders>
            <w:shd w:val="clear" w:color="000000" w:fill="FFFFFF"/>
            <w:noWrap/>
            <w:vAlign w:val="bottom"/>
            <w:hideMark/>
          </w:tcPr>
          <w:p w:rsidR="004720E6" w:rsidRPr="004720E6" w:rsidRDefault="004720E6" w:rsidP="004720E6">
            <w:pPr>
              <w:jc w:val="right"/>
              <w:rPr>
                <w:sz w:val="22"/>
                <w:szCs w:val="22"/>
                <w:lang w:val="es-GT" w:eastAsia="es-GT"/>
              </w:rPr>
            </w:pPr>
            <w:r w:rsidRPr="004720E6">
              <w:rPr>
                <w:sz w:val="22"/>
                <w:szCs w:val="22"/>
                <w:lang w:val="es-GT" w:eastAsia="es-GT"/>
              </w:rPr>
              <w:t>-79.5%</w:t>
            </w:r>
          </w:p>
        </w:tc>
      </w:tr>
      <w:tr w:rsidR="004720E6" w:rsidRPr="004720E6" w:rsidTr="004720E6">
        <w:trPr>
          <w:trHeight w:val="263"/>
        </w:trPr>
        <w:tc>
          <w:tcPr>
            <w:tcW w:w="4611" w:type="dxa"/>
            <w:tcBorders>
              <w:top w:val="nil"/>
              <w:left w:val="single" w:sz="8" w:space="0" w:color="auto"/>
              <w:bottom w:val="nil"/>
              <w:right w:val="single" w:sz="4" w:space="0" w:color="auto"/>
            </w:tcBorders>
            <w:shd w:val="clear" w:color="000000" w:fill="auto"/>
            <w:vAlign w:val="bottom"/>
            <w:hideMark/>
          </w:tcPr>
          <w:p w:rsidR="004720E6" w:rsidRPr="004720E6" w:rsidRDefault="001A2E58" w:rsidP="004720E6">
            <w:pPr>
              <w:rPr>
                <w:sz w:val="22"/>
                <w:szCs w:val="22"/>
                <w:lang w:val="es-GT" w:eastAsia="es-GT"/>
              </w:rPr>
            </w:pPr>
            <w:r>
              <w:rPr>
                <w:sz w:val="22"/>
                <w:szCs w:val="22"/>
                <w:lang w:val="es-GT" w:eastAsia="es-GT"/>
              </w:rPr>
              <w:t xml:space="preserve">Fondo de </w:t>
            </w:r>
            <w:r w:rsidR="004720E6" w:rsidRPr="004720E6">
              <w:rPr>
                <w:sz w:val="22"/>
                <w:szCs w:val="22"/>
                <w:lang w:val="es-GT" w:eastAsia="es-GT"/>
              </w:rPr>
              <w:t>Desarrollo Social</w:t>
            </w:r>
          </w:p>
        </w:tc>
        <w:tc>
          <w:tcPr>
            <w:tcW w:w="1030" w:type="dxa"/>
            <w:tcBorders>
              <w:top w:val="nil"/>
              <w:left w:val="single" w:sz="4" w:space="0" w:color="auto"/>
              <w:bottom w:val="nil"/>
              <w:right w:val="single" w:sz="4" w:space="0" w:color="auto"/>
            </w:tcBorders>
            <w:shd w:val="clear" w:color="000000" w:fill="auto"/>
            <w:vAlign w:val="bottom"/>
            <w:hideMark/>
          </w:tcPr>
          <w:p w:rsidR="004720E6" w:rsidRPr="004720E6" w:rsidRDefault="004720E6" w:rsidP="004720E6">
            <w:pPr>
              <w:jc w:val="center"/>
              <w:rPr>
                <w:sz w:val="22"/>
                <w:szCs w:val="22"/>
                <w:lang w:val="es-GT" w:eastAsia="es-GT"/>
              </w:rPr>
            </w:pPr>
            <w:r w:rsidRPr="004720E6">
              <w:rPr>
                <w:sz w:val="22"/>
                <w:szCs w:val="22"/>
                <w:lang w:val="es-GT" w:eastAsia="es-GT"/>
              </w:rPr>
              <w:t> </w:t>
            </w:r>
          </w:p>
        </w:tc>
        <w:tc>
          <w:tcPr>
            <w:tcW w:w="1030" w:type="dxa"/>
            <w:tcBorders>
              <w:top w:val="nil"/>
              <w:left w:val="nil"/>
              <w:bottom w:val="nil"/>
              <w:right w:val="nil"/>
            </w:tcBorders>
            <w:shd w:val="clear" w:color="000000" w:fill="auto"/>
            <w:noWrap/>
            <w:vAlign w:val="bottom"/>
            <w:hideMark/>
          </w:tcPr>
          <w:p w:rsidR="004720E6" w:rsidRPr="004720E6" w:rsidRDefault="004720E6" w:rsidP="004720E6">
            <w:pPr>
              <w:jc w:val="right"/>
              <w:rPr>
                <w:color w:val="000000"/>
                <w:sz w:val="22"/>
                <w:szCs w:val="22"/>
                <w:lang w:val="es-GT" w:eastAsia="es-GT"/>
              </w:rPr>
            </w:pPr>
            <w:r w:rsidRPr="004720E6">
              <w:rPr>
                <w:color w:val="000000"/>
                <w:sz w:val="22"/>
                <w:szCs w:val="22"/>
                <w:lang w:val="es-GT" w:eastAsia="es-GT"/>
              </w:rPr>
              <w:t>0.1</w:t>
            </w:r>
          </w:p>
        </w:tc>
        <w:tc>
          <w:tcPr>
            <w:tcW w:w="1071" w:type="dxa"/>
            <w:tcBorders>
              <w:top w:val="nil"/>
              <w:left w:val="single" w:sz="4" w:space="0" w:color="auto"/>
              <w:bottom w:val="nil"/>
              <w:right w:val="single" w:sz="4" w:space="0" w:color="auto"/>
            </w:tcBorders>
            <w:shd w:val="clear" w:color="000000" w:fill="FFFFFF"/>
            <w:noWrap/>
            <w:vAlign w:val="bottom"/>
            <w:hideMark/>
          </w:tcPr>
          <w:p w:rsidR="004720E6" w:rsidRPr="004720E6" w:rsidRDefault="004720E6" w:rsidP="004720E6">
            <w:pPr>
              <w:jc w:val="right"/>
              <w:rPr>
                <w:sz w:val="22"/>
                <w:szCs w:val="22"/>
                <w:lang w:val="es-GT" w:eastAsia="es-GT"/>
              </w:rPr>
            </w:pPr>
            <w:r w:rsidRPr="004720E6">
              <w:rPr>
                <w:sz w:val="22"/>
                <w:szCs w:val="22"/>
                <w:lang w:val="es-GT" w:eastAsia="es-GT"/>
              </w:rPr>
              <w:t>0.1</w:t>
            </w:r>
          </w:p>
        </w:tc>
        <w:tc>
          <w:tcPr>
            <w:tcW w:w="1115" w:type="dxa"/>
            <w:tcBorders>
              <w:top w:val="nil"/>
              <w:left w:val="nil"/>
              <w:bottom w:val="nil"/>
              <w:right w:val="single" w:sz="8" w:space="0" w:color="auto"/>
            </w:tcBorders>
            <w:shd w:val="clear" w:color="000000" w:fill="FFFFFF"/>
            <w:noWrap/>
            <w:vAlign w:val="bottom"/>
            <w:hideMark/>
          </w:tcPr>
          <w:p w:rsidR="004720E6" w:rsidRPr="004720E6" w:rsidRDefault="004720E6" w:rsidP="004720E6">
            <w:pPr>
              <w:rPr>
                <w:sz w:val="22"/>
                <w:szCs w:val="22"/>
                <w:lang w:val="es-GT" w:eastAsia="es-GT"/>
              </w:rPr>
            </w:pPr>
          </w:p>
        </w:tc>
      </w:tr>
      <w:tr w:rsidR="004720E6" w:rsidRPr="004720E6" w:rsidTr="004720E6">
        <w:trPr>
          <w:trHeight w:val="276"/>
        </w:trPr>
        <w:tc>
          <w:tcPr>
            <w:tcW w:w="4611" w:type="dxa"/>
            <w:tcBorders>
              <w:top w:val="nil"/>
              <w:left w:val="single" w:sz="8" w:space="0" w:color="auto"/>
              <w:bottom w:val="single" w:sz="8" w:space="0" w:color="auto"/>
              <w:right w:val="single" w:sz="4" w:space="0" w:color="auto"/>
            </w:tcBorders>
            <w:shd w:val="clear" w:color="000000" w:fill="auto"/>
            <w:vAlign w:val="bottom"/>
            <w:hideMark/>
          </w:tcPr>
          <w:p w:rsidR="004720E6" w:rsidRPr="004720E6" w:rsidRDefault="004720E6" w:rsidP="004720E6">
            <w:pPr>
              <w:rPr>
                <w:sz w:val="22"/>
                <w:szCs w:val="22"/>
                <w:lang w:val="es-GT" w:eastAsia="es-GT"/>
              </w:rPr>
            </w:pPr>
            <w:r w:rsidRPr="004720E6">
              <w:rPr>
                <w:sz w:val="22"/>
                <w:szCs w:val="22"/>
                <w:lang w:val="es-GT" w:eastAsia="es-GT"/>
              </w:rPr>
              <w:t xml:space="preserve">Fondo Nacional de Ciencia y Tecnología  </w:t>
            </w:r>
          </w:p>
        </w:tc>
        <w:tc>
          <w:tcPr>
            <w:tcW w:w="1030" w:type="dxa"/>
            <w:tcBorders>
              <w:top w:val="nil"/>
              <w:left w:val="single" w:sz="4" w:space="0" w:color="auto"/>
              <w:bottom w:val="single" w:sz="8" w:space="0" w:color="auto"/>
              <w:right w:val="single" w:sz="4" w:space="0" w:color="auto"/>
            </w:tcBorders>
            <w:shd w:val="clear" w:color="000000" w:fill="auto"/>
            <w:vAlign w:val="bottom"/>
            <w:hideMark/>
          </w:tcPr>
          <w:p w:rsidR="004720E6" w:rsidRPr="004720E6" w:rsidRDefault="004720E6" w:rsidP="004720E6">
            <w:pPr>
              <w:jc w:val="center"/>
              <w:rPr>
                <w:sz w:val="22"/>
                <w:szCs w:val="22"/>
                <w:lang w:val="es-GT" w:eastAsia="es-GT"/>
              </w:rPr>
            </w:pPr>
            <w:r w:rsidRPr="004720E6">
              <w:rPr>
                <w:sz w:val="22"/>
                <w:szCs w:val="22"/>
                <w:lang w:val="es-GT" w:eastAsia="es-GT"/>
              </w:rPr>
              <w:t>0.6</w:t>
            </w:r>
          </w:p>
        </w:tc>
        <w:tc>
          <w:tcPr>
            <w:tcW w:w="1030" w:type="dxa"/>
            <w:tcBorders>
              <w:top w:val="nil"/>
              <w:left w:val="nil"/>
              <w:bottom w:val="single" w:sz="8" w:space="0" w:color="auto"/>
              <w:right w:val="single" w:sz="4" w:space="0" w:color="auto"/>
            </w:tcBorders>
            <w:shd w:val="clear" w:color="000000" w:fill="auto"/>
            <w:noWrap/>
            <w:vAlign w:val="bottom"/>
            <w:hideMark/>
          </w:tcPr>
          <w:p w:rsidR="004720E6" w:rsidRPr="004720E6" w:rsidRDefault="004720E6" w:rsidP="004720E6">
            <w:pPr>
              <w:jc w:val="right"/>
              <w:rPr>
                <w:color w:val="000000"/>
                <w:sz w:val="22"/>
                <w:szCs w:val="22"/>
                <w:lang w:val="es-GT" w:eastAsia="es-GT"/>
              </w:rPr>
            </w:pPr>
            <w:r w:rsidRPr="004720E6">
              <w:rPr>
                <w:color w:val="000000"/>
                <w:sz w:val="22"/>
                <w:szCs w:val="22"/>
                <w:lang w:val="es-GT" w:eastAsia="es-GT"/>
              </w:rPr>
              <w:t>2.6</w:t>
            </w:r>
          </w:p>
        </w:tc>
        <w:tc>
          <w:tcPr>
            <w:tcW w:w="1071" w:type="dxa"/>
            <w:tcBorders>
              <w:top w:val="nil"/>
              <w:left w:val="nil"/>
              <w:bottom w:val="single" w:sz="8" w:space="0" w:color="auto"/>
              <w:right w:val="single" w:sz="4" w:space="0" w:color="auto"/>
            </w:tcBorders>
            <w:shd w:val="clear" w:color="000000" w:fill="FFFFFF"/>
            <w:noWrap/>
            <w:vAlign w:val="bottom"/>
            <w:hideMark/>
          </w:tcPr>
          <w:p w:rsidR="004720E6" w:rsidRPr="004720E6" w:rsidRDefault="004720E6" w:rsidP="004720E6">
            <w:pPr>
              <w:jc w:val="right"/>
              <w:rPr>
                <w:sz w:val="22"/>
                <w:szCs w:val="22"/>
                <w:lang w:val="es-GT" w:eastAsia="es-GT"/>
              </w:rPr>
            </w:pPr>
            <w:r w:rsidRPr="004720E6">
              <w:rPr>
                <w:sz w:val="22"/>
                <w:szCs w:val="22"/>
                <w:lang w:val="es-GT" w:eastAsia="es-GT"/>
              </w:rPr>
              <w:t>2.0</w:t>
            </w:r>
          </w:p>
        </w:tc>
        <w:tc>
          <w:tcPr>
            <w:tcW w:w="1115" w:type="dxa"/>
            <w:tcBorders>
              <w:top w:val="nil"/>
              <w:left w:val="nil"/>
              <w:bottom w:val="single" w:sz="8" w:space="0" w:color="auto"/>
              <w:right w:val="single" w:sz="8" w:space="0" w:color="auto"/>
            </w:tcBorders>
            <w:shd w:val="clear" w:color="000000" w:fill="FFFFFF"/>
            <w:noWrap/>
            <w:vAlign w:val="bottom"/>
            <w:hideMark/>
          </w:tcPr>
          <w:p w:rsidR="004720E6" w:rsidRPr="004720E6" w:rsidRDefault="004720E6" w:rsidP="004720E6">
            <w:pPr>
              <w:jc w:val="right"/>
              <w:rPr>
                <w:sz w:val="22"/>
                <w:szCs w:val="22"/>
                <w:lang w:val="es-GT" w:eastAsia="es-GT"/>
              </w:rPr>
            </w:pPr>
            <w:r w:rsidRPr="004720E6">
              <w:rPr>
                <w:sz w:val="22"/>
                <w:szCs w:val="22"/>
                <w:lang w:val="es-GT" w:eastAsia="es-GT"/>
              </w:rPr>
              <w:t>319.6%</w:t>
            </w:r>
          </w:p>
        </w:tc>
      </w:tr>
      <w:tr w:rsidR="004720E6" w:rsidRPr="00467ED3" w:rsidTr="004720E6">
        <w:trPr>
          <w:trHeight w:val="263"/>
        </w:trPr>
        <w:tc>
          <w:tcPr>
            <w:tcW w:w="4611" w:type="dxa"/>
            <w:tcBorders>
              <w:top w:val="single" w:sz="8" w:space="0" w:color="auto"/>
              <w:left w:val="nil"/>
              <w:bottom w:val="nil"/>
              <w:right w:val="nil"/>
            </w:tcBorders>
            <w:shd w:val="clear" w:color="000000" w:fill="FFFFFF"/>
            <w:vAlign w:val="bottom"/>
            <w:hideMark/>
          </w:tcPr>
          <w:p w:rsidR="004720E6" w:rsidRPr="00467ED3" w:rsidRDefault="00B04226" w:rsidP="00B04226">
            <w:pPr>
              <w:rPr>
                <w:b/>
                <w:sz w:val="22"/>
                <w:szCs w:val="22"/>
                <w:lang w:val="es-GT" w:eastAsia="es-GT"/>
              </w:rPr>
            </w:pPr>
            <w:r>
              <w:rPr>
                <w:b/>
                <w:sz w:val="22"/>
                <w:szCs w:val="22"/>
                <w:lang w:val="es-GT" w:eastAsia="es-GT"/>
              </w:rPr>
              <w:t>Porcentaje</w:t>
            </w:r>
            <w:r w:rsidR="004720E6" w:rsidRPr="00467ED3">
              <w:rPr>
                <w:b/>
                <w:sz w:val="22"/>
                <w:szCs w:val="22"/>
                <w:lang w:val="es-GT" w:eastAsia="es-GT"/>
              </w:rPr>
              <w:t xml:space="preserve"> </w:t>
            </w:r>
            <w:r>
              <w:rPr>
                <w:b/>
                <w:sz w:val="22"/>
                <w:szCs w:val="22"/>
                <w:lang w:val="es-GT" w:eastAsia="es-GT"/>
              </w:rPr>
              <w:t>sobre la</w:t>
            </w:r>
            <w:r w:rsidR="004720E6" w:rsidRPr="00467ED3">
              <w:rPr>
                <w:b/>
                <w:sz w:val="22"/>
                <w:szCs w:val="22"/>
                <w:lang w:val="es-GT" w:eastAsia="es-GT"/>
              </w:rPr>
              <w:t xml:space="preserve"> ejecución presupuestaria</w:t>
            </w:r>
            <w:r>
              <w:rPr>
                <w:b/>
                <w:sz w:val="22"/>
                <w:szCs w:val="22"/>
                <w:lang w:val="es-GT" w:eastAsia="es-GT"/>
              </w:rPr>
              <w:t xml:space="preserve"> total.</w:t>
            </w:r>
          </w:p>
        </w:tc>
        <w:tc>
          <w:tcPr>
            <w:tcW w:w="1030" w:type="dxa"/>
            <w:tcBorders>
              <w:top w:val="nil"/>
              <w:left w:val="nil"/>
              <w:bottom w:val="nil"/>
              <w:right w:val="nil"/>
            </w:tcBorders>
            <w:shd w:val="clear" w:color="000000" w:fill="FFFFFF"/>
            <w:noWrap/>
            <w:vAlign w:val="bottom"/>
            <w:hideMark/>
          </w:tcPr>
          <w:p w:rsidR="004720E6" w:rsidRPr="00467ED3" w:rsidRDefault="004720E6" w:rsidP="004720E6">
            <w:pPr>
              <w:jc w:val="center"/>
              <w:rPr>
                <w:b/>
                <w:sz w:val="22"/>
                <w:szCs w:val="22"/>
                <w:lang w:val="es-GT" w:eastAsia="es-GT"/>
              </w:rPr>
            </w:pPr>
            <w:r w:rsidRPr="00467ED3">
              <w:rPr>
                <w:b/>
                <w:sz w:val="22"/>
                <w:szCs w:val="22"/>
                <w:lang w:val="es-GT" w:eastAsia="es-GT"/>
              </w:rPr>
              <w:t>0.5%</w:t>
            </w:r>
          </w:p>
        </w:tc>
        <w:tc>
          <w:tcPr>
            <w:tcW w:w="1030" w:type="dxa"/>
            <w:tcBorders>
              <w:top w:val="nil"/>
              <w:left w:val="nil"/>
              <w:bottom w:val="nil"/>
              <w:right w:val="nil"/>
            </w:tcBorders>
            <w:shd w:val="clear" w:color="000000" w:fill="FFFFFF"/>
            <w:noWrap/>
            <w:vAlign w:val="bottom"/>
            <w:hideMark/>
          </w:tcPr>
          <w:p w:rsidR="004720E6" w:rsidRPr="00467ED3" w:rsidRDefault="004720E6" w:rsidP="004720E6">
            <w:pPr>
              <w:jc w:val="center"/>
              <w:rPr>
                <w:b/>
                <w:sz w:val="22"/>
                <w:szCs w:val="22"/>
                <w:lang w:val="es-GT" w:eastAsia="es-GT"/>
              </w:rPr>
            </w:pPr>
            <w:r w:rsidRPr="00467ED3">
              <w:rPr>
                <w:b/>
                <w:sz w:val="22"/>
                <w:szCs w:val="22"/>
                <w:lang w:val="es-GT" w:eastAsia="es-GT"/>
              </w:rPr>
              <w:t>0.9%</w:t>
            </w:r>
          </w:p>
        </w:tc>
        <w:tc>
          <w:tcPr>
            <w:tcW w:w="1071" w:type="dxa"/>
            <w:tcBorders>
              <w:top w:val="nil"/>
              <w:left w:val="nil"/>
              <w:bottom w:val="nil"/>
              <w:right w:val="nil"/>
            </w:tcBorders>
            <w:shd w:val="clear" w:color="000000" w:fill="FFFFFF"/>
            <w:noWrap/>
            <w:vAlign w:val="bottom"/>
            <w:hideMark/>
          </w:tcPr>
          <w:p w:rsidR="004720E6" w:rsidRPr="00467ED3" w:rsidRDefault="004720E6" w:rsidP="004720E6">
            <w:pPr>
              <w:rPr>
                <w:b/>
                <w:sz w:val="22"/>
                <w:szCs w:val="22"/>
                <w:lang w:val="es-GT" w:eastAsia="es-GT"/>
              </w:rPr>
            </w:pPr>
            <w:r w:rsidRPr="00467ED3">
              <w:rPr>
                <w:b/>
                <w:sz w:val="22"/>
                <w:szCs w:val="22"/>
                <w:lang w:val="es-GT" w:eastAsia="es-GT"/>
              </w:rPr>
              <w:t> </w:t>
            </w:r>
          </w:p>
        </w:tc>
        <w:tc>
          <w:tcPr>
            <w:tcW w:w="1115" w:type="dxa"/>
            <w:tcBorders>
              <w:top w:val="nil"/>
              <w:left w:val="nil"/>
              <w:bottom w:val="nil"/>
              <w:right w:val="nil"/>
            </w:tcBorders>
            <w:shd w:val="clear" w:color="000000" w:fill="FFFFFF"/>
            <w:noWrap/>
            <w:vAlign w:val="bottom"/>
            <w:hideMark/>
          </w:tcPr>
          <w:p w:rsidR="004720E6" w:rsidRPr="00467ED3" w:rsidRDefault="004720E6" w:rsidP="004720E6">
            <w:pPr>
              <w:rPr>
                <w:b/>
                <w:sz w:val="22"/>
                <w:szCs w:val="22"/>
                <w:lang w:val="es-GT" w:eastAsia="es-GT"/>
              </w:rPr>
            </w:pPr>
            <w:r w:rsidRPr="00467ED3">
              <w:rPr>
                <w:b/>
                <w:sz w:val="22"/>
                <w:szCs w:val="22"/>
                <w:lang w:val="es-GT" w:eastAsia="es-GT"/>
              </w:rPr>
              <w:t> </w:t>
            </w:r>
          </w:p>
        </w:tc>
      </w:tr>
    </w:tbl>
    <w:p w:rsidR="004720E6" w:rsidRPr="000621A0" w:rsidRDefault="004720E6" w:rsidP="00AB0496">
      <w:pPr>
        <w:rPr>
          <w:noProof/>
          <w:sz w:val="10"/>
          <w:lang w:val="es-GT" w:eastAsia="es-GT"/>
        </w:rPr>
      </w:pPr>
    </w:p>
    <w:p w:rsidR="00AB0496" w:rsidRPr="003115F3" w:rsidRDefault="00AB0496" w:rsidP="00E021FF">
      <w:pPr>
        <w:jc w:val="both"/>
        <w:rPr>
          <w:sz w:val="16"/>
          <w:lang w:val="es-MX"/>
        </w:rPr>
      </w:pPr>
      <w:r w:rsidRPr="003115F3">
        <w:rPr>
          <w:sz w:val="16"/>
          <w:lang w:val="es-MX"/>
        </w:rPr>
        <w:t>Fuente: Ministerio de Finanzas Públicas con base al SICOIN.</w:t>
      </w:r>
    </w:p>
    <w:p w:rsidR="00AB0496" w:rsidRDefault="00AB0496" w:rsidP="00E021FF">
      <w:pPr>
        <w:jc w:val="both"/>
        <w:rPr>
          <w:sz w:val="16"/>
          <w:lang w:val="es-MX"/>
        </w:rPr>
      </w:pPr>
      <w:r w:rsidRPr="003115F3">
        <w:rPr>
          <w:sz w:val="16"/>
          <w:lang w:val="es-MX"/>
        </w:rPr>
        <w:t>* Cifras preliminares</w:t>
      </w:r>
      <w:r w:rsidR="000A3EE5">
        <w:rPr>
          <w:sz w:val="16"/>
          <w:lang w:val="es-MX"/>
        </w:rPr>
        <w:t>.</w:t>
      </w:r>
    </w:p>
    <w:p w:rsidR="00AB0496" w:rsidRDefault="00AB0496" w:rsidP="00AB0496">
      <w:pPr>
        <w:rPr>
          <w:sz w:val="16"/>
          <w:lang w:val="es-MX"/>
        </w:rPr>
      </w:pPr>
    </w:p>
    <w:p w:rsidR="00AB0496" w:rsidRPr="003115F3" w:rsidRDefault="00AB0496" w:rsidP="00AB0496">
      <w:pPr>
        <w:rPr>
          <w:sz w:val="16"/>
          <w:lang w:val="es-MX"/>
        </w:rPr>
      </w:pPr>
    </w:p>
    <w:p w:rsidR="00AB0496" w:rsidRPr="00FB641E" w:rsidRDefault="00AB0496" w:rsidP="00AB0496">
      <w:pPr>
        <w:keepNext/>
        <w:keepLines/>
        <w:numPr>
          <w:ilvl w:val="2"/>
          <w:numId w:val="4"/>
        </w:numPr>
        <w:spacing w:before="200"/>
        <w:outlineLvl w:val="2"/>
        <w:rPr>
          <w:b/>
          <w:bCs/>
          <w:lang w:val="es-MX"/>
        </w:rPr>
      </w:pPr>
      <w:bookmarkStart w:id="28" w:name="_Toc494447084"/>
      <w:bookmarkStart w:id="29" w:name="_Toc525824411"/>
      <w:r>
        <w:rPr>
          <w:b/>
          <w:bCs/>
          <w:lang w:val="es-MX"/>
        </w:rPr>
        <w:lastRenderedPageBreak/>
        <w:t>G</w:t>
      </w:r>
      <w:r w:rsidRPr="00FB641E">
        <w:rPr>
          <w:b/>
          <w:bCs/>
          <w:lang w:val="es-MX"/>
        </w:rPr>
        <w:t xml:space="preserve">asto </w:t>
      </w:r>
      <w:r>
        <w:rPr>
          <w:b/>
          <w:bCs/>
          <w:lang w:val="es-MX"/>
        </w:rPr>
        <w:t>E</w:t>
      </w:r>
      <w:r w:rsidRPr="00FB641E">
        <w:rPr>
          <w:b/>
          <w:bCs/>
          <w:lang w:val="es-MX"/>
        </w:rPr>
        <w:t>jecutado a través de Organizaciones No Gubernamentales</w:t>
      </w:r>
      <w:r w:rsidRPr="00AB0496">
        <w:footnoteReference w:id="3"/>
      </w:r>
      <w:bookmarkEnd w:id="28"/>
      <w:bookmarkEnd w:id="29"/>
    </w:p>
    <w:p w:rsidR="00AB0496" w:rsidRPr="00522477" w:rsidRDefault="00AB0496" w:rsidP="00AB0496">
      <w:pPr>
        <w:jc w:val="both"/>
        <w:rPr>
          <w:sz w:val="36"/>
          <w:lang w:val="es-MX"/>
        </w:rPr>
      </w:pPr>
    </w:p>
    <w:p w:rsidR="00AB0496" w:rsidRPr="00FB641E" w:rsidRDefault="00AB0496" w:rsidP="00AB0496">
      <w:pPr>
        <w:jc w:val="both"/>
        <w:rPr>
          <w:lang w:val="es-MX"/>
        </w:rPr>
      </w:pPr>
      <w:r>
        <w:rPr>
          <w:lang w:val="es-MX"/>
        </w:rPr>
        <w:t>A</w:t>
      </w:r>
      <w:r w:rsidRPr="00FB641E">
        <w:rPr>
          <w:lang w:val="es-MX"/>
        </w:rPr>
        <w:t>l 30 de junio de 201</w:t>
      </w:r>
      <w:r>
        <w:rPr>
          <w:lang w:val="es-MX"/>
        </w:rPr>
        <w:t>8,</w:t>
      </w:r>
      <w:r w:rsidRPr="00FB641E">
        <w:rPr>
          <w:lang w:val="es-MX"/>
        </w:rPr>
        <w:t xml:space="preserve"> se ha ejecutado</w:t>
      </w:r>
      <w:r>
        <w:rPr>
          <w:lang w:val="es-MX"/>
        </w:rPr>
        <w:t xml:space="preserve"> a través de Organizaciones No Gubernamentales el monto de</w:t>
      </w:r>
      <w:r w:rsidRPr="00FB641E">
        <w:rPr>
          <w:lang w:val="es-MX"/>
        </w:rPr>
        <w:t xml:space="preserve"> Q</w:t>
      </w:r>
      <w:r w:rsidR="00781CD5">
        <w:rPr>
          <w:lang w:val="es-MX"/>
        </w:rPr>
        <w:t>.</w:t>
      </w:r>
      <w:r w:rsidRPr="00FB641E">
        <w:rPr>
          <w:lang w:val="es-MX"/>
        </w:rPr>
        <w:t>5</w:t>
      </w:r>
      <w:r>
        <w:rPr>
          <w:lang w:val="es-MX"/>
        </w:rPr>
        <w:t>38.8 millones</w:t>
      </w:r>
      <w:r w:rsidRPr="00FB641E">
        <w:rPr>
          <w:lang w:val="es-MX"/>
        </w:rPr>
        <w:t>, equivalen</w:t>
      </w:r>
      <w:r>
        <w:rPr>
          <w:lang w:val="es-MX"/>
        </w:rPr>
        <w:t>tes</w:t>
      </w:r>
      <w:r w:rsidRPr="00FB641E">
        <w:rPr>
          <w:lang w:val="es-MX"/>
        </w:rPr>
        <w:t xml:space="preserve"> al 1.</w:t>
      </w:r>
      <w:r>
        <w:rPr>
          <w:lang w:val="es-MX"/>
        </w:rPr>
        <w:t>8</w:t>
      </w:r>
      <w:r w:rsidRPr="00FB641E">
        <w:rPr>
          <w:lang w:val="es-MX"/>
        </w:rPr>
        <w:t>% de la ejecución presupuestaria total</w:t>
      </w:r>
      <w:r w:rsidR="00781CD5">
        <w:rPr>
          <w:lang w:val="es-MX"/>
        </w:rPr>
        <w:t>; este</w:t>
      </w:r>
      <w:r>
        <w:rPr>
          <w:lang w:val="es-MX"/>
        </w:rPr>
        <w:t xml:space="preserve"> monto es inferior </w:t>
      </w:r>
      <w:r w:rsidRPr="00FB641E">
        <w:rPr>
          <w:lang w:val="es-MX"/>
        </w:rPr>
        <w:t>en Q</w:t>
      </w:r>
      <w:r w:rsidR="00781CD5">
        <w:rPr>
          <w:lang w:val="es-MX"/>
        </w:rPr>
        <w:t>.</w:t>
      </w:r>
      <w:r>
        <w:rPr>
          <w:lang w:val="es-MX"/>
        </w:rPr>
        <w:t>23.1</w:t>
      </w:r>
      <w:r w:rsidRPr="00FB641E">
        <w:rPr>
          <w:lang w:val="es-MX"/>
        </w:rPr>
        <w:t xml:space="preserve"> millones respecto </w:t>
      </w:r>
      <w:r w:rsidR="00781CD5">
        <w:rPr>
          <w:lang w:val="es-MX"/>
        </w:rPr>
        <w:t>del</w:t>
      </w:r>
      <w:r>
        <w:rPr>
          <w:lang w:val="es-MX"/>
        </w:rPr>
        <w:t xml:space="preserve"> mismo per</w:t>
      </w:r>
      <w:r w:rsidR="00781CD5">
        <w:rPr>
          <w:lang w:val="es-MX"/>
        </w:rPr>
        <w:t>í</w:t>
      </w:r>
      <w:r>
        <w:rPr>
          <w:lang w:val="es-MX"/>
        </w:rPr>
        <w:t>odo en</w:t>
      </w:r>
      <w:r w:rsidRPr="00FB641E">
        <w:rPr>
          <w:lang w:val="es-MX"/>
        </w:rPr>
        <w:t xml:space="preserve"> 201</w:t>
      </w:r>
      <w:r>
        <w:rPr>
          <w:lang w:val="es-MX"/>
        </w:rPr>
        <w:t>7. L</w:t>
      </w:r>
      <w:r w:rsidRPr="00FB641E">
        <w:rPr>
          <w:lang w:val="es-MX"/>
        </w:rPr>
        <w:t>os principales ejecutores</w:t>
      </w:r>
      <w:r>
        <w:rPr>
          <w:lang w:val="es-MX"/>
        </w:rPr>
        <w:t xml:space="preserve"> son el Ministerio de Salud pública y Asistencia Social </w:t>
      </w:r>
      <w:r w:rsidR="00781CD5">
        <w:rPr>
          <w:lang w:val="es-MX"/>
        </w:rPr>
        <w:t xml:space="preserve">con </w:t>
      </w:r>
      <w:r>
        <w:rPr>
          <w:lang w:val="es-MX"/>
        </w:rPr>
        <w:t>Q.241.0 millones</w:t>
      </w:r>
      <w:r w:rsidRPr="00FB641E">
        <w:rPr>
          <w:lang w:val="es-MX"/>
        </w:rPr>
        <w:t xml:space="preserve">, </w:t>
      </w:r>
      <w:r>
        <w:rPr>
          <w:lang w:val="es-MX"/>
        </w:rPr>
        <w:t>Obligaciones del Estado a Cargo del Tesoro con Q</w:t>
      </w:r>
      <w:r w:rsidR="00781CD5">
        <w:rPr>
          <w:lang w:val="es-MX"/>
        </w:rPr>
        <w:t>.</w:t>
      </w:r>
      <w:r>
        <w:rPr>
          <w:lang w:val="es-MX"/>
        </w:rPr>
        <w:t xml:space="preserve">166.9 millones y </w:t>
      </w:r>
      <w:r w:rsidRPr="00FB641E">
        <w:rPr>
          <w:lang w:val="es-MX"/>
        </w:rPr>
        <w:t>e</w:t>
      </w:r>
      <w:r>
        <w:rPr>
          <w:lang w:val="es-MX"/>
        </w:rPr>
        <w:t>l Ministerio de Educación con Q</w:t>
      </w:r>
      <w:r w:rsidR="00781CD5">
        <w:rPr>
          <w:lang w:val="es-MX"/>
        </w:rPr>
        <w:t>.</w:t>
      </w:r>
      <w:r>
        <w:rPr>
          <w:lang w:val="es-MX"/>
        </w:rPr>
        <w:t>88.9 millones,</w:t>
      </w:r>
      <w:r w:rsidR="00781CD5">
        <w:rPr>
          <w:lang w:val="es-MX"/>
        </w:rPr>
        <w:t xml:space="preserve"> entre otros.</w:t>
      </w:r>
    </w:p>
    <w:p w:rsidR="00AB0496" w:rsidRDefault="00AB0496" w:rsidP="00AB0496">
      <w:pPr>
        <w:rPr>
          <w:b/>
          <w:sz w:val="22"/>
          <w:lang w:val="es-MX"/>
        </w:rPr>
      </w:pPr>
    </w:p>
    <w:p w:rsidR="00522477" w:rsidRDefault="00522477" w:rsidP="00AB0496">
      <w:pPr>
        <w:rPr>
          <w:b/>
          <w:sz w:val="22"/>
          <w:lang w:val="es-MX"/>
        </w:rPr>
      </w:pPr>
    </w:p>
    <w:p w:rsidR="00AB0496" w:rsidRPr="0088577C" w:rsidRDefault="00AB0496" w:rsidP="00AB0496">
      <w:pPr>
        <w:jc w:val="center"/>
        <w:rPr>
          <w:b/>
          <w:sz w:val="22"/>
          <w:szCs w:val="22"/>
          <w:lang w:val="es-MX"/>
        </w:rPr>
      </w:pPr>
      <w:r w:rsidRPr="0088577C">
        <w:rPr>
          <w:b/>
          <w:sz w:val="22"/>
          <w:szCs w:val="22"/>
          <w:lang w:val="es-MX"/>
        </w:rPr>
        <w:t xml:space="preserve">Cuadro </w:t>
      </w:r>
      <w:r w:rsidR="00E5644C">
        <w:rPr>
          <w:b/>
          <w:sz w:val="22"/>
          <w:szCs w:val="22"/>
          <w:lang w:val="es-MX"/>
        </w:rPr>
        <w:t>8</w:t>
      </w:r>
    </w:p>
    <w:p w:rsidR="00AB0496" w:rsidRPr="0088577C" w:rsidRDefault="00AB0496" w:rsidP="00AB0496">
      <w:pPr>
        <w:jc w:val="center"/>
        <w:rPr>
          <w:b/>
          <w:sz w:val="22"/>
          <w:szCs w:val="22"/>
          <w:lang w:val="es-MX"/>
        </w:rPr>
      </w:pPr>
      <w:r w:rsidRPr="0088577C">
        <w:rPr>
          <w:b/>
          <w:sz w:val="22"/>
          <w:szCs w:val="22"/>
          <w:lang w:val="es-MX"/>
        </w:rPr>
        <w:t>Aportes Realizados a Organizaciones No Gubernamentales -ONG-</w:t>
      </w:r>
    </w:p>
    <w:p w:rsidR="00AB0496" w:rsidRPr="0088577C" w:rsidRDefault="00AB0496" w:rsidP="00AB0496">
      <w:pPr>
        <w:jc w:val="center"/>
        <w:rPr>
          <w:b/>
          <w:sz w:val="22"/>
          <w:szCs w:val="22"/>
          <w:lang w:val="es-MX"/>
        </w:rPr>
      </w:pPr>
      <w:r w:rsidRPr="0088577C">
        <w:rPr>
          <w:b/>
          <w:sz w:val="22"/>
          <w:szCs w:val="22"/>
          <w:lang w:val="es-MX"/>
        </w:rPr>
        <w:t>Al 30 de junio de cada año</w:t>
      </w:r>
    </w:p>
    <w:p w:rsidR="00AB0496" w:rsidRDefault="00AB0496" w:rsidP="00AB0496">
      <w:pPr>
        <w:jc w:val="center"/>
        <w:rPr>
          <w:b/>
          <w:sz w:val="22"/>
          <w:szCs w:val="22"/>
          <w:lang w:val="es-MX"/>
        </w:rPr>
      </w:pPr>
      <w:r w:rsidRPr="0088577C">
        <w:rPr>
          <w:b/>
          <w:sz w:val="22"/>
          <w:szCs w:val="22"/>
          <w:lang w:val="es-MX"/>
        </w:rPr>
        <w:t>(Cifras en Millones de Quetzales)</w:t>
      </w:r>
    </w:p>
    <w:tbl>
      <w:tblPr>
        <w:tblW w:w="9062" w:type="dxa"/>
        <w:tblInd w:w="55" w:type="dxa"/>
        <w:tblCellMar>
          <w:left w:w="70" w:type="dxa"/>
          <w:right w:w="70" w:type="dxa"/>
        </w:tblCellMar>
        <w:tblLook w:val="04A0" w:firstRow="1" w:lastRow="0" w:firstColumn="1" w:lastColumn="0" w:noHBand="0" w:noVBand="1"/>
      </w:tblPr>
      <w:tblGrid>
        <w:gridCol w:w="4547"/>
        <w:gridCol w:w="1104"/>
        <w:gridCol w:w="1104"/>
        <w:gridCol w:w="1203"/>
        <w:gridCol w:w="1104"/>
      </w:tblGrid>
      <w:tr w:rsidR="004A47A6" w:rsidRPr="004720E6" w:rsidTr="004A47A6">
        <w:trPr>
          <w:trHeight w:val="298"/>
        </w:trPr>
        <w:tc>
          <w:tcPr>
            <w:tcW w:w="4547" w:type="dxa"/>
            <w:vMerge w:val="restart"/>
            <w:tcBorders>
              <w:top w:val="single" w:sz="8" w:space="0" w:color="auto"/>
              <w:left w:val="single" w:sz="8" w:space="0" w:color="auto"/>
              <w:bottom w:val="single" w:sz="4" w:space="0" w:color="000000"/>
              <w:right w:val="nil"/>
            </w:tcBorders>
            <w:shd w:val="clear" w:color="000000" w:fill="8DB4E2"/>
            <w:vAlign w:val="center"/>
            <w:hideMark/>
          </w:tcPr>
          <w:p w:rsidR="004A47A6" w:rsidRPr="004720E6" w:rsidRDefault="004A47A6" w:rsidP="004720E6">
            <w:pPr>
              <w:jc w:val="center"/>
              <w:rPr>
                <w:b/>
                <w:bCs/>
                <w:sz w:val="22"/>
                <w:szCs w:val="22"/>
                <w:lang w:val="es-GT" w:eastAsia="es-GT"/>
              </w:rPr>
            </w:pPr>
            <w:r w:rsidRPr="004720E6">
              <w:rPr>
                <w:b/>
                <w:bCs/>
                <w:sz w:val="22"/>
                <w:szCs w:val="22"/>
                <w:lang w:val="es-GT" w:eastAsia="es-GT"/>
              </w:rPr>
              <w:t>Entidad</w:t>
            </w:r>
          </w:p>
        </w:tc>
        <w:tc>
          <w:tcPr>
            <w:tcW w:w="1104" w:type="dxa"/>
            <w:vMerge w:val="restart"/>
            <w:tcBorders>
              <w:top w:val="single" w:sz="8" w:space="0" w:color="auto"/>
              <w:left w:val="single" w:sz="4" w:space="0" w:color="auto"/>
              <w:bottom w:val="single" w:sz="4" w:space="0" w:color="000000"/>
              <w:right w:val="single" w:sz="4" w:space="0" w:color="auto"/>
            </w:tcBorders>
            <w:shd w:val="clear" w:color="000000" w:fill="8DB4E2"/>
            <w:vAlign w:val="center"/>
            <w:hideMark/>
          </w:tcPr>
          <w:p w:rsidR="004A47A6" w:rsidRPr="004720E6" w:rsidRDefault="004A47A6" w:rsidP="004720E6">
            <w:pPr>
              <w:jc w:val="center"/>
              <w:rPr>
                <w:b/>
                <w:bCs/>
                <w:sz w:val="22"/>
                <w:szCs w:val="22"/>
                <w:lang w:val="es-GT" w:eastAsia="es-GT"/>
              </w:rPr>
            </w:pPr>
            <w:r w:rsidRPr="004720E6">
              <w:rPr>
                <w:b/>
                <w:bCs/>
                <w:sz w:val="22"/>
                <w:szCs w:val="22"/>
                <w:lang w:val="es-GT" w:eastAsia="es-GT"/>
              </w:rPr>
              <w:t>2017</w:t>
            </w:r>
          </w:p>
        </w:tc>
        <w:tc>
          <w:tcPr>
            <w:tcW w:w="1104" w:type="dxa"/>
            <w:vMerge w:val="restart"/>
            <w:tcBorders>
              <w:top w:val="single" w:sz="8" w:space="0" w:color="auto"/>
              <w:left w:val="single" w:sz="4" w:space="0" w:color="auto"/>
              <w:bottom w:val="single" w:sz="4" w:space="0" w:color="000000"/>
              <w:right w:val="single" w:sz="4" w:space="0" w:color="auto"/>
            </w:tcBorders>
            <w:shd w:val="clear" w:color="000000" w:fill="8DB4E2"/>
            <w:vAlign w:val="center"/>
            <w:hideMark/>
          </w:tcPr>
          <w:p w:rsidR="004A47A6" w:rsidRPr="004720E6" w:rsidRDefault="004A47A6" w:rsidP="004720E6">
            <w:pPr>
              <w:jc w:val="center"/>
              <w:rPr>
                <w:b/>
                <w:bCs/>
                <w:sz w:val="22"/>
                <w:szCs w:val="22"/>
                <w:lang w:val="es-GT" w:eastAsia="es-GT"/>
              </w:rPr>
            </w:pPr>
            <w:r w:rsidRPr="004720E6">
              <w:rPr>
                <w:b/>
                <w:bCs/>
                <w:sz w:val="22"/>
                <w:szCs w:val="22"/>
                <w:lang w:val="es-GT" w:eastAsia="es-GT"/>
              </w:rPr>
              <w:t>2018</w:t>
            </w:r>
          </w:p>
        </w:tc>
        <w:tc>
          <w:tcPr>
            <w:tcW w:w="2307" w:type="dxa"/>
            <w:gridSpan w:val="2"/>
            <w:tcBorders>
              <w:top w:val="single" w:sz="8" w:space="0" w:color="auto"/>
              <w:left w:val="single" w:sz="4" w:space="0" w:color="auto"/>
              <w:bottom w:val="single" w:sz="4" w:space="0" w:color="auto"/>
              <w:right w:val="single" w:sz="8" w:space="0" w:color="auto"/>
            </w:tcBorders>
            <w:shd w:val="clear" w:color="000000" w:fill="8DB4E2"/>
            <w:noWrap/>
            <w:vAlign w:val="center"/>
            <w:hideMark/>
          </w:tcPr>
          <w:p w:rsidR="004A47A6" w:rsidRPr="004720E6" w:rsidRDefault="004A47A6" w:rsidP="004A47A6">
            <w:pPr>
              <w:jc w:val="center"/>
              <w:rPr>
                <w:b/>
                <w:bCs/>
                <w:sz w:val="22"/>
                <w:szCs w:val="22"/>
                <w:lang w:val="es-GT" w:eastAsia="es-GT"/>
              </w:rPr>
            </w:pPr>
            <w:r w:rsidRPr="004720E6">
              <w:rPr>
                <w:b/>
                <w:bCs/>
                <w:sz w:val="22"/>
                <w:szCs w:val="22"/>
                <w:lang w:val="es-GT" w:eastAsia="es-GT"/>
              </w:rPr>
              <w:t>Diferencias</w:t>
            </w:r>
          </w:p>
        </w:tc>
      </w:tr>
      <w:tr w:rsidR="004720E6" w:rsidRPr="004720E6" w:rsidTr="004A47A6">
        <w:trPr>
          <w:trHeight w:val="298"/>
        </w:trPr>
        <w:tc>
          <w:tcPr>
            <w:tcW w:w="4547" w:type="dxa"/>
            <w:vMerge/>
            <w:tcBorders>
              <w:top w:val="single" w:sz="8" w:space="0" w:color="auto"/>
              <w:left w:val="single" w:sz="8" w:space="0" w:color="auto"/>
              <w:bottom w:val="single" w:sz="4" w:space="0" w:color="000000"/>
              <w:right w:val="nil"/>
            </w:tcBorders>
            <w:vAlign w:val="center"/>
            <w:hideMark/>
          </w:tcPr>
          <w:p w:rsidR="004720E6" w:rsidRPr="004720E6" w:rsidRDefault="004720E6" w:rsidP="004720E6">
            <w:pPr>
              <w:rPr>
                <w:b/>
                <w:bCs/>
                <w:sz w:val="22"/>
                <w:szCs w:val="22"/>
                <w:lang w:val="es-GT" w:eastAsia="es-GT"/>
              </w:rPr>
            </w:pPr>
          </w:p>
        </w:tc>
        <w:tc>
          <w:tcPr>
            <w:tcW w:w="1104" w:type="dxa"/>
            <w:vMerge/>
            <w:tcBorders>
              <w:top w:val="single" w:sz="8" w:space="0" w:color="auto"/>
              <w:left w:val="single" w:sz="4" w:space="0" w:color="auto"/>
              <w:bottom w:val="single" w:sz="4" w:space="0" w:color="000000"/>
              <w:right w:val="single" w:sz="4" w:space="0" w:color="auto"/>
            </w:tcBorders>
            <w:vAlign w:val="center"/>
            <w:hideMark/>
          </w:tcPr>
          <w:p w:rsidR="004720E6" w:rsidRPr="004720E6" w:rsidRDefault="004720E6" w:rsidP="004720E6">
            <w:pPr>
              <w:rPr>
                <w:b/>
                <w:bCs/>
                <w:sz w:val="22"/>
                <w:szCs w:val="22"/>
                <w:lang w:val="es-GT" w:eastAsia="es-GT"/>
              </w:rPr>
            </w:pPr>
          </w:p>
        </w:tc>
        <w:tc>
          <w:tcPr>
            <w:tcW w:w="1104" w:type="dxa"/>
            <w:vMerge/>
            <w:tcBorders>
              <w:top w:val="single" w:sz="8" w:space="0" w:color="auto"/>
              <w:left w:val="single" w:sz="4" w:space="0" w:color="auto"/>
              <w:bottom w:val="single" w:sz="4" w:space="0" w:color="000000"/>
              <w:right w:val="single" w:sz="4" w:space="0" w:color="auto"/>
            </w:tcBorders>
            <w:vAlign w:val="center"/>
            <w:hideMark/>
          </w:tcPr>
          <w:p w:rsidR="004720E6" w:rsidRPr="004720E6" w:rsidRDefault="004720E6" w:rsidP="004720E6">
            <w:pPr>
              <w:rPr>
                <w:b/>
                <w:bCs/>
                <w:sz w:val="22"/>
                <w:szCs w:val="22"/>
                <w:lang w:val="es-GT" w:eastAsia="es-GT"/>
              </w:rPr>
            </w:pPr>
          </w:p>
        </w:tc>
        <w:tc>
          <w:tcPr>
            <w:tcW w:w="1203" w:type="dxa"/>
            <w:tcBorders>
              <w:top w:val="single" w:sz="4" w:space="0" w:color="auto"/>
              <w:left w:val="nil"/>
              <w:bottom w:val="single" w:sz="4" w:space="0" w:color="auto"/>
              <w:right w:val="single" w:sz="4" w:space="0" w:color="auto"/>
            </w:tcBorders>
            <w:shd w:val="clear" w:color="000000" w:fill="8DB4E2"/>
            <w:noWrap/>
            <w:vAlign w:val="center"/>
            <w:hideMark/>
          </w:tcPr>
          <w:p w:rsidR="004720E6" w:rsidRPr="004720E6" w:rsidRDefault="004720E6" w:rsidP="004A47A6">
            <w:pPr>
              <w:jc w:val="center"/>
              <w:rPr>
                <w:b/>
                <w:bCs/>
                <w:sz w:val="22"/>
                <w:szCs w:val="22"/>
                <w:lang w:val="es-GT" w:eastAsia="es-GT"/>
              </w:rPr>
            </w:pPr>
            <w:r w:rsidRPr="004720E6">
              <w:rPr>
                <w:b/>
                <w:bCs/>
                <w:sz w:val="22"/>
                <w:szCs w:val="22"/>
                <w:lang w:val="es-GT" w:eastAsia="es-GT"/>
              </w:rPr>
              <w:t>Absolutas</w:t>
            </w:r>
          </w:p>
        </w:tc>
        <w:tc>
          <w:tcPr>
            <w:tcW w:w="1104" w:type="dxa"/>
            <w:tcBorders>
              <w:top w:val="single" w:sz="4" w:space="0" w:color="auto"/>
              <w:left w:val="nil"/>
              <w:bottom w:val="single" w:sz="4" w:space="0" w:color="auto"/>
              <w:right w:val="single" w:sz="8" w:space="0" w:color="auto"/>
            </w:tcBorders>
            <w:shd w:val="clear" w:color="000000" w:fill="8DB4E2"/>
            <w:noWrap/>
            <w:vAlign w:val="center"/>
            <w:hideMark/>
          </w:tcPr>
          <w:p w:rsidR="004720E6" w:rsidRPr="004720E6" w:rsidRDefault="004720E6" w:rsidP="004A47A6">
            <w:pPr>
              <w:jc w:val="center"/>
              <w:rPr>
                <w:b/>
                <w:bCs/>
                <w:sz w:val="22"/>
                <w:szCs w:val="22"/>
                <w:lang w:val="es-GT" w:eastAsia="es-GT"/>
              </w:rPr>
            </w:pPr>
            <w:r w:rsidRPr="004720E6">
              <w:rPr>
                <w:b/>
                <w:bCs/>
                <w:sz w:val="22"/>
                <w:szCs w:val="22"/>
                <w:lang w:val="es-GT" w:eastAsia="es-GT"/>
              </w:rPr>
              <w:t>Relativas</w:t>
            </w:r>
          </w:p>
        </w:tc>
      </w:tr>
      <w:tr w:rsidR="004720E6" w:rsidRPr="004720E6" w:rsidTr="004A47A6">
        <w:trPr>
          <w:trHeight w:val="298"/>
        </w:trPr>
        <w:tc>
          <w:tcPr>
            <w:tcW w:w="4547" w:type="dxa"/>
            <w:tcBorders>
              <w:top w:val="nil"/>
              <w:left w:val="single" w:sz="8" w:space="0" w:color="auto"/>
              <w:bottom w:val="nil"/>
              <w:right w:val="nil"/>
            </w:tcBorders>
            <w:shd w:val="clear" w:color="000000" w:fill="FFFFFF"/>
            <w:noWrap/>
            <w:vAlign w:val="bottom"/>
            <w:hideMark/>
          </w:tcPr>
          <w:p w:rsidR="004720E6" w:rsidRPr="004720E6" w:rsidRDefault="004720E6" w:rsidP="004720E6">
            <w:pPr>
              <w:jc w:val="center"/>
              <w:rPr>
                <w:b/>
                <w:bCs/>
                <w:color w:val="000000"/>
                <w:sz w:val="22"/>
                <w:szCs w:val="22"/>
                <w:lang w:val="es-GT" w:eastAsia="es-GT"/>
              </w:rPr>
            </w:pPr>
            <w:r w:rsidRPr="004720E6">
              <w:rPr>
                <w:b/>
                <w:bCs/>
                <w:color w:val="000000"/>
                <w:sz w:val="22"/>
                <w:szCs w:val="22"/>
                <w:lang w:val="es-GT" w:eastAsia="es-GT"/>
              </w:rPr>
              <w:t>Total</w:t>
            </w:r>
          </w:p>
        </w:tc>
        <w:tc>
          <w:tcPr>
            <w:tcW w:w="1104" w:type="dxa"/>
            <w:tcBorders>
              <w:top w:val="nil"/>
              <w:left w:val="single" w:sz="4" w:space="0" w:color="auto"/>
              <w:bottom w:val="nil"/>
              <w:right w:val="single" w:sz="4" w:space="0" w:color="auto"/>
            </w:tcBorders>
            <w:shd w:val="clear" w:color="000000" w:fill="FFFFFF"/>
            <w:noWrap/>
            <w:vAlign w:val="bottom"/>
            <w:hideMark/>
          </w:tcPr>
          <w:p w:rsidR="004720E6" w:rsidRPr="004720E6" w:rsidRDefault="004720E6" w:rsidP="004720E6">
            <w:pPr>
              <w:rPr>
                <w:b/>
                <w:bCs/>
                <w:color w:val="000000"/>
                <w:sz w:val="22"/>
                <w:szCs w:val="22"/>
                <w:lang w:val="es-GT" w:eastAsia="es-GT"/>
              </w:rPr>
            </w:pPr>
            <w:r w:rsidRPr="004720E6">
              <w:rPr>
                <w:b/>
                <w:bCs/>
                <w:color w:val="000000"/>
                <w:sz w:val="22"/>
                <w:szCs w:val="22"/>
                <w:lang w:val="es-GT" w:eastAsia="es-GT"/>
              </w:rPr>
              <w:t xml:space="preserve">        561.9 </w:t>
            </w:r>
          </w:p>
        </w:tc>
        <w:tc>
          <w:tcPr>
            <w:tcW w:w="1104" w:type="dxa"/>
            <w:tcBorders>
              <w:top w:val="nil"/>
              <w:left w:val="nil"/>
              <w:bottom w:val="nil"/>
              <w:right w:val="single" w:sz="4" w:space="0" w:color="auto"/>
            </w:tcBorders>
            <w:shd w:val="clear" w:color="000000" w:fill="FFFFFF"/>
            <w:noWrap/>
            <w:vAlign w:val="bottom"/>
            <w:hideMark/>
          </w:tcPr>
          <w:p w:rsidR="004720E6" w:rsidRPr="004720E6" w:rsidRDefault="004720E6" w:rsidP="004720E6">
            <w:pPr>
              <w:rPr>
                <w:b/>
                <w:bCs/>
                <w:color w:val="000000"/>
                <w:sz w:val="22"/>
                <w:szCs w:val="22"/>
                <w:lang w:val="es-GT" w:eastAsia="es-GT"/>
              </w:rPr>
            </w:pPr>
            <w:r w:rsidRPr="004720E6">
              <w:rPr>
                <w:b/>
                <w:bCs/>
                <w:color w:val="000000"/>
                <w:sz w:val="22"/>
                <w:szCs w:val="22"/>
                <w:lang w:val="es-GT" w:eastAsia="es-GT"/>
              </w:rPr>
              <w:t xml:space="preserve">        538.8 </w:t>
            </w:r>
          </w:p>
        </w:tc>
        <w:tc>
          <w:tcPr>
            <w:tcW w:w="1203" w:type="dxa"/>
            <w:tcBorders>
              <w:top w:val="nil"/>
              <w:left w:val="nil"/>
              <w:bottom w:val="nil"/>
              <w:right w:val="single" w:sz="4" w:space="0" w:color="auto"/>
            </w:tcBorders>
            <w:shd w:val="clear" w:color="000000" w:fill="FFFFFF"/>
            <w:noWrap/>
            <w:vAlign w:val="bottom"/>
            <w:hideMark/>
          </w:tcPr>
          <w:p w:rsidR="004720E6" w:rsidRPr="004720E6" w:rsidRDefault="004720E6" w:rsidP="004720E6">
            <w:pPr>
              <w:rPr>
                <w:b/>
                <w:bCs/>
                <w:color w:val="000000"/>
                <w:sz w:val="22"/>
                <w:szCs w:val="22"/>
                <w:lang w:val="es-GT" w:eastAsia="es-GT"/>
              </w:rPr>
            </w:pPr>
            <w:r w:rsidRPr="004720E6">
              <w:rPr>
                <w:b/>
                <w:bCs/>
                <w:color w:val="000000"/>
                <w:sz w:val="22"/>
                <w:szCs w:val="22"/>
                <w:lang w:val="es-GT" w:eastAsia="es-GT"/>
              </w:rPr>
              <w:t xml:space="preserve">         (23.1)</w:t>
            </w:r>
          </w:p>
        </w:tc>
        <w:tc>
          <w:tcPr>
            <w:tcW w:w="1104" w:type="dxa"/>
            <w:tcBorders>
              <w:top w:val="nil"/>
              <w:left w:val="nil"/>
              <w:bottom w:val="nil"/>
              <w:right w:val="single" w:sz="8" w:space="0" w:color="auto"/>
            </w:tcBorders>
            <w:shd w:val="clear" w:color="000000" w:fill="FFFFFF"/>
            <w:noWrap/>
            <w:vAlign w:val="bottom"/>
            <w:hideMark/>
          </w:tcPr>
          <w:p w:rsidR="004720E6" w:rsidRPr="004720E6" w:rsidRDefault="004720E6" w:rsidP="004720E6">
            <w:pPr>
              <w:jc w:val="right"/>
              <w:rPr>
                <w:b/>
                <w:bCs/>
                <w:color w:val="000000"/>
                <w:sz w:val="22"/>
                <w:szCs w:val="22"/>
                <w:lang w:val="es-GT" w:eastAsia="es-GT"/>
              </w:rPr>
            </w:pPr>
            <w:r w:rsidRPr="004720E6">
              <w:rPr>
                <w:b/>
                <w:bCs/>
                <w:color w:val="000000"/>
                <w:sz w:val="22"/>
                <w:szCs w:val="22"/>
                <w:lang w:val="es-GT" w:eastAsia="es-GT"/>
              </w:rPr>
              <w:t>-4.1%</w:t>
            </w:r>
          </w:p>
        </w:tc>
      </w:tr>
      <w:tr w:rsidR="004720E6" w:rsidRPr="004720E6" w:rsidTr="004A47A6">
        <w:trPr>
          <w:trHeight w:val="298"/>
        </w:trPr>
        <w:tc>
          <w:tcPr>
            <w:tcW w:w="4547" w:type="dxa"/>
            <w:tcBorders>
              <w:top w:val="nil"/>
              <w:left w:val="single" w:sz="8" w:space="0" w:color="auto"/>
              <w:bottom w:val="nil"/>
              <w:right w:val="nil"/>
            </w:tcBorders>
            <w:shd w:val="clear" w:color="000000" w:fill="FFFFFF"/>
            <w:noWrap/>
            <w:vAlign w:val="bottom"/>
            <w:hideMark/>
          </w:tcPr>
          <w:p w:rsidR="004720E6" w:rsidRPr="004720E6" w:rsidRDefault="004720E6" w:rsidP="004720E6">
            <w:pPr>
              <w:rPr>
                <w:color w:val="000000"/>
                <w:sz w:val="22"/>
                <w:szCs w:val="22"/>
                <w:lang w:val="es-GT" w:eastAsia="es-GT"/>
              </w:rPr>
            </w:pPr>
            <w:r w:rsidRPr="004720E6">
              <w:rPr>
                <w:color w:val="000000"/>
                <w:sz w:val="22"/>
                <w:szCs w:val="22"/>
                <w:lang w:val="es-GT" w:eastAsia="es-GT"/>
              </w:rPr>
              <w:t>Ministerio de Gobernación</w:t>
            </w:r>
          </w:p>
        </w:tc>
        <w:tc>
          <w:tcPr>
            <w:tcW w:w="1104" w:type="dxa"/>
            <w:tcBorders>
              <w:top w:val="nil"/>
              <w:left w:val="single" w:sz="4" w:space="0" w:color="auto"/>
              <w:bottom w:val="nil"/>
              <w:right w:val="single" w:sz="4" w:space="0" w:color="auto"/>
            </w:tcBorders>
            <w:shd w:val="clear" w:color="000000" w:fill="FFFFFF"/>
            <w:noWrap/>
            <w:vAlign w:val="bottom"/>
            <w:hideMark/>
          </w:tcPr>
          <w:p w:rsidR="004720E6" w:rsidRPr="004720E6" w:rsidRDefault="004720E6" w:rsidP="004720E6">
            <w:pPr>
              <w:rPr>
                <w:color w:val="000000"/>
                <w:sz w:val="22"/>
                <w:szCs w:val="22"/>
                <w:lang w:val="es-GT" w:eastAsia="es-GT"/>
              </w:rPr>
            </w:pPr>
            <w:r w:rsidRPr="004720E6">
              <w:rPr>
                <w:color w:val="000000"/>
                <w:sz w:val="22"/>
                <w:szCs w:val="22"/>
                <w:lang w:val="es-GT" w:eastAsia="es-GT"/>
              </w:rPr>
              <w:t xml:space="preserve">            3.7 </w:t>
            </w:r>
          </w:p>
        </w:tc>
        <w:tc>
          <w:tcPr>
            <w:tcW w:w="1104" w:type="dxa"/>
            <w:tcBorders>
              <w:top w:val="nil"/>
              <w:left w:val="nil"/>
              <w:bottom w:val="nil"/>
              <w:right w:val="single" w:sz="4" w:space="0" w:color="auto"/>
            </w:tcBorders>
            <w:shd w:val="clear" w:color="000000" w:fill="FFFFFF"/>
            <w:noWrap/>
            <w:vAlign w:val="bottom"/>
          </w:tcPr>
          <w:p w:rsidR="004720E6" w:rsidRPr="004720E6" w:rsidRDefault="004720E6" w:rsidP="004720E6">
            <w:pPr>
              <w:rPr>
                <w:color w:val="000000"/>
                <w:sz w:val="22"/>
                <w:szCs w:val="22"/>
                <w:lang w:val="es-GT" w:eastAsia="es-GT"/>
              </w:rPr>
            </w:pPr>
          </w:p>
        </w:tc>
        <w:tc>
          <w:tcPr>
            <w:tcW w:w="1203" w:type="dxa"/>
            <w:tcBorders>
              <w:top w:val="nil"/>
              <w:left w:val="nil"/>
              <w:bottom w:val="nil"/>
              <w:right w:val="single" w:sz="4" w:space="0" w:color="auto"/>
            </w:tcBorders>
            <w:shd w:val="clear" w:color="000000" w:fill="FFFFFF"/>
            <w:noWrap/>
            <w:vAlign w:val="bottom"/>
            <w:hideMark/>
          </w:tcPr>
          <w:p w:rsidR="004720E6" w:rsidRPr="004720E6" w:rsidRDefault="004720E6" w:rsidP="004720E6">
            <w:pPr>
              <w:jc w:val="right"/>
              <w:rPr>
                <w:color w:val="000000"/>
                <w:sz w:val="22"/>
                <w:szCs w:val="22"/>
                <w:lang w:val="es-GT" w:eastAsia="es-GT"/>
              </w:rPr>
            </w:pPr>
            <w:r w:rsidRPr="004720E6">
              <w:rPr>
                <w:color w:val="000000"/>
                <w:sz w:val="22"/>
                <w:szCs w:val="22"/>
                <w:lang w:val="es-GT" w:eastAsia="es-GT"/>
              </w:rPr>
              <w:t>-3.7</w:t>
            </w:r>
          </w:p>
        </w:tc>
        <w:tc>
          <w:tcPr>
            <w:tcW w:w="1104" w:type="dxa"/>
            <w:tcBorders>
              <w:top w:val="nil"/>
              <w:left w:val="nil"/>
              <w:bottom w:val="nil"/>
              <w:right w:val="single" w:sz="8" w:space="0" w:color="auto"/>
            </w:tcBorders>
            <w:shd w:val="clear" w:color="000000" w:fill="FFFFFF"/>
            <w:noWrap/>
            <w:vAlign w:val="bottom"/>
            <w:hideMark/>
          </w:tcPr>
          <w:p w:rsidR="004720E6" w:rsidRPr="004720E6" w:rsidRDefault="004720E6" w:rsidP="004720E6">
            <w:pPr>
              <w:jc w:val="right"/>
              <w:rPr>
                <w:color w:val="000000"/>
                <w:sz w:val="22"/>
                <w:szCs w:val="22"/>
                <w:lang w:val="es-GT" w:eastAsia="es-GT"/>
              </w:rPr>
            </w:pPr>
            <w:r w:rsidRPr="004720E6">
              <w:rPr>
                <w:color w:val="000000"/>
                <w:sz w:val="22"/>
                <w:szCs w:val="22"/>
                <w:lang w:val="es-GT" w:eastAsia="es-GT"/>
              </w:rPr>
              <w:t>-100.0%</w:t>
            </w:r>
          </w:p>
        </w:tc>
      </w:tr>
      <w:tr w:rsidR="004720E6" w:rsidRPr="004720E6" w:rsidTr="004A47A6">
        <w:trPr>
          <w:trHeight w:val="298"/>
        </w:trPr>
        <w:tc>
          <w:tcPr>
            <w:tcW w:w="4547" w:type="dxa"/>
            <w:tcBorders>
              <w:top w:val="nil"/>
              <w:left w:val="single" w:sz="8" w:space="0" w:color="auto"/>
              <w:bottom w:val="nil"/>
              <w:right w:val="nil"/>
            </w:tcBorders>
            <w:shd w:val="clear" w:color="000000" w:fill="FFFFFF"/>
            <w:noWrap/>
            <w:vAlign w:val="bottom"/>
            <w:hideMark/>
          </w:tcPr>
          <w:p w:rsidR="004720E6" w:rsidRPr="004720E6" w:rsidRDefault="004720E6" w:rsidP="004720E6">
            <w:pPr>
              <w:rPr>
                <w:color w:val="000000"/>
                <w:sz w:val="22"/>
                <w:szCs w:val="22"/>
                <w:lang w:val="es-GT" w:eastAsia="es-GT"/>
              </w:rPr>
            </w:pPr>
            <w:r w:rsidRPr="004720E6">
              <w:rPr>
                <w:color w:val="000000"/>
                <w:sz w:val="22"/>
                <w:szCs w:val="22"/>
                <w:lang w:val="es-GT" w:eastAsia="es-GT"/>
              </w:rPr>
              <w:t>Ministerio de Finanzas Públicas</w:t>
            </w:r>
          </w:p>
        </w:tc>
        <w:tc>
          <w:tcPr>
            <w:tcW w:w="1104" w:type="dxa"/>
            <w:tcBorders>
              <w:top w:val="nil"/>
              <w:left w:val="single" w:sz="4" w:space="0" w:color="auto"/>
              <w:bottom w:val="nil"/>
              <w:right w:val="single" w:sz="4" w:space="0" w:color="auto"/>
            </w:tcBorders>
            <w:shd w:val="clear" w:color="000000" w:fill="FFFFFF"/>
            <w:noWrap/>
            <w:vAlign w:val="bottom"/>
            <w:hideMark/>
          </w:tcPr>
          <w:p w:rsidR="004720E6" w:rsidRPr="004720E6" w:rsidRDefault="004720E6" w:rsidP="004720E6">
            <w:pPr>
              <w:rPr>
                <w:color w:val="000000"/>
                <w:sz w:val="22"/>
                <w:szCs w:val="22"/>
                <w:lang w:val="es-GT" w:eastAsia="es-GT"/>
              </w:rPr>
            </w:pPr>
            <w:r w:rsidRPr="004720E6">
              <w:rPr>
                <w:color w:val="000000"/>
                <w:sz w:val="22"/>
                <w:szCs w:val="22"/>
                <w:lang w:val="es-GT" w:eastAsia="es-GT"/>
              </w:rPr>
              <w:t> </w:t>
            </w:r>
          </w:p>
        </w:tc>
        <w:tc>
          <w:tcPr>
            <w:tcW w:w="1104" w:type="dxa"/>
            <w:tcBorders>
              <w:top w:val="nil"/>
              <w:left w:val="nil"/>
              <w:bottom w:val="nil"/>
              <w:right w:val="single" w:sz="4" w:space="0" w:color="auto"/>
            </w:tcBorders>
            <w:shd w:val="clear" w:color="000000" w:fill="FFFFFF"/>
            <w:noWrap/>
            <w:vAlign w:val="bottom"/>
            <w:hideMark/>
          </w:tcPr>
          <w:p w:rsidR="004720E6" w:rsidRPr="004720E6" w:rsidRDefault="004720E6" w:rsidP="004720E6">
            <w:pPr>
              <w:rPr>
                <w:color w:val="000000"/>
                <w:sz w:val="22"/>
                <w:szCs w:val="22"/>
                <w:lang w:val="es-GT" w:eastAsia="es-GT"/>
              </w:rPr>
            </w:pPr>
            <w:r w:rsidRPr="004720E6">
              <w:rPr>
                <w:color w:val="000000"/>
                <w:sz w:val="22"/>
                <w:szCs w:val="22"/>
                <w:lang w:val="es-GT" w:eastAsia="es-GT"/>
              </w:rPr>
              <w:t xml:space="preserve">          0.01 </w:t>
            </w:r>
          </w:p>
        </w:tc>
        <w:tc>
          <w:tcPr>
            <w:tcW w:w="1203" w:type="dxa"/>
            <w:tcBorders>
              <w:top w:val="nil"/>
              <w:left w:val="nil"/>
              <w:bottom w:val="nil"/>
              <w:right w:val="single" w:sz="4" w:space="0" w:color="auto"/>
            </w:tcBorders>
            <w:shd w:val="clear" w:color="000000" w:fill="FFFFFF"/>
            <w:noWrap/>
            <w:vAlign w:val="bottom"/>
          </w:tcPr>
          <w:p w:rsidR="004720E6" w:rsidRPr="004720E6" w:rsidRDefault="004A47A6" w:rsidP="004720E6">
            <w:pPr>
              <w:jc w:val="right"/>
              <w:rPr>
                <w:color w:val="000000"/>
                <w:sz w:val="22"/>
                <w:szCs w:val="22"/>
                <w:lang w:val="es-GT" w:eastAsia="es-GT"/>
              </w:rPr>
            </w:pPr>
            <w:r>
              <w:rPr>
                <w:color w:val="000000"/>
                <w:sz w:val="22"/>
                <w:szCs w:val="22"/>
                <w:lang w:val="es-GT" w:eastAsia="es-GT"/>
              </w:rPr>
              <w:t>0.01</w:t>
            </w:r>
          </w:p>
        </w:tc>
        <w:tc>
          <w:tcPr>
            <w:tcW w:w="1104" w:type="dxa"/>
            <w:tcBorders>
              <w:top w:val="nil"/>
              <w:left w:val="nil"/>
              <w:bottom w:val="nil"/>
              <w:right w:val="single" w:sz="8" w:space="0" w:color="auto"/>
            </w:tcBorders>
            <w:shd w:val="clear" w:color="000000" w:fill="FFFFFF"/>
            <w:noWrap/>
            <w:vAlign w:val="bottom"/>
          </w:tcPr>
          <w:p w:rsidR="004720E6" w:rsidRPr="004720E6" w:rsidRDefault="004720E6" w:rsidP="004720E6">
            <w:pPr>
              <w:rPr>
                <w:color w:val="000000"/>
                <w:sz w:val="22"/>
                <w:szCs w:val="22"/>
                <w:lang w:val="es-GT" w:eastAsia="es-GT"/>
              </w:rPr>
            </w:pPr>
          </w:p>
        </w:tc>
      </w:tr>
      <w:tr w:rsidR="004720E6" w:rsidRPr="004720E6" w:rsidTr="004A47A6">
        <w:trPr>
          <w:trHeight w:val="298"/>
        </w:trPr>
        <w:tc>
          <w:tcPr>
            <w:tcW w:w="4547" w:type="dxa"/>
            <w:tcBorders>
              <w:top w:val="nil"/>
              <w:left w:val="single" w:sz="8" w:space="0" w:color="auto"/>
              <w:bottom w:val="nil"/>
              <w:right w:val="nil"/>
            </w:tcBorders>
            <w:shd w:val="clear" w:color="000000" w:fill="FFFFFF"/>
            <w:noWrap/>
            <w:vAlign w:val="bottom"/>
            <w:hideMark/>
          </w:tcPr>
          <w:p w:rsidR="004720E6" w:rsidRPr="004720E6" w:rsidRDefault="004720E6" w:rsidP="004720E6">
            <w:pPr>
              <w:rPr>
                <w:color w:val="000000"/>
                <w:sz w:val="22"/>
                <w:szCs w:val="22"/>
                <w:lang w:val="es-GT" w:eastAsia="es-GT"/>
              </w:rPr>
            </w:pPr>
            <w:r w:rsidRPr="004720E6">
              <w:rPr>
                <w:color w:val="000000"/>
                <w:sz w:val="22"/>
                <w:szCs w:val="22"/>
                <w:lang w:val="es-GT" w:eastAsia="es-GT"/>
              </w:rPr>
              <w:t>Ministerio de Educación</w:t>
            </w:r>
          </w:p>
        </w:tc>
        <w:tc>
          <w:tcPr>
            <w:tcW w:w="1104" w:type="dxa"/>
            <w:tcBorders>
              <w:top w:val="nil"/>
              <w:left w:val="single" w:sz="4" w:space="0" w:color="auto"/>
              <w:bottom w:val="nil"/>
              <w:right w:val="single" w:sz="4" w:space="0" w:color="auto"/>
            </w:tcBorders>
            <w:shd w:val="clear" w:color="000000" w:fill="FFFFFF"/>
            <w:noWrap/>
            <w:vAlign w:val="bottom"/>
            <w:hideMark/>
          </w:tcPr>
          <w:p w:rsidR="004720E6" w:rsidRPr="004720E6" w:rsidRDefault="004720E6" w:rsidP="004720E6">
            <w:pPr>
              <w:rPr>
                <w:color w:val="000000"/>
                <w:sz w:val="22"/>
                <w:szCs w:val="22"/>
                <w:lang w:val="es-GT" w:eastAsia="es-GT"/>
              </w:rPr>
            </w:pPr>
            <w:r w:rsidRPr="004720E6">
              <w:rPr>
                <w:color w:val="000000"/>
                <w:sz w:val="22"/>
                <w:szCs w:val="22"/>
                <w:lang w:val="es-GT" w:eastAsia="es-GT"/>
              </w:rPr>
              <w:t xml:space="preserve">          62.2 </w:t>
            </w:r>
          </w:p>
        </w:tc>
        <w:tc>
          <w:tcPr>
            <w:tcW w:w="1104" w:type="dxa"/>
            <w:tcBorders>
              <w:top w:val="nil"/>
              <w:left w:val="nil"/>
              <w:bottom w:val="nil"/>
              <w:right w:val="single" w:sz="4" w:space="0" w:color="auto"/>
            </w:tcBorders>
            <w:shd w:val="clear" w:color="000000" w:fill="FFFFFF"/>
            <w:noWrap/>
            <w:vAlign w:val="bottom"/>
            <w:hideMark/>
          </w:tcPr>
          <w:p w:rsidR="004720E6" w:rsidRPr="004720E6" w:rsidRDefault="004720E6" w:rsidP="004720E6">
            <w:pPr>
              <w:rPr>
                <w:color w:val="000000"/>
                <w:sz w:val="22"/>
                <w:szCs w:val="22"/>
                <w:lang w:val="es-GT" w:eastAsia="es-GT"/>
              </w:rPr>
            </w:pPr>
            <w:r w:rsidRPr="004720E6">
              <w:rPr>
                <w:color w:val="000000"/>
                <w:sz w:val="22"/>
                <w:szCs w:val="22"/>
                <w:lang w:val="es-GT" w:eastAsia="es-GT"/>
              </w:rPr>
              <w:t xml:space="preserve">          88.9 </w:t>
            </w:r>
          </w:p>
        </w:tc>
        <w:tc>
          <w:tcPr>
            <w:tcW w:w="1203" w:type="dxa"/>
            <w:tcBorders>
              <w:top w:val="nil"/>
              <w:left w:val="nil"/>
              <w:bottom w:val="nil"/>
              <w:right w:val="single" w:sz="4" w:space="0" w:color="auto"/>
            </w:tcBorders>
            <w:shd w:val="clear" w:color="000000" w:fill="FFFFFF"/>
            <w:noWrap/>
            <w:vAlign w:val="bottom"/>
            <w:hideMark/>
          </w:tcPr>
          <w:p w:rsidR="004720E6" w:rsidRPr="004720E6" w:rsidRDefault="004720E6" w:rsidP="004720E6">
            <w:pPr>
              <w:jc w:val="right"/>
              <w:rPr>
                <w:color w:val="000000"/>
                <w:sz w:val="22"/>
                <w:szCs w:val="22"/>
                <w:lang w:val="es-GT" w:eastAsia="es-GT"/>
              </w:rPr>
            </w:pPr>
            <w:r w:rsidRPr="004720E6">
              <w:rPr>
                <w:color w:val="000000"/>
                <w:sz w:val="22"/>
                <w:szCs w:val="22"/>
                <w:lang w:val="es-GT" w:eastAsia="es-GT"/>
              </w:rPr>
              <w:t>26.7</w:t>
            </w:r>
          </w:p>
        </w:tc>
        <w:tc>
          <w:tcPr>
            <w:tcW w:w="1104" w:type="dxa"/>
            <w:tcBorders>
              <w:top w:val="nil"/>
              <w:left w:val="nil"/>
              <w:bottom w:val="nil"/>
              <w:right w:val="single" w:sz="8" w:space="0" w:color="auto"/>
            </w:tcBorders>
            <w:shd w:val="clear" w:color="000000" w:fill="FFFFFF"/>
            <w:noWrap/>
            <w:vAlign w:val="bottom"/>
            <w:hideMark/>
          </w:tcPr>
          <w:p w:rsidR="004720E6" w:rsidRPr="004720E6" w:rsidRDefault="004720E6" w:rsidP="004720E6">
            <w:pPr>
              <w:jc w:val="right"/>
              <w:rPr>
                <w:color w:val="000000"/>
                <w:sz w:val="22"/>
                <w:szCs w:val="22"/>
                <w:lang w:val="es-GT" w:eastAsia="es-GT"/>
              </w:rPr>
            </w:pPr>
            <w:r w:rsidRPr="004720E6">
              <w:rPr>
                <w:color w:val="000000"/>
                <w:sz w:val="22"/>
                <w:szCs w:val="22"/>
                <w:lang w:val="es-GT" w:eastAsia="es-GT"/>
              </w:rPr>
              <w:t>42.9%</w:t>
            </w:r>
          </w:p>
        </w:tc>
      </w:tr>
      <w:tr w:rsidR="004720E6" w:rsidRPr="004720E6" w:rsidTr="004A47A6">
        <w:trPr>
          <w:trHeight w:val="298"/>
        </w:trPr>
        <w:tc>
          <w:tcPr>
            <w:tcW w:w="4547" w:type="dxa"/>
            <w:tcBorders>
              <w:top w:val="nil"/>
              <w:left w:val="single" w:sz="8" w:space="0" w:color="auto"/>
              <w:bottom w:val="nil"/>
              <w:right w:val="nil"/>
            </w:tcBorders>
            <w:shd w:val="clear" w:color="000000" w:fill="FFFFFF"/>
            <w:noWrap/>
            <w:vAlign w:val="bottom"/>
            <w:hideMark/>
          </w:tcPr>
          <w:p w:rsidR="004720E6" w:rsidRPr="004720E6" w:rsidRDefault="004720E6" w:rsidP="004720E6">
            <w:pPr>
              <w:rPr>
                <w:color w:val="000000"/>
                <w:sz w:val="22"/>
                <w:szCs w:val="22"/>
                <w:lang w:val="es-GT" w:eastAsia="es-GT"/>
              </w:rPr>
            </w:pPr>
            <w:r w:rsidRPr="004720E6">
              <w:rPr>
                <w:color w:val="000000"/>
                <w:sz w:val="22"/>
                <w:szCs w:val="22"/>
                <w:lang w:val="es-GT" w:eastAsia="es-GT"/>
              </w:rPr>
              <w:t>Ministerio de Salud Pública y Asistencia Social</w:t>
            </w:r>
          </w:p>
        </w:tc>
        <w:tc>
          <w:tcPr>
            <w:tcW w:w="1104" w:type="dxa"/>
            <w:tcBorders>
              <w:top w:val="nil"/>
              <w:left w:val="single" w:sz="4" w:space="0" w:color="auto"/>
              <w:bottom w:val="nil"/>
              <w:right w:val="single" w:sz="4" w:space="0" w:color="auto"/>
            </w:tcBorders>
            <w:shd w:val="clear" w:color="000000" w:fill="FFFFFF"/>
            <w:noWrap/>
            <w:vAlign w:val="bottom"/>
            <w:hideMark/>
          </w:tcPr>
          <w:p w:rsidR="004720E6" w:rsidRPr="004720E6" w:rsidRDefault="004720E6" w:rsidP="004720E6">
            <w:pPr>
              <w:rPr>
                <w:color w:val="000000"/>
                <w:sz w:val="22"/>
                <w:szCs w:val="22"/>
                <w:lang w:val="es-GT" w:eastAsia="es-GT"/>
              </w:rPr>
            </w:pPr>
            <w:r w:rsidRPr="004720E6">
              <w:rPr>
                <w:color w:val="000000"/>
                <w:sz w:val="22"/>
                <w:szCs w:val="22"/>
                <w:lang w:val="es-GT" w:eastAsia="es-GT"/>
              </w:rPr>
              <w:t xml:space="preserve">        280.5 </w:t>
            </w:r>
          </w:p>
        </w:tc>
        <w:tc>
          <w:tcPr>
            <w:tcW w:w="1104" w:type="dxa"/>
            <w:tcBorders>
              <w:top w:val="nil"/>
              <w:left w:val="nil"/>
              <w:bottom w:val="nil"/>
              <w:right w:val="single" w:sz="4" w:space="0" w:color="auto"/>
            </w:tcBorders>
            <w:shd w:val="clear" w:color="000000" w:fill="FFFFFF"/>
            <w:noWrap/>
            <w:vAlign w:val="bottom"/>
            <w:hideMark/>
          </w:tcPr>
          <w:p w:rsidR="004720E6" w:rsidRPr="004720E6" w:rsidRDefault="004720E6" w:rsidP="004720E6">
            <w:pPr>
              <w:rPr>
                <w:color w:val="000000"/>
                <w:sz w:val="22"/>
                <w:szCs w:val="22"/>
                <w:lang w:val="es-GT" w:eastAsia="es-GT"/>
              </w:rPr>
            </w:pPr>
            <w:r w:rsidRPr="004720E6">
              <w:rPr>
                <w:color w:val="000000"/>
                <w:sz w:val="22"/>
                <w:szCs w:val="22"/>
                <w:lang w:val="es-GT" w:eastAsia="es-GT"/>
              </w:rPr>
              <w:t xml:space="preserve">        241.0 </w:t>
            </w:r>
          </w:p>
        </w:tc>
        <w:tc>
          <w:tcPr>
            <w:tcW w:w="1203" w:type="dxa"/>
            <w:tcBorders>
              <w:top w:val="nil"/>
              <w:left w:val="nil"/>
              <w:bottom w:val="nil"/>
              <w:right w:val="single" w:sz="4" w:space="0" w:color="auto"/>
            </w:tcBorders>
            <w:shd w:val="clear" w:color="000000" w:fill="FFFFFF"/>
            <w:noWrap/>
            <w:vAlign w:val="bottom"/>
            <w:hideMark/>
          </w:tcPr>
          <w:p w:rsidR="004720E6" w:rsidRPr="004720E6" w:rsidRDefault="004720E6" w:rsidP="004720E6">
            <w:pPr>
              <w:jc w:val="right"/>
              <w:rPr>
                <w:color w:val="000000"/>
                <w:sz w:val="22"/>
                <w:szCs w:val="22"/>
                <w:lang w:val="es-GT" w:eastAsia="es-GT"/>
              </w:rPr>
            </w:pPr>
            <w:r w:rsidRPr="004720E6">
              <w:rPr>
                <w:color w:val="000000"/>
                <w:sz w:val="22"/>
                <w:szCs w:val="22"/>
                <w:lang w:val="es-GT" w:eastAsia="es-GT"/>
              </w:rPr>
              <w:t>-39.5</w:t>
            </w:r>
          </w:p>
        </w:tc>
        <w:tc>
          <w:tcPr>
            <w:tcW w:w="1104" w:type="dxa"/>
            <w:tcBorders>
              <w:top w:val="nil"/>
              <w:left w:val="nil"/>
              <w:bottom w:val="nil"/>
              <w:right w:val="single" w:sz="8" w:space="0" w:color="auto"/>
            </w:tcBorders>
            <w:shd w:val="clear" w:color="000000" w:fill="FFFFFF"/>
            <w:noWrap/>
            <w:vAlign w:val="bottom"/>
            <w:hideMark/>
          </w:tcPr>
          <w:p w:rsidR="004720E6" w:rsidRPr="004720E6" w:rsidRDefault="004720E6" w:rsidP="004720E6">
            <w:pPr>
              <w:jc w:val="right"/>
              <w:rPr>
                <w:color w:val="000000"/>
                <w:sz w:val="22"/>
                <w:szCs w:val="22"/>
                <w:lang w:val="es-GT" w:eastAsia="es-GT"/>
              </w:rPr>
            </w:pPr>
            <w:r w:rsidRPr="004720E6">
              <w:rPr>
                <w:color w:val="000000"/>
                <w:sz w:val="22"/>
                <w:szCs w:val="22"/>
                <w:lang w:val="es-GT" w:eastAsia="es-GT"/>
              </w:rPr>
              <w:t>-14.1%</w:t>
            </w:r>
          </w:p>
        </w:tc>
      </w:tr>
      <w:tr w:rsidR="004720E6" w:rsidRPr="004720E6" w:rsidTr="004A47A6">
        <w:trPr>
          <w:trHeight w:val="298"/>
        </w:trPr>
        <w:tc>
          <w:tcPr>
            <w:tcW w:w="4547" w:type="dxa"/>
            <w:tcBorders>
              <w:top w:val="nil"/>
              <w:left w:val="single" w:sz="8" w:space="0" w:color="auto"/>
              <w:bottom w:val="nil"/>
              <w:right w:val="nil"/>
            </w:tcBorders>
            <w:shd w:val="clear" w:color="000000" w:fill="FFFFFF"/>
            <w:noWrap/>
            <w:vAlign w:val="bottom"/>
            <w:hideMark/>
          </w:tcPr>
          <w:p w:rsidR="004720E6" w:rsidRPr="004720E6" w:rsidRDefault="004720E6" w:rsidP="004720E6">
            <w:pPr>
              <w:rPr>
                <w:color w:val="000000"/>
                <w:sz w:val="22"/>
                <w:szCs w:val="22"/>
                <w:lang w:val="es-GT" w:eastAsia="es-GT"/>
              </w:rPr>
            </w:pPr>
            <w:r w:rsidRPr="004720E6">
              <w:rPr>
                <w:color w:val="000000"/>
                <w:sz w:val="22"/>
                <w:szCs w:val="22"/>
                <w:lang w:val="es-GT" w:eastAsia="es-GT"/>
              </w:rPr>
              <w:t>Ministerio de Economía</w:t>
            </w:r>
          </w:p>
        </w:tc>
        <w:tc>
          <w:tcPr>
            <w:tcW w:w="1104" w:type="dxa"/>
            <w:tcBorders>
              <w:top w:val="nil"/>
              <w:left w:val="single" w:sz="4" w:space="0" w:color="auto"/>
              <w:bottom w:val="nil"/>
              <w:right w:val="single" w:sz="4" w:space="0" w:color="auto"/>
            </w:tcBorders>
            <w:shd w:val="clear" w:color="000000" w:fill="FFFFFF"/>
            <w:noWrap/>
            <w:vAlign w:val="bottom"/>
            <w:hideMark/>
          </w:tcPr>
          <w:p w:rsidR="004720E6" w:rsidRPr="004720E6" w:rsidRDefault="004720E6" w:rsidP="004720E6">
            <w:pPr>
              <w:rPr>
                <w:color w:val="000000"/>
                <w:sz w:val="22"/>
                <w:szCs w:val="22"/>
                <w:lang w:val="es-GT" w:eastAsia="es-GT"/>
              </w:rPr>
            </w:pPr>
            <w:r w:rsidRPr="004720E6">
              <w:rPr>
                <w:color w:val="000000"/>
                <w:sz w:val="22"/>
                <w:szCs w:val="22"/>
                <w:lang w:val="es-GT" w:eastAsia="es-GT"/>
              </w:rPr>
              <w:t xml:space="preserve">            1.2 </w:t>
            </w:r>
          </w:p>
        </w:tc>
        <w:tc>
          <w:tcPr>
            <w:tcW w:w="1104" w:type="dxa"/>
            <w:tcBorders>
              <w:top w:val="nil"/>
              <w:left w:val="nil"/>
              <w:bottom w:val="nil"/>
              <w:right w:val="single" w:sz="4" w:space="0" w:color="auto"/>
            </w:tcBorders>
            <w:shd w:val="clear" w:color="000000" w:fill="FFFFFF"/>
            <w:noWrap/>
            <w:vAlign w:val="bottom"/>
            <w:hideMark/>
          </w:tcPr>
          <w:p w:rsidR="004720E6" w:rsidRPr="004720E6" w:rsidRDefault="004720E6" w:rsidP="004720E6">
            <w:pPr>
              <w:rPr>
                <w:color w:val="000000"/>
                <w:sz w:val="22"/>
                <w:szCs w:val="22"/>
                <w:lang w:val="es-GT" w:eastAsia="es-GT"/>
              </w:rPr>
            </w:pPr>
            <w:r w:rsidRPr="004720E6">
              <w:rPr>
                <w:color w:val="000000"/>
                <w:sz w:val="22"/>
                <w:szCs w:val="22"/>
                <w:lang w:val="es-GT" w:eastAsia="es-GT"/>
              </w:rPr>
              <w:t xml:space="preserve">            0.8 </w:t>
            </w:r>
          </w:p>
        </w:tc>
        <w:tc>
          <w:tcPr>
            <w:tcW w:w="1203" w:type="dxa"/>
            <w:tcBorders>
              <w:top w:val="nil"/>
              <w:left w:val="nil"/>
              <w:bottom w:val="nil"/>
              <w:right w:val="single" w:sz="4" w:space="0" w:color="auto"/>
            </w:tcBorders>
            <w:shd w:val="clear" w:color="000000" w:fill="FFFFFF"/>
            <w:noWrap/>
            <w:vAlign w:val="bottom"/>
            <w:hideMark/>
          </w:tcPr>
          <w:p w:rsidR="004720E6" w:rsidRPr="004720E6" w:rsidRDefault="004720E6" w:rsidP="004720E6">
            <w:pPr>
              <w:jc w:val="right"/>
              <w:rPr>
                <w:color w:val="000000"/>
                <w:sz w:val="22"/>
                <w:szCs w:val="22"/>
                <w:lang w:val="es-GT" w:eastAsia="es-GT"/>
              </w:rPr>
            </w:pPr>
            <w:r w:rsidRPr="004720E6">
              <w:rPr>
                <w:color w:val="000000"/>
                <w:sz w:val="22"/>
                <w:szCs w:val="22"/>
                <w:lang w:val="es-GT" w:eastAsia="es-GT"/>
              </w:rPr>
              <w:t>-0.4</w:t>
            </w:r>
          </w:p>
        </w:tc>
        <w:tc>
          <w:tcPr>
            <w:tcW w:w="1104" w:type="dxa"/>
            <w:tcBorders>
              <w:top w:val="nil"/>
              <w:left w:val="nil"/>
              <w:bottom w:val="nil"/>
              <w:right w:val="single" w:sz="8" w:space="0" w:color="auto"/>
            </w:tcBorders>
            <w:shd w:val="clear" w:color="000000" w:fill="FFFFFF"/>
            <w:noWrap/>
            <w:vAlign w:val="bottom"/>
            <w:hideMark/>
          </w:tcPr>
          <w:p w:rsidR="004720E6" w:rsidRPr="004720E6" w:rsidRDefault="004720E6" w:rsidP="004720E6">
            <w:pPr>
              <w:jc w:val="right"/>
              <w:rPr>
                <w:color w:val="000000"/>
                <w:sz w:val="22"/>
                <w:szCs w:val="22"/>
                <w:lang w:val="es-GT" w:eastAsia="es-GT"/>
              </w:rPr>
            </w:pPr>
            <w:r w:rsidRPr="004720E6">
              <w:rPr>
                <w:color w:val="000000"/>
                <w:sz w:val="22"/>
                <w:szCs w:val="22"/>
                <w:lang w:val="es-GT" w:eastAsia="es-GT"/>
              </w:rPr>
              <w:t>-33.3%</w:t>
            </w:r>
          </w:p>
        </w:tc>
      </w:tr>
      <w:tr w:rsidR="004720E6" w:rsidRPr="004720E6" w:rsidTr="004A47A6">
        <w:trPr>
          <w:trHeight w:val="298"/>
        </w:trPr>
        <w:tc>
          <w:tcPr>
            <w:tcW w:w="4547" w:type="dxa"/>
            <w:tcBorders>
              <w:top w:val="nil"/>
              <w:left w:val="single" w:sz="8" w:space="0" w:color="auto"/>
              <w:bottom w:val="nil"/>
              <w:right w:val="nil"/>
            </w:tcBorders>
            <w:shd w:val="clear" w:color="000000" w:fill="FFFFFF"/>
            <w:noWrap/>
            <w:vAlign w:val="bottom"/>
            <w:hideMark/>
          </w:tcPr>
          <w:p w:rsidR="004720E6" w:rsidRPr="004720E6" w:rsidRDefault="004720E6" w:rsidP="004720E6">
            <w:pPr>
              <w:rPr>
                <w:color w:val="000000"/>
                <w:sz w:val="22"/>
                <w:szCs w:val="22"/>
                <w:lang w:val="es-GT" w:eastAsia="es-GT"/>
              </w:rPr>
            </w:pPr>
            <w:r w:rsidRPr="004720E6">
              <w:rPr>
                <w:color w:val="000000"/>
                <w:sz w:val="22"/>
                <w:szCs w:val="22"/>
                <w:lang w:val="es-GT" w:eastAsia="es-GT"/>
              </w:rPr>
              <w:t>Ministerio de Agricultura</w:t>
            </w:r>
            <w:r w:rsidR="00614215">
              <w:rPr>
                <w:color w:val="000000"/>
                <w:sz w:val="22"/>
                <w:szCs w:val="22"/>
                <w:lang w:val="es-GT" w:eastAsia="es-GT"/>
              </w:rPr>
              <w:t>, Ganadería y Alimentación</w:t>
            </w:r>
          </w:p>
        </w:tc>
        <w:tc>
          <w:tcPr>
            <w:tcW w:w="1104" w:type="dxa"/>
            <w:tcBorders>
              <w:top w:val="nil"/>
              <w:left w:val="single" w:sz="4" w:space="0" w:color="auto"/>
              <w:bottom w:val="nil"/>
              <w:right w:val="single" w:sz="4" w:space="0" w:color="auto"/>
            </w:tcBorders>
            <w:shd w:val="clear" w:color="000000" w:fill="FFFFFF"/>
            <w:noWrap/>
            <w:vAlign w:val="bottom"/>
            <w:hideMark/>
          </w:tcPr>
          <w:p w:rsidR="004720E6" w:rsidRPr="004720E6" w:rsidRDefault="004720E6" w:rsidP="004720E6">
            <w:pPr>
              <w:rPr>
                <w:color w:val="000000"/>
                <w:sz w:val="22"/>
                <w:szCs w:val="22"/>
                <w:lang w:val="es-GT" w:eastAsia="es-GT"/>
              </w:rPr>
            </w:pPr>
            <w:r w:rsidRPr="004720E6">
              <w:rPr>
                <w:color w:val="000000"/>
                <w:sz w:val="22"/>
                <w:szCs w:val="22"/>
                <w:lang w:val="es-GT" w:eastAsia="es-GT"/>
              </w:rPr>
              <w:t xml:space="preserve">          25.4 </w:t>
            </w:r>
          </w:p>
        </w:tc>
        <w:tc>
          <w:tcPr>
            <w:tcW w:w="1104" w:type="dxa"/>
            <w:tcBorders>
              <w:top w:val="nil"/>
              <w:left w:val="nil"/>
              <w:bottom w:val="nil"/>
              <w:right w:val="single" w:sz="4" w:space="0" w:color="auto"/>
            </w:tcBorders>
            <w:shd w:val="clear" w:color="000000" w:fill="FFFFFF"/>
            <w:noWrap/>
            <w:vAlign w:val="bottom"/>
            <w:hideMark/>
          </w:tcPr>
          <w:p w:rsidR="004720E6" w:rsidRPr="004720E6" w:rsidRDefault="004720E6" w:rsidP="004720E6">
            <w:pPr>
              <w:rPr>
                <w:color w:val="000000"/>
                <w:sz w:val="22"/>
                <w:szCs w:val="22"/>
                <w:lang w:val="es-GT" w:eastAsia="es-GT"/>
              </w:rPr>
            </w:pPr>
            <w:r w:rsidRPr="004720E6">
              <w:rPr>
                <w:color w:val="000000"/>
                <w:sz w:val="22"/>
                <w:szCs w:val="22"/>
                <w:lang w:val="es-GT" w:eastAsia="es-GT"/>
              </w:rPr>
              <w:t xml:space="preserve">          39.1 </w:t>
            </w:r>
          </w:p>
        </w:tc>
        <w:tc>
          <w:tcPr>
            <w:tcW w:w="1203" w:type="dxa"/>
            <w:tcBorders>
              <w:top w:val="nil"/>
              <w:left w:val="nil"/>
              <w:bottom w:val="nil"/>
              <w:right w:val="single" w:sz="4" w:space="0" w:color="auto"/>
            </w:tcBorders>
            <w:shd w:val="clear" w:color="000000" w:fill="FFFFFF"/>
            <w:noWrap/>
            <w:vAlign w:val="bottom"/>
            <w:hideMark/>
          </w:tcPr>
          <w:p w:rsidR="004720E6" w:rsidRPr="004720E6" w:rsidRDefault="004720E6" w:rsidP="004720E6">
            <w:pPr>
              <w:jc w:val="right"/>
              <w:rPr>
                <w:color w:val="000000"/>
                <w:sz w:val="22"/>
                <w:szCs w:val="22"/>
                <w:lang w:val="es-GT" w:eastAsia="es-GT"/>
              </w:rPr>
            </w:pPr>
            <w:r w:rsidRPr="004720E6">
              <w:rPr>
                <w:color w:val="000000"/>
                <w:sz w:val="22"/>
                <w:szCs w:val="22"/>
                <w:lang w:val="es-GT" w:eastAsia="es-GT"/>
              </w:rPr>
              <w:t>13.7</w:t>
            </w:r>
          </w:p>
        </w:tc>
        <w:tc>
          <w:tcPr>
            <w:tcW w:w="1104" w:type="dxa"/>
            <w:tcBorders>
              <w:top w:val="nil"/>
              <w:left w:val="nil"/>
              <w:bottom w:val="nil"/>
              <w:right w:val="single" w:sz="8" w:space="0" w:color="auto"/>
            </w:tcBorders>
            <w:shd w:val="clear" w:color="000000" w:fill="FFFFFF"/>
            <w:noWrap/>
            <w:vAlign w:val="bottom"/>
            <w:hideMark/>
          </w:tcPr>
          <w:p w:rsidR="004720E6" w:rsidRPr="004720E6" w:rsidRDefault="004720E6" w:rsidP="004720E6">
            <w:pPr>
              <w:jc w:val="right"/>
              <w:rPr>
                <w:color w:val="000000"/>
                <w:sz w:val="22"/>
                <w:szCs w:val="22"/>
                <w:lang w:val="es-GT" w:eastAsia="es-GT"/>
              </w:rPr>
            </w:pPr>
            <w:r w:rsidRPr="004720E6">
              <w:rPr>
                <w:color w:val="000000"/>
                <w:sz w:val="22"/>
                <w:szCs w:val="22"/>
                <w:lang w:val="es-GT" w:eastAsia="es-GT"/>
              </w:rPr>
              <w:t>53.9%</w:t>
            </w:r>
          </w:p>
        </w:tc>
      </w:tr>
      <w:tr w:rsidR="004720E6" w:rsidRPr="004720E6" w:rsidTr="004A47A6">
        <w:trPr>
          <w:trHeight w:val="298"/>
        </w:trPr>
        <w:tc>
          <w:tcPr>
            <w:tcW w:w="4547" w:type="dxa"/>
            <w:tcBorders>
              <w:top w:val="nil"/>
              <w:left w:val="single" w:sz="8" w:space="0" w:color="auto"/>
              <w:bottom w:val="nil"/>
              <w:right w:val="nil"/>
            </w:tcBorders>
            <w:shd w:val="clear" w:color="000000" w:fill="FFFFFF"/>
            <w:noWrap/>
            <w:vAlign w:val="bottom"/>
            <w:hideMark/>
          </w:tcPr>
          <w:p w:rsidR="004720E6" w:rsidRPr="004720E6" w:rsidRDefault="004720E6" w:rsidP="004720E6">
            <w:pPr>
              <w:rPr>
                <w:color w:val="000000"/>
                <w:sz w:val="22"/>
                <w:szCs w:val="22"/>
                <w:lang w:val="es-GT" w:eastAsia="es-GT"/>
              </w:rPr>
            </w:pPr>
            <w:r w:rsidRPr="004720E6">
              <w:rPr>
                <w:color w:val="000000"/>
                <w:sz w:val="22"/>
                <w:szCs w:val="22"/>
                <w:lang w:val="es-GT" w:eastAsia="es-GT"/>
              </w:rPr>
              <w:t>Ministerio de Cultura y Deportes</w:t>
            </w:r>
          </w:p>
        </w:tc>
        <w:tc>
          <w:tcPr>
            <w:tcW w:w="1104" w:type="dxa"/>
            <w:tcBorders>
              <w:top w:val="nil"/>
              <w:left w:val="single" w:sz="4" w:space="0" w:color="auto"/>
              <w:bottom w:val="nil"/>
              <w:right w:val="single" w:sz="4" w:space="0" w:color="auto"/>
            </w:tcBorders>
            <w:shd w:val="clear" w:color="000000" w:fill="FFFFFF"/>
            <w:noWrap/>
            <w:vAlign w:val="bottom"/>
            <w:hideMark/>
          </w:tcPr>
          <w:p w:rsidR="004720E6" w:rsidRPr="004720E6" w:rsidRDefault="004720E6" w:rsidP="004720E6">
            <w:pPr>
              <w:rPr>
                <w:color w:val="000000"/>
                <w:sz w:val="22"/>
                <w:szCs w:val="22"/>
                <w:lang w:val="es-GT" w:eastAsia="es-GT"/>
              </w:rPr>
            </w:pPr>
            <w:r w:rsidRPr="004720E6">
              <w:rPr>
                <w:color w:val="000000"/>
                <w:sz w:val="22"/>
                <w:szCs w:val="22"/>
                <w:lang w:val="es-GT" w:eastAsia="es-GT"/>
              </w:rPr>
              <w:t xml:space="preserve">            2.0 </w:t>
            </w:r>
          </w:p>
        </w:tc>
        <w:tc>
          <w:tcPr>
            <w:tcW w:w="1104" w:type="dxa"/>
            <w:tcBorders>
              <w:top w:val="nil"/>
              <w:left w:val="nil"/>
              <w:bottom w:val="nil"/>
              <w:right w:val="single" w:sz="4" w:space="0" w:color="auto"/>
            </w:tcBorders>
            <w:shd w:val="clear" w:color="000000" w:fill="FFFFFF"/>
            <w:noWrap/>
            <w:vAlign w:val="bottom"/>
            <w:hideMark/>
          </w:tcPr>
          <w:p w:rsidR="004720E6" w:rsidRPr="004720E6" w:rsidRDefault="004720E6" w:rsidP="004720E6">
            <w:pPr>
              <w:rPr>
                <w:color w:val="000000"/>
                <w:sz w:val="22"/>
                <w:szCs w:val="22"/>
                <w:lang w:val="es-GT" w:eastAsia="es-GT"/>
              </w:rPr>
            </w:pPr>
            <w:r w:rsidRPr="004720E6">
              <w:rPr>
                <w:color w:val="000000"/>
                <w:sz w:val="22"/>
                <w:szCs w:val="22"/>
                <w:lang w:val="es-GT" w:eastAsia="es-GT"/>
              </w:rPr>
              <w:t xml:space="preserve">            2.0 </w:t>
            </w:r>
          </w:p>
        </w:tc>
        <w:tc>
          <w:tcPr>
            <w:tcW w:w="1203" w:type="dxa"/>
            <w:tcBorders>
              <w:top w:val="nil"/>
              <w:left w:val="nil"/>
              <w:bottom w:val="nil"/>
              <w:right w:val="single" w:sz="4" w:space="0" w:color="auto"/>
            </w:tcBorders>
            <w:shd w:val="clear" w:color="000000" w:fill="FFFFFF"/>
            <w:noWrap/>
            <w:vAlign w:val="bottom"/>
          </w:tcPr>
          <w:p w:rsidR="004720E6" w:rsidRPr="004720E6" w:rsidRDefault="004720E6" w:rsidP="004720E6">
            <w:pPr>
              <w:jc w:val="right"/>
              <w:rPr>
                <w:color w:val="000000"/>
                <w:sz w:val="22"/>
                <w:szCs w:val="22"/>
                <w:lang w:val="es-GT" w:eastAsia="es-GT"/>
              </w:rPr>
            </w:pPr>
          </w:p>
        </w:tc>
        <w:tc>
          <w:tcPr>
            <w:tcW w:w="1104" w:type="dxa"/>
            <w:tcBorders>
              <w:top w:val="nil"/>
              <w:left w:val="nil"/>
              <w:bottom w:val="nil"/>
              <w:right w:val="single" w:sz="8" w:space="0" w:color="auto"/>
            </w:tcBorders>
            <w:shd w:val="clear" w:color="000000" w:fill="FFFFFF"/>
            <w:noWrap/>
            <w:vAlign w:val="bottom"/>
          </w:tcPr>
          <w:p w:rsidR="004720E6" w:rsidRPr="004720E6" w:rsidRDefault="004720E6" w:rsidP="004720E6">
            <w:pPr>
              <w:jc w:val="right"/>
              <w:rPr>
                <w:color w:val="000000"/>
                <w:sz w:val="22"/>
                <w:szCs w:val="22"/>
                <w:lang w:val="es-GT" w:eastAsia="es-GT"/>
              </w:rPr>
            </w:pPr>
          </w:p>
        </w:tc>
      </w:tr>
      <w:tr w:rsidR="004720E6" w:rsidRPr="004720E6" w:rsidTr="004A47A6">
        <w:trPr>
          <w:trHeight w:val="298"/>
        </w:trPr>
        <w:tc>
          <w:tcPr>
            <w:tcW w:w="4547" w:type="dxa"/>
            <w:tcBorders>
              <w:top w:val="nil"/>
              <w:left w:val="single" w:sz="8" w:space="0" w:color="auto"/>
              <w:bottom w:val="nil"/>
              <w:right w:val="nil"/>
            </w:tcBorders>
            <w:shd w:val="clear" w:color="000000" w:fill="FFFFFF"/>
            <w:noWrap/>
            <w:vAlign w:val="bottom"/>
            <w:hideMark/>
          </w:tcPr>
          <w:p w:rsidR="004720E6" w:rsidRPr="004720E6" w:rsidRDefault="004720E6" w:rsidP="004720E6">
            <w:pPr>
              <w:rPr>
                <w:color w:val="000000"/>
                <w:sz w:val="22"/>
                <w:szCs w:val="22"/>
                <w:lang w:val="es-GT" w:eastAsia="es-GT"/>
              </w:rPr>
            </w:pPr>
            <w:r w:rsidRPr="004720E6">
              <w:rPr>
                <w:color w:val="000000"/>
                <w:sz w:val="22"/>
                <w:szCs w:val="22"/>
                <w:lang w:val="es-GT" w:eastAsia="es-GT"/>
              </w:rPr>
              <w:t>Ministerio de Ambiente y Recursos Naturales</w:t>
            </w:r>
          </w:p>
        </w:tc>
        <w:tc>
          <w:tcPr>
            <w:tcW w:w="1104" w:type="dxa"/>
            <w:tcBorders>
              <w:top w:val="nil"/>
              <w:left w:val="single" w:sz="4" w:space="0" w:color="auto"/>
              <w:bottom w:val="nil"/>
              <w:right w:val="single" w:sz="4" w:space="0" w:color="auto"/>
            </w:tcBorders>
            <w:shd w:val="clear" w:color="000000" w:fill="FFFFFF"/>
            <w:noWrap/>
            <w:vAlign w:val="bottom"/>
            <w:hideMark/>
          </w:tcPr>
          <w:p w:rsidR="004720E6" w:rsidRPr="004720E6" w:rsidRDefault="004720E6" w:rsidP="004720E6">
            <w:pPr>
              <w:rPr>
                <w:color w:val="000000"/>
                <w:sz w:val="22"/>
                <w:szCs w:val="22"/>
                <w:lang w:val="es-GT" w:eastAsia="es-GT"/>
              </w:rPr>
            </w:pPr>
            <w:r w:rsidRPr="004720E6">
              <w:rPr>
                <w:color w:val="000000"/>
                <w:sz w:val="22"/>
                <w:szCs w:val="22"/>
                <w:lang w:val="es-GT" w:eastAsia="es-GT"/>
              </w:rPr>
              <w:t> </w:t>
            </w:r>
          </w:p>
        </w:tc>
        <w:tc>
          <w:tcPr>
            <w:tcW w:w="1104" w:type="dxa"/>
            <w:tcBorders>
              <w:top w:val="nil"/>
              <w:left w:val="nil"/>
              <w:bottom w:val="nil"/>
              <w:right w:val="single" w:sz="4" w:space="0" w:color="auto"/>
            </w:tcBorders>
            <w:shd w:val="clear" w:color="000000" w:fill="FFFFFF"/>
            <w:noWrap/>
            <w:vAlign w:val="bottom"/>
            <w:hideMark/>
          </w:tcPr>
          <w:p w:rsidR="004720E6" w:rsidRPr="004720E6" w:rsidRDefault="004720E6" w:rsidP="004720E6">
            <w:pPr>
              <w:rPr>
                <w:color w:val="000000"/>
                <w:sz w:val="22"/>
                <w:szCs w:val="22"/>
                <w:lang w:val="es-GT" w:eastAsia="es-GT"/>
              </w:rPr>
            </w:pPr>
            <w:r w:rsidRPr="004720E6">
              <w:rPr>
                <w:color w:val="000000"/>
                <w:sz w:val="22"/>
                <w:szCs w:val="22"/>
                <w:lang w:val="es-GT" w:eastAsia="es-GT"/>
              </w:rPr>
              <w:t xml:space="preserve">          0.02 </w:t>
            </w:r>
          </w:p>
        </w:tc>
        <w:tc>
          <w:tcPr>
            <w:tcW w:w="1203" w:type="dxa"/>
            <w:tcBorders>
              <w:top w:val="nil"/>
              <w:left w:val="nil"/>
              <w:bottom w:val="nil"/>
              <w:right w:val="single" w:sz="4" w:space="0" w:color="auto"/>
            </w:tcBorders>
            <w:shd w:val="clear" w:color="000000" w:fill="FFFFFF"/>
            <w:noWrap/>
            <w:vAlign w:val="bottom"/>
          </w:tcPr>
          <w:p w:rsidR="004720E6" w:rsidRPr="004720E6" w:rsidRDefault="002C3AB7" w:rsidP="004720E6">
            <w:pPr>
              <w:jc w:val="right"/>
              <w:rPr>
                <w:color w:val="000000"/>
                <w:sz w:val="22"/>
                <w:szCs w:val="22"/>
                <w:lang w:val="es-GT" w:eastAsia="es-GT"/>
              </w:rPr>
            </w:pPr>
            <w:r>
              <w:rPr>
                <w:color w:val="000000"/>
                <w:sz w:val="22"/>
                <w:szCs w:val="22"/>
                <w:lang w:val="es-GT" w:eastAsia="es-GT"/>
              </w:rPr>
              <w:t>0.02</w:t>
            </w:r>
          </w:p>
        </w:tc>
        <w:tc>
          <w:tcPr>
            <w:tcW w:w="1104" w:type="dxa"/>
            <w:tcBorders>
              <w:top w:val="nil"/>
              <w:left w:val="nil"/>
              <w:bottom w:val="nil"/>
              <w:right w:val="single" w:sz="8" w:space="0" w:color="auto"/>
            </w:tcBorders>
            <w:shd w:val="clear" w:color="000000" w:fill="FFFFFF"/>
            <w:noWrap/>
            <w:vAlign w:val="bottom"/>
          </w:tcPr>
          <w:p w:rsidR="004720E6" w:rsidRPr="004720E6" w:rsidRDefault="004720E6" w:rsidP="004720E6">
            <w:pPr>
              <w:rPr>
                <w:color w:val="000000"/>
                <w:sz w:val="22"/>
                <w:szCs w:val="22"/>
                <w:lang w:val="es-GT" w:eastAsia="es-GT"/>
              </w:rPr>
            </w:pPr>
          </w:p>
        </w:tc>
      </w:tr>
      <w:tr w:rsidR="004720E6" w:rsidRPr="004720E6" w:rsidTr="004A47A6">
        <w:trPr>
          <w:trHeight w:val="312"/>
        </w:trPr>
        <w:tc>
          <w:tcPr>
            <w:tcW w:w="4547" w:type="dxa"/>
            <w:tcBorders>
              <w:top w:val="nil"/>
              <w:left w:val="single" w:sz="8" w:space="0" w:color="auto"/>
              <w:bottom w:val="single" w:sz="8" w:space="0" w:color="auto"/>
              <w:right w:val="nil"/>
            </w:tcBorders>
            <w:shd w:val="clear" w:color="000000" w:fill="FFFFFF"/>
            <w:noWrap/>
            <w:vAlign w:val="bottom"/>
            <w:hideMark/>
          </w:tcPr>
          <w:p w:rsidR="004720E6" w:rsidRPr="004720E6" w:rsidRDefault="004720E6" w:rsidP="004720E6">
            <w:pPr>
              <w:rPr>
                <w:color w:val="000000"/>
                <w:sz w:val="22"/>
                <w:szCs w:val="22"/>
                <w:lang w:val="es-GT" w:eastAsia="es-GT"/>
              </w:rPr>
            </w:pPr>
            <w:r w:rsidRPr="004720E6">
              <w:rPr>
                <w:color w:val="000000"/>
                <w:sz w:val="22"/>
                <w:szCs w:val="22"/>
                <w:lang w:val="es-GT" w:eastAsia="es-GT"/>
              </w:rPr>
              <w:t>Obligaciones del Estado a Cargo del Tesoro</w:t>
            </w:r>
          </w:p>
        </w:tc>
        <w:tc>
          <w:tcPr>
            <w:tcW w:w="1104" w:type="dxa"/>
            <w:tcBorders>
              <w:top w:val="nil"/>
              <w:left w:val="single" w:sz="4" w:space="0" w:color="auto"/>
              <w:bottom w:val="single" w:sz="8" w:space="0" w:color="auto"/>
              <w:right w:val="single" w:sz="4" w:space="0" w:color="auto"/>
            </w:tcBorders>
            <w:shd w:val="clear" w:color="000000" w:fill="FFFFFF"/>
            <w:noWrap/>
            <w:vAlign w:val="bottom"/>
            <w:hideMark/>
          </w:tcPr>
          <w:p w:rsidR="004720E6" w:rsidRPr="004720E6" w:rsidRDefault="004720E6" w:rsidP="004720E6">
            <w:pPr>
              <w:rPr>
                <w:color w:val="000000"/>
                <w:sz w:val="22"/>
                <w:szCs w:val="22"/>
                <w:lang w:val="es-GT" w:eastAsia="es-GT"/>
              </w:rPr>
            </w:pPr>
            <w:r w:rsidRPr="004720E6">
              <w:rPr>
                <w:color w:val="000000"/>
                <w:sz w:val="22"/>
                <w:szCs w:val="22"/>
                <w:lang w:val="es-GT" w:eastAsia="es-GT"/>
              </w:rPr>
              <w:t xml:space="preserve">        186.9 </w:t>
            </w:r>
          </w:p>
        </w:tc>
        <w:tc>
          <w:tcPr>
            <w:tcW w:w="1104" w:type="dxa"/>
            <w:tcBorders>
              <w:top w:val="nil"/>
              <w:left w:val="nil"/>
              <w:bottom w:val="single" w:sz="8" w:space="0" w:color="auto"/>
              <w:right w:val="single" w:sz="4" w:space="0" w:color="auto"/>
            </w:tcBorders>
            <w:shd w:val="clear" w:color="000000" w:fill="FFFFFF"/>
            <w:noWrap/>
            <w:vAlign w:val="bottom"/>
            <w:hideMark/>
          </w:tcPr>
          <w:p w:rsidR="004720E6" w:rsidRPr="004720E6" w:rsidRDefault="004720E6" w:rsidP="004720E6">
            <w:pPr>
              <w:rPr>
                <w:color w:val="000000"/>
                <w:sz w:val="22"/>
                <w:szCs w:val="22"/>
                <w:lang w:val="es-GT" w:eastAsia="es-GT"/>
              </w:rPr>
            </w:pPr>
            <w:r w:rsidRPr="004720E6">
              <w:rPr>
                <w:color w:val="000000"/>
                <w:sz w:val="22"/>
                <w:szCs w:val="22"/>
                <w:lang w:val="es-GT" w:eastAsia="es-GT"/>
              </w:rPr>
              <w:t xml:space="preserve">        166.9 </w:t>
            </w:r>
          </w:p>
        </w:tc>
        <w:tc>
          <w:tcPr>
            <w:tcW w:w="1203" w:type="dxa"/>
            <w:tcBorders>
              <w:top w:val="nil"/>
              <w:left w:val="nil"/>
              <w:bottom w:val="single" w:sz="8" w:space="0" w:color="auto"/>
              <w:right w:val="single" w:sz="4" w:space="0" w:color="auto"/>
            </w:tcBorders>
            <w:shd w:val="clear" w:color="000000" w:fill="FFFFFF"/>
            <w:noWrap/>
            <w:vAlign w:val="bottom"/>
            <w:hideMark/>
          </w:tcPr>
          <w:p w:rsidR="004720E6" w:rsidRPr="004720E6" w:rsidRDefault="004720E6" w:rsidP="004720E6">
            <w:pPr>
              <w:jc w:val="right"/>
              <w:rPr>
                <w:color w:val="000000"/>
                <w:sz w:val="22"/>
                <w:szCs w:val="22"/>
                <w:lang w:val="es-GT" w:eastAsia="es-GT"/>
              </w:rPr>
            </w:pPr>
            <w:r w:rsidRPr="004720E6">
              <w:rPr>
                <w:color w:val="000000"/>
                <w:sz w:val="22"/>
                <w:szCs w:val="22"/>
                <w:lang w:val="es-GT" w:eastAsia="es-GT"/>
              </w:rPr>
              <w:t>-20.0</w:t>
            </w:r>
          </w:p>
        </w:tc>
        <w:tc>
          <w:tcPr>
            <w:tcW w:w="1104" w:type="dxa"/>
            <w:tcBorders>
              <w:top w:val="nil"/>
              <w:left w:val="nil"/>
              <w:bottom w:val="single" w:sz="8" w:space="0" w:color="auto"/>
              <w:right w:val="single" w:sz="8" w:space="0" w:color="auto"/>
            </w:tcBorders>
            <w:shd w:val="clear" w:color="000000" w:fill="FFFFFF"/>
            <w:noWrap/>
            <w:vAlign w:val="bottom"/>
            <w:hideMark/>
          </w:tcPr>
          <w:p w:rsidR="004720E6" w:rsidRPr="004720E6" w:rsidRDefault="004720E6" w:rsidP="004720E6">
            <w:pPr>
              <w:jc w:val="right"/>
              <w:rPr>
                <w:color w:val="000000"/>
                <w:sz w:val="22"/>
                <w:szCs w:val="22"/>
                <w:lang w:val="es-GT" w:eastAsia="es-GT"/>
              </w:rPr>
            </w:pPr>
            <w:r w:rsidRPr="004720E6">
              <w:rPr>
                <w:color w:val="000000"/>
                <w:sz w:val="22"/>
                <w:szCs w:val="22"/>
                <w:lang w:val="es-GT" w:eastAsia="es-GT"/>
              </w:rPr>
              <w:t>-10.7%</w:t>
            </w:r>
          </w:p>
        </w:tc>
      </w:tr>
      <w:tr w:rsidR="004720E6" w:rsidRPr="004720E6" w:rsidTr="004A47A6">
        <w:trPr>
          <w:trHeight w:val="298"/>
        </w:trPr>
        <w:tc>
          <w:tcPr>
            <w:tcW w:w="4547" w:type="dxa"/>
            <w:tcBorders>
              <w:top w:val="nil"/>
              <w:left w:val="nil"/>
              <w:bottom w:val="nil"/>
              <w:right w:val="nil"/>
            </w:tcBorders>
            <w:shd w:val="clear" w:color="000000" w:fill="FFFFFF"/>
            <w:noWrap/>
            <w:vAlign w:val="bottom"/>
            <w:hideMark/>
          </w:tcPr>
          <w:p w:rsidR="004720E6" w:rsidRPr="004720E6" w:rsidRDefault="004720E6" w:rsidP="00781CD5">
            <w:pPr>
              <w:rPr>
                <w:b/>
                <w:bCs/>
                <w:color w:val="000000"/>
                <w:sz w:val="22"/>
                <w:szCs w:val="22"/>
                <w:lang w:val="es-GT" w:eastAsia="es-GT"/>
              </w:rPr>
            </w:pPr>
            <w:r w:rsidRPr="004720E6">
              <w:rPr>
                <w:b/>
                <w:bCs/>
                <w:color w:val="000000"/>
                <w:sz w:val="22"/>
                <w:szCs w:val="22"/>
                <w:lang w:val="es-GT" w:eastAsia="es-GT"/>
              </w:rPr>
              <w:t xml:space="preserve">Porcentaje </w:t>
            </w:r>
            <w:r w:rsidR="00781CD5">
              <w:rPr>
                <w:b/>
                <w:bCs/>
                <w:color w:val="000000"/>
                <w:sz w:val="22"/>
                <w:szCs w:val="22"/>
                <w:lang w:val="es-GT" w:eastAsia="es-GT"/>
              </w:rPr>
              <w:t>sobre la</w:t>
            </w:r>
            <w:r w:rsidRPr="004720E6">
              <w:rPr>
                <w:b/>
                <w:bCs/>
                <w:color w:val="000000"/>
                <w:sz w:val="22"/>
                <w:szCs w:val="22"/>
                <w:lang w:val="es-GT" w:eastAsia="es-GT"/>
              </w:rPr>
              <w:t xml:space="preserve"> ejecución presupuestaria</w:t>
            </w:r>
            <w:r w:rsidR="00781CD5">
              <w:rPr>
                <w:b/>
                <w:bCs/>
                <w:color w:val="000000"/>
                <w:sz w:val="22"/>
                <w:szCs w:val="22"/>
                <w:lang w:val="es-GT" w:eastAsia="es-GT"/>
              </w:rPr>
              <w:t xml:space="preserve"> total</w:t>
            </w:r>
          </w:p>
        </w:tc>
        <w:tc>
          <w:tcPr>
            <w:tcW w:w="1104" w:type="dxa"/>
            <w:tcBorders>
              <w:top w:val="nil"/>
              <w:left w:val="nil"/>
              <w:bottom w:val="nil"/>
              <w:right w:val="nil"/>
            </w:tcBorders>
            <w:shd w:val="clear" w:color="000000" w:fill="FFFFFF"/>
            <w:noWrap/>
            <w:vAlign w:val="bottom"/>
            <w:hideMark/>
          </w:tcPr>
          <w:p w:rsidR="004720E6" w:rsidRPr="004720E6" w:rsidRDefault="004720E6" w:rsidP="004720E6">
            <w:pPr>
              <w:jc w:val="right"/>
              <w:rPr>
                <w:b/>
                <w:bCs/>
                <w:color w:val="000000"/>
                <w:sz w:val="22"/>
                <w:szCs w:val="22"/>
                <w:lang w:val="es-GT" w:eastAsia="es-GT"/>
              </w:rPr>
            </w:pPr>
            <w:r w:rsidRPr="004720E6">
              <w:rPr>
                <w:b/>
                <w:bCs/>
                <w:color w:val="000000"/>
                <w:sz w:val="22"/>
                <w:szCs w:val="22"/>
                <w:lang w:val="es-GT" w:eastAsia="es-GT"/>
              </w:rPr>
              <w:t>1.8%</w:t>
            </w:r>
          </w:p>
        </w:tc>
        <w:tc>
          <w:tcPr>
            <w:tcW w:w="1104" w:type="dxa"/>
            <w:tcBorders>
              <w:top w:val="nil"/>
              <w:left w:val="nil"/>
              <w:bottom w:val="nil"/>
              <w:right w:val="nil"/>
            </w:tcBorders>
            <w:shd w:val="clear" w:color="000000" w:fill="FFFFFF"/>
            <w:noWrap/>
            <w:vAlign w:val="bottom"/>
            <w:hideMark/>
          </w:tcPr>
          <w:p w:rsidR="004720E6" w:rsidRPr="004720E6" w:rsidRDefault="004720E6" w:rsidP="004720E6">
            <w:pPr>
              <w:jc w:val="right"/>
              <w:rPr>
                <w:b/>
                <w:bCs/>
                <w:color w:val="000000"/>
                <w:sz w:val="22"/>
                <w:szCs w:val="22"/>
                <w:lang w:val="es-GT" w:eastAsia="es-GT"/>
              </w:rPr>
            </w:pPr>
            <w:r w:rsidRPr="004720E6">
              <w:rPr>
                <w:b/>
                <w:bCs/>
                <w:color w:val="000000"/>
                <w:sz w:val="22"/>
                <w:szCs w:val="22"/>
                <w:lang w:val="es-GT" w:eastAsia="es-GT"/>
              </w:rPr>
              <w:t>1.7%</w:t>
            </w:r>
          </w:p>
        </w:tc>
        <w:tc>
          <w:tcPr>
            <w:tcW w:w="1203" w:type="dxa"/>
            <w:tcBorders>
              <w:top w:val="nil"/>
              <w:left w:val="nil"/>
              <w:bottom w:val="nil"/>
              <w:right w:val="nil"/>
            </w:tcBorders>
            <w:shd w:val="clear" w:color="000000" w:fill="FFFFFF"/>
            <w:noWrap/>
            <w:vAlign w:val="bottom"/>
            <w:hideMark/>
          </w:tcPr>
          <w:p w:rsidR="004720E6" w:rsidRPr="004720E6" w:rsidRDefault="004720E6" w:rsidP="004720E6">
            <w:pPr>
              <w:rPr>
                <w:color w:val="000000"/>
                <w:sz w:val="22"/>
                <w:szCs w:val="22"/>
                <w:lang w:val="es-GT" w:eastAsia="es-GT"/>
              </w:rPr>
            </w:pPr>
            <w:r w:rsidRPr="004720E6">
              <w:rPr>
                <w:color w:val="000000"/>
                <w:sz w:val="22"/>
                <w:szCs w:val="22"/>
                <w:lang w:val="es-GT" w:eastAsia="es-GT"/>
              </w:rPr>
              <w:t> </w:t>
            </w:r>
          </w:p>
        </w:tc>
        <w:tc>
          <w:tcPr>
            <w:tcW w:w="1104" w:type="dxa"/>
            <w:tcBorders>
              <w:top w:val="nil"/>
              <w:left w:val="nil"/>
              <w:bottom w:val="nil"/>
              <w:right w:val="nil"/>
            </w:tcBorders>
            <w:shd w:val="clear" w:color="000000" w:fill="FFFFFF"/>
            <w:noWrap/>
            <w:vAlign w:val="bottom"/>
            <w:hideMark/>
          </w:tcPr>
          <w:p w:rsidR="004720E6" w:rsidRPr="004720E6" w:rsidRDefault="004720E6" w:rsidP="004720E6">
            <w:pPr>
              <w:rPr>
                <w:color w:val="000000"/>
                <w:sz w:val="22"/>
                <w:szCs w:val="22"/>
                <w:lang w:val="es-GT" w:eastAsia="es-GT"/>
              </w:rPr>
            </w:pPr>
            <w:r w:rsidRPr="004720E6">
              <w:rPr>
                <w:color w:val="000000"/>
                <w:sz w:val="22"/>
                <w:szCs w:val="22"/>
                <w:lang w:val="es-GT" w:eastAsia="es-GT"/>
              </w:rPr>
              <w:t> </w:t>
            </w:r>
          </w:p>
        </w:tc>
      </w:tr>
    </w:tbl>
    <w:p w:rsidR="00AB0496" w:rsidRPr="00522477" w:rsidRDefault="00AB0496" w:rsidP="00AB0496">
      <w:pPr>
        <w:jc w:val="center"/>
        <w:rPr>
          <w:b/>
          <w:sz w:val="10"/>
          <w:szCs w:val="22"/>
          <w:lang w:val="es-MX"/>
        </w:rPr>
      </w:pPr>
    </w:p>
    <w:p w:rsidR="00AB0496" w:rsidRPr="003132DD" w:rsidRDefault="00AB0496" w:rsidP="00E021FF">
      <w:pPr>
        <w:jc w:val="both"/>
        <w:rPr>
          <w:sz w:val="16"/>
          <w:lang w:val="es-MX"/>
        </w:rPr>
      </w:pPr>
      <w:r w:rsidRPr="003132DD">
        <w:rPr>
          <w:sz w:val="16"/>
          <w:lang w:val="es-MX"/>
        </w:rPr>
        <w:t>Fuente: Ministerio de Finanzas Públicas con base al SICOIN.</w:t>
      </w:r>
    </w:p>
    <w:p w:rsidR="00AB0496" w:rsidRPr="003132DD" w:rsidRDefault="00AB0496" w:rsidP="00E021FF">
      <w:pPr>
        <w:jc w:val="both"/>
        <w:rPr>
          <w:sz w:val="16"/>
          <w:lang w:val="es-MX"/>
        </w:rPr>
      </w:pPr>
      <w:r w:rsidRPr="003132DD">
        <w:rPr>
          <w:sz w:val="16"/>
          <w:lang w:val="es-MX"/>
        </w:rPr>
        <w:t>* Cifras preliminares</w:t>
      </w:r>
      <w:r w:rsidR="000A3EE5">
        <w:rPr>
          <w:sz w:val="16"/>
          <w:lang w:val="es-MX"/>
        </w:rPr>
        <w:t>.</w:t>
      </w:r>
    </w:p>
    <w:p w:rsidR="00AB0496" w:rsidRDefault="00AB0496" w:rsidP="00AB0496">
      <w:pPr>
        <w:rPr>
          <w:sz w:val="16"/>
          <w:lang w:val="es-MX"/>
        </w:rPr>
      </w:pPr>
    </w:p>
    <w:p w:rsidR="00AB0496" w:rsidRDefault="00AB0496" w:rsidP="00AB0496">
      <w:pPr>
        <w:rPr>
          <w:b/>
          <w:bCs/>
          <w:lang w:val="es-MX"/>
        </w:rPr>
      </w:pPr>
      <w:r>
        <w:rPr>
          <w:b/>
          <w:bCs/>
          <w:lang w:val="es-MX"/>
        </w:rPr>
        <w:br w:type="page"/>
      </w:r>
    </w:p>
    <w:p w:rsidR="00AB0496" w:rsidRPr="00FB641E" w:rsidRDefault="00AB0496" w:rsidP="00AB0496">
      <w:pPr>
        <w:keepNext/>
        <w:keepLines/>
        <w:numPr>
          <w:ilvl w:val="2"/>
          <w:numId w:val="4"/>
        </w:numPr>
        <w:spacing w:before="200"/>
        <w:outlineLvl w:val="2"/>
        <w:rPr>
          <w:b/>
          <w:bCs/>
          <w:lang w:val="es-MX"/>
        </w:rPr>
      </w:pPr>
      <w:bookmarkStart w:id="30" w:name="_Toc494447085"/>
      <w:bookmarkStart w:id="31" w:name="_Toc525824412"/>
      <w:r w:rsidRPr="00FB641E">
        <w:rPr>
          <w:b/>
          <w:bCs/>
          <w:lang w:val="es-MX"/>
        </w:rPr>
        <w:lastRenderedPageBreak/>
        <w:t>Déficit Fiscal</w:t>
      </w:r>
      <w:bookmarkEnd w:id="30"/>
      <w:bookmarkEnd w:id="31"/>
    </w:p>
    <w:p w:rsidR="00AB0496" w:rsidRPr="00FB641E" w:rsidRDefault="00AB0496" w:rsidP="00AB0496">
      <w:pPr>
        <w:jc w:val="both"/>
        <w:rPr>
          <w:lang w:val="es-MX"/>
        </w:rPr>
      </w:pPr>
    </w:p>
    <w:p w:rsidR="00AB0496" w:rsidRPr="00FB641E" w:rsidRDefault="00AB0496" w:rsidP="00AB0496">
      <w:pPr>
        <w:jc w:val="both"/>
        <w:rPr>
          <w:lang w:val="es-MX"/>
        </w:rPr>
      </w:pPr>
      <w:r>
        <w:rPr>
          <w:lang w:val="es-MX"/>
        </w:rPr>
        <w:t xml:space="preserve">La Política General de Gobierno </w:t>
      </w:r>
      <w:r w:rsidR="007C54A2">
        <w:rPr>
          <w:lang w:val="es-MX"/>
        </w:rPr>
        <w:t xml:space="preserve">2016-2020 </w:t>
      </w:r>
      <w:r w:rsidRPr="00CD2CCE">
        <w:rPr>
          <w:lang w:val="es-MX"/>
        </w:rPr>
        <w:t>parte del análisis de la situación</w:t>
      </w:r>
      <w:r>
        <w:rPr>
          <w:lang w:val="es-MX"/>
        </w:rPr>
        <w:t xml:space="preserve"> </w:t>
      </w:r>
      <w:r w:rsidRPr="00CD2CCE">
        <w:rPr>
          <w:lang w:val="es-MX"/>
        </w:rPr>
        <w:t>sociopolítica y económica actual</w:t>
      </w:r>
      <w:r>
        <w:rPr>
          <w:lang w:val="es-MX"/>
        </w:rPr>
        <w:t xml:space="preserve">, proponiendo </w:t>
      </w:r>
      <w:r w:rsidRPr="00CD2CCE">
        <w:rPr>
          <w:lang w:val="es-MX"/>
        </w:rPr>
        <w:t>enfrentar</w:t>
      </w:r>
      <w:r>
        <w:rPr>
          <w:lang w:val="es-MX"/>
        </w:rPr>
        <w:t xml:space="preserve"> </w:t>
      </w:r>
      <w:r w:rsidRPr="00CD2CCE">
        <w:rPr>
          <w:lang w:val="es-MX"/>
        </w:rPr>
        <w:t>y solucionar problemas como la corrupción, la</w:t>
      </w:r>
      <w:r>
        <w:rPr>
          <w:lang w:val="es-MX"/>
        </w:rPr>
        <w:t xml:space="preserve"> </w:t>
      </w:r>
      <w:r w:rsidRPr="00CD2CCE">
        <w:rPr>
          <w:lang w:val="es-MX"/>
        </w:rPr>
        <w:t>violencia, la agudización de la pobreza, la debilidad</w:t>
      </w:r>
      <w:r>
        <w:rPr>
          <w:lang w:val="es-MX"/>
        </w:rPr>
        <w:t xml:space="preserve"> </w:t>
      </w:r>
      <w:r w:rsidRPr="00CD2CCE">
        <w:rPr>
          <w:lang w:val="es-MX"/>
        </w:rPr>
        <w:t>institucional</w:t>
      </w:r>
      <w:r>
        <w:rPr>
          <w:lang w:val="es-MX"/>
        </w:rPr>
        <w:t xml:space="preserve"> y</w:t>
      </w:r>
      <w:r w:rsidRPr="00CD2CCE">
        <w:rPr>
          <w:lang w:val="es-MX"/>
        </w:rPr>
        <w:t xml:space="preserve"> la ineficacia del Estado</w:t>
      </w:r>
      <w:r>
        <w:rPr>
          <w:lang w:val="es-MX"/>
        </w:rPr>
        <w:t>, todo esto</w:t>
      </w:r>
      <w:r w:rsidRPr="00CD2CCE">
        <w:rPr>
          <w:lang w:val="es-MX"/>
        </w:rPr>
        <w:t xml:space="preserve"> para garantizar el</w:t>
      </w:r>
      <w:r>
        <w:rPr>
          <w:lang w:val="es-MX"/>
        </w:rPr>
        <w:t xml:space="preserve"> </w:t>
      </w:r>
      <w:r w:rsidRPr="00CD2CCE">
        <w:rPr>
          <w:lang w:val="es-MX"/>
        </w:rPr>
        <w:t>ejercicio de los derechos humanos</w:t>
      </w:r>
      <w:r>
        <w:rPr>
          <w:lang w:val="es-MX"/>
        </w:rPr>
        <w:t xml:space="preserve">. Congruente con dichos objetivos, </w:t>
      </w:r>
      <w:r w:rsidRPr="001F2900">
        <w:rPr>
          <w:lang w:val="es-MX"/>
        </w:rPr>
        <w:t>la política fiscal</w:t>
      </w:r>
      <w:r>
        <w:rPr>
          <w:lang w:val="es-MX"/>
        </w:rPr>
        <w:t xml:space="preserve"> persigue</w:t>
      </w:r>
      <w:r w:rsidRPr="001F2900">
        <w:rPr>
          <w:lang w:val="es-MX"/>
        </w:rPr>
        <w:t xml:space="preserve"> elevar </w:t>
      </w:r>
      <w:r>
        <w:rPr>
          <w:lang w:val="es-MX"/>
        </w:rPr>
        <w:t>el nivel de</w:t>
      </w:r>
      <w:r w:rsidRPr="001F2900">
        <w:rPr>
          <w:lang w:val="es-MX"/>
        </w:rPr>
        <w:t xml:space="preserve"> recaudación de los ingresos tributarios, combatir la evasión y el contrabando aduanero, lograr la sostenibilidad de los niveles de endeudamiento, así como alcanzar la transparencia y calidad del gasto público, </w:t>
      </w:r>
      <w:r>
        <w:rPr>
          <w:lang w:val="es-MX"/>
        </w:rPr>
        <w:t xml:space="preserve">asignando los recursos presupuestarios en sectores prioritarios como educación, salud, seguridad y vivienda, </w:t>
      </w:r>
      <w:r w:rsidRPr="001F2900">
        <w:rPr>
          <w:lang w:val="es-MX"/>
        </w:rPr>
        <w:t xml:space="preserve">enfocados en el logro de </w:t>
      </w:r>
      <w:r>
        <w:rPr>
          <w:lang w:val="es-MX"/>
        </w:rPr>
        <w:t xml:space="preserve">metas y </w:t>
      </w:r>
      <w:r w:rsidRPr="001F2900">
        <w:rPr>
          <w:lang w:val="es-MX"/>
        </w:rPr>
        <w:t xml:space="preserve">resultados </w:t>
      </w:r>
      <w:r>
        <w:rPr>
          <w:lang w:val="es-MX"/>
        </w:rPr>
        <w:t>que impacten en la sociedad guatemalteca.</w:t>
      </w:r>
    </w:p>
    <w:p w:rsidR="00AB0496" w:rsidRDefault="00AB0496" w:rsidP="00AB0496">
      <w:pPr>
        <w:jc w:val="both"/>
        <w:rPr>
          <w:lang w:val="es-MX"/>
        </w:rPr>
      </w:pPr>
    </w:p>
    <w:p w:rsidR="00AB0496" w:rsidRDefault="00AB0496" w:rsidP="00AB0496">
      <w:pPr>
        <w:jc w:val="both"/>
        <w:rPr>
          <w:lang w:val="es-MX"/>
        </w:rPr>
      </w:pPr>
      <w:r>
        <w:rPr>
          <w:lang w:val="es-MX"/>
        </w:rPr>
        <w:t xml:space="preserve">Se puede observar que durante los primeros 2 años del actual gobierno el resultado presupuestario muestra un superávit </w:t>
      </w:r>
      <w:r w:rsidR="007C54A2">
        <w:rPr>
          <w:lang w:val="es-MX"/>
        </w:rPr>
        <w:t xml:space="preserve">de </w:t>
      </w:r>
      <w:r>
        <w:rPr>
          <w:lang w:val="es-MX"/>
        </w:rPr>
        <w:t xml:space="preserve">0.1% </w:t>
      </w:r>
      <w:r w:rsidR="007C54A2">
        <w:rPr>
          <w:lang w:val="es-MX"/>
        </w:rPr>
        <w:t xml:space="preserve">en </w:t>
      </w:r>
      <w:r>
        <w:rPr>
          <w:lang w:val="es-MX"/>
        </w:rPr>
        <w:t>2016</w:t>
      </w:r>
      <w:r w:rsidR="007C54A2">
        <w:rPr>
          <w:lang w:val="es-MX"/>
        </w:rPr>
        <w:t>;</w:t>
      </w:r>
      <w:r>
        <w:rPr>
          <w:lang w:val="es-MX"/>
        </w:rPr>
        <w:t xml:space="preserve"> 0.1% </w:t>
      </w:r>
      <w:r w:rsidR="007C54A2">
        <w:rPr>
          <w:lang w:val="es-MX"/>
        </w:rPr>
        <w:t xml:space="preserve">en </w:t>
      </w:r>
      <w:r>
        <w:rPr>
          <w:lang w:val="es-MX"/>
        </w:rPr>
        <w:t xml:space="preserve">2017 y para 2018 muestra un déficit </w:t>
      </w:r>
      <w:r w:rsidR="007C54A2">
        <w:rPr>
          <w:lang w:val="es-MX"/>
        </w:rPr>
        <w:t xml:space="preserve">de </w:t>
      </w:r>
      <w:r>
        <w:rPr>
          <w:lang w:val="es-MX"/>
        </w:rPr>
        <w:t>0.2%; equivalente</w:t>
      </w:r>
      <w:r w:rsidR="007C54A2">
        <w:rPr>
          <w:lang w:val="es-MX"/>
        </w:rPr>
        <w:t>s</w:t>
      </w:r>
      <w:r>
        <w:rPr>
          <w:lang w:val="es-MX"/>
        </w:rPr>
        <w:t xml:space="preserve"> a Q.515.2 millones, Q.471.7 millones y Q.1</w:t>
      </w:r>
      <w:proofErr w:type="gramStart"/>
      <w:r>
        <w:rPr>
          <w:lang w:val="es-MX"/>
        </w:rPr>
        <w:t>,323.5</w:t>
      </w:r>
      <w:proofErr w:type="gramEnd"/>
      <w:r>
        <w:rPr>
          <w:lang w:val="es-MX"/>
        </w:rPr>
        <w:t xml:space="preserve"> millones</w:t>
      </w:r>
      <w:r w:rsidR="007C54A2">
        <w:rPr>
          <w:lang w:val="es-MX"/>
        </w:rPr>
        <w:t>,</w:t>
      </w:r>
      <w:r>
        <w:rPr>
          <w:lang w:val="es-MX"/>
        </w:rPr>
        <w:t xml:space="preserve"> respectivamente.</w:t>
      </w:r>
    </w:p>
    <w:p w:rsidR="00AB0496" w:rsidRDefault="00AB0496" w:rsidP="00AB0496">
      <w:pPr>
        <w:jc w:val="both"/>
        <w:rPr>
          <w:lang w:val="es-MX"/>
        </w:rPr>
      </w:pPr>
    </w:p>
    <w:p w:rsidR="00806DD8" w:rsidRDefault="00806DD8" w:rsidP="00AB0496">
      <w:pPr>
        <w:jc w:val="both"/>
        <w:rPr>
          <w:lang w:val="es-MX"/>
        </w:rPr>
      </w:pPr>
    </w:p>
    <w:p w:rsidR="00AB0496" w:rsidRPr="00FB641E" w:rsidRDefault="00AB0496" w:rsidP="00AB0496">
      <w:pPr>
        <w:jc w:val="center"/>
        <w:rPr>
          <w:b/>
          <w:sz w:val="22"/>
          <w:lang w:val="es-MX"/>
        </w:rPr>
      </w:pPr>
      <w:r w:rsidRPr="00FB641E">
        <w:rPr>
          <w:b/>
          <w:sz w:val="22"/>
          <w:lang w:val="es-MX"/>
        </w:rPr>
        <w:t xml:space="preserve">Gráfica </w:t>
      </w:r>
      <w:r w:rsidR="004720E6">
        <w:rPr>
          <w:b/>
          <w:sz w:val="22"/>
          <w:lang w:val="es-MX"/>
        </w:rPr>
        <w:t>11</w:t>
      </w:r>
    </w:p>
    <w:p w:rsidR="00AB0496" w:rsidRPr="0088577C" w:rsidRDefault="00AB0496" w:rsidP="00AB0496">
      <w:pPr>
        <w:jc w:val="center"/>
        <w:rPr>
          <w:b/>
          <w:sz w:val="22"/>
          <w:szCs w:val="22"/>
          <w:lang w:val="es-MX"/>
        </w:rPr>
      </w:pPr>
      <w:r w:rsidRPr="0088577C">
        <w:rPr>
          <w:b/>
          <w:sz w:val="22"/>
          <w:szCs w:val="22"/>
          <w:lang w:val="es-MX"/>
        </w:rPr>
        <w:t xml:space="preserve">Resultado Presupuestario </w:t>
      </w:r>
    </w:p>
    <w:p w:rsidR="00AB0496" w:rsidRPr="0088577C" w:rsidRDefault="00AB0496" w:rsidP="00AB0496">
      <w:pPr>
        <w:jc w:val="center"/>
        <w:rPr>
          <w:b/>
          <w:sz w:val="22"/>
          <w:szCs w:val="22"/>
          <w:lang w:val="es-MX"/>
        </w:rPr>
      </w:pPr>
      <w:r w:rsidRPr="0088577C">
        <w:rPr>
          <w:b/>
          <w:sz w:val="22"/>
          <w:szCs w:val="22"/>
          <w:lang w:val="es-MX"/>
        </w:rPr>
        <w:t xml:space="preserve">Al 30 de junio </w:t>
      </w:r>
      <w:r w:rsidR="00001CA7">
        <w:rPr>
          <w:b/>
          <w:sz w:val="22"/>
          <w:szCs w:val="22"/>
          <w:lang w:val="es-MX"/>
        </w:rPr>
        <w:t>de cada año</w:t>
      </w:r>
    </w:p>
    <w:p w:rsidR="00AB0496" w:rsidRPr="0088577C" w:rsidRDefault="00AB0496" w:rsidP="00AB0496">
      <w:pPr>
        <w:jc w:val="center"/>
        <w:rPr>
          <w:b/>
          <w:sz w:val="22"/>
          <w:szCs w:val="22"/>
          <w:lang w:val="es-MX"/>
        </w:rPr>
      </w:pPr>
      <w:r w:rsidRPr="0088577C">
        <w:rPr>
          <w:b/>
          <w:sz w:val="22"/>
          <w:szCs w:val="22"/>
          <w:lang w:val="es-MX"/>
        </w:rPr>
        <w:t>(Cifras en Millones de Quetzales y Porcentajes del PIB)</w:t>
      </w:r>
    </w:p>
    <w:p w:rsidR="00AB0496" w:rsidRPr="009469D4" w:rsidRDefault="00AB0496" w:rsidP="00AB0496">
      <w:pPr>
        <w:jc w:val="center"/>
        <w:rPr>
          <w:lang w:val="es-MX"/>
        </w:rPr>
      </w:pPr>
      <w:r>
        <w:rPr>
          <w:noProof/>
          <w:lang w:val="es-GT" w:eastAsia="es-GT"/>
        </w:rPr>
        <w:drawing>
          <wp:inline distT="0" distB="0" distL="0" distR="0" wp14:anchorId="6986FD3F" wp14:editId="7AAE4136">
            <wp:extent cx="5612130" cy="3472180"/>
            <wp:effectExtent l="0" t="0" r="7620" b="0"/>
            <wp:docPr id="18" name="Gráfico 18">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8CEBD403-5276-4FE2-A2BE-E30AC9C14C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B0496" w:rsidRPr="000C3FEC" w:rsidRDefault="00467ED3" w:rsidP="00AB0496">
      <w:pPr>
        <w:jc w:val="both"/>
        <w:rPr>
          <w:sz w:val="16"/>
          <w:lang w:val="es-MX"/>
        </w:rPr>
      </w:pPr>
      <w:r>
        <w:rPr>
          <w:sz w:val="16"/>
          <w:lang w:val="es-MX"/>
        </w:rPr>
        <w:t xml:space="preserve">       </w:t>
      </w:r>
      <w:r w:rsidR="00AB0496" w:rsidRPr="000C3FEC">
        <w:rPr>
          <w:sz w:val="16"/>
          <w:lang w:val="es-MX"/>
        </w:rPr>
        <w:t>Fuente: Ministerio de Finanzas Públicas con base al SICOIN.</w:t>
      </w:r>
    </w:p>
    <w:p w:rsidR="00AB0496" w:rsidRPr="000C3FEC" w:rsidRDefault="00467ED3" w:rsidP="00AB0496">
      <w:pPr>
        <w:jc w:val="both"/>
        <w:rPr>
          <w:sz w:val="16"/>
          <w:lang w:val="es-MX"/>
        </w:rPr>
      </w:pPr>
      <w:r>
        <w:rPr>
          <w:sz w:val="16"/>
          <w:lang w:val="es-MX"/>
        </w:rPr>
        <w:t xml:space="preserve">       </w:t>
      </w:r>
      <w:r w:rsidR="00AB0496" w:rsidRPr="000C3FEC">
        <w:rPr>
          <w:sz w:val="16"/>
          <w:lang w:val="es-MX"/>
        </w:rPr>
        <w:t xml:space="preserve">* </w:t>
      </w:r>
      <w:r w:rsidR="00001CA7">
        <w:rPr>
          <w:sz w:val="16"/>
          <w:lang w:val="es-MX"/>
        </w:rPr>
        <w:t>En 2018, c</w:t>
      </w:r>
      <w:r w:rsidR="00AB0496" w:rsidRPr="000C3FEC">
        <w:rPr>
          <w:sz w:val="16"/>
          <w:lang w:val="es-MX"/>
        </w:rPr>
        <w:t>ifras preliminares</w:t>
      </w:r>
      <w:r w:rsidR="00001CA7">
        <w:rPr>
          <w:sz w:val="16"/>
          <w:lang w:val="es-MX"/>
        </w:rPr>
        <w:t>.</w:t>
      </w:r>
    </w:p>
    <w:p w:rsidR="00AB0496" w:rsidRDefault="00AB0496" w:rsidP="00AB0496">
      <w:pPr>
        <w:jc w:val="both"/>
        <w:rPr>
          <w:lang w:val="es-MX"/>
        </w:rPr>
      </w:pPr>
    </w:p>
    <w:p w:rsidR="00AB0496" w:rsidRDefault="00AB0496" w:rsidP="00AB0496">
      <w:pPr>
        <w:jc w:val="both"/>
        <w:rPr>
          <w:lang w:val="es-MX"/>
        </w:rPr>
      </w:pPr>
    </w:p>
    <w:p w:rsidR="00AB0496" w:rsidRDefault="00AB0496" w:rsidP="00AB0496">
      <w:pPr>
        <w:jc w:val="both"/>
        <w:rPr>
          <w:lang w:val="es-MX"/>
        </w:rPr>
      </w:pPr>
    </w:p>
    <w:p w:rsidR="00AB0496" w:rsidRDefault="00AB0496" w:rsidP="00AB0496">
      <w:pPr>
        <w:jc w:val="center"/>
        <w:rPr>
          <w:lang w:val="es-MX"/>
        </w:rPr>
      </w:pPr>
    </w:p>
    <w:p w:rsidR="00AB0496" w:rsidRPr="0088577C" w:rsidRDefault="00AB0496" w:rsidP="00AB0496">
      <w:pPr>
        <w:jc w:val="center"/>
        <w:rPr>
          <w:b/>
          <w:sz w:val="22"/>
          <w:lang w:val="es-MX"/>
        </w:rPr>
      </w:pPr>
      <w:r w:rsidRPr="0088577C">
        <w:rPr>
          <w:b/>
          <w:sz w:val="22"/>
          <w:lang w:val="es-MX"/>
        </w:rPr>
        <w:lastRenderedPageBreak/>
        <w:t xml:space="preserve">Cuadro </w:t>
      </w:r>
      <w:r w:rsidR="00E5644C">
        <w:rPr>
          <w:b/>
          <w:sz w:val="22"/>
          <w:lang w:val="es-MX"/>
        </w:rPr>
        <w:t>9</w:t>
      </w:r>
    </w:p>
    <w:p w:rsidR="00AB0496" w:rsidRPr="0088577C" w:rsidRDefault="00AB0496" w:rsidP="00AB0496">
      <w:pPr>
        <w:jc w:val="center"/>
        <w:rPr>
          <w:b/>
          <w:sz w:val="22"/>
          <w:lang w:val="es-MX"/>
        </w:rPr>
      </w:pPr>
      <w:r w:rsidRPr="0088577C">
        <w:rPr>
          <w:b/>
          <w:sz w:val="22"/>
          <w:lang w:val="es-MX"/>
        </w:rPr>
        <w:t>Situación Financiera de la Administración Central</w:t>
      </w:r>
    </w:p>
    <w:p w:rsidR="00AB0496" w:rsidRPr="0088577C" w:rsidRDefault="00AB0496" w:rsidP="00AB0496">
      <w:pPr>
        <w:jc w:val="center"/>
        <w:rPr>
          <w:b/>
          <w:sz w:val="22"/>
          <w:lang w:val="es-MX"/>
        </w:rPr>
      </w:pPr>
      <w:r w:rsidRPr="0088577C">
        <w:rPr>
          <w:b/>
          <w:sz w:val="22"/>
          <w:lang w:val="es-MX"/>
        </w:rPr>
        <w:t>Al 30 de junio de cada año</w:t>
      </w:r>
    </w:p>
    <w:p w:rsidR="00AB0496" w:rsidRDefault="00AB0496" w:rsidP="00AB0496">
      <w:pPr>
        <w:jc w:val="center"/>
        <w:rPr>
          <w:b/>
          <w:sz w:val="22"/>
          <w:lang w:val="es-MX"/>
        </w:rPr>
      </w:pPr>
      <w:r w:rsidRPr="0088577C">
        <w:rPr>
          <w:b/>
          <w:sz w:val="22"/>
          <w:lang w:val="es-MX"/>
        </w:rPr>
        <w:t>(Cifras en Millones de Quetzales)</w:t>
      </w:r>
    </w:p>
    <w:tbl>
      <w:tblPr>
        <w:tblW w:w="9439" w:type="dxa"/>
        <w:tblInd w:w="55" w:type="dxa"/>
        <w:tblCellMar>
          <w:left w:w="70" w:type="dxa"/>
          <w:right w:w="70" w:type="dxa"/>
        </w:tblCellMar>
        <w:tblLook w:val="04A0" w:firstRow="1" w:lastRow="0" w:firstColumn="1" w:lastColumn="0" w:noHBand="0" w:noVBand="1"/>
      </w:tblPr>
      <w:tblGrid>
        <w:gridCol w:w="4450"/>
        <w:gridCol w:w="1254"/>
        <w:gridCol w:w="1150"/>
        <w:gridCol w:w="1333"/>
        <w:gridCol w:w="1252"/>
      </w:tblGrid>
      <w:tr w:rsidR="00E5644C" w:rsidRPr="00E5644C" w:rsidTr="00E5644C">
        <w:trPr>
          <w:trHeight w:val="536"/>
        </w:trPr>
        <w:tc>
          <w:tcPr>
            <w:tcW w:w="4450" w:type="dxa"/>
            <w:vMerge w:val="restart"/>
            <w:tcBorders>
              <w:top w:val="single" w:sz="8" w:space="0" w:color="auto"/>
              <w:left w:val="single" w:sz="8" w:space="0" w:color="auto"/>
              <w:bottom w:val="single" w:sz="8" w:space="0" w:color="000000"/>
              <w:right w:val="nil"/>
            </w:tcBorders>
            <w:shd w:val="clear" w:color="000000" w:fill="8DB4E2"/>
            <w:noWrap/>
            <w:vAlign w:val="center"/>
            <w:hideMark/>
          </w:tcPr>
          <w:p w:rsidR="00E5644C" w:rsidRPr="00E5644C" w:rsidRDefault="00E5644C" w:rsidP="00E5644C">
            <w:pPr>
              <w:jc w:val="center"/>
              <w:rPr>
                <w:b/>
                <w:bCs/>
                <w:sz w:val="20"/>
                <w:szCs w:val="22"/>
                <w:lang w:val="es-GT" w:eastAsia="es-GT"/>
              </w:rPr>
            </w:pPr>
            <w:r w:rsidRPr="00E5644C">
              <w:rPr>
                <w:b/>
                <w:bCs/>
                <w:sz w:val="20"/>
                <w:szCs w:val="22"/>
                <w:lang w:val="es-GT" w:eastAsia="es-GT"/>
              </w:rPr>
              <w:t>Concepto</w:t>
            </w:r>
          </w:p>
        </w:tc>
        <w:tc>
          <w:tcPr>
            <w:tcW w:w="2404" w:type="dxa"/>
            <w:gridSpan w:val="2"/>
            <w:tcBorders>
              <w:top w:val="single" w:sz="8" w:space="0" w:color="auto"/>
              <w:left w:val="single" w:sz="8" w:space="0" w:color="auto"/>
              <w:bottom w:val="single" w:sz="4" w:space="0" w:color="auto"/>
              <w:right w:val="nil"/>
            </w:tcBorders>
            <w:shd w:val="clear" w:color="000000" w:fill="8DB4E2"/>
            <w:vAlign w:val="center"/>
            <w:hideMark/>
          </w:tcPr>
          <w:p w:rsidR="00E5644C" w:rsidRPr="00E5644C" w:rsidRDefault="00E5644C" w:rsidP="00E5644C">
            <w:pPr>
              <w:jc w:val="center"/>
              <w:rPr>
                <w:b/>
                <w:bCs/>
                <w:sz w:val="20"/>
                <w:szCs w:val="22"/>
                <w:lang w:val="es-GT" w:eastAsia="es-GT"/>
              </w:rPr>
            </w:pPr>
            <w:r w:rsidRPr="00E5644C">
              <w:rPr>
                <w:b/>
                <w:bCs/>
                <w:sz w:val="20"/>
                <w:szCs w:val="22"/>
                <w:lang w:val="es-GT" w:eastAsia="es-GT"/>
              </w:rPr>
              <w:t>Ejecutado</w:t>
            </w:r>
          </w:p>
        </w:tc>
        <w:tc>
          <w:tcPr>
            <w:tcW w:w="2585" w:type="dxa"/>
            <w:gridSpan w:val="2"/>
            <w:tcBorders>
              <w:top w:val="single" w:sz="8" w:space="0" w:color="auto"/>
              <w:left w:val="nil"/>
              <w:bottom w:val="single" w:sz="4" w:space="0" w:color="auto"/>
              <w:right w:val="single" w:sz="8" w:space="0" w:color="auto"/>
            </w:tcBorders>
            <w:shd w:val="clear" w:color="000000" w:fill="8DB4E2"/>
            <w:vAlign w:val="center"/>
            <w:hideMark/>
          </w:tcPr>
          <w:p w:rsidR="00E5644C" w:rsidRPr="00E5644C" w:rsidRDefault="00E5644C" w:rsidP="00E5644C">
            <w:pPr>
              <w:jc w:val="center"/>
              <w:rPr>
                <w:b/>
                <w:bCs/>
                <w:sz w:val="20"/>
                <w:szCs w:val="22"/>
                <w:lang w:val="es-GT" w:eastAsia="es-GT"/>
              </w:rPr>
            </w:pPr>
            <w:r w:rsidRPr="00E5644C">
              <w:rPr>
                <w:b/>
                <w:bCs/>
                <w:sz w:val="20"/>
                <w:szCs w:val="22"/>
                <w:lang w:val="es-GT" w:eastAsia="es-GT"/>
              </w:rPr>
              <w:t>Diferencias</w:t>
            </w:r>
          </w:p>
        </w:tc>
      </w:tr>
      <w:tr w:rsidR="00E5644C" w:rsidRPr="00E5644C" w:rsidTr="007C54A2">
        <w:trPr>
          <w:trHeight w:val="316"/>
        </w:trPr>
        <w:tc>
          <w:tcPr>
            <w:tcW w:w="4450" w:type="dxa"/>
            <w:vMerge/>
            <w:tcBorders>
              <w:top w:val="single" w:sz="8" w:space="0" w:color="auto"/>
              <w:left w:val="single" w:sz="8" w:space="0" w:color="auto"/>
              <w:bottom w:val="single" w:sz="8" w:space="0" w:color="000000"/>
              <w:right w:val="nil"/>
            </w:tcBorders>
            <w:vAlign w:val="center"/>
            <w:hideMark/>
          </w:tcPr>
          <w:p w:rsidR="00E5644C" w:rsidRPr="00E5644C" w:rsidRDefault="00E5644C" w:rsidP="00E5644C">
            <w:pPr>
              <w:rPr>
                <w:b/>
                <w:bCs/>
                <w:sz w:val="20"/>
                <w:szCs w:val="22"/>
                <w:lang w:val="es-GT" w:eastAsia="es-GT"/>
              </w:rPr>
            </w:pPr>
          </w:p>
        </w:tc>
        <w:tc>
          <w:tcPr>
            <w:tcW w:w="1254" w:type="dxa"/>
            <w:tcBorders>
              <w:top w:val="single" w:sz="4" w:space="0" w:color="auto"/>
              <w:left w:val="single" w:sz="8" w:space="0" w:color="auto"/>
              <w:bottom w:val="single" w:sz="8" w:space="0" w:color="auto"/>
              <w:right w:val="nil"/>
            </w:tcBorders>
            <w:shd w:val="clear" w:color="000000" w:fill="8DB4E2"/>
            <w:noWrap/>
            <w:vAlign w:val="center"/>
            <w:hideMark/>
          </w:tcPr>
          <w:p w:rsidR="00E5644C" w:rsidRPr="00E5644C" w:rsidRDefault="00E5644C" w:rsidP="00E5644C">
            <w:pPr>
              <w:jc w:val="center"/>
              <w:rPr>
                <w:b/>
                <w:bCs/>
                <w:sz w:val="20"/>
                <w:szCs w:val="22"/>
                <w:lang w:val="es-GT" w:eastAsia="es-GT"/>
              </w:rPr>
            </w:pPr>
            <w:r w:rsidRPr="00E5644C">
              <w:rPr>
                <w:b/>
                <w:bCs/>
                <w:sz w:val="20"/>
                <w:szCs w:val="22"/>
                <w:lang w:val="es-GT" w:eastAsia="es-GT"/>
              </w:rPr>
              <w:t>2017</w:t>
            </w:r>
          </w:p>
        </w:tc>
        <w:tc>
          <w:tcPr>
            <w:tcW w:w="1150" w:type="dxa"/>
            <w:tcBorders>
              <w:top w:val="single" w:sz="4" w:space="0" w:color="auto"/>
              <w:left w:val="nil"/>
              <w:bottom w:val="single" w:sz="8" w:space="0" w:color="auto"/>
              <w:right w:val="nil"/>
            </w:tcBorders>
            <w:shd w:val="clear" w:color="000000" w:fill="8DB4E2"/>
            <w:noWrap/>
            <w:vAlign w:val="center"/>
            <w:hideMark/>
          </w:tcPr>
          <w:p w:rsidR="00E5644C" w:rsidRPr="00E5644C" w:rsidRDefault="00E5644C" w:rsidP="00E5644C">
            <w:pPr>
              <w:jc w:val="center"/>
              <w:rPr>
                <w:b/>
                <w:bCs/>
                <w:sz w:val="20"/>
                <w:szCs w:val="22"/>
                <w:lang w:val="es-GT" w:eastAsia="es-GT"/>
              </w:rPr>
            </w:pPr>
            <w:r w:rsidRPr="00E5644C">
              <w:rPr>
                <w:b/>
                <w:bCs/>
                <w:sz w:val="20"/>
                <w:szCs w:val="22"/>
                <w:lang w:val="es-GT" w:eastAsia="es-GT"/>
              </w:rPr>
              <w:t>2018</w:t>
            </w:r>
            <w:r w:rsidR="007C54A2">
              <w:rPr>
                <w:b/>
                <w:bCs/>
                <w:sz w:val="20"/>
                <w:szCs w:val="22"/>
                <w:lang w:val="es-GT" w:eastAsia="es-GT"/>
              </w:rPr>
              <w:t>*</w:t>
            </w:r>
          </w:p>
        </w:tc>
        <w:tc>
          <w:tcPr>
            <w:tcW w:w="1333" w:type="dxa"/>
            <w:tcBorders>
              <w:top w:val="nil"/>
              <w:left w:val="nil"/>
              <w:bottom w:val="single" w:sz="8" w:space="0" w:color="auto"/>
              <w:right w:val="nil"/>
            </w:tcBorders>
            <w:shd w:val="clear" w:color="000000" w:fill="8DB4E2"/>
            <w:noWrap/>
            <w:vAlign w:val="center"/>
            <w:hideMark/>
          </w:tcPr>
          <w:p w:rsidR="00E5644C" w:rsidRPr="00E5644C" w:rsidRDefault="00E5644C" w:rsidP="00E5644C">
            <w:pPr>
              <w:jc w:val="center"/>
              <w:rPr>
                <w:b/>
                <w:bCs/>
                <w:sz w:val="20"/>
                <w:szCs w:val="22"/>
                <w:lang w:val="es-GT" w:eastAsia="es-GT"/>
              </w:rPr>
            </w:pPr>
            <w:r w:rsidRPr="00E5644C">
              <w:rPr>
                <w:b/>
                <w:bCs/>
                <w:sz w:val="20"/>
                <w:szCs w:val="22"/>
                <w:lang w:val="es-GT" w:eastAsia="es-GT"/>
              </w:rPr>
              <w:t xml:space="preserve"> Absolutas </w:t>
            </w:r>
          </w:p>
        </w:tc>
        <w:tc>
          <w:tcPr>
            <w:tcW w:w="1252" w:type="dxa"/>
            <w:tcBorders>
              <w:top w:val="nil"/>
              <w:left w:val="nil"/>
              <w:bottom w:val="single" w:sz="8" w:space="0" w:color="auto"/>
              <w:right w:val="single" w:sz="8" w:space="0" w:color="auto"/>
            </w:tcBorders>
            <w:shd w:val="clear" w:color="000000" w:fill="8DB4E2"/>
            <w:noWrap/>
            <w:vAlign w:val="center"/>
            <w:hideMark/>
          </w:tcPr>
          <w:p w:rsidR="00E5644C" w:rsidRPr="00E5644C" w:rsidRDefault="00E5644C" w:rsidP="00E5644C">
            <w:pPr>
              <w:jc w:val="center"/>
              <w:rPr>
                <w:b/>
                <w:bCs/>
                <w:sz w:val="20"/>
                <w:szCs w:val="22"/>
                <w:lang w:val="es-GT" w:eastAsia="es-GT"/>
              </w:rPr>
            </w:pPr>
            <w:r w:rsidRPr="00E5644C">
              <w:rPr>
                <w:b/>
                <w:bCs/>
                <w:sz w:val="20"/>
                <w:szCs w:val="22"/>
                <w:lang w:val="es-GT" w:eastAsia="es-GT"/>
              </w:rPr>
              <w:t xml:space="preserve"> Relativas </w:t>
            </w:r>
          </w:p>
        </w:tc>
      </w:tr>
      <w:tr w:rsidR="00E5644C" w:rsidRPr="00E5644C" w:rsidTr="007C54A2">
        <w:trPr>
          <w:trHeight w:val="426"/>
        </w:trPr>
        <w:tc>
          <w:tcPr>
            <w:tcW w:w="4450" w:type="dxa"/>
            <w:tcBorders>
              <w:top w:val="nil"/>
              <w:left w:val="single" w:sz="8" w:space="0" w:color="auto"/>
              <w:bottom w:val="nil"/>
              <w:right w:val="nil"/>
            </w:tcBorders>
            <w:shd w:val="clear" w:color="000000" w:fill="auto"/>
            <w:noWrap/>
            <w:vAlign w:val="center"/>
            <w:hideMark/>
          </w:tcPr>
          <w:p w:rsidR="00E5644C" w:rsidRPr="00E5644C" w:rsidRDefault="00E5644C" w:rsidP="007C54A2">
            <w:pPr>
              <w:ind w:firstLineChars="100" w:firstLine="201"/>
              <w:rPr>
                <w:b/>
                <w:bCs/>
                <w:sz w:val="20"/>
                <w:szCs w:val="22"/>
                <w:lang w:val="es-GT" w:eastAsia="es-GT"/>
              </w:rPr>
            </w:pPr>
            <w:r w:rsidRPr="00E5644C">
              <w:rPr>
                <w:b/>
                <w:bCs/>
                <w:sz w:val="20"/>
                <w:szCs w:val="22"/>
                <w:lang w:val="es-GT" w:eastAsia="es-GT"/>
              </w:rPr>
              <w:t xml:space="preserve">Ingresos Totales </w:t>
            </w:r>
          </w:p>
        </w:tc>
        <w:tc>
          <w:tcPr>
            <w:tcW w:w="1254" w:type="dxa"/>
            <w:tcBorders>
              <w:top w:val="nil"/>
              <w:left w:val="single" w:sz="8" w:space="0" w:color="auto"/>
              <w:bottom w:val="nil"/>
              <w:right w:val="nil"/>
            </w:tcBorders>
            <w:shd w:val="clear" w:color="000000" w:fill="auto"/>
            <w:noWrap/>
            <w:vAlign w:val="center"/>
            <w:hideMark/>
          </w:tcPr>
          <w:p w:rsidR="00E5644C" w:rsidRPr="00E5644C" w:rsidRDefault="00E5644C" w:rsidP="00E5644C">
            <w:pPr>
              <w:jc w:val="center"/>
              <w:rPr>
                <w:b/>
                <w:bCs/>
                <w:sz w:val="20"/>
                <w:szCs w:val="22"/>
                <w:lang w:val="es-GT" w:eastAsia="es-GT"/>
              </w:rPr>
            </w:pPr>
            <w:r w:rsidRPr="00E5644C">
              <w:rPr>
                <w:b/>
                <w:bCs/>
                <w:sz w:val="20"/>
                <w:szCs w:val="22"/>
                <w:lang w:val="es-GT" w:eastAsia="es-GT"/>
              </w:rPr>
              <w:t>29,692.4</w:t>
            </w:r>
          </w:p>
        </w:tc>
        <w:tc>
          <w:tcPr>
            <w:tcW w:w="1150" w:type="dxa"/>
            <w:tcBorders>
              <w:top w:val="nil"/>
              <w:left w:val="nil"/>
              <w:bottom w:val="nil"/>
              <w:right w:val="nil"/>
            </w:tcBorders>
            <w:shd w:val="clear" w:color="000000" w:fill="auto"/>
            <w:noWrap/>
            <w:vAlign w:val="center"/>
            <w:hideMark/>
          </w:tcPr>
          <w:p w:rsidR="00E5644C" w:rsidRPr="00E5644C" w:rsidRDefault="00E5644C" w:rsidP="00E5644C">
            <w:pPr>
              <w:jc w:val="center"/>
              <w:rPr>
                <w:b/>
                <w:bCs/>
                <w:sz w:val="20"/>
                <w:szCs w:val="22"/>
                <w:lang w:val="es-GT" w:eastAsia="es-GT"/>
              </w:rPr>
            </w:pPr>
            <w:r w:rsidRPr="00E5644C">
              <w:rPr>
                <w:b/>
                <w:bCs/>
                <w:sz w:val="20"/>
                <w:szCs w:val="22"/>
                <w:lang w:val="es-GT" w:eastAsia="es-GT"/>
              </w:rPr>
              <w:t>29,954.3</w:t>
            </w:r>
          </w:p>
        </w:tc>
        <w:tc>
          <w:tcPr>
            <w:tcW w:w="1333" w:type="dxa"/>
            <w:tcBorders>
              <w:top w:val="nil"/>
              <w:left w:val="nil"/>
              <w:bottom w:val="nil"/>
              <w:right w:val="nil"/>
            </w:tcBorders>
            <w:shd w:val="clear" w:color="000000" w:fill="auto"/>
            <w:noWrap/>
            <w:vAlign w:val="center"/>
            <w:hideMark/>
          </w:tcPr>
          <w:p w:rsidR="00E5644C" w:rsidRPr="00E5644C" w:rsidRDefault="00E5644C" w:rsidP="00E5644C">
            <w:pPr>
              <w:jc w:val="center"/>
              <w:rPr>
                <w:b/>
                <w:bCs/>
                <w:sz w:val="20"/>
                <w:szCs w:val="22"/>
                <w:lang w:val="es-GT" w:eastAsia="es-GT"/>
              </w:rPr>
            </w:pPr>
            <w:r w:rsidRPr="00E5644C">
              <w:rPr>
                <w:b/>
                <w:bCs/>
                <w:sz w:val="20"/>
                <w:szCs w:val="22"/>
                <w:lang w:val="es-GT" w:eastAsia="es-GT"/>
              </w:rPr>
              <w:t>261.9</w:t>
            </w:r>
          </w:p>
        </w:tc>
        <w:tc>
          <w:tcPr>
            <w:tcW w:w="1252" w:type="dxa"/>
            <w:tcBorders>
              <w:top w:val="nil"/>
              <w:left w:val="nil"/>
              <w:bottom w:val="nil"/>
              <w:right w:val="single" w:sz="8" w:space="0" w:color="auto"/>
            </w:tcBorders>
            <w:shd w:val="clear" w:color="000000" w:fill="auto"/>
            <w:noWrap/>
            <w:vAlign w:val="center"/>
            <w:hideMark/>
          </w:tcPr>
          <w:p w:rsidR="00E5644C" w:rsidRPr="00E5644C" w:rsidRDefault="00E5644C" w:rsidP="00E5644C">
            <w:pPr>
              <w:jc w:val="center"/>
              <w:rPr>
                <w:b/>
                <w:bCs/>
                <w:sz w:val="20"/>
                <w:szCs w:val="22"/>
                <w:lang w:val="es-GT" w:eastAsia="es-GT"/>
              </w:rPr>
            </w:pPr>
            <w:r w:rsidRPr="00E5644C">
              <w:rPr>
                <w:b/>
                <w:bCs/>
                <w:sz w:val="20"/>
                <w:szCs w:val="22"/>
                <w:lang w:val="es-GT" w:eastAsia="es-GT"/>
              </w:rPr>
              <w:t>0.9%</w:t>
            </w:r>
          </w:p>
        </w:tc>
      </w:tr>
      <w:tr w:rsidR="00E5644C" w:rsidRPr="00E5644C" w:rsidTr="007C54A2">
        <w:trPr>
          <w:trHeight w:val="302"/>
        </w:trPr>
        <w:tc>
          <w:tcPr>
            <w:tcW w:w="4450" w:type="dxa"/>
            <w:tcBorders>
              <w:top w:val="nil"/>
              <w:left w:val="single" w:sz="8" w:space="0" w:color="auto"/>
              <w:bottom w:val="nil"/>
              <w:right w:val="nil"/>
            </w:tcBorders>
            <w:shd w:val="clear" w:color="000000" w:fill="auto"/>
            <w:noWrap/>
            <w:vAlign w:val="bottom"/>
            <w:hideMark/>
          </w:tcPr>
          <w:p w:rsidR="00E5644C" w:rsidRPr="00E5644C" w:rsidRDefault="00E5644C" w:rsidP="00E5644C">
            <w:pPr>
              <w:ind w:firstLineChars="100" w:firstLine="200"/>
              <w:rPr>
                <w:sz w:val="20"/>
                <w:szCs w:val="22"/>
                <w:lang w:val="es-GT" w:eastAsia="es-GT"/>
              </w:rPr>
            </w:pPr>
            <w:r w:rsidRPr="00E5644C">
              <w:rPr>
                <w:sz w:val="20"/>
                <w:szCs w:val="22"/>
                <w:lang w:val="es-GT" w:eastAsia="es-GT"/>
              </w:rPr>
              <w:t>Ingresos Corrientes</w:t>
            </w:r>
          </w:p>
        </w:tc>
        <w:tc>
          <w:tcPr>
            <w:tcW w:w="1254" w:type="dxa"/>
            <w:tcBorders>
              <w:top w:val="nil"/>
              <w:left w:val="single" w:sz="8" w:space="0" w:color="auto"/>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29,690.7</w:t>
            </w:r>
          </w:p>
        </w:tc>
        <w:tc>
          <w:tcPr>
            <w:tcW w:w="1150" w:type="dxa"/>
            <w:tcBorders>
              <w:top w:val="nil"/>
              <w:left w:val="nil"/>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29,953.2</w:t>
            </w:r>
          </w:p>
        </w:tc>
        <w:tc>
          <w:tcPr>
            <w:tcW w:w="1333" w:type="dxa"/>
            <w:tcBorders>
              <w:top w:val="nil"/>
              <w:left w:val="nil"/>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262.5</w:t>
            </w:r>
          </w:p>
        </w:tc>
        <w:tc>
          <w:tcPr>
            <w:tcW w:w="1252" w:type="dxa"/>
            <w:tcBorders>
              <w:top w:val="nil"/>
              <w:left w:val="nil"/>
              <w:bottom w:val="nil"/>
              <w:right w:val="single" w:sz="8" w:space="0" w:color="auto"/>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0.9%</w:t>
            </w:r>
          </w:p>
        </w:tc>
      </w:tr>
      <w:tr w:rsidR="00E5644C" w:rsidRPr="00E5644C" w:rsidTr="007C54A2">
        <w:trPr>
          <w:trHeight w:val="302"/>
        </w:trPr>
        <w:tc>
          <w:tcPr>
            <w:tcW w:w="4450" w:type="dxa"/>
            <w:tcBorders>
              <w:top w:val="nil"/>
              <w:left w:val="single" w:sz="8" w:space="0" w:color="auto"/>
              <w:bottom w:val="nil"/>
              <w:right w:val="nil"/>
            </w:tcBorders>
            <w:shd w:val="clear" w:color="000000" w:fill="auto"/>
            <w:noWrap/>
            <w:vAlign w:val="bottom"/>
            <w:hideMark/>
          </w:tcPr>
          <w:p w:rsidR="00E5644C" w:rsidRPr="00E5644C" w:rsidRDefault="00E5644C" w:rsidP="00E5644C">
            <w:pPr>
              <w:ind w:firstLineChars="100" w:firstLine="200"/>
              <w:rPr>
                <w:sz w:val="20"/>
                <w:szCs w:val="22"/>
                <w:lang w:val="es-GT" w:eastAsia="es-GT"/>
              </w:rPr>
            </w:pPr>
            <w:r w:rsidRPr="00E5644C">
              <w:rPr>
                <w:sz w:val="20"/>
                <w:szCs w:val="22"/>
                <w:lang w:val="es-GT" w:eastAsia="es-GT"/>
              </w:rPr>
              <w:t>Ingresos Tributarios</w:t>
            </w:r>
          </w:p>
        </w:tc>
        <w:tc>
          <w:tcPr>
            <w:tcW w:w="1254" w:type="dxa"/>
            <w:tcBorders>
              <w:top w:val="nil"/>
              <w:left w:val="single" w:sz="8" w:space="0" w:color="auto"/>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28,099.6</w:t>
            </w:r>
          </w:p>
        </w:tc>
        <w:tc>
          <w:tcPr>
            <w:tcW w:w="1150" w:type="dxa"/>
            <w:tcBorders>
              <w:top w:val="nil"/>
              <w:left w:val="nil"/>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28,256.3</w:t>
            </w:r>
          </w:p>
        </w:tc>
        <w:tc>
          <w:tcPr>
            <w:tcW w:w="1333" w:type="dxa"/>
            <w:tcBorders>
              <w:top w:val="nil"/>
              <w:left w:val="nil"/>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156.7</w:t>
            </w:r>
          </w:p>
        </w:tc>
        <w:tc>
          <w:tcPr>
            <w:tcW w:w="1252" w:type="dxa"/>
            <w:tcBorders>
              <w:top w:val="nil"/>
              <w:left w:val="nil"/>
              <w:bottom w:val="nil"/>
              <w:right w:val="single" w:sz="8" w:space="0" w:color="auto"/>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0.6%</w:t>
            </w:r>
          </w:p>
        </w:tc>
      </w:tr>
      <w:tr w:rsidR="00E5644C" w:rsidRPr="00E5644C" w:rsidTr="007C54A2">
        <w:trPr>
          <w:trHeight w:val="302"/>
        </w:trPr>
        <w:tc>
          <w:tcPr>
            <w:tcW w:w="4450" w:type="dxa"/>
            <w:tcBorders>
              <w:top w:val="nil"/>
              <w:left w:val="single" w:sz="8" w:space="0" w:color="auto"/>
              <w:bottom w:val="nil"/>
              <w:right w:val="nil"/>
            </w:tcBorders>
            <w:shd w:val="clear" w:color="000000" w:fill="auto"/>
            <w:noWrap/>
            <w:vAlign w:val="bottom"/>
            <w:hideMark/>
          </w:tcPr>
          <w:p w:rsidR="00E5644C" w:rsidRPr="00E5644C" w:rsidRDefault="00E5644C" w:rsidP="007C54A2">
            <w:pPr>
              <w:ind w:firstLineChars="300" w:firstLine="600"/>
              <w:rPr>
                <w:sz w:val="20"/>
                <w:szCs w:val="22"/>
                <w:lang w:val="es-GT" w:eastAsia="es-GT"/>
              </w:rPr>
            </w:pPr>
            <w:r w:rsidRPr="00E5644C">
              <w:rPr>
                <w:sz w:val="20"/>
                <w:szCs w:val="22"/>
                <w:lang w:val="es-GT" w:eastAsia="es-GT"/>
              </w:rPr>
              <w:t>Impuestos Directos</w:t>
            </w:r>
          </w:p>
        </w:tc>
        <w:tc>
          <w:tcPr>
            <w:tcW w:w="1254" w:type="dxa"/>
            <w:tcBorders>
              <w:top w:val="nil"/>
              <w:left w:val="single" w:sz="8" w:space="0" w:color="auto"/>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10,661.1</w:t>
            </w:r>
          </w:p>
        </w:tc>
        <w:tc>
          <w:tcPr>
            <w:tcW w:w="1150" w:type="dxa"/>
            <w:tcBorders>
              <w:top w:val="nil"/>
              <w:left w:val="nil"/>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10,582.4</w:t>
            </w:r>
          </w:p>
        </w:tc>
        <w:tc>
          <w:tcPr>
            <w:tcW w:w="1333" w:type="dxa"/>
            <w:tcBorders>
              <w:top w:val="nil"/>
              <w:left w:val="nil"/>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-78.7</w:t>
            </w:r>
          </w:p>
        </w:tc>
        <w:tc>
          <w:tcPr>
            <w:tcW w:w="1252" w:type="dxa"/>
            <w:tcBorders>
              <w:top w:val="nil"/>
              <w:left w:val="nil"/>
              <w:bottom w:val="nil"/>
              <w:right w:val="single" w:sz="8" w:space="0" w:color="auto"/>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-0.7%</w:t>
            </w:r>
          </w:p>
        </w:tc>
      </w:tr>
      <w:tr w:rsidR="00E5644C" w:rsidRPr="00E5644C" w:rsidTr="007C54A2">
        <w:trPr>
          <w:trHeight w:val="302"/>
        </w:trPr>
        <w:tc>
          <w:tcPr>
            <w:tcW w:w="4450" w:type="dxa"/>
            <w:tcBorders>
              <w:top w:val="nil"/>
              <w:left w:val="single" w:sz="8" w:space="0" w:color="auto"/>
              <w:bottom w:val="nil"/>
              <w:right w:val="nil"/>
            </w:tcBorders>
            <w:shd w:val="clear" w:color="000000" w:fill="auto"/>
            <w:noWrap/>
            <w:vAlign w:val="bottom"/>
            <w:hideMark/>
          </w:tcPr>
          <w:p w:rsidR="00E5644C" w:rsidRPr="00E5644C" w:rsidRDefault="00E5644C" w:rsidP="007C54A2">
            <w:pPr>
              <w:ind w:firstLineChars="300" w:firstLine="600"/>
              <w:rPr>
                <w:sz w:val="20"/>
                <w:szCs w:val="22"/>
                <w:lang w:val="es-GT" w:eastAsia="es-GT"/>
              </w:rPr>
            </w:pPr>
            <w:r w:rsidRPr="00E5644C">
              <w:rPr>
                <w:sz w:val="20"/>
                <w:szCs w:val="22"/>
                <w:lang w:val="es-GT" w:eastAsia="es-GT"/>
              </w:rPr>
              <w:t>Impuestos Indirectos</w:t>
            </w:r>
          </w:p>
        </w:tc>
        <w:tc>
          <w:tcPr>
            <w:tcW w:w="1254" w:type="dxa"/>
            <w:tcBorders>
              <w:top w:val="nil"/>
              <w:left w:val="single" w:sz="8" w:space="0" w:color="auto"/>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17,438.5</w:t>
            </w:r>
          </w:p>
        </w:tc>
        <w:tc>
          <w:tcPr>
            <w:tcW w:w="1150" w:type="dxa"/>
            <w:tcBorders>
              <w:top w:val="nil"/>
              <w:left w:val="nil"/>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17,673.9</w:t>
            </w:r>
          </w:p>
        </w:tc>
        <w:tc>
          <w:tcPr>
            <w:tcW w:w="1333" w:type="dxa"/>
            <w:tcBorders>
              <w:top w:val="nil"/>
              <w:left w:val="nil"/>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235.4</w:t>
            </w:r>
          </w:p>
        </w:tc>
        <w:tc>
          <w:tcPr>
            <w:tcW w:w="1252" w:type="dxa"/>
            <w:tcBorders>
              <w:top w:val="nil"/>
              <w:left w:val="nil"/>
              <w:bottom w:val="nil"/>
              <w:right w:val="single" w:sz="8" w:space="0" w:color="auto"/>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1.3%</w:t>
            </w:r>
          </w:p>
        </w:tc>
      </w:tr>
      <w:tr w:rsidR="00E5644C" w:rsidRPr="00E5644C" w:rsidTr="007C54A2">
        <w:trPr>
          <w:trHeight w:val="302"/>
        </w:trPr>
        <w:tc>
          <w:tcPr>
            <w:tcW w:w="4450" w:type="dxa"/>
            <w:tcBorders>
              <w:top w:val="nil"/>
              <w:left w:val="single" w:sz="8" w:space="0" w:color="auto"/>
              <w:bottom w:val="nil"/>
              <w:right w:val="nil"/>
            </w:tcBorders>
            <w:shd w:val="clear" w:color="000000" w:fill="auto"/>
            <w:noWrap/>
            <w:vAlign w:val="bottom"/>
            <w:hideMark/>
          </w:tcPr>
          <w:p w:rsidR="00E5644C" w:rsidRPr="00E5644C" w:rsidRDefault="007C54A2" w:rsidP="00E5644C">
            <w:pPr>
              <w:ind w:firstLineChars="100" w:firstLine="200"/>
              <w:rPr>
                <w:sz w:val="20"/>
                <w:szCs w:val="22"/>
                <w:lang w:val="es-GT" w:eastAsia="es-GT"/>
              </w:rPr>
            </w:pPr>
            <w:r>
              <w:rPr>
                <w:sz w:val="20"/>
                <w:szCs w:val="22"/>
                <w:lang w:val="es-GT" w:eastAsia="es-GT"/>
              </w:rPr>
              <w:t xml:space="preserve">Ingresos </w:t>
            </w:r>
            <w:r w:rsidR="00E5644C" w:rsidRPr="00E5644C">
              <w:rPr>
                <w:sz w:val="20"/>
                <w:szCs w:val="22"/>
                <w:lang w:val="es-GT" w:eastAsia="es-GT"/>
              </w:rPr>
              <w:t xml:space="preserve">No Tributarios y Transferencias </w:t>
            </w:r>
          </w:p>
        </w:tc>
        <w:tc>
          <w:tcPr>
            <w:tcW w:w="1254" w:type="dxa"/>
            <w:tcBorders>
              <w:top w:val="nil"/>
              <w:left w:val="single" w:sz="8" w:space="0" w:color="auto"/>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1,591.1</w:t>
            </w:r>
          </w:p>
        </w:tc>
        <w:tc>
          <w:tcPr>
            <w:tcW w:w="1150" w:type="dxa"/>
            <w:tcBorders>
              <w:top w:val="nil"/>
              <w:left w:val="nil"/>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1,696.9</w:t>
            </w:r>
          </w:p>
        </w:tc>
        <w:tc>
          <w:tcPr>
            <w:tcW w:w="1333" w:type="dxa"/>
            <w:tcBorders>
              <w:top w:val="nil"/>
              <w:left w:val="nil"/>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105.8</w:t>
            </w:r>
          </w:p>
        </w:tc>
        <w:tc>
          <w:tcPr>
            <w:tcW w:w="1252" w:type="dxa"/>
            <w:tcBorders>
              <w:top w:val="nil"/>
              <w:left w:val="nil"/>
              <w:bottom w:val="nil"/>
              <w:right w:val="single" w:sz="8" w:space="0" w:color="auto"/>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6.2%</w:t>
            </w:r>
          </w:p>
        </w:tc>
      </w:tr>
      <w:tr w:rsidR="00E5644C" w:rsidRPr="00E5644C" w:rsidTr="007C54A2">
        <w:trPr>
          <w:trHeight w:val="302"/>
        </w:trPr>
        <w:tc>
          <w:tcPr>
            <w:tcW w:w="4450" w:type="dxa"/>
            <w:tcBorders>
              <w:top w:val="nil"/>
              <w:left w:val="single" w:sz="8" w:space="0" w:color="auto"/>
              <w:bottom w:val="nil"/>
              <w:right w:val="nil"/>
            </w:tcBorders>
            <w:shd w:val="clear" w:color="000000" w:fill="auto"/>
            <w:noWrap/>
            <w:vAlign w:val="bottom"/>
            <w:hideMark/>
          </w:tcPr>
          <w:p w:rsidR="00E5644C" w:rsidRPr="00E5644C" w:rsidRDefault="00E5644C" w:rsidP="00E5644C">
            <w:pPr>
              <w:ind w:firstLineChars="100" w:firstLine="200"/>
              <w:rPr>
                <w:sz w:val="20"/>
                <w:szCs w:val="22"/>
                <w:lang w:val="es-GT" w:eastAsia="es-GT"/>
              </w:rPr>
            </w:pPr>
            <w:r w:rsidRPr="00E5644C">
              <w:rPr>
                <w:sz w:val="20"/>
                <w:szCs w:val="22"/>
                <w:lang w:val="es-GT" w:eastAsia="es-GT"/>
              </w:rPr>
              <w:t>Contribuciones a la Seguridad Social</w:t>
            </w:r>
          </w:p>
        </w:tc>
        <w:tc>
          <w:tcPr>
            <w:tcW w:w="1254" w:type="dxa"/>
            <w:tcBorders>
              <w:top w:val="nil"/>
              <w:left w:val="single" w:sz="8" w:space="0" w:color="auto"/>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919.8</w:t>
            </w:r>
          </w:p>
        </w:tc>
        <w:tc>
          <w:tcPr>
            <w:tcW w:w="1150" w:type="dxa"/>
            <w:tcBorders>
              <w:top w:val="nil"/>
              <w:left w:val="nil"/>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946.6</w:t>
            </w:r>
          </w:p>
        </w:tc>
        <w:tc>
          <w:tcPr>
            <w:tcW w:w="1333" w:type="dxa"/>
            <w:tcBorders>
              <w:top w:val="nil"/>
              <w:left w:val="nil"/>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26.7</w:t>
            </w:r>
          </w:p>
        </w:tc>
        <w:tc>
          <w:tcPr>
            <w:tcW w:w="1252" w:type="dxa"/>
            <w:tcBorders>
              <w:top w:val="nil"/>
              <w:left w:val="nil"/>
              <w:bottom w:val="nil"/>
              <w:right w:val="single" w:sz="8" w:space="0" w:color="auto"/>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2.8%</w:t>
            </w:r>
          </w:p>
        </w:tc>
      </w:tr>
      <w:tr w:rsidR="00E5644C" w:rsidRPr="00E5644C" w:rsidTr="007C54A2">
        <w:trPr>
          <w:trHeight w:val="302"/>
        </w:trPr>
        <w:tc>
          <w:tcPr>
            <w:tcW w:w="4450" w:type="dxa"/>
            <w:tcBorders>
              <w:top w:val="nil"/>
              <w:left w:val="single" w:sz="8" w:space="0" w:color="auto"/>
              <w:bottom w:val="nil"/>
              <w:right w:val="nil"/>
            </w:tcBorders>
            <w:shd w:val="clear" w:color="000000" w:fill="auto"/>
            <w:noWrap/>
            <w:vAlign w:val="bottom"/>
            <w:hideMark/>
          </w:tcPr>
          <w:p w:rsidR="00E5644C" w:rsidRPr="00E5644C" w:rsidRDefault="00E5644C" w:rsidP="00E5644C">
            <w:pPr>
              <w:ind w:firstLineChars="100" w:firstLine="200"/>
              <w:rPr>
                <w:sz w:val="20"/>
                <w:szCs w:val="22"/>
                <w:lang w:val="es-GT" w:eastAsia="es-GT"/>
              </w:rPr>
            </w:pPr>
            <w:r w:rsidRPr="00E5644C">
              <w:rPr>
                <w:sz w:val="20"/>
                <w:szCs w:val="22"/>
                <w:lang w:val="es-GT" w:eastAsia="es-GT"/>
              </w:rPr>
              <w:t>Donaciones</w:t>
            </w:r>
          </w:p>
        </w:tc>
        <w:tc>
          <w:tcPr>
            <w:tcW w:w="1254" w:type="dxa"/>
            <w:tcBorders>
              <w:top w:val="nil"/>
              <w:left w:val="single" w:sz="8" w:space="0" w:color="auto"/>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26.4</w:t>
            </w:r>
          </w:p>
        </w:tc>
        <w:tc>
          <w:tcPr>
            <w:tcW w:w="1150" w:type="dxa"/>
            <w:tcBorders>
              <w:top w:val="nil"/>
              <w:left w:val="nil"/>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77.2</w:t>
            </w:r>
          </w:p>
        </w:tc>
        <w:tc>
          <w:tcPr>
            <w:tcW w:w="1333" w:type="dxa"/>
            <w:tcBorders>
              <w:top w:val="nil"/>
              <w:left w:val="nil"/>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50.8</w:t>
            </w:r>
          </w:p>
        </w:tc>
        <w:tc>
          <w:tcPr>
            <w:tcW w:w="1252" w:type="dxa"/>
            <w:tcBorders>
              <w:top w:val="nil"/>
              <w:left w:val="nil"/>
              <w:bottom w:val="nil"/>
              <w:right w:val="single" w:sz="8" w:space="0" w:color="auto"/>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65.8%</w:t>
            </w:r>
          </w:p>
        </w:tc>
      </w:tr>
      <w:tr w:rsidR="00E5644C" w:rsidRPr="00E5644C" w:rsidTr="007C54A2">
        <w:trPr>
          <w:trHeight w:val="302"/>
        </w:trPr>
        <w:tc>
          <w:tcPr>
            <w:tcW w:w="4450" w:type="dxa"/>
            <w:tcBorders>
              <w:top w:val="nil"/>
              <w:left w:val="single" w:sz="8" w:space="0" w:color="auto"/>
              <w:bottom w:val="nil"/>
              <w:right w:val="nil"/>
            </w:tcBorders>
            <w:shd w:val="clear" w:color="000000" w:fill="auto"/>
            <w:noWrap/>
            <w:vAlign w:val="bottom"/>
            <w:hideMark/>
          </w:tcPr>
          <w:p w:rsidR="00E5644C" w:rsidRPr="00E5644C" w:rsidRDefault="00E5644C" w:rsidP="00E5644C">
            <w:pPr>
              <w:ind w:firstLineChars="100" w:firstLine="200"/>
              <w:rPr>
                <w:sz w:val="20"/>
                <w:szCs w:val="22"/>
                <w:lang w:val="es-GT" w:eastAsia="es-GT"/>
              </w:rPr>
            </w:pPr>
            <w:r w:rsidRPr="00E5644C">
              <w:rPr>
                <w:sz w:val="20"/>
                <w:szCs w:val="22"/>
                <w:lang w:val="es-GT" w:eastAsia="es-GT"/>
              </w:rPr>
              <w:t>Otros</w:t>
            </w:r>
          </w:p>
        </w:tc>
        <w:tc>
          <w:tcPr>
            <w:tcW w:w="1254" w:type="dxa"/>
            <w:tcBorders>
              <w:top w:val="nil"/>
              <w:left w:val="single" w:sz="8" w:space="0" w:color="auto"/>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644.8</w:t>
            </w:r>
          </w:p>
        </w:tc>
        <w:tc>
          <w:tcPr>
            <w:tcW w:w="1150" w:type="dxa"/>
            <w:tcBorders>
              <w:top w:val="nil"/>
              <w:left w:val="nil"/>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673.1</w:t>
            </w:r>
          </w:p>
        </w:tc>
        <w:tc>
          <w:tcPr>
            <w:tcW w:w="1333" w:type="dxa"/>
            <w:tcBorders>
              <w:top w:val="nil"/>
              <w:left w:val="nil"/>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28.3</w:t>
            </w:r>
          </w:p>
        </w:tc>
        <w:tc>
          <w:tcPr>
            <w:tcW w:w="1252" w:type="dxa"/>
            <w:tcBorders>
              <w:top w:val="nil"/>
              <w:left w:val="nil"/>
              <w:bottom w:val="nil"/>
              <w:right w:val="single" w:sz="8" w:space="0" w:color="auto"/>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4.2%</w:t>
            </w:r>
          </w:p>
        </w:tc>
      </w:tr>
      <w:tr w:rsidR="00E5644C" w:rsidRPr="00E5644C" w:rsidTr="007C54A2">
        <w:trPr>
          <w:trHeight w:val="302"/>
        </w:trPr>
        <w:tc>
          <w:tcPr>
            <w:tcW w:w="4450" w:type="dxa"/>
            <w:tcBorders>
              <w:top w:val="nil"/>
              <w:left w:val="single" w:sz="8" w:space="0" w:color="auto"/>
              <w:bottom w:val="nil"/>
              <w:right w:val="nil"/>
            </w:tcBorders>
            <w:shd w:val="clear" w:color="000000" w:fill="auto"/>
            <w:noWrap/>
            <w:vAlign w:val="bottom"/>
            <w:hideMark/>
          </w:tcPr>
          <w:p w:rsidR="00E5644C" w:rsidRPr="00E5644C" w:rsidRDefault="00E5644C" w:rsidP="00E5644C">
            <w:pPr>
              <w:ind w:firstLineChars="100" w:firstLine="200"/>
              <w:rPr>
                <w:sz w:val="20"/>
                <w:szCs w:val="22"/>
                <w:lang w:val="es-GT" w:eastAsia="es-GT"/>
              </w:rPr>
            </w:pPr>
            <w:r w:rsidRPr="00E5644C">
              <w:rPr>
                <w:sz w:val="20"/>
                <w:szCs w:val="22"/>
                <w:lang w:val="es-GT" w:eastAsia="es-GT"/>
              </w:rPr>
              <w:t>Ingresos de Capital</w:t>
            </w:r>
          </w:p>
        </w:tc>
        <w:tc>
          <w:tcPr>
            <w:tcW w:w="1254" w:type="dxa"/>
            <w:tcBorders>
              <w:top w:val="nil"/>
              <w:left w:val="single" w:sz="8" w:space="0" w:color="auto"/>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1.7</w:t>
            </w:r>
          </w:p>
        </w:tc>
        <w:tc>
          <w:tcPr>
            <w:tcW w:w="1150" w:type="dxa"/>
            <w:tcBorders>
              <w:top w:val="nil"/>
              <w:left w:val="nil"/>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1.2</w:t>
            </w:r>
          </w:p>
        </w:tc>
        <w:tc>
          <w:tcPr>
            <w:tcW w:w="1333" w:type="dxa"/>
            <w:tcBorders>
              <w:top w:val="nil"/>
              <w:left w:val="nil"/>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-0.6</w:t>
            </w:r>
          </w:p>
        </w:tc>
        <w:tc>
          <w:tcPr>
            <w:tcW w:w="1252" w:type="dxa"/>
            <w:tcBorders>
              <w:top w:val="nil"/>
              <w:left w:val="nil"/>
              <w:bottom w:val="nil"/>
              <w:right w:val="single" w:sz="8" w:space="0" w:color="auto"/>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-51.7%</w:t>
            </w:r>
          </w:p>
        </w:tc>
      </w:tr>
      <w:tr w:rsidR="00E5644C" w:rsidRPr="00E5644C" w:rsidTr="007C54A2">
        <w:trPr>
          <w:trHeight w:val="302"/>
        </w:trPr>
        <w:tc>
          <w:tcPr>
            <w:tcW w:w="4450" w:type="dxa"/>
            <w:tcBorders>
              <w:top w:val="nil"/>
              <w:left w:val="single" w:sz="8" w:space="0" w:color="auto"/>
              <w:bottom w:val="nil"/>
              <w:right w:val="nil"/>
            </w:tcBorders>
            <w:shd w:val="clear" w:color="000000" w:fill="auto"/>
            <w:noWrap/>
            <w:vAlign w:val="bottom"/>
            <w:hideMark/>
          </w:tcPr>
          <w:p w:rsidR="00E5644C" w:rsidRPr="00E5644C" w:rsidRDefault="00E5644C" w:rsidP="00E5644C">
            <w:pPr>
              <w:ind w:firstLineChars="100" w:firstLine="201"/>
              <w:rPr>
                <w:b/>
                <w:bCs/>
                <w:sz w:val="20"/>
                <w:szCs w:val="22"/>
                <w:lang w:val="es-GT" w:eastAsia="es-GT"/>
              </w:rPr>
            </w:pPr>
            <w:r w:rsidRPr="00E5644C">
              <w:rPr>
                <w:b/>
                <w:bCs/>
                <w:sz w:val="20"/>
                <w:szCs w:val="22"/>
                <w:lang w:val="es-GT" w:eastAsia="es-GT"/>
              </w:rPr>
              <w:t>Gastos Totales</w:t>
            </w:r>
          </w:p>
        </w:tc>
        <w:tc>
          <w:tcPr>
            <w:tcW w:w="1254" w:type="dxa"/>
            <w:tcBorders>
              <w:top w:val="nil"/>
              <w:left w:val="single" w:sz="8" w:space="0" w:color="auto"/>
              <w:bottom w:val="nil"/>
              <w:right w:val="nil"/>
            </w:tcBorders>
            <w:shd w:val="clear" w:color="000000" w:fill="auto"/>
            <w:noWrap/>
            <w:vAlign w:val="center"/>
            <w:hideMark/>
          </w:tcPr>
          <w:p w:rsidR="00E5644C" w:rsidRPr="00E5644C" w:rsidRDefault="00E5644C" w:rsidP="00E5644C">
            <w:pPr>
              <w:jc w:val="center"/>
              <w:rPr>
                <w:b/>
                <w:bCs/>
                <w:sz w:val="20"/>
                <w:szCs w:val="22"/>
                <w:lang w:val="es-GT" w:eastAsia="es-GT"/>
              </w:rPr>
            </w:pPr>
            <w:r w:rsidRPr="00E5644C">
              <w:rPr>
                <w:b/>
                <w:bCs/>
                <w:sz w:val="20"/>
                <w:szCs w:val="22"/>
                <w:lang w:val="es-GT" w:eastAsia="es-GT"/>
              </w:rPr>
              <w:t>29,220.7</w:t>
            </w:r>
          </w:p>
        </w:tc>
        <w:tc>
          <w:tcPr>
            <w:tcW w:w="1150" w:type="dxa"/>
            <w:tcBorders>
              <w:top w:val="nil"/>
              <w:left w:val="nil"/>
              <w:bottom w:val="nil"/>
              <w:right w:val="nil"/>
            </w:tcBorders>
            <w:shd w:val="clear" w:color="000000" w:fill="auto"/>
            <w:noWrap/>
            <w:vAlign w:val="center"/>
            <w:hideMark/>
          </w:tcPr>
          <w:p w:rsidR="00E5644C" w:rsidRPr="00E5644C" w:rsidRDefault="00E5644C" w:rsidP="00E5644C">
            <w:pPr>
              <w:jc w:val="center"/>
              <w:rPr>
                <w:b/>
                <w:bCs/>
                <w:sz w:val="20"/>
                <w:szCs w:val="22"/>
                <w:lang w:val="es-GT" w:eastAsia="es-GT"/>
              </w:rPr>
            </w:pPr>
            <w:r w:rsidRPr="00E5644C">
              <w:rPr>
                <w:b/>
                <w:bCs/>
                <w:sz w:val="20"/>
                <w:szCs w:val="22"/>
                <w:lang w:val="es-GT" w:eastAsia="es-GT"/>
              </w:rPr>
              <w:t>31,277.8</w:t>
            </w:r>
          </w:p>
        </w:tc>
        <w:tc>
          <w:tcPr>
            <w:tcW w:w="1333" w:type="dxa"/>
            <w:tcBorders>
              <w:top w:val="nil"/>
              <w:left w:val="nil"/>
              <w:bottom w:val="nil"/>
              <w:right w:val="nil"/>
            </w:tcBorders>
            <w:shd w:val="clear" w:color="000000" w:fill="auto"/>
            <w:noWrap/>
            <w:vAlign w:val="center"/>
            <w:hideMark/>
          </w:tcPr>
          <w:p w:rsidR="00E5644C" w:rsidRPr="00E5644C" w:rsidRDefault="00E5644C" w:rsidP="00E5644C">
            <w:pPr>
              <w:jc w:val="center"/>
              <w:rPr>
                <w:b/>
                <w:bCs/>
                <w:sz w:val="20"/>
                <w:szCs w:val="22"/>
                <w:lang w:val="es-GT" w:eastAsia="es-GT"/>
              </w:rPr>
            </w:pPr>
            <w:r w:rsidRPr="00E5644C">
              <w:rPr>
                <w:b/>
                <w:bCs/>
                <w:sz w:val="20"/>
                <w:szCs w:val="22"/>
                <w:lang w:val="es-GT" w:eastAsia="es-GT"/>
              </w:rPr>
              <w:t>2,057.1</w:t>
            </w:r>
          </w:p>
        </w:tc>
        <w:tc>
          <w:tcPr>
            <w:tcW w:w="1252" w:type="dxa"/>
            <w:tcBorders>
              <w:top w:val="nil"/>
              <w:left w:val="nil"/>
              <w:bottom w:val="nil"/>
              <w:right w:val="single" w:sz="8" w:space="0" w:color="auto"/>
            </w:tcBorders>
            <w:shd w:val="clear" w:color="000000" w:fill="auto"/>
            <w:noWrap/>
            <w:vAlign w:val="center"/>
            <w:hideMark/>
          </w:tcPr>
          <w:p w:rsidR="00E5644C" w:rsidRPr="00E5644C" w:rsidRDefault="00E5644C" w:rsidP="00E5644C">
            <w:pPr>
              <w:jc w:val="center"/>
              <w:rPr>
                <w:b/>
                <w:bCs/>
                <w:sz w:val="20"/>
                <w:szCs w:val="22"/>
                <w:lang w:val="es-GT" w:eastAsia="es-GT"/>
              </w:rPr>
            </w:pPr>
            <w:r w:rsidRPr="00E5644C">
              <w:rPr>
                <w:b/>
                <w:bCs/>
                <w:sz w:val="20"/>
                <w:szCs w:val="22"/>
                <w:lang w:val="es-GT" w:eastAsia="es-GT"/>
              </w:rPr>
              <w:t>6.6%</w:t>
            </w:r>
          </w:p>
        </w:tc>
      </w:tr>
      <w:tr w:rsidR="00E5644C" w:rsidRPr="00E5644C" w:rsidTr="007C54A2">
        <w:trPr>
          <w:trHeight w:val="302"/>
        </w:trPr>
        <w:tc>
          <w:tcPr>
            <w:tcW w:w="4450" w:type="dxa"/>
            <w:tcBorders>
              <w:top w:val="nil"/>
              <w:left w:val="single" w:sz="8" w:space="0" w:color="auto"/>
              <w:bottom w:val="nil"/>
              <w:right w:val="nil"/>
            </w:tcBorders>
            <w:shd w:val="clear" w:color="000000" w:fill="auto"/>
            <w:noWrap/>
            <w:vAlign w:val="bottom"/>
            <w:hideMark/>
          </w:tcPr>
          <w:p w:rsidR="00E5644C" w:rsidRPr="00E5644C" w:rsidRDefault="00E5644C" w:rsidP="00E5644C">
            <w:pPr>
              <w:ind w:firstLineChars="300" w:firstLine="600"/>
              <w:rPr>
                <w:sz w:val="20"/>
                <w:szCs w:val="22"/>
                <w:lang w:val="es-GT" w:eastAsia="es-GT"/>
              </w:rPr>
            </w:pPr>
            <w:r w:rsidRPr="00E5644C">
              <w:rPr>
                <w:sz w:val="20"/>
                <w:szCs w:val="22"/>
                <w:lang w:val="es-GT" w:eastAsia="es-GT"/>
              </w:rPr>
              <w:t>Gastos Corrientes</w:t>
            </w:r>
          </w:p>
        </w:tc>
        <w:tc>
          <w:tcPr>
            <w:tcW w:w="1254" w:type="dxa"/>
            <w:tcBorders>
              <w:top w:val="nil"/>
              <w:left w:val="single" w:sz="8" w:space="0" w:color="auto"/>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24,762.9</w:t>
            </w:r>
          </w:p>
        </w:tc>
        <w:tc>
          <w:tcPr>
            <w:tcW w:w="1150" w:type="dxa"/>
            <w:tcBorders>
              <w:top w:val="nil"/>
              <w:left w:val="nil"/>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26,349.8</w:t>
            </w:r>
          </w:p>
        </w:tc>
        <w:tc>
          <w:tcPr>
            <w:tcW w:w="1333" w:type="dxa"/>
            <w:tcBorders>
              <w:top w:val="nil"/>
              <w:left w:val="nil"/>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1,586.8</w:t>
            </w:r>
          </w:p>
        </w:tc>
        <w:tc>
          <w:tcPr>
            <w:tcW w:w="1252" w:type="dxa"/>
            <w:tcBorders>
              <w:top w:val="nil"/>
              <w:left w:val="nil"/>
              <w:bottom w:val="nil"/>
              <w:right w:val="single" w:sz="8" w:space="0" w:color="auto"/>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6.0%</w:t>
            </w:r>
          </w:p>
        </w:tc>
      </w:tr>
      <w:tr w:rsidR="00E5644C" w:rsidRPr="00E5644C" w:rsidTr="007C54A2">
        <w:trPr>
          <w:trHeight w:val="302"/>
        </w:trPr>
        <w:tc>
          <w:tcPr>
            <w:tcW w:w="4450" w:type="dxa"/>
            <w:tcBorders>
              <w:top w:val="nil"/>
              <w:left w:val="single" w:sz="8" w:space="0" w:color="auto"/>
              <w:bottom w:val="nil"/>
              <w:right w:val="nil"/>
            </w:tcBorders>
            <w:shd w:val="clear" w:color="000000" w:fill="auto"/>
            <w:noWrap/>
            <w:vAlign w:val="bottom"/>
            <w:hideMark/>
          </w:tcPr>
          <w:p w:rsidR="00E5644C" w:rsidRPr="00E5644C" w:rsidRDefault="00E5644C" w:rsidP="00E5644C">
            <w:pPr>
              <w:ind w:firstLineChars="300" w:firstLine="600"/>
              <w:rPr>
                <w:sz w:val="20"/>
                <w:szCs w:val="22"/>
                <w:lang w:val="es-GT" w:eastAsia="es-GT"/>
              </w:rPr>
            </w:pPr>
            <w:r w:rsidRPr="00E5644C">
              <w:rPr>
                <w:sz w:val="20"/>
                <w:szCs w:val="22"/>
                <w:lang w:val="es-GT" w:eastAsia="es-GT"/>
              </w:rPr>
              <w:t>Gastos de Capital</w:t>
            </w:r>
          </w:p>
        </w:tc>
        <w:tc>
          <w:tcPr>
            <w:tcW w:w="1254" w:type="dxa"/>
            <w:tcBorders>
              <w:top w:val="nil"/>
              <w:left w:val="single" w:sz="8" w:space="0" w:color="auto"/>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4,457.8</w:t>
            </w:r>
          </w:p>
        </w:tc>
        <w:tc>
          <w:tcPr>
            <w:tcW w:w="1150" w:type="dxa"/>
            <w:tcBorders>
              <w:top w:val="nil"/>
              <w:left w:val="nil"/>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4,928.1</w:t>
            </w:r>
          </w:p>
        </w:tc>
        <w:tc>
          <w:tcPr>
            <w:tcW w:w="1333" w:type="dxa"/>
            <w:tcBorders>
              <w:top w:val="nil"/>
              <w:left w:val="nil"/>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470.3</w:t>
            </w:r>
          </w:p>
        </w:tc>
        <w:tc>
          <w:tcPr>
            <w:tcW w:w="1252" w:type="dxa"/>
            <w:tcBorders>
              <w:top w:val="nil"/>
              <w:left w:val="nil"/>
              <w:bottom w:val="nil"/>
              <w:right w:val="single" w:sz="8" w:space="0" w:color="auto"/>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9.5%</w:t>
            </w:r>
          </w:p>
        </w:tc>
      </w:tr>
      <w:tr w:rsidR="00E5644C" w:rsidRPr="00E5644C" w:rsidTr="007C54A2">
        <w:trPr>
          <w:trHeight w:val="302"/>
        </w:trPr>
        <w:tc>
          <w:tcPr>
            <w:tcW w:w="4450" w:type="dxa"/>
            <w:tcBorders>
              <w:top w:val="nil"/>
              <w:left w:val="single" w:sz="8" w:space="0" w:color="auto"/>
              <w:bottom w:val="nil"/>
              <w:right w:val="nil"/>
            </w:tcBorders>
            <w:shd w:val="clear" w:color="000000" w:fill="auto"/>
            <w:noWrap/>
            <w:vAlign w:val="bottom"/>
            <w:hideMark/>
          </w:tcPr>
          <w:p w:rsidR="00E5644C" w:rsidRPr="00E5644C" w:rsidRDefault="00E5644C" w:rsidP="00E5644C">
            <w:pPr>
              <w:rPr>
                <w:b/>
                <w:bCs/>
                <w:sz w:val="20"/>
                <w:szCs w:val="22"/>
                <w:lang w:val="es-GT" w:eastAsia="es-GT"/>
              </w:rPr>
            </w:pPr>
            <w:r w:rsidRPr="00E5644C">
              <w:rPr>
                <w:b/>
                <w:bCs/>
                <w:sz w:val="20"/>
                <w:szCs w:val="22"/>
                <w:lang w:val="es-GT" w:eastAsia="es-GT"/>
              </w:rPr>
              <w:t>Resultado en Cuenta Corriente</w:t>
            </w:r>
          </w:p>
        </w:tc>
        <w:tc>
          <w:tcPr>
            <w:tcW w:w="1254" w:type="dxa"/>
            <w:tcBorders>
              <w:top w:val="nil"/>
              <w:left w:val="single" w:sz="8" w:space="0" w:color="auto"/>
              <w:bottom w:val="nil"/>
              <w:right w:val="nil"/>
            </w:tcBorders>
            <w:shd w:val="clear" w:color="000000" w:fill="auto"/>
            <w:noWrap/>
            <w:vAlign w:val="center"/>
            <w:hideMark/>
          </w:tcPr>
          <w:p w:rsidR="00E5644C" w:rsidRPr="00E5644C" w:rsidRDefault="00E5644C" w:rsidP="00E5644C">
            <w:pPr>
              <w:jc w:val="center"/>
              <w:rPr>
                <w:b/>
                <w:bCs/>
                <w:sz w:val="20"/>
                <w:szCs w:val="22"/>
                <w:lang w:val="es-GT" w:eastAsia="es-GT"/>
              </w:rPr>
            </w:pPr>
            <w:r w:rsidRPr="00E5644C">
              <w:rPr>
                <w:b/>
                <w:bCs/>
                <w:sz w:val="20"/>
                <w:szCs w:val="22"/>
                <w:lang w:val="es-GT" w:eastAsia="es-GT"/>
              </w:rPr>
              <w:t>4,927.8</w:t>
            </w:r>
          </w:p>
        </w:tc>
        <w:tc>
          <w:tcPr>
            <w:tcW w:w="1150" w:type="dxa"/>
            <w:tcBorders>
              <w:top w:val="nil"/>
              <w:left w:val="nil"/>
              <w:bottom w:val="nil"/>
              <w:right w:val="nil"/>
            </w:tcBorders>
            <w:shd w:val="clear" w:color="000000" w:fill="auto"/>
            <w:noWrap/>
            <w:vAlign w:val="center"/>
            <w:hideMark/>
          </w:tcPr>
          <w:p w:rsidR="00E5644C" w:rsidRPr="00E5644C" w:rsidRDefault="00E5644C" w:rsidP="00E5644C">
            <w:pPr>
              <w:jc w:val="center"/>
              <w:rPr>
                <w:b/>
                <w:bCs/>
                <w:sz w:val="20"/>
                <w:szCs w:val="22"/>
                <w:lang w:val="es-GT" w:eastAsia="es-GT"/>
              </w:rPr>
            </w:pPr>
            <w:r w:rsidRPr="00E5644C">
              <w:rPr>
                <w:b/>
                <w:bCs/>
                <w:sz w:val="20"/>
                <w:szCs w:val="22"/>
                <w:lang w:val="es-GT" w:eastAsia="es-GT"/>
              </w:rPr>
              <w:t>3,603.4</w:t>
            </w:r>
          </w:p>
        </w:tc>
        <w:tc>
          <w:tcPr>
            <w:tcW w:w="1333" w:type="dxa"/>
            <w:tcBorders>
              <w:top w:val="nil"/>
              <w:left w:val="nil"/>
              <w:bottom w:val="nil"/>
              <w:right w:val="nil"/>
            </w:tcBorders>
            <w:shd w:val="clear" w:color="000000" w:fill="auto"/>
            <w:noWrap/>
            <w:vAlign w:val="center"/>
            <w:hideMark/>
          </w:tcPr>
          <w:p w:rsidR="00E5644C" w:rsidRPr="00E5644C" w:rsidRDefault="00E5644C" w:rsidP="00E5644C">
            <w:pPr>
              <w:jc w:val="center"/>
              <w:rPr>
                <w:b/>
                <w:bCs/>
                <w:sz w:val="20"/>
                <w:szCs w:val="22"/>
                <w:lang w:val="es-GT" w:eastAsia="es-GT"/>
              </w:rPr>
            </w:pPr>
            <w:r w:rsidRPr="00E5644C">
              <w:rPr>
                <w:b/>
                <w:bCs/>
                <w:sz w:val="20"/>
                <w:szCs w:val="22"/>
                <w:lang w:val="es-GT" w:eastAsia="es-GT"/>
              </w:rPr>
              <w:t>-1,324.3</w:t>
            </w:r>
          </w:p>
        </w:tc>
        <w:tc>
          <w:tcPr>
            <w:tcW w:w="1252" w:type="dxa"/>
            <w:tcBorders>
              <w:top w:val="nil"/>
              <w:left w:val="nil"/>
              <w:bottom w:val="nil"/>
              <w:right w:val="single" w:sz="8" w:space="0" w:color="auto"/>
            </w:tcBorders>
            <w:shd w:val="clear" w:color="000000" w:fill="auto"/>
            <w:noWrap/>
            <w:vAlign w:val="center"/>
            <w:hideMark/>
          </w:tcPr>
          <w:p w:rsidR="00E5644C" w:rsidRPr="00E5644C" w:rsidRDefault="00E5644C" w:rsidP="00E5644C">
            <w:pPr>
              <w:jc w:val="center"/>
              <w:rPr>
                <w:b/>
                <w:bCs/>
                <w:sz w:val="20"/>
                <w:szCs w:val="22"/>
                <w:lang w:val="es-GT" w:eastAsia="es-GT"/>
              </w:rPr>
            </w:pPr>
            <w:r w:rsidRPr="00E5644C">
              <w:rPr>
                <w:b/>
                <w:bCs/>
                <w:sz w:val="20"/>
                <w:szCs w:val="22"/>
                <w:lang w:val="es-GT" w:eastAsia="es-GT"/>
              </w:rPr>
              <w:t>-36.8%</w:t>
            </w:r>
          </w:p>
        </w:tc>
      </w:tr>
      <w:tr w:rsidR="00E5644C" w:rsidRPr="00E5644C" w:rsidTr="007C54A2">
        <w:trPr>
          <w:trHeight w:val="302"/>
        </w:trPr>
        <w:tc>
          <w:tcPr>
            <w:tcW w:w="4450" w:type="dxa"/>
            <w:tcBorders>
              <w:top w:val="nil"/>
              <w:left w:val="single" w:sz="8" w:space="0" w:color="auto"/>
              <w:bottom w:val="nil"/>
              <w:right w:val="nil"/>
            </w:tcBorders>
            <w:shd w:val="clear" w:color="000000" w:fill="auto"/>
            <w:noWrap/>
            <w:vAlign w:val="bottom"/>
            <w:hideMark/>
          </w:tcPr>
          <w:p w:rsidR="00E5644C" w:rsidRPr="00E5644C" w:rsidRDefault="00E5644C" w:rsidP="00E5644C">
            <w:pPr>
              <w:rPr>
                <w:b/>
                <w:bCs/>
                <w:sz w:val="20"/>
                <w:szCs w:val="22"/>
                <w:lang w:val="es-GT" w:eastAsia="es-GT"/>
              </w:rPr>
            </w:pPr>
            <w:r w:rsidRPr="00E5644C">
              <w:rPr>
                <w:b/>
                <w:bCs/>
                <w:sz w:val="20"/>
                <w:szCs w:val="22"/>
                <w:lang w:val="es-GT" w:eastAsia="es-GT"/>
              </w:rPr>
              <w:t>Resultado Primario</w:t>
            </w:r>
          </w:p>
        </w:tc>
        <w:tc>
          <w:tcPr>
            <w:tcW w:w="1254" w:type="dxa"/>
            <w:tcBorders>
              <w:top w:val="nil"/>
              <w:left w:val="single" w:sz="8" w:space="0" w:color="auto"/>
              <w:bottom w:val="nil"/>
              <w:right w:val="nil"/>
            </w:tcBorders>
            <w:shd w:val="clear" w:color="000000" w:fill="auto"/>
            <w:noWrap/>
            <w:vAlign w:val="center"/>
            <w:hideMark/>
          </w:tcPr>
          <w:p w:rsidR="00E5644C" w:rsidRPr="00E5644C" w:rsidRDefault="00E5644C" w:rsidP="00E5644C">
            <w:pPr>
              <w:jc w:val="center"/>
              <w:rPr>
                <w:b/>
                <w:bCs/>
                <w:sz w:val="20"/>
                <w:szCs w:val="22"/>
                <w:lang w:val="es-GT" w:eastAsia="es-GT"/>
              </w:rPr>
            </w:pPr>
            <w:r w:rsidRPr="00E5644C">
              <w:rPr>
                <w:b/>
                <w:bCs/>
                <w:sz w:val="20"/>
                <w:szCs w:val="22"/>
                <w:lang w:val="es-GT" w:eastAsia="es-GT"/>
              </w:rPr>
              <w:t>4,360.7</w:t>
            </w:r>
          </w:p>
        </w:tc>
        <w:tc>
          <w:tcPr>
            <w:tcW w:w="1150" w:type="dxa"/>
            <w:tcBorders>
              <w:top w:val="nil"/>
              <w:left w:val="nil"/>
              <w:bottom w:val="nil"/>
              <w:right w:val="nil"/>
            </w:tcBorders>
            <w:shd w:val="clear" w:color="000000" w:fill="auto"/>
            <w:noWrap/>
            <w:vAlign w:val="center"/>
            <w:hideMark/>
          </w:tcPr>
          <w:p w:rsidR="00E5644C" w:rsidRPr="00E5644C" w:rsidRDefault="00E5644C" w:rsidP="00E5644C">
            <w:pPr>
              <w:jc w:val="center"/>
              <w:rPr>
                <w:b/>
                <w:bCs/>
                <w:sz w:val="20"/>
                <w:szCs w:val="22"/>
                <w:lang w:val="es-GT" w:eastAsia="es-GT"/>
              </w:rPr>
            </w:pPr>
            <w:r w:rsidRPr="00E5644C">
              <w:rPr>
                <w:b/>
                <w:bCs/>
                <w:sz w:val="20"/>
                <w:szCs w:val="22"/>
                <w:lang w:val="es-GT" w:eastAsia="es-GT"/>
              </w:rPr>
              <w:t>2,764.1</w:t>
            </w:r>
          </w:p>
        </w:tc>
        <w:tc>
          <w:tcPr>
            <w:tcW w:w="1333" w:type="dxa"/>
            <w:tcBorders>
              <w:top w:val="nil"/>
              <w:left w:val="nil"/>
              <w:bottom w:val="nil"/>
              <w:right w:val="nil"/>
            </w:tcBorders>
            <w:shd w:val="clear" w:color="000000" w:fill="auto"/>
            <w:noWrap/>
            <w:vAlign w:val="center"/>
            <w:hideMark/>
          </w:tcPr>
          <w:p w:rsidR="00E5644C" w:rsidRPr="00E5644C" w:rsidRDefault="00E5644C" w:rsidP="00E5644C">
            <w:pPr>
              <w:jc w:val="center"/>
              <w:rPr>
                <w:b/>
                <w:bCs/>
                <w:sz w:val="20"/>
                <w:szCs w:val="22"/>
                <w:lang w:val="es-GT" w:eastAsia="es-GT"/>
              </w:rPr>
            </w:pPr>
            <w:r w:rsidRPr="00E5644C">
              <w:rPr>
                <w:b/>
                <w:bCs/>
                <w:sz w:val="20"/>
                <w:szCs w:val="22"/>
                <w:lang w:val="es-GT" w:eastAsia="es-GT"/>
              </w:rPr>
              <w:t>-1,596.6</w:t>
            </w:r>
          </w:p>
        </w:tc>
        <w:tc>
          <w:tcPr>
            <w:tcW w:w="1252" w:type="dxa"/>
            <w:tcBorders>
              <w:top w:val="nil"/>
              <w:left w:val="nil"/>
              <w:bottom w:val="nil"/>
              <w:right w:val="single" w:sz="8" w:space="0" w:color="auto"/>
            </w:tcBorders>
            <w:shd w:val="clear" w:color="000000" w:fill="auto"/>
            <w:noWrap/>
            <w:vAlign w:val="center"/>
            <w:hideMark/>
          </w:tcPr>
          <w:p w:rsidR="00E5644C" w:rsidRPr="00E5644C" w:rsidRDefault="00E5644C" w:rsidP="00E5644C">
            <w:pPr>
              <w:jc w:val="center"/>
              <w:rPr>
                <w:b/>
                <w:bCs/>
                <w:sz w:val="20"/>
                <w:szCs w:val="22"/>
                <w:lang w:val="es-GT" w:eastAsia="es-GT"/>
              </w:rPr>
            </w:pPr>
            <w:r w:rsidRPr="00E5644C">
              <w:rPr>
                <w:b/>
                <w:bCs/>
                <w:sz w:val="20"/>
                <w:szCs w:val="22"/>
                <w:lang w:val="es-GT" w:eastAsia="es-GT"/>
              </w:rPr>
              <w:t>-57.8%</w:t>
            </w:r>
          </w:p>
        </w:tc>
      </w:tr>
      <w:tr w:rsidR="00E5644C" w:rsidRPr="00E5644C" w:rsidTr="007C54A2">
        <w:trPr>
          <w:trHeight w:val="302"/>
        </w:trPr>
        <w:tc>
          <w:tcPr>
            <w:tcW w:w="4450" w:type="dxa"/>
            <w:tcBorders>
              <w:top w:val="nil"/>
              <w:left w:val="single" w:sz="8" w:space="0" w:color="auto"/>
              <w:bottom w:val="single" w:sz="4" w:space="0" w:color="auto"/>
              <w:right w:val="nil"/>
            </w:tcBorders>
            <w:shd w:val="clear" w:color="000000" w:fill="auto"/>
            <w:noWrap/>
            <w:vAlign w:val="bottom"/>
            <w:hideMark/>
          </w:tcPr>
          <w:p w:rsidR="00E5644C" w:rsidRPr="00E5644C" w:rsidRDefault="007C54A2" w:rsidP="00E5644C">
            <w:pPr>
              <w:rPr>
                <w:b/>
                <w:bCs/>
                <w:sz w:val="20"/>
                <w:szCs w:val="22"/>
                <w:lang w:val="es-GT" w:eastAsia="es-GT"/>
              </w:rPr>
            </w:pPr>
            <w:r>
              <w:rPr>
                <w:b/>
                <w:bCs/>
                <w:sz w:val="20"/>
                <w:szCs w:val="22"/>
                <w:lang w:val="es-GT" w:eastAsia="es-GT"/>
              </w:rPr>
              <w:t>Resultado Presupuestario</w:t>
            </w:r>
          </w:p>
        </w:tc>
        <w:tc>
          <w:tcPr>
            <w:tcW w:w="1254" w:type="dxa"/>
            <w:tcBorders>
              <w:top w:val="nil"/>
              <w:left w:val="single" w:sz="8" w:space="0" w:color="auto"/>
              <w:bottom w:val="single" w:sz="4" w:space="0" w:color="auto"/>
              <w:right w:val="nil"/>
            </w:tcBorders>
            <w:shd w:val="clear" w:color="000000" w:fill="auto"/>
            <w:noWrap/>
            <w:vAlign w:val="center"/>
            <w:hideMark/>
          </w:tcPr>
          <w:p w:rsidR="00E5644C" w:rsidRPr="00E5644C" w:rsidRDefault="00E5644C" w:rsidP="00E5644C">
            <w:pPr>
              <w:jc w:val="center"/>
              <w:rPr>
                <w:b/>
                <w:bCs/>
                <w:sz w:val="20"/>
                <w:szCs w:val="22"/>
                <w:lang w:val="es-GT" w:eastAsia="es-GT"/>
              </w:rPr>
            </w:pPr>
            <w:r w:rsidRPr="00E5644C">
              <w:rPr>
                <w:b/>
                <w:bCs/>
                <w:sz w:val="20"/>
                <w:szCs w:val="22"/>
                <w:lang w:val="es-GT" w:eastAsia="es-GT"/>
              </w:rPr>
              <w:t>471.7</w:t>
            </w:r>
          </w:p>
        </w:tc>
        <w:tc>
          <w:tcPr>
            <w:tcW w:w="1150" w:type="dxa"/>
            <w:tcBorders>
              <w:top w:val="nil"/>
              <w:left w:val="nil"/>
              <w:bottom w:val="single" w:sz="4" w:space="0" w:color="auto"/>
              <w:right w:val="nil"/>
            </w:tcBorders>
            <w:shd w:val="clear" w:color="auto" w:fill="auto"/>
            <w:noWrap/>
            <w:vAlign w:val="center"/>
            <w:hideMark/>
          </w:tcPr>
          <w:p w:rsidR="00E5644C" w:rsidRPr="00E5644C" w:rsidRDefault="00E5644C" w:rsidP="00E5644C">
            <w:pPr>
              <w:jc w:val="center"/>
              <w:rPr>
                <w:b/>
                <w:bCs/>
                <w:sz w:val="20"/>
                <w:szCs w:val="22"/>
                <w:lang w:val="es-GT" w:eastAsia="es-GT"/>
              </w:rPr>
            </w:pPr>
            <w:r w:rsidRPr="00E5644C">
              <w:rPr>
                <w:b/>
                <w:bCs/>
                <w:sz w:val="20"/>
                <w:szCs w:val="22"/>
                <w:lang w:val="es-GT" w:eastAsia="es-GT"/>
              </w:rPr>
              <w:t>-1,323.5</w:t>
            </w:r>
          </w:p>
        </w:tc>
        <w:tc>
          <w:tcPr>
            <w:tcW w:w="1333" w:type="dxa"/>
            <w:tcBorders>
              <w:top w:val="nil"/>
              <w:left w:val="nil"/>
              <w:bottom w:val="single" w:sz="4" w:space="0" w:color="auto"/>
              <w:right w:val="nil"/>
            </w:tcBorders>
            <w:shd w:val="clear" w:color="auto" w:fill="auto"/>
            <w:noWrap/>
            <w:vAlign w:val="center"/>
            <w:hideMark/>
          </w:tcPr>
          <w:p w:rsidR="00E5644C" w:rsidRPr="00E5644C" w:rsidRDefault="00E5644C" w:rsidP="00E5644C">
            <w:pPr>
              <w:jc w:val="center"/>
              <w:rPr>
                <w:b/>
                <w:bCs/>
                <w:sz w:val="20"/>
                <w:szCs w:val="22"/>
                <w:lang w:val="es-GT" w:eastAsia="es-GT"/>
              </w:rPr>
            </w:pPr>
            <w:r w:rsidRPr="00E5644C">
              <w:rPr>
                <w:b/>
                <w:bCs/>
                <w:sz w:val="20"/>
                <w:szCs w:val="22"/>
                <w:lang w:val="es-GT" w:eastAsia="es-GT"/>
              </w:rPr>
              <w:t>-1,795.2</w:t>
            </w:r>
          </w:p>
        </w:tc>
        <w:tc>
          <w:tcPr>
            <w:tcW w:w="1252" w:type="dxa"/>
            <w:tcBorders>
              <w:top w:val="nil"/>
              <w:left w:val="nil"/>
              <w:bottom w:val="single" w:sz="4" w:space="0" w:color="auto"/>
              <w:right w:val="single" w:sz="8" w:space="0" w:color="auto"/>
            </w:tcBorders>
            <w:shd w:val="clear" w:color="auto" w:fill="auto"/>
            <w:noWrap/>
            <w:vAlign w:val="center"/>
            <w:hideMark/>
          </w:tcPr>
          <w:p w:rsidR="00E5644C" w:rsidRPr="00E5644C" w:rsidRDefault="00E5644C" w:rsidP="00E5644C">
            <w:pPr>
              <w:jc w:val="center"/>
              <w:rPr>
                <w:b/>
                <w:bCs/>
                <w:sz w:val="20"/>
                <w:szCs w:val="22"/>
                <w:lang w:val="es-GT" w:eastAsia="es-GT"/>
              </w:rPr>
            </w:pPr>
            <w:r w:rsidRPr="00E5644C">
              <w:rPr>
                <w:b/>
                <w:bCs/>
                <w:sz w:val="20"/>
                <w:szCs w:val="22"/>
                <w:lang w:val="es-GT" w:eastAsia="es-GT"/>
              </w:rPr>
              <w:t>135.6%</w:t>
            </w:r>
          </w:p>
        </w:tc>
      </w:tr>
      <w:tr w:rsidR="00E5644C" w:rsidRPr="00E5644C" w:rsidTr="007C54A2">
        <w:trPr>
          <w:trHeight w:val="302"/>
        </w:trPr>
        <w:tc>
          <w:tcPr>
            <w:tcW w:w="4450" w:type="dxa"/>
            <w:tcBorders>
              <w:top w:val="nil"/>
              <w:left w:val="single" w:sz="8" w:space="0" w:color="auto"/>
              <w:bottom w:val="nil"/>
              <w:right w:val="nil"/>
            </w:tcBorders>
            <w:shd w:val="clear" w:color="000000" w:fill="auto"/>
            <w:noWrap/>
            <w:vAlign w:val="bottom"/>
            <w:hideMark/>
          </w:tcPr>
          <w:p w:rsidR="00E5644C" w:rsidRPr="00E5644C" w:rsidRDefault="00E5644C" w:rsidP="00E5644C">
            <w:pPr>
              <w:rPr>
                <w:sz w:val="20"/>
                <w:szCs w:val="22"/>
                <w:lang w:val="es-GT" w:eastAsia="es-GT"/>
              </w:rPr>
            </w:pPr>
            <w:r w:rsidRPr="00E5644C">
              <w:rPr>
                <w:sz w:val="20"/>
                <w:szCs w:val="22"/>
                <w:lang w:val="es-GT" w:eastAsia="es-GT"/>
              </w:rPr>
              <w:t>Financiamiento Total</w:t>
            </w:r>
          </w:p>
        </w:tc>
        <w:tc>
          <w:tcPr>
            <w:tcW w:w="1254" w:type="dxa"/>
            <w:tcBorders>
              <w:top w:val="nil"/>
              <w:left w:val="single" w:sz="8" w:space="0" w:color="auto"/>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-471.7</w:t>
            </w:r>
          </w:p>
        </w:tc>
        <w:tc>
          <w:tcPr>
            <w:tcW w:w="1150" w:type="dxa"/>
            <w:tcBorders>
              <w:top w:val="nil"/>
              <w:left w:val="nil"/>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1,323.5</w:t>
            </w:r>
          </w:p>
        </w:tc>
        <w:tc>
          <w:tcPr>
            <w:tcW w:w="1333" w:type="dxa"/>
            <w:tcBorders>
              <w:top w:val="nil"/>
              <w:left w:val="nil"/>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1,795.2</w:t>
            </w:r>
          </w:p>
        </w:tc>
        <w:tc>
          <w:tcPr>
            <w:tcW w:w="1252" w:type="dxa"/>
            <w:tcBorders>
              <w:top w:val="nil"/>
              <w:left w:val="nil"/>
              <w:bottom w:val="nil"/>
              <w:right w:val="single" w:sz="8" w:space="0" w:color="auto"/>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135.6%</w:t>
            </w:r>
          </w:p>
        </w:tc>
      </w:tr>
      <w:tr w:rsidR="00E5644C" w:rsidRPr="00E5644C" w:rsidTr="007C54A2">
        <w:trPr>
          <w:trHeight w:val="302"/>
        </w:trPr>
        <w:tc>
          <w:tcPr>
            <w:tcW w:w="4450" w:type="dxa"/>
            <w:tcBorders>
              <w:top w:val="nil"/>
              <w:left w:val="single" w:sz="8" w:space="0" w:color="auto"/>
              <w:bottom w:val="nil"/>
              <w:right w:val="nil"/>
            </w:tcBorders>
            <w:shd w:val="clear" w:color="000000" w:fill="auto"/>
            <w:noWrap/>
            <w:vAlign w:val="bottom"/>
            <w:hideMark/>
          </w:tcPr>
          <w:p w:rsidR="00E5644C" w:rsidRPr="00E5644C" w:rsidRDefault="00E5644C" w:rsidP="007C54A2">
            <w:pPr>
              <w:ind w:firstLineChars="100" w:firstLine="200"/>
              <w:rPr>
                <w:sz w:val="20"/>
                <w:szCs w:val="22"/>
                <w:lang w:val="es-GT" w:eastAsia="es-GT"/>
              </w:rPr>
            </w:pPr>
            <w:r w:rsidRPr="00E5644C">
              <w:rPr>
                <w:sz w:val="20"/>
                <w:szCs w:val="22"/>
                <w:lang w:val="es-GT" w:eastAsia="es-GT"/>
              </w:rPr>
              <w:t>Financiamiento Externo Neto</w:t>
            </w:r>
          </w:p>
        </w:tc>
        <w:tc>
          <w:tcPr>
            <w:tcW w:w="1254" w:type="dxa"/>
            <w:tcBorders>
              <w:top w:val="nil"/>
              <w:left w:val="single" w:sz="8" w:space="0" w:color="auto"/>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2,354.1</w:t>
            </w:r>
          </w:p>
        </w:tc>
        <w:tc>
          <w:tcPr>
            <w:tcW w:w="1150" w:type="dxa"/>
            <w:tcBorders>
              <w:top w:val="nil"/>
              <w:left w:val="nil"/>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-705.0</w:t>
            </w:r>
          </w:p>
        </w:tc>
        <w:tc>
          <w:tcPr>
            <w:tcW w:w="1333" w:type="dxa"/>
            <w:tcBorders>
              <w:top w:val="nil"/>
              <w:left w:val="nil"/>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-3,059.1</w:t>
            </w:r>
          </w:p>
        </w:tc>
        <w:tc>
          <w:tcPr>
            <w:tcW w:w="1252" w:type="dxa"/>
            <w:tcBorders>
              <w:top w:val="nil"/>
              <w:left w:val="nil"/>
              <w:bottom w:val="nil"/>
              <w:right w:val="single" w:sz="8" w:space="0" w:color="auto"/>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433.9%</w:t>
            </w:r>
          </w:p>
        </w:tc>
      </w:tr>
      <w:tr w:rsidR="00E5644C" w:rsidRPr="00E5644C" w:rsidTr="007C54A2">
        <w:trPr>
          <w:trHeight w:val="302"/>
        </w:trPr>
        <w:tc>
          <w:tcPr>
            <w:tcW w:w="4450" w:type="dxa"/>
            <w:tcBorders>
              <w:top w:val="nil"/>
              <w:left w:val="single" w:sz="8" w:space="0" w:color="auto"/>
              <w:bottom w:val="nil"/>
              <w:right w:val="nil"/>
            </w:tcBorders>
            <w:shd w:val="clear" w:color="000000" w:fill="auto"/>
            <w:noWrap/>
            <w:vAlign w:val="bottom"/>
            <w:hideMark/>
          </w:tcPr>
          <w:p w:rsidR="00E5644C" w:rsidRPr="00E5644C" w:rsidRDefault="00E5644C" w:rsidP="00E5644C">
            <w:pPr>
              <w:ind w:firstLineChars="300" w:firstLine="600"/>
              <w:rPr>
                <w:sz w:val="20"/>
                <w:szCs w:val="22"/>
                <w:lang w:val="es-GT" w:eastAsia="es-GT"/>
              </w:rPr>
            </w:pPr>
            <w:r w:rsidRPr="00E5644C">
              <w:rPr>
                <w:sz w:val="20"/>
                <w:szCs w:val="22"/>
                <w:lang w:val="es-GT" w:eastAsia="es-GT"/>
              </w:rPr>
              <w:t>Préstamos</w:t>
            </w:r>
          </w:p>
        </w:tc>
        <w:tc>
          <w:tcPr>
            <w:tcW w:w="1254" w:type="dxa"/>
            <w:tcBorders>
              <w:top w:val="nil"/>
              <w:left w:val="single" w:sz="8" w:space="0" w:color="auto"/>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-1,323.7</w:t>
            </w:r>
          </w:p>
        </w:tc>
        <w:tc>
          <w:tcPr>
            <w:tcW w:w="1150" w:type="dxa"/>
            <w:tcBorders>
              <w:top w:val="nil"/>
              <w:left w:val="nil"/>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-705.0</w:t>
            </w:r>
          </w:p>
        </w:tc>
        <w:tc>
          <w:tcPr>
            <w:tcW w:w="1333" w:type="dxa"/>
            <w:tcBorders>
              <w:top w:val="nil"/>
              <w:left w:val="nil"/>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618.7</w:t>
            </w:r>
          </w:p>
        </w:tc>
        <w:tc>
          <w:tcPr>
            <w:tcW w:w="1252" w:type="dxa"/>
            <w:tcBorders>
              <w:top w:val="nil"/>
              <w:left w:val="nil"/>
              <w:bottom w:val="nil"/>
              <w:right w:val="single" w:sz="8" w:space="0" w:color="auto"/>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-87.8%</w:t>
            </w:r>
          </w:p>
        </w:tc>
      </w:tr>
      <w:tr w:rsidR="00E5644C" w:rsidRPr="00E5644C" w:rsidTr="007C54A2">
        <w:trPr>
          <w:trHeight w:val="302"/>
        </w:trPr>
        <w:tc>
          <w:tcPr>
            <w:tcW w:w="4450" w:type="dxa"/>
            <w:tcBorders>
              <w:top w:val="nil"/>
              <w:left w:val="single" w:sz="8" w:space="0" w:color="auto"/>
              <w:bottom w:val="nil"/>
              <w:right w:val="nil"/>
            </w:tcBorders>
            <w:shd w:val="clear" w:color="000000" w:fill="auto"/>
            <w:noWrap/>
            <w:vAlign w:val="bottom"/>
            <w:hideMark/>
          </w:tcPr>
          <w:p w:rsidR="00E5644C" w:rsidRPr="00E5644C" w:rsidRDefault="00E5644C" w:rsidP="00E5644C">
            <w:pPr>
              <w:ind w:firstLineChars="500" w:firstLine="1000"/>
              <w:rPr>
                <w:sz w:val="20"/>
                <w:szCs w:val="22"/>
                <w:lang w:val="es-GT" w:eastAsia="es-GT"/>
              </w:rPr>
            </w:pPr>
            <w:r w:rsidRPr="00E5644C">
              <w:rPr>
                <w:sz w:val="20"/>
                <w:szCs w:val="22"/>
                <w:lang w:val="es-GT" w:eastAsia="es-GT"/>
              </w:rPr>
              <w:t xml:space="preserve">Desembolsos  </w:t>
            </w:r>
          </w:p>
        </w:tc>
        <w:tc>
          <w:tcPr>
            <w:tcW w:w="1254" w:type="dxa"/>
            <w:tcBorders>
              <w:top w:val="nil"/>
              <w:left w:val="single" w:sz="8" w:space="0" w:color="auto"/>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87.7</w:t>
            </w:r>
          </w:p>
        </w:tc>
        <w:tc>
          <w:tcPr>
            <w:tcW w:w="1150" w:type="dxa"/>
            <w:tcBorders>
              <w:top w:val="nil"/>
              <w:left w:val="nil"/>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502.4</w:t>
            </w:r>
          </w:p>
        </w:tc>
        <w:tc>
          <w:tcPr>
            <w:tcW w:w="1333" w:type="dxa"/>
            <w:tcBorders>
              <w:top w:val="nil"/>
              <w:left w:val="nil"/>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414.7</w:t>
            </w:r>
          </w:p>
        </w:tc>
        <w:tc>
          <w:tcPr>
            <w:tcW w:w="1252" w:type="dxa"/>
            <w:tcBorders>
              <w:top w:val="nil"/>
              <w:left w:val="nil"/>
              <w:bottom w:val="nil"/>
              <w:right w:val="single" w:sz="8" w:space="0" w:color="auto"/>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82.5%</w:t>
            </w:r>
          </w:p>
        </w:tc>
      </w:tr>
      <w:tr w:rsidR="00E5644C" w:rsidRPr="00E5644C" w:rsidTr="007C54A2">
        <w:trPr>
          <w:trHeight w:val="302"/>
        </w:trPr>
        <w:tc>
          <w:tcPr>
            <w:tcW w:w="4450" w:type="dxa"/>
            <w:tcBorders>
              <w:top w:val="nil"/>
              <w:left w:val="single" w:sz="8" w:space="0" w:color="auto"/>
              <w:bottom w:val="nil"/>
              <w:right w:val="nil"/>
            </w:tcBorders>
            <w:shd w:val="clear" w:color="000000" w:fill="auto"/>
            <w:noWrap/>
            <w:vAlign w:val="bottom"/>
            <w:hideMark/>
          </w:tcPr>
          <w:p w:rsidR="00E5644C" w:rsidRPr="00E5644C" w:rsidRDefault="00E5644C" w:rsidP="00E5644C">
            <w:pPr>
              <w:ind w:firstLineChars="500" w:firstLine="1000"/>
              <w:rPr>
                <w:sz w:val="20"/>
                <w:szCs w:val="22"/>
                <w:lang w:val="es-GT" w:eastAsia="es-GT"/>
              </w:rPr>
            </w:pPr>
            <w:r w:rsidRPr="00E5644C">
              <w:rPr>
                <w:sz w:val="20"/>
                <w:szCs w:val="22"/>
                <w:lang w:val="es-GT" w:eastAsia="es-GT"/>
              </w:rPr>
              <w:t>Amortizaciones</w:t>
            </w:r>
          </w:p>
        </w:tc>
        <w:tc>
          <w:tcPr>
            <w:tcW w:w="1254" w:type="dxa"/>
            <w:tcBorders>
              <w:top w:val="nil"/>
              <w:left w:val="single" w:sz="8" w:space="0" w:color="auto"/>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1,411.5</w:t>
            </w:r>
          </w:p>
        </w:tc>
        <w:tc>
          <w:tcPr>
            <w:tcW w:w="1150" w:type="dxa"/>
            <w:tcBorders>
              <w:top w:val="nil"/>
              <w:left w:val="nil"/>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1,207.4</w:t>
            </w:r>
          </w:p>
        </w:tc>
        <w:tc>
          <w:tcPr>
            <w:tcW w:w="1333" w:type="dxa"/>
            <w:tcBorders>
              <w:top w:val="nil"/>
              <w:left w:val="nil"/>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-204.0</w:t>
            </w:r>
          </w:p>
        </w:tc>
        <w:tc>
          <w:tcPr>
            <w:tcW w:w="1252" w:type="dxa"/>
            <w:tcBorders>
              <w:top w:val="nil"/>
              <w:left w:val="nil"/>
              <w:bottom w:val="nil"/>
              <w:right w:val="single" w:sz="8" w:space="0" w:color="auto"/>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-16.9%</w:t>
            </w:r>
          </w:p>
        </w:tc>
      </w:tr>
      <w:tr w:rsidR="00E5644C" w:rsidRPr="00E5644C" w:rsidTr="007C54A2">
        <w:trPr>
          <w:trHeight w:val="302"/>
        </w:trPr>
        <w:tc>
          <w:tcPr>
            <w:tcW w:w="4450" w:type="dxa"/>
            <w:tcBorders>
              <w:top w:val="nil"/>
              <w:left w:val="single" w:sz="8" w:space="0" w:color="auto"/>
              <w:bottom w:val="nil"/>
              <w:right w:val="nil"/>
            </w:tcBorders>
            <w:shd w:val="clear" w:color="000000" w:fill="auto"/>
            <w:noWrap/>
            <w:vAlign w:val="bottom"/>
            <w:hideMark/>
          </w:tcPr>
          <w:p w:rsidR="00E5644C" w:rsidRPr="00E5644C" w:rsidRDefault="00E5644C" w:rsidP="00E5644C">
            <w:pPr>
              <w:ind w:firstLineChars="300" w:firstLine="600"/>
              <w:rPr>
                <w:sz w:val="20"/>
                <w:szCs w:val="22"/>
                <w:lang w:val="es-GT" w:eastAsia="es-GT"/>
              </w:rPr>
            </w:pPr>
            <w:r w:rsidRPr="00E5644C">
              <w:rPr>
                <w:sz w:val="20"/>
                <w:szCs w:val="22"/>
                <w:lang w:val="es-GT" w:eastAsia="es-GT"/>
              </w:rPr>
              <w:t>Eurobonos</w:t>
            </w:r>
          </w:p>
        </w:tc>
        <w:tc>
          <w:tcPr>
            <w:tcW w:w="1254" w:type="dxa"/>
            <w:tcBorders>
              <w:top w:val="nil"/>
              <w:left w:val="single" w:sz="8" w:space="0" w:color="auto"/>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3,677.9</w:t>
            </w:r>
          </w:p>
        </w:tc>
        <w:tc>
          <w:tcPr>
            <w:tcW w:w="1150" w:type="dxa"/>
            <w:tcBorders>
              <w:top w:val="nil"/>
              <w:left w:val="nil"/>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0.0</w:t>
            </w:r>
          </w:p>
        </w:tc>
        <w:tc>
          <w:tcPr>
            <w:tcW w:w="1333" w:type="dxa"/>
            <w:tcBorders>
              <w:top w:val="nil"/>
              <w:left w:val="nil"/>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-3,677.9</w:t>
            </w:r>
          </w:p>
        </w:tc>
        <w:tc>
          <w:tcPr>
            <w:tcW w:w="1252" w:type="dxa"/>
            <w:tcBorders>
              <w:top w:val="nil"/>
              <w:left w:val="nil"/>
              <w:bottom w:val="nil"/>
              <w:right w:val="single" w:sz="8" w:space="0" w:color="auto"/>
            </w:tcBorders>
            <w:shd w:val="clear" w:color="000000" w:fill="auto"/>
            <w:noWrap/>
            <w:vAlign w:val="center"/>
            <w:hideMark/>
          </w:tcPr>
          <w:p w:rsidR="00E5644C" w:rsidRPr="00E5644C" w:rsidRDefault="00E5644C" w:rsidP="00E5644C">
            <w:pPr>
              <w:jc w:val="center"/>
              <w:rPr>
                <w:sz w:val="20"/>
                <w:szCs w:val="22"/>
                <w:lang w:val="es-GT" w:eastAsia="es-GT"/>
              </w:rPr>
            </w:pPr>
          </w:p>
        </w:tc>
      </w:tr>
      <w:tr w:rsidR="00E5644C" w:rsidRPr="00E5644C" w:rsidTr="007C54A2">
        <w:trPr>
          <w:trHeight w:val="302"/>
        </w:trPr>
        <w:tc>
          <w:tcPr>
            <w:tcW w:w="4450" w:type="dxa"/>
            <w:tcBorders>
              <w:top w:val="nil"/>
              <w:left w:val="single" w:sz="8" w:space="0" w:color="auto"/>
              <w:bottom w:val="nil"/>
              <w:right w:val="nil"/>
            </w:tcBorders>
            <w:shd w:val="clear" w:color="000000" w:fill="auto"/>
            <w:noWrap/>
            <w:vAlign w:val="bottom"/>
            <w:hideMark/>
          </w:tcPr>
          <w:p w:rsidR="00E5644C" w:rsidRPr="00E5644C" w:rsidRDefault="00E5644C" w:rsidP="00E5644C">
            <w:pPr>
              <w:ind w:firstLineChars="100" w:firstLine="200"/>
              <w:rPr>
                <w:sz w:val="20"/>
                <w:szCs w:val="22"/>
                <w:lang w:val="es-GT" w:eastAsia="es-GT"/>
              </w:rPr>
            </w:pPr>
            <w:r w:rsidRPr="00E5644C">
              <w:rPr>
                <w:sz w:val="20"/>
                <w:szCs w:val="22"/>
                <w:lang w:val="es-GT" w:eastAsia="es-GT"/>
              </w:rPr>
              <w:t>Financiamiento Interno Neto</w:t>
            </w:r>
          </w:p>
        </w:tc>
        <w:tc>
          <w:tcPr>
            <w:tcW w:w="1254" w:type="dxa"/>
            <w:tcBorders>
              <w:top w:val="nil"/>
              <w:left w:val="single" w:sz="8" w:space="0" w:color="auto"/>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-2,825.8</w:t>
            </w:r>
          </w:p>
        </w:tc>
        <w:tc>
          <w:tcPr>
            <w:tcW w:w="1150" w:type="dxa"/>
            <w:tcBorders>
              <w:top w:val="nil"/>
              <w:left w:val="nil"/>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2,028.5</w:t>
            </w:r>
          </w:p>
        </w:tc>
        <w:tc>
          <w:tcPr>
            <w:tcW w:w="1333" w:type="dxa"/>
            <w:tcBorders>
              <w:top w:val="nil"/>
              <w:left w:val="nil"/>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4,854.3</w:t>
            </w:r>
          </w:p>
        </w:tc>
        <w:tc>
          <w:tcPr>
            <w:tcW w:w="1252" w:type="dxa"/>
            <w:tcBorders>
              <w:top w:val="nil"/>
              <w:left w:val="nil"/>
              <w:bottom w:val="nil"/>
              <w:right w:val="single" w:sz="8" w:space="0" w:color="auto"/>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239.3%</w:t>
            </w:r>
          </w:p>
        </w:tc>
      </w:tr>
      <w:tr w:rsidR="00E5644C" w:rsidRPr="00E5644C" w:rsidTr="007C54A2">
        <w:trPr>
          <w:trHeight w:val="302"/>
        </w:trPr>
        <w:tc>
          <w:tcPr>
            <w:tcW w:w="4450" w:type="dxa"/>
            <w:tcBorders>
              <w:top w:val="nil"/>
              <w:left w:val="single" w:sz="8" w:space="0" w:color="auto"/>
              <w:bottom w:val="nil"/>
              <w:right w:val="nil"/>
            </w:tcBorders>
            <w:shd w:val="clear" w:color="000000" w:fill="auto"/>
            <w:noWrap/>
            <w:vAlign w:val="bottom"/>
            <w:hideMark/>
          </w:tcPr>
          <w:p w:rsidR="00E5644C" w:rsidRPr="00E5644C" w:rsidRDefault="00E5644C" w:rsidP="00E5644C">
            <w:pPr>
              <w:ind w:firstLineChars="300" w:firstLine="600"/>
              <w:rPr>
                <w:sz w:val="20"/>
                <w:szCs w:val="22"/>
                <w:lang w:val="es-GT" w:eastAsia="es-GT"/>
              </w:rPr>
            </w:pPr>
            <w:r w:rsidRPr="00E5644C">
              <w:rPr>
                <w:sz w:val="20"/>
                <w:szCs w:val="22"/>
                <w:lang w:val="es-GT" w:eastAsia="es-GT"/>
              </w:rPr>
              <w:t xml:space="preserve">Negociación Neta </w:t>
            </w:r>
          </w:p>
        </w:tc>
        <w:tc>
          <w:tcPr>
            <w:tcW w:w="1254" w:type="dxa"/>
            <w:tcBorders>
              <w:top w:val="nil"/>
              <w:left w:val="single" w:sz="8" w:space="0" w:color="auto"/>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7,829.6</w:t>
            </w:r>
          </w:p>
        </w:tc>
        <w:tc>
          <w:tcPr>
            <w:tcW w:w="1150" w:type="dxa"/>
            <w:tcBorders>
              <w:top w:val="nil"/>
              <w:left w:val="nil"/>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4,451.5</w:t>
            </w:r>
          </w:p>
        </w:tc>
        <w:tc>
          <w:tcPr>
            <w:tcW w:w="1333" w:type="dxa"/>
            <w:tcBorders>
              <w:top w:val="nil"/>
              <w:left w:val="nil"/>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-3,378.2</w:t>
            </w:r>
          </w:p>
        </w:tc>
        <w:tc>
          <w:tcPr>
            <w:tcW w:w="1252" w:type="dxa"/>
            <w:tcBorders>
              <w:top w:val="nil"/>
              <w:left w:val="nil"/>
              <w:bottom w:val="nil"/>
              <w:right w:val="single" w:sz="8" w:space="0" w:color="auto"/>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-75.9%</w:t>
            </w:r>
          </w:p>
        </w:tc>
      </w:tr>
      <w:tr w:rsidR="00E5644C" w:rsidRPr="00E5644C" w:rsidTr="007C54A2">
        <w:trPr>
          <w:trHeight w:val="302"/>
        </w:trPr>
        <w:tc>
          <w:tcPr>
            <w:tcW w:w="4450" w:type="dxa"/>
            <w:tcBorders>
              <w:top w:val="nil"/>
              <w:left w:val="single" w:sz="8" w:space="0" w:color="auto"/>
              <w:bottom w:val="nil"/>
              <w:right w:val="nil"/>
            </w:tcBorders>
            <w:shd w:val="clear" w:color="000000" w:fill="auto"/>
            <w:noWrap/>
            <w:vAlign w:val="bottom"/>
            <w:hideMark/>
          </w:tcPr>
          <w:p w:rsidR="00E5644C" w:rsidRPr="00E5644C" w:rsidRDefault="00E5644C" w:rsidP="00E5644C">
            <w:pPr>
              <w:ind w:firstLineChars="500" w:firstLine="1000"/>
              <w:rPr>
                <w:sz w:val="20"/>
                <w:szCs w:val="22"/>
                <w:lang w:val="es-GT" w:eastAsia="es-GT"/>
              </w:rPr>
            </w:pPr>
            <w:r w:rsidRPr="00E5644C">
              <w:rPr>
                <w:sz w:val="20"/>
                <w:szCs w:val="22"/>
                <w:lang w:val="es-GT" w:eastAsia="es-GT"/>
              </w:rPr>
              <w:t>Negociación de Bonos</w:t>
            </w:r>
          </w:p>
        </w:tc>
        <w:tc>
          <w:tcPr>
            <w:tcW w:w="1254" w:type="dxa"/>
            <w:tcBorders>
              <w:top w:val="nil"/>
              <w:left w:val="single" w:sz="8" w:space="0" w:color="auto"/>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9,253.7</w:t>
            </w:r>
          </w:p>
        </w:tc>
        <w:tc>
          <w:tcPr>
            <w:tcW w:w="1150" w:type="dxa"/>
            <w:tcBorders>
              <w:top w:val="nil"/>
              <w:left w:val="nil"/>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5,379.1</w:t>
            </w:r>
          </w:p>
        </w:tc>
        <w:tc>
          <w:tcPr>
            <w:tcW w:w="1333" w:type="dxa"/>
            <w:tcBorders>
              <w:top w:val="nil"/>
              <w:left w:val="nil"/>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-3,874.6</w:t>
            </w:r>
          </w:p>
        </w:tc>
        <w:tc>
          <w:tcPr>
            <w:tcW w:w="1252" w:type="dxa"/>
            <w:tcBorders>
              <w:top w:val="nil"/>
              <w:left w:val="nil"/>
              <w:bottom w:val="nil"/>
              <w:right w:val="single" w:sz="8" w:space="0" w:color="auto"/>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-72.0%</w:t>
            </w:r>
          </w:p>
        </w:tc>
      </w:tr>
      <w:tr w:rsidR="00E5644C" w:rsidRPr="00E5644C" w:rsidTr="007C54A2">
        <w:trPr>
          <w:trHeight w:val="302"/>
        </w:trPr>
        <w:tc>
          <w:tcPr>
            <w:tcW w:w="4450" w:type="dxa"/>
            <w:tcBorders>
              <w:top w:val="nil"/>
              <w:left w:val="single" w:sz="8" w:space="0" w:color="auto"/>
              <w:bottom w:val="nil"/>
              <w:right w:val="nil"/>
            </w:tcBorders>
            <w:shd w:val="clear" w:color="000000" w:fill="auto"/>
            <w:noWrap/>
            <w:vAlign w:val="bottom"/>
            <w:hideMark/>
          </w:tcPr>
          <w:p w:rsidR="00E5644C" w:rsidRPr="00E5644C" w:rsidRDefault="00E5644C" w:rsidP="00E5644C">
            <w:pPr>
              <w:ind w:firstLineChars="500" w:firstLine="1000"/>
              <w:rPr>
                <w:sz w:val="20"/>
                <w:szCs w:val="22"/>
                <w:lang w:val="es-GT" w:eastAsia="es-GT"/>
              </w:rPr>
            </w:pPr>
            <w:r w:rsidRPr="00E5644C">
              <w:rPr>
                <w:sz w:val="20"/>
                <w:szCs w:val="22"/>
                <w:lang w:val="es-GT" w:eastAsia="es-GT"/>
              </w:rPr>
              <w:t>Amortizaciones</w:t>
            </w:r>
          </w:p>
        </w:tc>
        <w:tc>
          <w:tcPr>
            <w:tcW w:w="1254" w:type="dxa"/>
            <w:tcBorders>
              <w:top w:val="nil"/>
              <w:left w:val="single" w:sz="8" w:space="0" w:color="auto"/>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1,424.1</w:t>
            </w:r>
          </w:p>
        </w:tc>
        <w:tc>
          <w:tcPr>
            <w:tcW w:w="1150" w:type="dxa"/>
            <w:tcBorders>
              <w:top w:val="nil"/>
              <w:left w:val="nil"/>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927.7</w:t>
            </w:r>
          </w:p>
        </w:tc>
        <w:tc>
          <w:tcPr>
            <w:tcW w:w="1333" w:type="dxa"/>
            <w:tcBorders>
              <w:top w:val="nil"/>
              <w:left w:val="nil"/>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-496.4</w:t>
            </w:r>
          </w:p>
        </w:tc>
        <w:tc>
          <w:tcPr>
            <w:tcW w:w="1252" w:type="dxa"/>
            <w:tcBorders>
              <w:top w:val="nil"/>
              <w:left w:val="nil"/>
              <w:bottom w:val="nil"/>
              <w:right w:val="single" w:sz="8" w:space="0" w:color="auto"/>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-53.5%</w:t>
            </w:r>
          </w:p>
        </w:tc>
      </w:tr>
      <w:tr w:rsidR="00E5644C" w:rsidRPr="00E5644C" w:rsidTr="007C54A2">
        <w:trPr>
          <w:trHeight w:val="302"/>
        </w:trPr>
        <w:tc>
          <w:tcPr>
            <w:tcW w:w="4450" w:type="dxa"/>
            <w:tcBorders>
              <w:top w:val="nil"/>
              <w:left w:val="single" w:sz="8" w:space="0" w:color="auto"/>
              <w:bottom w:val="nil"/>
              <w:right w:val="nil"/>
            </w:tcBorders>
            <w:shd w:val="clear" w:color="000000" w:fill="auto"/>
            <w:noWrap/>
            <w:vAlign w:val="bottom"/>
            <w:hideMark/>
          </w:tcPr>
          <w:p w:rsidR="00E5644C" w:rsidRPr="00E5644C" w:rsidRDefault="00E5644C" w:rsidP="00E5644C">
            <w:pPr>
              <w:ind w:firstLineChars="300" w:firstLine="600"/>
              <w:rPr>
                <w:sz w:val="20"/>
                <w:szCs w:val="22"/>
                <w:lang w:val="es-GT" w:eastAsia="es-GT"/>
              </w:rPr>
            </w:pPr>
            <w:r w:rsidRPr="00E5644C">
              <w:rPr>
                <w:sz w:val="20"/>
                <w:szCs w:val="22"/>
                <w:lang w:val="es-GT" w:eastAsia="es-GT"/>
              </w:rPr>
              <w:t>Primas por colocación interna de bonos</w:t>
            </w:r>
          </w:p>
        </w:tc>
        <w:tc>
          <w:tcPr>
            <w:tcW w:w="1254" w:type="dxa"/>
            <w:tcBorders>
              <w:top w:val="nil"/>
              <w:left w:val="single" w:sz="8" w:space="0" w:color="auto"/>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114.6</w:t>
            </w:r>
          </w:p>
        </w:tc>
        <w:tc>
          <w:tcPr>
            <w:tcW w:w="1150" w:type="dxa"/>
            <w:tcBorders>
              <w:top w:val="nil"/>
              <w:left w:val="nil"/>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254.6</w:t>
            </w:r>
          </w:p>
        </w:tc>
        <w:tc>
          <w:tcPr>
            <w:tcW w:w="1333" w:type="dxa"/>
            <w:tcBorders>
              <w:top w:val="nil"/>
              <w:left w:val="nil"/>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140.0</w:t>
            </w:r>
          </w:p>
        </w:tc>
        <w:tc>
          <w:tcPr>
            <w:tcW w:w="1252" w:type="dxa"/>
            <w:tcBorders>
              <w:top w:val="nil"/>
              <w:left w:val="nil"/>
              <w:bottom w:val="nil"/>
              <w:right w:val="single" w:sz="8" w:space="0" w:color="auto"/>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55.0%</w:t>
            </w:r>
          </w:p>
        </w:tc>
      </w:tr>
      <w:tr w:rsidR="00E5644C" w:rsidRPr="00E5644C" w:rsidTr="007C54A2">
        <w:trPr>
          <w:trHeight w:val="302"/>
        </w:trPr>
        <w:tc>
          <w:tcPr>
            <w:tcW w:w="4450" w:type="dxa"/>
            <w:tcBorders>
              <w:top w:val="nil"/>
              <w:left w:val="single" w:sz="8" w:space="0" w:color="auto"/>
              <w:bottom w:val="nil"/>
              <w:right w:val="nil"/>
            </w:tcBorders>
            <w:shd w:val="clear" w:color="000000" w:fill="auto"/>
            <w:noWrap/>
            <w:vAlign w:val="bottom"/>
            <w:hideMark/>
          </w:tcPr>
          <w:p w:rsidR="00E5644C" w:rsidRPr="00E5644C" w:rsidRDefault="00E5644C" w:rsidP="00E5644C">
            <w:pPr>
              <w:ind w:firstLineChars="300" w:firstLine="600"/>
              <w:rPr>
                <w:sz w:val="20"/>
                <w:szCs w:val="22"/>
                <w:lang w:val="es-GT" w:eastAsia="es-GT"/>
              </w:rPr>
            </w:pPr>
            <w:r w:rsidRPr="00E5644C">
              <w:rPr>
                <w:sz w:val="20"/>
                <w:szCs w:val="22"/>
                <w:lang w:val="es-GT" w:eastAsia="es-GT"/>
              </w:rPr>
              <w:t>Amortización de Primas de la Deuda Interna</w:t>
            </w:r>
          </w:p>
        </w:tc>
        <w:tc>
          <w:tcPr>
            <w:tcW w:w="1254" w:type="dxa"/>
            <w:tcBorders>
              <w:top w:val="nil"/>
              <w:left w:val="single" w:sz="8" w:space="0" w:color="auto"/>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12.3</w:t>
            </w:r>
          </w:p>
        </w:tc>
        <w:tc>
          <w:tcPr>
            <w:tcW w:w="1150" w:type="dxa"/>
            <w:tcBorders>
              <w:top w:val="nil"/>
              <w:left w:val="nil"/>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18.4</w:t>
            </w:r>
          </w:p>
        </w:tc>
        <w:tc>
          <w:tcPr>
            <w:tcW w:w="1333" w:type="dxa"/>
            <w:tcBorders>
              <w:top w:val="nil"/>
              <w:left w:val="nil"/>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6.1</w:t>
            </w:r>
          </w:p>
        </w:tc>
        <w:tc>
          <w:tcPr>
            <w:tcW w:w="1252" w:type="dxa"/>
            <w:tcBorders>
              <w:top w:val="nil"/>
              <w:left w:val="nil"/>
              <w:bottom w:val="nil"/>
              <w:right w:val="single" w:sz="8" w:space="0" w:color="auto"/>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33.2%</w:t>
            </w:r>
          </w:p>
        </w:tc>
      </w:tr>
      <w:tr w:rsidR="00E5644C" w:rsidRPr="00E5644C" w:rsidTr="007C54A2">
        <w:trPr>
          <w:trHeight w:val="302"/>
        </w:trPr>
        <w:tc>
          <w:tcPr>
            <w:tcW w:w="4450" w:type="dxa"/>
            <w:tcBorders>
              <w:top w:val="nil"/>
              <w:left w:val="single" w:sz="8" w:space="0" w:color="auto"/>
              <w:bottom w:val="single" w:sz="8" w:space="0" w:color="auto"/>
              <w:right w:val="nil"/>
            </w:tcBorders>
            <w:shd w:val="clear" w:color="000000" w:fill="auto"/>
            <w:noWrap/>
            <w:vAlign w:val="bottom"/>
            <w:hideMark/>
          </w:tcPr>
          <w:p w:rsidR="00E5644C" w:rsidRPr="00E5644C" w:rsidRDefault="00E5644C" w:rsidP="007C54A2">
            <w:pPr>
              <w:ind w:firstLineChars="100" w:firstLine="200"/>
              <w:rPr>
                <w:sz w:val="20"/>
                <w:szCs w:val="22"/>
                <w:lang w:val="es-GT" w:eastAsia="es-GT"/>
              </w:rPr>
            </w:pPr>
            <w:r w:rsidRPr="007C54A2">
              <w:rPr>
                <w:sz w:val="20"/>
                <w:szCs w:val="22"/>
                <w:lang w:val="es-GT" w:eastAsia="es-GT"/>
              </w:rPr>
              <w:t>Variación de Caja (+) disminución (-) aumento</w:t>
            </w:r>
          </w:p>
        </w:tc>
        <w:tc>
          <w:tcPr>
            <w:tcW w:w="1254" w:type="dxa"/>
            <w:tcBorders>
              <w:top w:val="nil"/>
              <w:left w:val="single" w:sz="8" w:space="0" w:color="auto"/>
              <w:bottom w:val="single" w:sz="8" w:space="0" w:color="auto"/>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-10,553.1</w:t>
            </w:r>
          </w:p>
        </w:tc>
        <w:tc>
          <w:tcPr>
            <w:tcW w:w="1150" w:type="dxa"/>
            <w:tcBorders>
              <w:top w:val="nil"/>
              <w:left w:val="nil"/>
              <w:bottom w:val="single" w:sz="8" w:space="0" w:color="auto"/>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-2,659.1</w:t>
            </w:r>
          </w:p>
        </w:tc>
        <w:tc>
          <w:tcPr>
            <w:tcW w:w="1333" w:type="dxa"/>
            <w:tcBorders>
              <w:top w:val="nil"/>
              <w:left w:val="nil"/>
              <w:bottom w:val="single" w:sz="8" w:space="0" w:color="auto"/>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7,894.0</w:t>
            </w:r>
          </w:p>
        </w:tc>
        <w:tc>
          <w:tcPr>
            <w:tcW w:w="1252" w:type="dxa"/>
            <w:tcBorders>
              <w:top w:val="nil"/>
              <w:left w:val="nil"/>
              <w:bottom w:val="single" w:sz="8" w:space="0" w:color="auto"/>
              <w:right w:val="single" w:sz="8" w:space="0" w:color="auto"/>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-296.9%</w:t>
            </w:r>
          </w:p>
        </w:tc>
      </w:tr>
    </w:tbl>
    <w:p w:rsidR="00AB0496" w:rsidRPr="000C3FEC" w:rsidRDefault="00AB0496" w:rsidP="00E021FF">
      <w:pPr>
        <w:jc w:val="both"/>
        <w:rPr>
          <w:sz w:val="16"/>
          <w:lang w:val="es-MX"/>
        </w:rPr>
      </w:pPr>
      <w:r w:rsidRPr="000C3FEC">
        <w:rPr>
          <w:sz w:val="16"/>
          <w:lang w:val="es-MX"/>
        </w:rPr>
        <w:t>Fuente: Ministerio de Finanzas Públicas con base al SICOIN.</w:t>
      </w:r>
    </w:p>
    <w:p w:rsidR="00AB0496" w:rsidRPr="000C3FEC" w:rsidRDefault="00AB0496" w:rsidP="00E021FF">
      <w:pPr>
        <w:jc w:val="both"/>
        <w:rPr>
          <w:sz w:val="16"/>
          <w:lang w:val="es-MX"/>
        </w:rPr>
      </w:pPr>
      <w:r w:rsidRPr="000C3FEC">
        <w:rPr>
          <w:sz w:val="16"/>
          <w:lang w:val="es-MX"/>
        </w:rPr>
        <w:t>* Cifras preliminares</w:t>
      </w:r>
      <w:r w:rsidR="00467ED3">
        <w:rPr>
          <w:sz w:val="16"/>
          <w:lang w:val="es-MX"/>
        </w:rPr>
        <w:t>.</w:t>
      </w:r>
    </w:p>
    <w:p w:rsidR="00AB0496" w:rsidRPr="00FB641E" w:rsidRDefault="00AB0496" w:rsidP="00AB0496">
      <w:pPr>
        <w:jc w:val="both"/>
        <w:rPr>
          <w:sz w:val="12"/>
          <w:lang w:val="es-MX"/>
        </w:rPr>
      </w:pPr>
    </w:p>
    <w:p w:rsidR="00AB0496" w:rsidRPr="00FB641E" w:rsidRDefault="00AB0496" w:rsidP="00AB0496">
      <w:pPr>
        <w:jc w:val="both"/>
        <w:rPr>
          <w:lang w:val="es-MX"/>
        </w:rPr>
      </w:pPr>
    </w:p>
    <w:p w:rsidR="00AB0496" w:rsidRPr="00FB641E" w:rsidRDefault="00AB0496" w:rsidP="00AB0496">
      <w:pPr>
        <w:jc w:val="both"/>
        <w:rPr>
          <w:lang w:val="es-MX"/>
        </w:rPr>
      </w:pPr>
    </w:p>
    <w:p w:rsidR="00AB0496" w:rsidRDefault="00AB0496" w:rsidP="00AB0496">
      <w:pPr>
        <w:rPr>
          <w:b/>
          <w:bCs/>
          <w:szCs w:val="26"/>
          <w:highlight w:val="yellow"/>
        </w:rPr>
      </w:pPr>
      <w:r>
        <w:rPr>
          <w:highlight w:val="yellow"/>
        </w:rPr>
        <w:br w:type="page"/>
      </w:r>
    </w:p>
    <w:p w:rsidR="00AB0496" w:rsidRPr="00C87438" w:rsidRDefault="00AB0496" w:rsidP="00AB0496">
      <w:pPr>
        <w:rPr>
          <w:b/>
          <w:sz w:val="22"/>
          <w:highlight w:val="yellow"/>
          <w:lang w:val="es-MX"/>
        </w:rPr>
      </w:pPr>
    </w:p>
    <w:p w:rsidR="00AB0496" w:rsidRPr="00AB0496" w:rsidRDefault="00AB0496" w:rsidP="00AB0496">
      <w:pPr>
        <w:keepNext/>
        <w:keepLines/>
        <w:numPr>
          <w:ilvl w:val="2"/>
          <w:numId w:val="4"/>
        </w:numPr>
        <w:spacing w:before="200"/>
        <w:outlineLvl w:val="2"/>
        <w:rPr>
          <w:b/>
          <w:bCs/>
          <w:lang w:val="es-MX"/>
        </w:rPr>
      </w:pPr>
      <w:bookmarkStart w:id="32" w:name="_Toc426531166"/>
      <w:bookmarkStart w:id="33" w:name="_Toc460422682"/>
      <w:bookmarkStart w:id="34" w:name="_Toc494447091"/>
      <w:bookmarkStart w:id="35" w:name="_Toc525824413"/>
      <w:r w:rsidRPr="00AB0496">
        <w:rPr>
          <w:b/>
          <w:bCs/>
          <w:lang w:val="es-MX"/>
        </w:rPr>
        <w:t>Servicio</w:t>
      </w:r>
      <w:r w:rsidR="00EB5485">
        <w:rPr>
          <w:b/>
          <w:bCs/>
          <w:lang w:val="es-MX"/>
        </w:rPr>
        <w:t>s</w:t>
      </w:r>
      <w:r w:rsidRPr="00AB0496">
        <w:rPr>
          <w:b/>
          <w:bCs/>
          <w:lang w:val="es-MX"/>
        </w:rPr>
        <w:t xml:space="preserve"> de la </w:t>
      </w:r>
      <w:r w:rsidR="00B20C2F">
        <w:rPr>
          <w:b/>
          <w:bCs/>
          <w:lang w:val="es-MX"/>
        </w:rPr>
        <w:t>D</w:t>
      </w:r>
      <w:r w:rsidRPr="00AB0496">
        <w:rPr>
          <w:b/>
          <w:bCs/>
          <w:lang w:val="es-MX"/>
        </w:rPr>
        <w:t xml:space="preserve">euda </w:t>
      </w:r>
      <w:r w:rsidR="00B20C2F">
        <w:rPr>
          <w:b/>
          <w:bCs/>
          <w:lang w:val="es-MX"/>
        </w:rPr>
        <w:t>P</w:t>
      </w:r>
      <w:r w:rsidRPr="00AB0496">
        <w:rPr>
          <w:b/>
          <w:bCs/>
          <w:lang w:val="es-MX"/>
        </w:rPr>
        <w:t>ública</w:t>
      </w:r>
      <w:bookmarkEnd w:id="32"/>
      <w:bookmarkEnd w:id="33"/>
      <w:bookmarkEnd w:id="34"/>
      <w:bookmarkEnd w:id="35"/>
    </w:p>
    <w:p w:rsidR="00AB0496" w:rsidRPr="00615FD2" w:rsidRDefault="00AB0496" w:rsidP="00AB0496">
      <w:pPr>
        <w:jc w:val="both"/>
      </w:pPr>
    </w:p>
    <w:p w:rsidR="00AB0496" w:rsidRPr="00615FD2" w:rsidRDefault="00AB0496" w:rsidP="00AB0496">
      <w:pPr>
        <w:jc w:val="both"/>
        <w:rPr>
          <w:lang w:val="es-MX"/>
        </w:rPr>
      </w:pPr>
      <w:r w:rsidRPr="00615FD2">
        <w:rPr>
          <w:lang w:val="es-MX"/>
        </w:rPr>
        <w:t>El Ministerio de Finanzas Públicas</w:t>
      </w:r>
      <w:r>
        <w:rPr>
          <w:lang w:val="es-MX"/>
        </w:rPr>
        <w:t>, a través de la Dirección de Crédito Público,</w:t>
      </w:r>
      <w:r w:rsidRPr="00615FD2">
        <w:rPr>
          <w:lang w:val="es-MX"/>
        </w:rPr>
        <w:t xml:space="preserve"> ha efectuado el pago de las obligaciones programadas de</w:t>
      </w:r>
      <w:r w:rsidR="00EA0A6E">
        <w:rPr>
          <w:lang w:val="es-MX"/>
        </w:rPr>
        <w:t xml:space="preserve"> los</w:t>
      </w:r>
      <w:r w:rsidRPr="00615FD2">
        <w:rPr>
          <w:lang w:val="es-MX"/>
        </w:rPr>
        <w:t xml:space="preserve"> </w:t>
      </w:r>
      <w:r w:rsidR="00EA0A6E">
        <w:rPr>
          <w:lang w:val="es-MX"/>
        </w:rPr>
        <w:t>S</w:t>
      </w:r>
      <w:r w:rsidRPr="00615FD2">
        <w:rPr>
          <w:lang w:val="es-MX"/>
        </w:rPr>
        <w:t>ervicio</w:t>
      </w:r>
      <w:r w:rsidR="00EA0A6E">
        <w:rPr>
          <w:lang w:val="es-MX"/>
        </w:rPr>
        <w:t>s</w:t>
      </w:r>
      <w:r w:rsidRPr="00615FD2">
        <w:rPr>
          <w:lang w:val="es-MX"/>
        </w:rPr>
        <w:t xml:space="preserve"> de la </w:t>
      </w:r>
      <w:r w:rsidR="00EA0A6E">
        <w:rPr>
          <w:lang w:val="es-MX"/>
        </w:rPr>
        <w:t>D</w:t>
      </w:r>
      <w:r w:rsidRPr="00615FD2">
        <w:rPr>
          <w:lang w:val="es-MX"/>
        </w:rPr>
        <w:t xml:space="preserve">euda </w:t>
      </w:r>
      <w:r w:rsidR="00EA0A6E">
        <w:rPr>
          <w:lang w:val="es-MX"/>
        </w:rPr>
        <w:t>P</w:t>
      </w:r>
      <w:r w:rsidRPr="00615FD2">
        <w:rPr>
          <w:lang w:val="es-MX"/>
        </w:rPr>
        <w:t>ública, alcanzando una ejecución al 30 de junio de 201</w:t>
      </w:r>
      <w:r>
        <w:rPr>
          <w:lang w:val="es-MX"/>
        </w:rPr>
        <w:t>8</w:t>
      </w:r>
      <w:r w:rsidRPr="00615FD2">
        <w:rPr>
          <w:lang w:val="es-MX"/>
        </w:rPr>
        <w:t xml:space="preserve"> de Q</w:t>
      </w:r>
      <w:r w:rsidR="00EA0A6E">
        <w:rPr>
          <w:lang w:val="es-MX"/>
        </w:rPr>
        <w:t>.</w:t>
      </w:r>
      <w:r w:rsidRPr="00615FD2">
        <w:rPr>
          <w:lang w:val="es-MX"/>
        </w:rPr>
        <w:t>5</w:t>
      </w:r>
      <w:proofErr w:type="gramStart"/>
      <w:r w:rsidRPr="00615FD2">
        <w:rPr>
          <w:lang w:val="es-MX"/>
        </w:rPr>
        <w:t>,</w:t>
      </w:r>
      <w:r>
        <w:rPr>
          <w:lang w:val="es-MX"/>
        </w:rPr>
        <w:t>313.4</w:t>
      </w:r>
      <w:proofErr w:type="gramEnd"/>
      <w:r>
        <w:rPr>
          <w:lang w:val="es-MX"/>
        </w:rPr>
        <w:t xml:space="preserve"> millones, equivalente</w:t>
      </w:r>
      <w:r w:rsidR="00EA0A6E">
        <w:rPr>
          <w:lang w:val="es-MX"/>
        </w:rPr>
        <w:t>s</w:t>
      </w:r>
      <w:r w:rsidRPr="00615FD2">
        <w:rPr>
          <w:lang w:val="es-MX"/>
        </w:rPr>
        <w:t xml:space="preserve"> al </w:t>
      </w:r>
      <w:r>
        <w:rPr>
          <w:lang w:val="es-MX"/>
        </w:rPr>
        <w:t>44.1</w:t>
      </w:r>
      <w:r w:rsidRPr="00615FD2">
        <w:rPr>
          <w:lang w:val="es-MX"/>
        </w:rPr>
        <w:t xml:space="preserve">% </w:t>
      </w:r>
      <w:r w:rsidR="00E5644C">
        <w:rPr>
          <w:lang w:val="es-MX"/>
        </w:rPr>
        <w:t>de su asignación presupuestaria programada</w:t>
      </w:r>
      <w:r w:rsidRPr="00615FD2">
        <w:rPr>
          <w:lang w:val="es-MX"/>
        </w:rPr>
        <w:t xml:space="preserve">. Dicho monto </w:t>
      </w:r>
      <w:r>
        <w:rPr>
          <w:lang w:val="es-MX"/>
        </w:rPr>
        <w:t xml:space="preserve">está conformado por deuda </w:t>
      </w:r>
      <w:r w:rsidRPr="00615FD2">
        <w:rPr>
          <w:lang w:val="es-MX"/>
        </w:rPr>
        <w:t>interna</w:t>
      </w:r>
      <w:r>
        <w:rPr>
          <w:lang w:val="es-MX"/>
        </w:rPr>
        <w:t xml:space="preserve"> (bonificada)</w:t>
      </w:r>
      <w:r w:rsidRPr="00615FD2">
        <w:rPr>
          <w:lang w:val="es-MX"/>
        </w:rPr>
        <w:t xml:space="preserve"> por Q</w:t>
      </w:r>
      <w:r w:rsidR="00EA0A6E">
        <w:rPr>
          <w:lang w:val="es-MX"/>
        </w:rPr>
        <w:t>.</w:t>
      </w:r>
      <w:r w:rsidRPr="00615FD2">
        <w:rPr>
          <w:lang w:val="es-MX"/>
        </w:rPr>
        <w:t>2</w:t>
      </w:r>
      <w:proofErr w:type="gramStart"/>
      <w:r w:rsidRPr="00615FD2">
        <w:rPr>
          <w:lang w:val="es-MX"/>
        </w:rPr>
        <w:t>,</w:t>
      </w:r>
      <w:r>
        <w:rPr>
          <w:lang w:val="es-MX"/>
        </w:rPr>
        <w:t>783.6</w:t>
      </w:r>
      <w:proofErr w:type="gramEnd"/>
      <w:r w:rsidRPr="00615FD2">
        <w:rPr>
          <w:lang w:val="es-MX"/>
        </w:rPr>
        <w:t xml:space="preserve"> millones, equivalentes al </w:t>
      </w:r>
      <w:r>
        <w:rPr>
          <w:lang w:val="es-MX"/>
        </w:rPr>
        <w:t>52.4</w:t>
      </w:r>
      <w:r w:rsidRPr="00615FD2">
        <w:rPr>
          <w:lang w:val="es-MX"/>
        </w:rPr>
        <w:t>%; y deuda externa</w:t>
      </w:r>
      <w:r>
        <w:rPr>
          <w:lang w:val="es-MX"/>
        </w:rPr>
        <w:t xml:space="preserve"> (eurobonos y préstamos externos)</w:t>
      </w:r>
      <w:r w:rsidRPr="00615FD2">
        <w:rPr>
          <w:lang w:val="es-MX"/>
        </w:rPr>
        <w:t>, con una ejecución de Q</w:t>
      </w:r>
      <w:r w:rsidR="00EA0A6E">
        <w:rPr>
          <w:lang w:val="es-MX"/>
        </w:rPr>
        <w:t>.</w:t>
      </w:r>
      <w:r w:rsidRPr="00615FD2">
        <w:rPr>
          <w:lang w:val="es-MX"/>
        </w:rPr>
        <w:t>2,</w:t>
      </w:r>
      <w:r>
        <w:rPr>
          <w:lang w:val="es-MX"/>
        </w:rPr>
        <w:t>529.8</w:t>
      </w:r>
      <w:r w:rsidRPr="00615FD2">
        <w:rPr>
          <w:lang w:val="es-MX"/>
        </w:rPr>
        <w:t xml:space="preserve"> millones, correspondientes al </w:t>
      </w:r>
      <w:r>
        <w:rPr>
          <w:lang w:val="es-MX"/>
        </w:rPr>
        <w:t>47.6</w:t>
      </w:r>
      <w:r w:rsidRPr="00615FD2">
        <w:rPr>
          <w:lang w:val="es-MX"/>
        </w:rPr>
        <w:t>%.</w:t>
      </w:r>
    </w:p>
    <w:p w:rsidR="00AB0496" w:rsidRDefault="00AB0496" w:rsidP="00AB0496">
      <w:pPr>
        <w:jc w:val="center"/>
        <w:rPr>
          <w:b/>
          <w:sz w:val="22"/>
          <w:lang w:val="es-MX"/>
        </w:rPr>
      </w:pPr>
    </w:p>
    <w:p w:rsidR="00806DD8" w:rsidRDefault="00806DD8" w:rsidP="00AB0496">
      <w:pPr>
        <w:jc w:val="center"/>
        <w:rPr>
          <w:b/>
          <w:sz w:val="22"/>
          <w:lang w:val="es-MX"/>
        </w:rPr>
      </w:pPr>
    </w:p>
    <w:p w:rsidR="00AB0496" w:rsidRPr="00FB641E" w:rsidRDefault="00AB0496" w:rsidP="00AB0496">
      <w:pPr>
        <w:jc w:val="center"/>
        <w:rPr>
          <w:b/>
          <w:sz w:val="22"/>
          <w:lang w:val="es-MX"/>
        </w:rPr>
      </w:pPr>
      <w:r w:rsidRPr="00FB641E">
        <w:rPr>
          <w:b/>
          <w:sz w:val="22"/>
          <w:lang w:val="es-MX"/>
        </w:rPr>
        <w:t xml:space="preserve">Gráfica </w:t>
      </w:r>
      <w:r>
        <w:rPr>
          <w:b/>
          <w:sz w:val="22"/>
          <w:lang w:val="es-MX"/>
        </w:rPr>
        <w:t>1</w:t>
      </w:r>
      <w:r w:rsidR="004720E6">
        <w:rPr>
          <w:b/>
          <w:sz w:val="22"/>
          <w:lang w:val="es-MX"/>
        </w:rPr>
        <w:t>2</w:t>
      </w:r>
    </w:p>
    <w:p w:rsidR="00AB0496" w:rsidRPr="0088577C" w:rsidRDefault="00AB0496" w:rsidP="00AB0496">
      <w:pPr>
        <w:jc w:val="center"/>
        <w:rPr>
          <w:b/>
          <w:sz w:val="22"/>
          <w:szCs w:val="22"/>
          <w:lang w:val="es-MX"/>
        </w:rPr>
      </w:pPr>
      <w:r>
        <w:rPr>
          <w:b/>
          <w:sz w:val="22"/>
          <w:szCs w:val="22"/>
          <w:lang w:val="es-MX"/>
        </w:rPr>
        <w:t xml:space="preserve">Comportamiento del </w:t>
      </w:r>
      <w:r w:rsidR="00BF2053">
        <w:rPr>
          <w:b/>
          <w:sz w:val="22"/>
          <w:szCs w:val="22"/>
          <w:lang w:val="es-MX"/>
        </w:rPr>
        <w:t>S</w:t>
      </w:r>
      <w:r>
        <w:rPr>
          <w:b/>
          <w:sz w:val="22"/>
          <w:szCs w:val="22"/>
          <w:lang w:val="es-MX"/>
        </w:rPr>
        <w:t>aldo de la Deuda Pública</w:t>
      </w:r>
      <w:r w:rsidR="00303437">
        <w:rPr>
          <w:b/>
          <w:sz w:val="22"/>
          <w:szCs w:val="22"/>
          <w:lang w:val="es-MX"/>
        </w:rPr>
        <w:t>*</w:t>
      </w:r>
    </w:p>
    <w:p w:rsidR="00AB0496" w:rsidRPr="0088577C" w:rsidRDefault="00AB0496" w:rsidP="00AB0496">
      <w:pPr>
        <w:jc w:val="center"/>
        <w:rPr>
          <w:b/>
          <w:sz w:val="22"/>
          <w:szCs w:val="22"/>
          <w:lang w:val="es-MX"/>
        </w:rPr>
      </w:pPr>
      <w:r>
        <w:rPr>
          <w:b/>
          <w:sz w:val="22"/>
          <w:szCs w:val="22"/>
          <w:lang w:val="es-MX"/>
        </w:rPr>
        <w:t>Per</w:t>
      </w:r>
      <w:r w:rsidR="00BF2053">
        <w:rPr>
          <w:b/>
          <w:sz w:val="22"/>
          <w:szCs w:val="22"/>
          <w:lang w:val="es-MX"/>
        </w:rPr>
        <w:t>í</w:t>
      </w:r>
      <w:r>
        <w:rPr>
          <w:b/>
          <w:sz w:val="22"/>
          <w:szCs w:val="22"/>
          <w:lang w:val="es-MX"/>
        </w:rPr>
        <w:t xml:space="preserve">odo </w:t>
      </w:r>
      <w:r w:rsidRPr="0088577C">
        <w:rPr>
          <w:b/>
          <w:sz w:val="22"/>
          <w:szCs w:val="22"/>
          <w:lang w:val="es-MX"/>
        </w:rPr>
        <w:t>200</w:t>
      </w:r>
      <w:r>
        <w:rPr>
          <w:b/>
          <w:sz w:val="22"/>
          <w:szCs w:val="22"/>
          <w:lang w:val="es-MX"/>
        </w:rPr>
        <w:t>9</w:t>
      </w:r>
      <w:r w:rsidR="00303437">
        <w:rPr>
          <w:b/>
          <w:sz w:val="22"/>
          <w:szCs w:val="22"/>
          <w:lang w:val="es-MX"/>
        </w:rPr>
        <w:t>-</w:t>
      </w:r>
      <w:r w:rsidRPr="0088577C">
        <w:rPr>
          <w:b/>
          <w:sz w:val="22"/>
          <w:szCs w:val="22"/>
          <w:lang w:val="es-MX"/>
        </w:rPr>
        <w:t>201</w:t>
      </w:r>
      <w:r>
        <w:rPr>
          <w:b/>
          <w:sz w:val="22"/>
          <w:szCs w:val="22"/>
          <w:lang w:val="es-MX"/>
        </w:rPr>
        <w:t>8</w:t>
      </w:r>
    </w:p>
    <w:p w:rsidR="00AB0496" w:rsidRPr="0088577C" w:rsidRDefault="00AB0496" w:rsidP="00AB0496">
      <w:pPr>
        <w:jc w:val="center"/>
        <w:rPr>
          <w:b/>
          <w:sz w:val="22"/>
          <w:szCs w:val="22"/>
          <w:lang w:val="es-MX"/>
        </w:rPr>
      </w:pPr>
      <w:r w:rsidRPr="0088577C">
        <w:rPr>
          <w:b/>
          <w:sz w:val="22"/>
          <w:szCs w:val="22"/>
          <w:lang w:val="es-MX"/>
        </w:rPr>
        <w:t>(Cifras en Millones de Quetzales y Porcentajes del PIB)</w:t>
      </w:r>
    </w:p>
    <w:p w:rsidR="00AB0496" w:rsidRDefault="00AB0496" w:rsidP="00AB0496">
      <w:pPr>
        <w:jc w:val="both"/>
        <w:rPr>
          <w:lang w:val="es-MX"/>
        </w:rPr>
      </w:pPr>
      <w:r>
        <w:rPr>
          <w:noProof/>
          <w:lang w:val="es-GT" w:eastAsia="es-GT"/>
        </w:rPr>
        <w:drawing>
          <wp:inline distT="0" distB="0" distL="0" distR="0" wp14:anchorId="0A08A0F8" wp14:editId="0813F03C">
            <wp:extent cx="5612130" cy="2710180"/>
            <wp:effectExtent l="0" t="0" r="7620"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021FF" w:rsidRPr="000C3FEC" w:rsidRDefault="00467ED3" w:rsidP="00E021FF">
      <w:pPr>
        <w:jc w:val="both"/>
        <w:rPr>
          <w:sz w:val="16"/>
          <w:lang w:val="es-MX"/>
        </w:rPr>
      </w:pPr>
      <w:r>
        <w:rPr>
          <w:sz w:val="16"/>
          <w:lang w:val="es-MX"/>
        </w:rPr>
        <w:t xml:space="preserve">     </w:t>
      </w:r>
      <w:r w:rsidR="00E021FF" w:rsidRPr="000C3FEC">
        <w:rPr>
          <w:sz w:val="16"/>
          <w:lang w:val="es-MX"/>
        </w:rPr>
        <w:t>Fuente: Ministerio de Finanzas Públicas.</w:t>
      </w:r>
    </w:p>
    <w:p w:rsidR="00E021FF" w:rsidRPr="000C3FEC" w:rsidRDefault="00467ED3" w:rsidP="00E021FF">
      <w:pPr>
        <w:jc w:val="both"/>
        <w:rPr>
          <w:sz w:val="16"/>
          <w:lang w:val="es-MX"/>
        </w:rPr>
      </w:pPr>
      <w:r>
        <w:rPr>
          <w:sz w:val="16"/>
          <w:lang w:val="es-MX"/>
        </w:rPr>
        <w:t xml:space="preserve">     </w:t>
      </w:r>
      <w:r w:rsidR="00E021FF" w:rsidRPr="000C3FEC">
        <w:rPr>
          <w:sz w:val="16"/>
          <w:lang w:val="es-MX"/>
        </w:rPr>
        <w:t xml:space="preserve">* </w:t>
      </w:r>
      <w:r w:rsidR="00303437">
        <w:rPr>
          <w:sz w:val="16"/>
          <w:lang w:val="es-MX"/>
        </w:rPr>
        <w:t>De 2009 a 2017 corresponde al saldo de la Deuda Pública al final del año; y en 2018 corresponde al saldo al 30 de junio.</w:t>
      </w:r>
    </w:p>
    <w:p w:rsidR="00E021FF" w:rsidRPr="00806DD8" w:rsidRDefault="00E021FF" w:rsidP="00AB0496">
      <w:pPr>
        <w:jc w:val="both"/>
        <w:rPr>
          <w:sz w:val="32"/>
          <w:lang w:val="es-MX"/>
        </w:rPr>
      </w:pPr>
    </w:p>
    <w:p w:rsidR="00AB0496" w:rsidRPr="00615FD2" w:rsidRDefault="004720E6" w:rsidP="00AB0496">
      <w:pPr>
        <w:jc w:val="both"/>
        <w:rPr>
          <w:lang w:val="es-MX"/>
        </w:rPr>
      </w:pPr>
      <w:r>
        <w:rPr>
          <w:lang w:val="es-MX"/>
        </w:rPr>
        <w:t>Durante el periodo de 2009 a 2018, e</w:t>
      </w:r>
      <w:r w:rsidR="00AB0496">
        <w:rPr>
          <w:lang w:val="es-MX"/>
        </w:rPr>
        <w:t xml:space="preserve">l saldo de la deuda publica mantiene </w:t>
      </w:r>
      <w:r>
        <w:rPr>
          <w:lang w:val="es-MX"/>
        </w:rPr>
        <w:t xml:space="preserve">en términos absolutos </w:t>
      </w:r>
      <w:r w:rsidR="00AB0496">
        <w:rPr>
          <w:lang w:val="es-MX"/>
        </w:rPr>
        <w:t xml:space="preserve">un comportamiento creciente con una tasa promedio anual de 7.6%; sin embargo, al observar la situación de la </w:t>
      </w:r>
      <w:r w:rsidR="00884BE1">
        <w:rPr>
          <w:lang w:val="es-MX"/>
        </w:rPr>
        <w:t>d</w:t>
      </w:r>
      <w:r w:rsidR="00AB0496">
        <w:rPr>
          <w:lang w:val="es-MX"/>
        </w:rPr>
        <w:t>euda</w:t>
      </w:r>
      <w:r w:rsidR="00884BE1">
        <w:rPr>
          <w:lang w:val="es-MX"/>
        </w:rPr>
        <w:t xml:space="preserve"> pública</w:t>
      </w:r>
      <w:r w:rsidR="00AB0496">
        <w:rPr>
          <w:lang w:val="es-MX"/>
        </w:rPr>
        <w:t xml:space="preserve"> con relación al PIB</w:t>
      </w:r>
      <w:r w:rsidR="00884BE1">
        <w:rPr>
          <w:lang w:val="es-MX"/>
        </w:rPr>
        <w:t>,</w:t>
      </w:r>
      <w:r w:rsidR="00AB0496">
        <w:rPr>
          <w:lang w:val="es-MX"/>
        </w:rPr>
        <w:t xml:space="preserve"> </w:t>
      </w:r>
      <w:r>
        <w:rPr>
          <w:lang w:val="es-MX"/>
        </w:rPr>
        <w:t xml:space="preserve">la misma </w:t>
      </w:r>
      <w:r w:rsidR="00AB0496">
        <w:rPr>
          <w:lang w:val="es-MX"/>
        </w:rPr>
        <w:t xml:space="preserve">manifiesta una tendencia </w:t>
      </w:r>
      <w:r>
        <w:rPr>
          <w:lang w:val="es-MX"/>
        </w:rPr>
        <w:t>decreciente</w:t>
      </w:r>
      <w:r w:rsidR="00E5644C">
        <w:rPr>
          <w:lang w:val="es-MX"/>
        </w:rPr>
        <w:t>, ubicándose en 23.4%</w:t>
      </w:r>
      <w:r w:rsidR="00884BE1">
        <w:rPr>
          <w:lang w:val="es-MX"/>
        </w:rPr>
        <w:t>,</w:t>
      </w:r>
      <w:r w:rsidR="00E5644C">
        <w:rPr>
          <w:lang w:val="es-MX"/>
        </w:rPr>
        <w:t xml:space="preserve"> monto </w:t>
      </w:r>
      <w:r w:rsidR="00E5644C" w:rsidRPr="00E5644C">
        <w:rPr>
          <w:lang w:val="es-MX"/>
        </w:rPr>
        <w:t>por debajo del riesgo global de sobreendeudamiento para economías de d</w:t>
      </w:r>
      <w:r w:rsidR="00E5644C">
        <w:rPr>
          <w:lang w:val="es-MX"/>
        </w:rPr>
        <w:t xml:space="preserve">esempeño mediano, del 40% establecido en </w:t>
      </w:r>
      <w:r w:rsidR="00E5644C" w:rsidRPr="00E5644C">
        <w:rPr>
          <w:lang w:val="es-MX"/>
        </w:rPr>
        <w:t>el marco de sostenibilidad de la deuda</w:t>
      </w:r>
      <w:r w:rsidR="00884BE1">
        <w:rPr>
          <w:lang w:val="es-MX"/>
        </w:rPr>
        <w:t>, por parte</w:t>
      </w:r>
      <w:r w:rsidR="00E5644C" w:rsidRPr="00E5644C">
        <w:rPr>
          <w:lang w:val="es-MX"/>
        </w:rPr>
        <w:t xml:space="preserve"> del Fondo Monetario Internacional (FMI) y el Banco Mundial (BM)</w:t>
      </w:r>
      <w:r w:rsidR="00E5644C">
        <w:rPr>
          <w:lang w:val="es-MX"/>
        </w:rPr>
        <w:t>.</w:t>
      </w:r>
    </w:p>
    <w:p w:rsidR="00AB0496" w:rsidRPr="00734806" w:rsidRDefault="00AB0496" w:rsidP="00AB0496">
      <w:pPr>
        <w:jc w:val="both"/>
        <w:rPr>
          <w:lang w:val="es-MX"/>
        </w:rPr>
      </w:pPr>
    </w:p>
    <w:p w:rsidR="00AB0496" w:rsidRDefault="00AB0496" w:rsidP="00CC1383">
      <w:pPr>
        <w:jc w:val="both"/>
        <w:rPr>
          <w:noProof/>
          <w:sz w:val="18"/>
          <w:lang w:val="es-MX"/>
        </w:rPr>
      </w:pPr>
    </w:p>
    <w:p w:rsidR="004B5DF5" w:rsidRDefault="004B5DF5" w:rsidP="00CC1383">
      <w:pPr>
        <w:jc w:val="both"/>
        <w:rPr>
          <w:noProof/>
          <w:sz w:val="18"/>
          <w:lang w:val="es-MX"/>
        </w:rPr>
      </w:pPr>
    </w:p>
    <w:p w:rsidR="004B5DF5" w:rsidRDefault="004B5DF5" w:rsidP="00CC1383">
      <w:pPr>
        <w:jc w:val="both"/>
        <w:rPr>
          <w:noProof/>
          <w:sz w:val="18"/>
          <w:lang w:val="es-MX"/>
        </w:rPr>
      </w:pPr>
    </w:p>
    <w:p w:rsidR="004B5DF5" w:rsidRDefault="004B5DF5" w:rsidP="00CC1383">
      <w:pPr>
        <w:jc w:val="both"/>
        <w:rPr>
          <w:noProof/>
          <w:sz w:val="18"/>
          <w:lang w:val="es-MX"/>
        </w:rPr>
      </w:pPr>
    </w:p>
    <w:p w:rsidR="004B5DF5" w:rsidRDefault="004B5DF5" w:rsidP="00CC1383">
      <w:pPr>
        <w:jc w:val="both"/>
        <w:rPr>
          <w:noProof/>
          <w:sz w:val="18"/>
          <w:lang w:val="es-MX"/>
        </w:rPr>
      </w:pPr>
    </w:p>
    <w:p w:rsidR="004B5DF5" w:rsidRDefault="004B5DF5" w:rsidP="00CC1383">
      <w:pPr>
        <w:jc w:val="both"/>
        <w:rPr>
          <w:noProof/>
          <w:sz w:val="18"/>
          <w:lang w:val="es-MX"/>
        </w:rPr>
      </w:pPr>
    </w:p>
    <w:p w:rsidR="004B5DF5" w:rsidRDefault="004B5DF5" w:rsidP="00CC1383">
      <w:pPr>
        <w:jc w:val="both"/>
        <w:rPr>
          <w:noProof/>
          <w:sz w:val="18"/>
          <w:lang w:val="es-MX"/>
        </w:rPr>
      </w:pPr>
    </w:p>
    <w:p w:rsidR="00171991" w:rsidRPr="00CD0AF0" w:rsidRDefault="00C33C42" w:rsidP="00CD0AF0">
      <w:pPr>
        <w:pStyle w:val="Ttulo1"/>
        <w:numPr>
          <w:ilvl w:val="0"/>
          <w:numId w:val="2"/>
        </w:numPr>
        <w:suppressAutoHyphens/>
        <w:ind w:left="709"/>
      </w:pPr>
      <w:bookmarkStart w:id="36" w:name="_Toc525824414"/>
      <w:r>
        <w:lastRenderedPageBreak/>
        <w:t xml:space="preserve">Perspectivas de Cierre </w:t>
      </w:r>
      <w:r w:rsidR="00B20C2F">
        <w:t xml:space="preserve">del Ejercicio Fiscal </w:t>
      </w:r>
      <w:r>
        <w:t>2018</w:t>
      </w:r>
      <w:bookmarkEnd w:id="36"/>
    </w:p>
    <w:p w:rsidR="00171991" w:rsidRDefault="00171991" w:rsidP="00171991">
      <w:pPr>
        <w:autoSpaceDE w:val="0"/>
        <w:autoSpaceDN w:val="0"/>
        <w:adjustRightInd w:val="0"/>
        <w:jc w:val="both"/>
        <w:rPr>
          <w:b/>
        </w:rPr>
      </w:pPr>
    </w:p>
    <w:p w:rsidR="00171991" w:rsidRDefault="00171991" w:rsidP="00171991">
      <w:pPr>
        <w:autoSpaceDE w:val="0"/>
        <w:autoSpaceDN w:val="0"/>
        <w:adjustRightInd w:val="0"/>
        <w:jc w:val="both"/>
      </w:pPr>
      <w:r>
        <w:t>El ejercicio fiscal 2018, tiene como característica particular el no contar con un presupuesto propio, que le permita al gobierno central cumplir a cabalidad las necesidades institucionales y sectoriales, como se planteara en el proyecto de presupuesto para este año.</w:t>
      </w:r>
    </w:p>
    <w:p w:rsidR="00171991" w:rsidRDefault="00171991" w:rsidP="00171991">
      <w:pPr>
        <w:autoSpaceDE w:val="0"/>
        <w:autoSpaceDN w:val="0"/>
        <w:adjustRightInd w:val="0"/>
        <w:jc w:val="both"/>
      </w:pPr>
    </w:p>
    <w:p w:rsidR="00171991" w:rsidRDefault="00171991" w:rsidP="00171991">
      <w:pPr>
        <w:autoSpaceDE w:val="0"/>
        <w:autoSpaceDN w:val="0"/>
        <w:adjustRightInd w:val="0"/>
        <w:jc w:val="both"/>
      </w:pPr>
      <w:r>
        <w:t>Derivado de lo anterior, como lo establece el artículo 171, literal b), de</w:t>
      </w:r>
      <w:r w:rsidRPr="00A126F4">
        <w:t xml:space="preserve"> </w:t>
      </w:r>
      <w:r>
        <w:t>la Constitución Política de la República de Guatemala, si el Congreso de la República no aprueba el presupuesto a más tardar 30 días antes de entrar en vigencia, comienza</w:t>
      </w:r>
      <w:r w:rsidRPr="00A126F4">
        <w:t xml:space="preserve"> </w:t>
      </w:r>
      <w:r>
        <w:t>a regir el p</w:t>
      </w:r>
      <w:r w:rsidRPr="00A126F4">
        <w:t xml:space="preserve">resupuesto </w:t>
      </w:r>
      <w:r>
        <w:t xml:space="preserve">en vigencia del año anterior; en este caso, es el Presupuesto </w:t>
      </w:r>
      <w:r w:rsidRPr="00A126F4">
        <w:t>General de Ingresos y Egresos del Estado</w:t>
      </w:r>
      <w:r>
        <w:t xml:space="preserve"> para </w:t>
      </w:r>
      <w:r w:rsidRPr="00A126F4">
        <w:t>el Ejercicio Fiscal 2017.</w:t>
      </w:r>
    </w:p>
    <w:p w:rsidR="00171991" w:rsidRDefault="00171991" w:rsidP="00171991">
      <w:pPr>
        <w:autoSpaceDE w:val="0"/>
        <w:autoSpaceDN w:val="0"/>
        <w:adjustRightInd w:val="0"/>
        <w:jc w:val="both"/>
      </w:pPr>
    </w:p>
    <w:p w:rsidR="00171991" w:rsidRDefault="00171991" w:rsidP="00171991">
      <w:pPr>
        <w:autoSpaceDE w:val="0"/>
        <w:autoSpaceDN w:val="0"/>
        <w:adjustRightInd w:val="0"/>
        <w:jc w:val="both"/>
      </w:pPr>
      <w:r>
        <w:t xml:space="preserve">En este contexto, hay que tener presente que el escenario macroeconómico que se utilizó de base para la formulación del presupuesto anual 2018, es diferente al escenario que se encuentra de base en el presupuesto vigente, ya que sigue considerando el escenario utilizado para el Presupuesto del Ejercicio Fiscal 2017 y, por lo tanto, no es posible realizar una comparación con el comportamiento actual de las variables macroeconómicas. </w:t>
      </w:r>
    </w:p>
    <w:p w:rsidR="00171991" w:rsidRDefault="00171991" w:rsidP="00171991">
      <w:pPr>
        <w:autoSpaceDE w:val="0"/>
        <w:autoSpaceDN w:val="0"/>
        <w:adjustRightInd w:val="0"/>
        <w:jc w:val="both"/>
      </w:pPr>
    </w:p>
    <w:p w:rsidR="00171991" w:rsidRDefault="00171991" w:rsidP="00171991">
      <w:pPr>
        <w:autoSpaceDE w:val="0"/>
        <w:autoSpaceDN w:val="0"/>
        <w:adjustRightInd w:val="0"/>
        <w:jc w:val="both"/>
      </w:pPr>
      <w:r>
        <w:t xml:space="preserve">No obstante, se pueden comentar algunos factores que influyen en el desempeño de las variables macroeconómicas más importantes y que sin duda tienen influencia en el comportamiento de las variables del presupuesto como los ingresos, el gasto y el déficit o superávit. </w:t>
      </w:r>
    </w:p>
    <w:p w:rsidR="00171991" w:rsidRDefault="00171991" w:rsidP="00171991">
      <w:pPr>
        <w:autoSpaceDE w:val="0"/>
        <w:autoSpaceDN w:val="0"/>
        <w:adjustRightInd w:val="0"/>
        <w:jc w:val="both"/>
      </w:pPr>
    </w:p>
    <w:p w:rsidR="00171991" w:rsidRDefault="00171991" w:rsidP="00171991">
      <w:pPr>
        <w:autoSpaceDE w:val="0"/>
        <w:autoSpaceDN w:val="0"/>
        <w:adjustRightInd w:val="0"/>
        <w:jc w:val="both"/>
      </w:pPr>
      <w:r>
        <w:t>Una misión del Fondo Monetario Internacional (FMI) realizó una visita oficial en marzo, en el marco del Artículo IV.  De acuerdo con el informe realizado, Guatemala goza de estabilidad macroeconómica, gestión económica prudente que le ha permitido hacer frente a los acontecimientos políticos y la coyuntura de los últimos años. Según el FMI, Guatemala podría crecer un 3.2% en 2018, asociado al buen desempeño que muestra la economía de Estados Unidos de América, las condiciones monetarias acomodaticias y el moderado impulso del gasto público. Respecto a las finanzas públicas, el informe resalta la limitada capacidad del Gobierno Central para impulsar el gasto público, como consecuencia de la no aprobación del presupuesto para el ejercicio fiscal 2018.</w:t>
      </w:r>
    </w:p>
    <w:p w:rsidR="00171991" w:rsidRDefault="00171991" w:rsidP="00171991">
      <w:pPr>
        <w:autoSpaceDE w:val="0"/>
        <w:autoSpaceDN w:val="0"/>
        <w:adjustRightInd w:val="0"/>
        <w:jc w:val="both"/>
      </w:pPr>
    </w:p>
    <w:p w:rsidR="00171991" w:rsidRDefault="00171991" w:rsidP="00171991">
      <w:pPr>
        <w:autoSpaceDE w:val="0"/>
        <w:autoSpaceDN w:val="0"/>
        <w:adjustRightInd w:val="0"/>
        <w:jc w:val="both"/>
      </w:pPr>
      <w:r>
        <w:t>En cuanto a l</w:t>
      </w:r>
      <w:r w:rsidRPr="00285915">
        <w:t>a previsión de crecimiento económico del Banco de Guatemala para el mes de abril</w:t>
      </w:r>
      <w:r>
        <w:t xml:space="preserve"> de 2018, ésta</w:t>
      </w:r>
      <w:r w:rsidRPr="00285915">
        <w:t xml:space="preserve"> se ubicaba en un rango de 3.0% y 3.8%, para lo cual se toma en consideración la evolución económica de los principales socios comerciales de Guatemala como las condiciones económicas internas.</w:t>
      </w:r>
    </w:p>
    <w:p w:rsidR="00171991" w:rsidRDefault="00171991" w:rsidP="00171991">
      <w:pPr>
        <w:autoSpaceDE w:val="0"/>
        <w:autoSpaceDN w:val="0"/>
        <w:adjustRightInd w:val="0"/>
        <w:jc w:val="both"/>
      </w:pPr>
    </w:p>
    <w:p w:rsidR="00171991" w:rsidRDefault="00171991" w:rsidP="00171991">
      <w:pPr>
        <w:autoSpaceDE w:val="0"/>
        <w:autoSpaceDN w:val="0"/>
        <w:adjustRightInd w:val="0"/>
        <w:jc w:val="both"/>
      </w:pPr>
      <w:r>
        <w:t>Con relación al sector externo, las exportaciones registran una fuerte disminución en el crecimiento durante el primer semestre, esto como resultado de una disminución en el valor FOB, lo cual se explica por la disminución del volumen exportado, aunque ha sido compensado en parte por el aumento en el precio medio. Por su parte, el valor CIF de las importaciones ha aumentado debido al incremento en el precio medio, pero el volumen importado ha disminuido. El incremento en el precio medio es reflejo del alza que ha reportado principalmente, el precio del petróleo y sus derivados.</w:t>
      </w:r>
    </w:p>
    <w:p w:rsidR="00171991" w:rsidRDefault="00171991" w:rsidP="00171991">
      <w:pPr>
        <w:autoSpaceDE w:val="0"/>
        <w:autoSpaceDN w:val="0"/>
        <w:adjustRightInd w:val="0"/>
        <w:jc w:val="both"/>
      </w:pPr>
    </w:p>
    <w:p w:rsidR="00171991" w:rsidRDefault="00171991" w:rsidP="00171991">
      <w:pPr>
        <w:autoSpaceDE w:val="0"/>
        <w:autoSpaceDN w:val="0"/>
        <w:adjustRightInd w:val="0"/>
        <w:jc w:val="both"/>
      </w:pPr>
      <w:r>
        <w:lastRenderedPageBreak/>
        <w:t>Respecto del tipo de cambio, éste se ha visto afectado por tres factores, uno de los cuales es el importante flujo de remesas familiares que se dio desde inicios del año pasado, como resultado del nuevo gobierno de los Estados Unidos de América y de nuevos lineamientos en la política migratoria de ese país. En el 2017 se observaron envíos extraordinarios de remesas, que fueron constituidos principalmente por ahorros de los migrantes, lo cual empujó a la apreciación del tipo de cambio. Durante el presente año se espera que estos envíos extraordinarios disminuyan. El ingreso de divisas familiares en junio se situó en US$4,399.1 millones, con un crecimiento interanual del 8.6%, lo que refleja que el crecimiento es aún alto, pero inferior a los dos dígitos observados el año previo, y se tiene previsto que las remesas converjan hacia los valores históricos.</w:t>
      </w:r>
    </w:p>
    <w:p w:rsidR="00171991" w:rsidRDefault="00171991" w:rsidP="00171991">
      <w:pPr>
        <w:autoSpaceDE w:val="0"/>
        <w:autoSpaceDN w:val="0"/>
        <w:adjustRightInd w:val="0"/>
        <w:jc w:val="both"/>
      </w:pPr>
    </w:p>
    <w:p w:rsidR="00171991" w:rsidRPr="00207735" w:rsidRDefault="00171991" w:rsidP="00171991">
      <w:pPr>
        <w:jc w:val="both"/>
      </w:pPr>
      <w:r>
        <w:t xml:space="preserve">El segundo factor, está vinculado al precio internacional del petróleo, </w:t>
      </w:r>
      <w:r w:rsidRPr="00207735">
        <w:t xml:space="preserve">respecto </w:t>
      </w:r>
      <w:r>
        <w:t>de</w:t>
      </w:r>
      <w:r w:rsidRPr="00207735">
        <w:t xml:space="preserve"> lo observado el año anterior. En 2018 el precio del barril ha alcanzado nive</w:t>
      </w:r>
      <w:r>
        <w:t xml:space="preserve">les no vistos desde el año 2014, lo cual ha contribuido a reducir el ahorro del pago de la factura petrolera y a su vez ha constituido un aumento de las importaciones en el rubro de combustibles y lubricantes, pero también se ha visto crecimiento en el resto de las importaciones.  El último factor, se asocia a un dinamismo bajo en el sector exportador en este primer semestre del año, como se mencionó anteriormente. </w:t>
      </w:r>
    </w:p>
    <w:p w:rsidR="00171991" w:rsidRDefault="00171991" w:rsidP="00171991">
      <w:pPr>
        <w:autoSpaceDE w:val="0"/>
        <w:autoSpaceDN w:val="0"/>
        <w:adjustRightInd w:val="0"/>
        <w:jc w:val="both"/>
      </w:pPr>
      <w:r>
        <w:t>Durante el primer semestre del año es normal ver apreciación del tipo de cambio que luego es compensada por el aumento de las importaciones, propia de la época de fin de año en el segundo semestre, donde se observa una depreciación del tipo de cambio. El Banco de Guatemala interviene en el Mercado Institucional de Divisas a través de una regla clara con el fin de moderar la volatilidad del tipo de cambio nominal sin que esto afecte su tendencia.</w:t>
      </w:r>
    </w:p>
    <w:p w:rsidR="00171991" w:rsidRDefault="00171991" w:rsidP="00171991">
      <w:pPr>
        <w:autoSpaceDE w:val="0"/>
        <w:autoSpaceDN w:val="0"/>
        <w:adjustRightInd w:val="0"/>
        <w:jc w:val="both"/>
      </w:pPr>
    </w:p>
    <w:p w:rsidR="00171991" w:rsidRDefault="00171991" w:rsidP="00171991">
      <w:pPr>
        <w:autoSpaceDE w:val="0"/>
        <w:autoSpaceDN w:val="0"/>
        <w:adjustRightInd w:val="0"/>
        <w:jc w:val="both"/>
      </w:pPr>
      <w:r>
        <w:t>El comportamiento del precio internacional del petróleo, el tipo de cambio y las importaciones incide en la recaudación de impuestos, principalmente en los  asociados al comercio exterior, como los Derechos Arancelarios a la Importación (DAI), el IVA importaciones y el petróleo y sus derivados.</w:t>
      </w:r>
    </w:p>
    <w:p w:rsidR="00171991" w:rsidRDefault="00171991" w:rsidP="00171991">
      <w:pPr>
        <w:autoSpaceDE w:val="0"/>
        <w:autoSpaceDN w:val="0"/>
        <w:adjustRightInd w:val="0"/>
        <w:jc w:val="both"/>
      </w:pPr>
    </w:p>
    <w:p w:rsidR="00171991" w:rsidRDefault="00171991" w:rsidP="00171991">
      <w:pPr>
        <w:autoSpaceDE w:val="0"/>
        <w:autoSpaceDN w:val="0"/>
        <w:adjustRightInd w:val="0"/>
        <w:jc w:val="both"/>
      </w:pPr>
      <w:r>
        <w:t xml:space="preserve">Respecto de la inflación a junio de 2018, ésta se situó en 3.79%, dentro del margen de tolerancia de la meta de inflación. </w:t>
      </w:r>
    </w:p>
    <w:p w:rsidR="00171991" w:rsidRDefault="00171991" w:rsidP="00171991">
      <w:pPr>
        <w:autoSpaceDE w:val="0"/>
        <w:autoSpaceDN w:val="0"/>
        <w:adjustRightInd w:val="0"/>
        <w:jc w:val="both"/>
      </w:pPr>
    </w:p>
    <w:p w:rsidR="00EE714B" w:rsidRDefault="00EE714B" w:rsidP="00171991">
      <w:pPr>
        <w:autoSpaceDE w:val="0"/>
        <w:autoSpaceDN w:val="0"/>
        <w:adjustRightInd w:val="0"/>
        <w:jc w:val="both"/>
      </w:pPr>
    </w:p>
    <w:p w:rsidR="00171991" w:rsidRPr="00D845D9" w:rsidRDefault="00171991" w:rsidP="00D845D9">
      <w:pPr>
        <w:pStyle w:val="Ttulo2"/>
        <w:numPr>
          <w:ilvl w:val="1"/>
          <w:numId w:val="18"/>
        </w:numPr>
        <w:rPr>
          <w:rFonts w:ascii="Times New Roman" w:hAnsi="Times New Roman"/>
          <w:color w:val="auto"/>
          <w:sz w:val="24"/>
        </w:rPr>
      </w:pPr>
      <w:bookmarkStart w:id="37" w:name="_Toc525824415"/>
      <w:r w:rsidRPr="00D845D9">
        <w:rPr>
          <w:rFonts w:ascii="Times New Roman" w:hAnsi="Times New Roman"/>
          <w:color w:val="auto"/>
          <w:sz w:val="24"/>
        </w:rPr>
        <w:t xml:space="preserve">Ingresos </w:t>
      </w:r>
      <w:r w:rsidR="00B20C2F">
        <w:rPr>
          <w:rFonts w:ascii="Times New Roman" w:hAnsi="Times New Roman"/>
          <w:color w:val="auto"/>
          <w:sz w:val="24"/>
        </w:rPr>
        <w:t>T</w:t>
      </w:r>
      <w:r w:rsidRPr="00D845D9">
        <w:rPr>
          <w:rFonts w:ascii="Times New Roman" w:hAnsi="Times New Roman"/>
          <w:color w:val="auto"/>
          <w:sz w:val="24"/>
        </w:rPr>
        <w:t>otales</w:t>
      </w:r>
      <w:bookmarkEnd w:id="37"/>
      <w:r w:rsidRPr="00D845D9">
        <w:rPr>
          <w:rFonts w:ascii="Times New Roman" w:hAnsi="Times New Roman"/>
          <w:color w:val="auto"/>
          <w:sz w:val="24"/>
        </w:rPr>
        <w:t xml:space="preserve"> </w:t>
      </w:r>
    </w:p>
    <w:p w:rsidR="00171991" w:rsidRDefault="00171991" w:rsidP="00171991">
      <w:pPr>
        <w:autoSpaceDE w:val="0"/>
        <w:autoSpaceDN w:val="0"/>
        <w:adjustRightInd w:val="0"/>
        <w:jc w:val="both"/>
        <w:rPr>
          <w:b/>
        </w:rPr>
      </w:pPr>
    </w:p>
    <w:p w:rsidR="00171991" w:rsidRDefault="00171991" w:rsidP="00171991">
      <w:pPr>
        <w:autoSpaceDE w:val="0"/>
        <w:autoSpaceDN w:val="0"/>
        <w:adjustRightInd w:val="0"/>
        <w:jc w:val="both"/>
      </w:pPr>
      <w:r w:rsidRPr="002462B3">
        <w:t>Los ingresos más importantes</w:t>
      </w:r>
      <w:r>
        <w:t xml:space="preserve"> que percibe el gobierno provienen de las fuentes tributarias (75.1%) y la negociación de bonos del tesoro (13.7%). </w:t>
      </w:r>
    </w:p>
    <w:p w:rsidR="00171991" w:rsidRDefault="00171991" w:rsidP="00171991">
      <w:pPr>
        <w:autoSpaceDE w:val="0"/>
        <w:autoSpaceDN w:val="0"/>
        <w:adjustRightInd w:val="0"/>
        <w:jc w:val="both"/>
        <w:rPr>
          <w:b/>
        </w:rPr>
      </w:pPr>
    </w:p>
    <w:p w:rsidR="00171991" w:rsidRDefault="00171991" w:rsidP="00171991">
      <w:pPr>
        <w:autoSpaceDE w:val="0"/>
        <w:autoSpaceDN w:val="0"/>
        <w:adjustRightInd w:val="0"/>
        <w:jc w:val="both"/>
      </w:pPr>
      <w:r w:rsidRPr="00325BFB">
        <w:t>Al 30 de junio</w:t>
      </w:r>
      <w:r>
        <w:t xml:space="preserve"> de 2018</w:t>
      </w:r>
      <w:r w:rsidRPr="00325BFB">
        <w:t xml:space="preserve">, se observa que los ingresos totales del gobierno central crecieron un 3.1% respecto </w:t>
      </w:r>
      <w:r>
        <w:t>del</w:t>
      </w:r>
      <w:r w:rsidRPr="00325BFB">
        <w:t xml:space="preserve"> mismo periodo del año anterior, debido </w:t>
      </w:r>
      <w:r>
        <w:t xml:space="preserve">a </w:t>
      </w:r>
      <w:r w:rsidRPr="00325BFB">
        <w:t xml:space="preserve">que los ingresos tributarios reportan un crecimiento interanual de 2.9%, lo cual a la fecha representa un 94.4% de los ingresos totales. El crecimiento que reportan los ingresos tributarios es menor al observado en el 2017 cuando fue de 7.6%, </w:t>
      </w:r>
      <w:r>
        <w:t xml:space="preserve">por lo que </w:t>
      </w:r>
      <w:r w:rsidRPr="00325BFB">
        <w:t xml:space="preserve">la desaceleración a junio del presente año se explica por los ingresos extraordinarios percibidos y la aprobación del Acuerdo Gubernativo </w:t>
      </w:r>
      <w:r>
        <w:t xml:space="preserve">No. </w:t>
      </w:r>
      <w:r w:rsidRPr="00325BFB">
        <w:t>82-2017</w:t>
      </w:r>
      <w:r>
        <w:t>,</w:t>
      </w:r>
      <w:r w:rsidRPr="00325BFB">
        <w:t xml:space="preserve"> “Exoneración de multas, mora, intereses o recargos” que posteriormente fue ampliado por un mes adicional con el Acuerdo Gubernativo</w:t>
      </w:r>
      <w:r>
        <w:t xml:space="preserve"> No.</w:t>
      </w:r>
      <w:r w:rsidRPr="00325BFB">
        <w:t xml:space="preserve"> 182-2017 “Acuérdese prorrogar por un </w:t>
      </w:r>
      <w:r w:rsidRPr="00325BFB">
        <w:lastRenderedPageBreak/>
        <w:t xml:space="preserve">mes más el plazo de la vigencia del Acuerdo Gubernativo </w:t>
      </w:r>
      <w:r>
        <w:t>No.</w:t>
      </w:r>
      <w:r w:rsidRPr="00325BFB">
        <w:t xml:space="preserve"> 82-2017…”. </w:t>
      </w:r>
      <w:r>
        <w:t xml:space="preserve">No obstante lo anterior, se estima que los ingresos tributarios superen la meta establecida en el presupuesto. </w:t>
      </w:r>
    </w:p>
    <w:p w:rsidR="00171991" w:rsidRDefault="00171991" w:rsidP="00171991">
      <w:pPr>
        <w:autoSpaceDE w:val="0"/>
        <w:autoSpaceDN w:val="0"/>
        <w:adjustRightInd w:val="0"/>
        <w:jc w:val="both"/>
      </w:pPr>
    </w:p>
    <w:p w:rsidR="00171991" w:rsidRPr="00325BFB" w:rsidRDefault="00171991" w:rsidP="00171991">
      <w:pPr>
        <w:autoSpaceDE w:val="0"/>
        <w:autoSpaceDN w:val="0"/>
        <w:adjustRightInd w:val="0"/>
        <w:jc w:val="both"/>
      </w:pPr>
      <w:r w:rsidRPr="00325BFB">
        <w:t>Por su parte, el resto de ingresos (no tributarios y transferencias) reportan un crecimiento de</w:t>
      </w:r>
      <w:r>
        <w:t>l</w:t>
      </w:r>
      <w:r w:rsidRPr="00325BFB">
        <w:t xml:space="preserve"> 7.4%.</w:t>
      </w:r>
    </w:p>
    <w:p w:rsidR="00171991" w:rsidRDefault="00171991" w:rsidP="00171991">
      <w:pPr>
        <w:autoSpaceDE w:val="0"/>
        <w:autoSpaceDN w:val="0"/>
        <w:adjustRightInd w:val="0"/>
        <w:jc w:val="both"/>
        <w:rPr>
          <w:b/>
        </w:rPr>
      </w:pPr>
    </w:p>
    <w:p w:rsidR="00171991" w:rsidRPr="00325BFB" w:rsidRDefault="00171991" w:rsidP="00171991">
      <w:pPr>
        <w:autoSpaceDE w:val="0"/>
        <w:autoSpaceDN w:val="0"/>
        <w:adjustRightInd w:val="0"/>
        <w:jc w:val="both"/>
      </w:pPr>
      <w:r w:rsidRPr="00325BFB">
        <w:t xml:space="preserve">Para el ejercicio fiscal 2018 se autorizó </w:t>
      </w:r>
      <w:r>
        <w:t xml:space="preserve">por concepto </w:t>
      </w:r>
      <w:r w:rsidRPr="00325BFB">
        <w:t>de Bonos del Tesoro</w:t>
      </w:r>
      <w:r>
        <w:t xml:space="preserve"> un monto</w:t>
      </w:r>
      <w:r w:rsidRPr="00325BFB">
        <w:t xml:space="preserve"> de Q</w:t>
      </w:r>
      <w:r>
        <w:t>.</w:t>
      </w:r>
      <w:r w:rsidRPr="00325BFB">
        <w:t>13</w:t>
      </w:r>
      <w:proofErr w:type="gramStart"/>
      <w:r w:rsidRPr="00325BFB">
        <w:t>,749.1</w:t>
      </w:r>
      <w:proofErr w:type="gramEnd"/>
      <w:r w:rsidRPr="00325BFB">
        <w:t xml:space="preserve"> millones, de los cuales Q</w:t>
      </w:r>
      <w:r>
        <w:t>.</w:t>
      </w:r>
      <w:r w:rsidRPr="00325BFB">
        <w:t>10,863.5 millones corresponden a la nueva emisión y Q</w:t>
      </w:r>
      <w:r>
        <w:t>.</w:t>
      </w:r>
      <w:r w:rsidRPr="00325BFB">
        <w:t>2,885.6 millones al roll-</w:t>
      </w:r>
      <w:proofErr w:type="spellStart"/>
      <w:r w:rsidRPr="00325BFB">
        <w:t>over</w:t>
      </w:r>
      <w:proofErr w:type="spellEnd"/>
      <w:r w:rsidRPr="00325BFB">
        <w:t>.</w:t>
      </w:r>
    </w:p>
    <w:p w:rsidR="00171991" w:rsidRDefault="00171991" w:rsidP="00171991">
      <w:pPr>
        <w:pStyle w:val="Prrafodelista"/>
        <w:rPr>
          <w:sz w:val="16"/>
        </w:rPr>
      </w:pPr>
    </w:p>
    <w:p w:rsidR="00EE714B" w:rsidRDefault="00EE714B" w:rsidP="00171991">
      <w:pPr>
        <w:pStyle w:val="Prrafodelista"/>
        <w:rPr>
          <w:sz w:val="16"/>
        </w:rPr>
      </w:pPr>
    </w:p>
    <w:p w:rsidR="00171991" w:rsidRDefault="00171991" w:rsidP="00171991">
      <w:pPr>
        <w:pStyle w:val="Prrafodelista"/>
        <w:rPr>
          <w:sz w:val="16"/>
        </w:rPr>
      </w:pPr>
    </w:p>
    <w:p w:rsidR="005B4026" w:rsidRPr="0088577C" w:rsidRDefault="005B4026" w:rsidP="005B4026">
      <w:pPr>
        <w:jc w:val="center"/>
        <w:rPr>
          <w:b/>
          <w:sz w:val="22"/>
          <w:lang w:val="es-MX"/>
        </w:rPr>
      </w:pPr>
      <w:r w:rsidRPr="0088577C">
        <w:rPr>
          <w:b/>
          <w:sz w:val="22"/>
          <w:lang w:val="es-MX"/>
        </w:rPr>
        <w:t xml:space="preserve">Cuadro </w:t>
      </w:r>
      <w:r>
        <w:rPr>
          <w:b/>
          <w:sz w:val="22"/>
          <w:lang w:val="es-MX"/>
        </w:rPr>
        <w:t>10</w:t>
      </w:r>
    </w:p>
    <w:p w:rsidR="005B4026" w:rsidRPr="0088577C" w:rsidRDefault="005B4026" w:rsidP="005B4026">
      <w:pPr>
        <w:jc w:val="center"/>
        <w:rPr>
          <w:b/>
          <w:sz w:val="22"/>
          <w:lang w:val="es-MX"/>
        </w:rPr>
      </w:pPr>
      <w:r>
        <w:rPr>
          <w:b/>
          <w:sz w:val="22"/>
          <w:lang w:val="es-MX"/>
        </w:rPr>
        <w:t>Presupuesto</w:t>
      </w:r>
      <w:r w:rsidR="004663C0">
        <w:rPr>
          <w:b/>
          <w:sz w:val="22"/>
          <w:lang w:val="es-MX"/>
        </w:rPr>
        <w:t xml:space="preserve"> Asignado</w:t>
      </w:r>
      <w:r>
        <w:rPr>
          <w:b/>
          <w:sz w:val="22"/>
          <w:lang w:val="es-MX"/>
        </w:rPr>
        <w:t xml:space="preserve"> y Estimación de Ingresos</w:t>
      </w:r>
      <w:r w:rsidR="00D60DED">
        <w:rPr>
          <w:b/>
          <w:sz w:val="22"/>
          <w:lang w:val="es-MX"/>
        </w:rPr>
        <w:t xml:space="preserve"> Totales</w:t>
      </w:r>
    </w:p>
    <w:p w:rsidR="005B4026" w:rsidRPr="0088577C" w:rsidRDefault="00D60DED" w:rsidP="005B4026">
      <w:pPr>
        <w:jc w:val="center"/>
        <w:rPr>
          <w:b/>
          <w:sz w:val="22"/>
          <w:lang w:val="es-MX"/>
        </w:rPr>
      </w:pPr>
      <w:r>
        <w:rPr>
          <w:b/>
          <w:sz w:val="22"/>
          <w:lang w:val="es-MX"/>
        </w:rPr>
        <w:t>Ejercicio Fiscal</w:t>
      </w:r>
      <w:r w:rsidR="005B4026">
        <w:rPr>
          <w:b/>
          <w:sz w:val="22"/>
          <w:lang w:val="es-MX"/>
        </w:rPr>
        <w:t xml:space="preserve"> 2018</w:t>
      </w:r>
    </w:p>
    <w:p w:rsidR="00171991" w:rsidRDefault="005B4026" w:rsidP="005B4026">
      <w:pPr>
        <w:pStyle w:val="Prrafodelista"/>
        <w:jc w:val="center"/>
        <w:rPr>
          <w:sz w:val="16"/>
        </w:rPr>
      </w:pPr>
      <w:r w:rsidRPr="0088577C">
        <w:rPr>
          <w:b/>
          <w:sz w:val="22"/>
          <w:lang w:val="es-MX"/>
        </w:rPr>
        <w:t>(Cifras en Millones de Quetzales)</w:t>
      </w:r>
    </w:p>
    <w:p w:rsidR="00171991" w:rsidRDefault="00171991" w:rsidP="00171991">
      <w:pPr>
        <w:pStyle w:val="Prrafodelista"/>
        <w:rPr>
          <w:sz w:val="16"/>
        </w:rPr>
      </w:pPr>
    </w:p>
    <w:tbl>
      <w:tblPr>
        <w:tblpPr w:leftFromText="141" w:rightFromText="141" w:vertAnchor="text" w:horzAnchor="margin" w:tblpXSpec="center" w:tblpYSpec="inside"/>
        <w:tblW w:w="6874" w:type="dxa"/>
        <w:tblCellMar>
          <w:left w:w="70" w:type="dxa"/>
          <w:right w:w="70" w:type="dxa"/>
        </w:tblCellMar>
        <w:tblLook w:val="04A0" w:firstRow="1" w:lastRow="0" w:firstColumn="1" w:lastColumn="0" w:noHBand="0" w:noVBand="1"/>
      </w:tblPr>
      <w:tblGrid>
        <w:gridCol w:w="3402"/>
        <w:gridCol w:w="1771"/>
        <w:gridCol w:w="1701"/>
      </w:tblGrid>
      <w:tr w:rsidR="005B4026" w:rsidRPr="005B4026" w:rsidTr="00467ED3">
        <w:trPr>
          <w:trHeight w:val="390"/>
        </w:trPr>
        <w:tc>
          <w:tcPr>
            <w:tcW w:w="3402" w:type="dxa"/>
            <w:tcBorders>
              <w:top w:val="single" w:sz="8" w:space="0" w:color="auto"/>
              <w:left w:val="single" w:sz="8" w:space="0" w:color="auto"/>
              <w:bottom w:val="single" w:sz="8" w:space="0" w:color="auto"/>
              <w:right w:val="single" w:sz="4" w:space="0" w:color="auto"/>
            </w:tcBorders>
            <w:shd w:val="clear" w:color="000000" w:fill="366092"/>
            <w:noWrap/>
            <w:vAlign w:val="center"/>
            <w:hideMark/>
          </w:tcPr>
          <w:p w:rsidR="005B4026" w:rsidRPr="005B4026" w:rsidRDefault="005B4026" w:rsidP="005B4026">
            <w:pPr>
              <w:jc w:val="center"/>
              <w:rPr>
                <w:b/>
                <w:bCs/>
                <w:color w:val="FFFFFF"/>
                <w:sz w:val="20"/>
                <w:szCs w:val="20"/>
                <w:lang w:val="es-GT" w:eastAsia="es-GT"/>
              </w:rPr>
            </w:pPr>
            <w:r w:rsidRPr="005B4026">
              <w:rPr>
                <w:b/>
                <w:bCs/>
                <w:color w:val="FFFFFF"/>
                <w:sz w:val="20"/>
                <w:szCs w:val="20"/>
                <w:lang w:val="es-GT" w:eastAsia="es-GT"/>
              </w:rPr>
              <w:t>Concepto</w:t>
            </w:r>
          </w:p>
        </w:tc>
        <w:tc>
          <w:tcPr>
            <w:tcW w:w="1771" w:type="dxa"/>
            <w:tcBorders>
              <w:top w:val="single" w:sz="8" w:space="0" w:color="auto"/>
              <w:left w:val="nil"/>
              <w:bottom w:val="single" w:sz="8" w:space="0" w:color="auto"/>
              <w:right w:val="single" w:sz="4" w:space="0" w:color="auto"/>
            </w:tcBorders>
            <w:shd w:val="clear" w:color="000000" w:fill="366092"/>
            <w:noWrap/>
            <w:vAlign w:val="center"/>
            <w:hideMark/>
          </w:tcPr>
          <w:p w:rsidR="005B4026" w:rsidRPr="005B4026" w:rsidRDefault="005B4026" w:rsidP="005B4026">
            <w:pPr>
              <w:jc w:val="center"/>
              <w:rPr>
                <w:b/>
                <w:bCs/>
                <w:color w:val="FFFFFF"/>
                <w:sz w:val="20"/>
                <w:szCs w:val="20"/>
                <w:lang w:val="es-GT" w:eastAsia="es-GT"/>
              </w:rPr>
            </w:pPr>
            <w:r w:rsidRPr="005B4026">
              <w:rPr>
                <w:b/>
                <w:bCs/>
                <w:color w:val="FFFFFF"/>
                <w:sz w:val="20"/>
                <w:szCs w:val="20"/>
                <w:lang w:val="es-GT" w:eastAsia="es-GT"/>
              </w:rPr>
              <w:t>Presupuesto</w:t>
            </w:r>
          </w:p>
        </w:tc>
        <w:tc>
          <w:tcPr>
            <w:tcW w:w="1701" w:type="dxa"/>
            <w:tcBorders>
              <w:top w:val="single" w:sz="8" w:space="0" w:color="auto"/>
              <w:left w:val="nil"/>
              <w:bottom w:val="single" w:sz="8" w:space="0" w:color="auto"/>
              <w:right w:val="single" w:sz="8" w:space="0" w:color="auto"/>
            </w:tcBorders>
            <w:shd w:val="clear" w:color="000000" w:fill="366092"/>
            <w:noWrap/>
            <w:vAlign w:val="center"/>
            <w:hideMark/>
          </w:tcPr>
          <w:p w:rsidR="005B4026" w:rsidRPr="005B4026" w:rsidRDefault="005B4026" w:rsidP="005B4026">
            <w:pPr>
              <w:jc w:val="center"/>
              <w:rPr>
                <w:b/>
                <w:bCs/>
                <w:color w:val="FFFFFF"/>
                <w:sz w:val="20"/>
                <w:szCs w:val="20"/>
                <w:lang w:val="es-GT" w:eastAsia="es-GT"/>
              </w:rPr>
            </w:pPr>
            <w:r w:rsidRPr="005B4026">
              <w:rPr>
                <w:b/>
                <w:bCs/>
                <w:color w:val="FFFFFF"/>
                <w:sz w:val="20"/>
                <w:szCs w:val="20"/>
                <w:lang w:val="es-GT" w:eastAsia="es-GT"/>
              </w:rPr>
              <w:t>Estimación</w:t>
            </w:r>
          </w:p>
        </w:tc>
      </w:tr>
      <w:tr w:rsidR="00467ED3" w:rsidRPr="005B4026" w:rsidTr="00467ED3">
        <w:trPr>
          <w:trHeight w:val="345"/>
        </w:trPr>
        <w:tc>
          <w:tcPr>
            <w:tcW w:w="3402" w:type="dxa"/>
            <w:tcBorders>
              <w:top w:val="nil"/>
              <w:left w:val="single" w:sz="8" w:space="0" w:color="auto"/>
              <w:bottom w:val="nil"/>
              <w:right w:val="single" w:sz="4" w:space="0" w:color="auto"/>
            </w:tcBorders>
            <w:shd w:val="clear" w:color="auto" w:fill="auto"/>
            <w:noWrap/>
            <w:vAlign w:val="center"/>
            <w:hideMark/>
          </w:tcPr>
          <w:p w:rsidR="005B4026" w:rsidRPr="005B4026" w:rsidRDefault="005B4026" w:rsidP="005B4026">
            <w:pPr>
              <w:jc w:val="center"/>
              <w:rPr>
                <w:b/>
                <w:bCs/>
                <w:sz w:val="20"/>
                <w:szCs w:val="20"/>
                <w:lang w:val="es-GT" w:eastAsia="es-GT"/>
              </w:rPr>
            </w:pPr>
            <w:r w:rsidRPr="005B4026">
              <w:rPr>
                <w:b/>
                <w:bCs/>
                <w:sz w:val="20"/>
                <w:szCs w:val="20"/>
                <w:lang w:val="es-GT" w:eastAsia="es-GT"/>
              </w:rPr>
              <w:t>Total</w:t>
            </w:r>
          </w:p>
        </w:tc>
        <w:tc>
          <w:tcPr>
            <w:tcW w:w="1771" w:type="dxa"/>
            <w:tcBorders>
              <w:top w:val="nil"/>
              <w:left w:val="single" w:sz="4" w:space="0" w:color="auto"/>
              <w:bottom w:val="nil"/>
              <w:right w:val="single" w:sz="4" w:space="0" w:color="auto"/>
            </w:tcBorders>
            <w:shd w:val="clear" w:color="auto" w:fill="auto"/>
            <w:noWrap/>
            <w:vAlign w:val="center"/>
            <w:hideMark/>
          </w:tcPr>
          <w:p w:rsidR="005B4026" w:rsidRPr="005B4026" w:rsidRDefault="005B4026" w:rsidP="005B4026">
            <w:pPr>
              <w:jc w:val="right"/>
              <w:rPr>
                <w:b/>
                <w:bCs/>
                <w:sz w:val="20"/>
                <w:szCs w:val="20"/>
                <w:lang w:val="es-GT" w:eastAsia="es-GT"/>
              </w:rPr>
            </w:pPr>
            <w:r w:rsidRPr="005B4026">
              <w:rPr>
                <w:b/>
                <w:bCs/>
                <w:sz w:val="20"/>
                <w:szCs w:val="20"/>
                <w:lang w:val="es-GT" w:eastAsia="es-GT"/>
              </w:rPr>
              <w:t>77,209.3</w:t>
            </w:r>
          </w:p>
        </w:tc>
        <w:tc>
          <w:tcPr>
            <w:tcW w:w="1701" w:type="dxa"/>
            <w:tcBorders>
              <w:top w:val="nil"/>
              <w:left w:val="nil"/>
              <w:bottom w:val="nil"/>
              <w:right w:val="single" w:sz="8" w:space="0" w:color="auto"/>
            </w:tcBorders>
            <w:shd w:val="clear" w:color="auto" w:fill="auto"/>
            <w:noWrap/>
            <w:vAlign w:val="center"/>
            <w:hideMark/>
          </w:tcPr>
          <w:p w:rsidR="005B4026" w:rsidRPr="005B4026" w:rsidRDefault="005B4026" w:rsidP="005B4026">
            <w:pPr>
              <w:jc w:val="right"/>
              <w:rPr>
                <w:b/>
                <w:bCs/>
                <w:sz w:val="20"/>
                <w:szCs w:val="20"/>
                <w:lang w:val="es-GT" w:eastAsia="es-GT"/>
              </w:rPr>
            </w:pPr>
            <w:r w:rsidRPr="005B4026">
              <w:rPr>
                <w:b/>
                <w:bCs/>
                <w:sz w:val="20"/>
                <w:szCs w:val="20"/>
                <w:lang w:val="es-GT" w:eastAsia="es-GT"/>
              </w:rPr>
              <w:t>74,104.9</w:t>
            </w:r>
          </w:p>
        </w:tc>
      </w:tr>
      <w:tr w:rsidR="00467ED3" w:rsidRPr="005B4026" w:rsidTr="00467ED3">
        <w:trPr>
          <w:trHeight w:val="300"/>
        </w:trPr>
        <w:tc>
          <w:tcPr>
            <w:tcW w:w="3402" w:type="dxa"/>
            <w:tcBorders>
              <w:top w:val="nil"/>
              <w:left w:val="single" w:sz="8" w:space="0" w:color="auto"/>
              <w:bottom w:val="nil"/>
              <w:right w:val="single" w:sz="4" w:space="0" w:color="auto"/>
            </w:tcBorders>
            <w:shd w:val="clear" w:color="auto" w:fill="auto"/>
            <w:noWrap/>
            <w:hideMark/>
          </w:tcPr>
          <w:p w:rsidR="005B4026" w:rsidRPr="005B4026" w:rsidRDefault="004663C0" w:rsidP="005B4026">
            <w:pPr>
              <w:rPr>
                <w:sz w:val="20"/>
                <w:szCs w:val="20"/>
                <w:lang w:val="es-GT" w:eastAsia="es-GT"/>
              </w:rPr>
            </w:pPr>
            <w:r>
              <w:rPr>
                <w:sz w:val="20"/>
                <w:szCs w:val="20"/>
                <w:lang w:val="es-GT" w:eastAsia="es-GT"/>
              </w:rPr>
              <w:t xml:space="preserve">Ingresos </w:t>
            </w:r>
            <w:r w:rsidR="005B4026" w:rsidRPr="005B4026">
              <w:rPr>
                <w:sz w:val="20"/>
                <w:szCs w:val="20"/>
                <w:lang w:val="es-GT" w:eastAsia="es-GT"/>
              </w:rPr>
              <w:t>Tributarios</w:t>
            </w:r>
          </w:p>
        </w:tc>
        <w:tc>
          <w:tcPr>
            <w:tcW w:w="1771" w:type="dxa"/>
            <w:tcBorders>
              <w:top w:val="nil"/>
              <w:left w:val="single" w:sz="4" w:space="0" w:color="auto"/>
              <w:bottom w:val="nil"/>
              <w:right w:val="single" w:sz="4" w:space="0" w:color="auto"/>
            </w:tcBorders>
            <w:shd w:val="clear" w:color="auto" w:fill="auto"/>
            <w:noWrap/>
            <w:hideMark/>
          </w:tcPr>
          <w:p w:rsidR="005B4026" w:rsidRPr="005B4026" w:rsidRDefault="005B4026" w:rsidP="005B4026">
            <w:pPr>
              <w:jc w:val="right"/>
              <w:rPr>
                <w:sz w:val="20"/>
                <w:szCs w:val="20"/>
                <w:lang w:val="es-GT" w:eastAsia="es-GT"/>
              </w:rPr>
            </w:pPr>
            <w:r w:rsidRPr="005B4026">
              <w:rPr>
                <w:sz w:val="20"/>
                <w:szCs w:val="20"/>
                <w:lang w:val="es-GT" w:eastAsia="es-GT"/>
              </w:rPr>
              <w:t>57,994.8</w:t>
            </w:r>
          </w:p>
        </w:tc>
        <w:tc>
          <w:tcPr>
            <w:tcW w:w="1701" w:type="dxa"/>
            <w:tcBorders>
              <w:top w:val="nil"/>
              <w:left w:val="nil"/>
              <w:bottom w:val="nil"/>
              <w:right w:val="single" w:sz="8" w:space="0" w:color="auto"/>
            </w:tcBorders>
            <w:shd w:val="clear" w:color="auto" w:fill="auto"/>
            <w:noWrap/>
            <w:hideMark/>
          </w:tcPr>
          <w:p w:rsidR="005B4026" w:rsidRPr="005B4026" w:rsidRDefault="005B4026" w:rsidP="005B4026">
            <w:pPr>
              <w:jc w:val="right"/>
              <w:rPr>
                <w:sz w:val="20"/>
                <w:szCs w:val="20"/>
                <w:lang w:val="es-GT" w:eastAsia="es-GT"/>
              </w:rPr>
            </w:pPr>
            <w:r w:rsidRPr="005B4026">
              <w:rPr>
                <w:sz w:val="20"/>
                <w:szCs w:val="20"/>
                <w:lang w:val="es-GT" w:eastAsia="es-GT"/>
              </w:rPr>
              <w:t>59,275.2</w:t>
            </w:r>
          </w:p>
        </w:tc>
      </w:tr>
      <w:tr w:rsidR="00467ED3" w:rsidRPr="005B4026" w:rsidTr="00467ED3">
        <w:trPr>
          <w:trHeight w:val="300"/>
        </w:trPr>
        <w:tc>
          <w:tcPr>
            <w:tcW w:w="3402" w:type="dxa"/>
            <w:tcBorders>
              <w:top w:val="nil"/>
              <w:left w:val="single" w:sz="8" w:space="0" w:color="auto"/>
              <w:bottom w:val="nil"/>
              <w:right w:val="single" w:sz="4" w:space="0" w:color="auto"/>
            </w:tcBorders>
            <w:shd w:val="clear" w:color="auto" w:fill="auto"/>
            <w:noWrap/>
            <w:hideMark/>
          </w:tcPr>
          <w:p w:rsidR="005B4026" w:rsidRPr="005B4026" w:rsidRDefault="004663C0" w:rsidP="005B4026">
            <w:pPr>
              <w:rPr>
                <w:sz w:val="20"/>
                <w:szCs w:val="20"/>
                <w:lang w:val="es-GT" w:eastAsia="es-GT"/>
              </w:rPr>
            </w:pPr>
            <w:r>
              <w:rPr>
                <w:sz w:val="20"/>
                <w:szCs w:val="20"/>
                <w:lang w:val="es-GT" w:eastAsia="es-GT"/>
              </w:rPr>
              <w:t xml:space="preserve">Ingresos </w:t>
            </w:r>
            <w:r w:rsidR="005B4026" w:rsidRPr="005B4026">
              <w:rPr>
                <w:sz w:val="20"/>
                <w:szCs w:val="20"/>
                <w:lang w:val="es-GT" w:eastAsia="es-GT"/>
              </w:rPr>
              <w:t>No Tributarios</w:t>
            </w:r>
          </w:p>
        </w:tc>
        <w:tc>
          <w:tcPr>
            <w:tcW w:w="1771" w:type="dxa"/>
            <w:tcBorders>
              <w:top w:val="nil"/>
              <w:left w:val="single" w:sz="4" w:space="0" w:color="auto"/>
              <w:bottom w:val="nil"/>
              <w:right w:val="single" w:sz="4" w:space="0" w:color="auto"/>
            </w:tcBorders>
            <w:shd w:val="clear" w:color="auto" w:fill="auto"/>
            <w:noWrap/>
            <w:hideMark/>
          </w:tcPr>
          <w:p w:rsidR="005B4026" w:rsidRPr="005B4026" w:rsidRDefault="005B4026" w:rsidP="005B4026">
            <w:pPr>
              <w:jc w:val="right"/>
              <w:rPr>
                <w:sz w:val="20"/>
                <w:szCs w:val="20"/>
                <w:lang w:val="es-GT" w:eastAsia="es-GT"/>
              </w:rPr>
            </w:pPr>
            <w:r w:rsidRPr="005B4026">
              <w:rPr>
                <w:sz w:val="20"/>
                <w:szCs w:val="20"/>
                <w:lang w:val="es-GT" w:eastAsia="es-GT"/>
              </w:rPr>
              <w:t>4,380.5</w:t>
            </w:r>
          </w:p>
        </w:tc>
        <w:tc>
          <w:tcPr>
            <w:tcW w:w="1701" w:type="dxa"/>
            <w:tcBorders>
              <w:top w:val="nil"/>
              <w:left w:val="nil"/>
              <w:bottom w:val="nil"/>
              <w:right w:val="single" w:sz="8" w:space="0" w:color="auto"/>
            </w:tcBorders>
            <w:shd w:val="clear" w:color="auto" w:fill="auto"/>
            <w:noWrap/>
            <w:hideMark/>
          </w:tcPr>
          <w:p w:rsidR="005B4026" w:rsidRPr="005B4026" w:rsidRDefault="005B4026" w:rsidP="005B4026">
            <w:pPr>
              <w:jc w:val="right"/>
              <w:rPr>
                <w:sz w:val="20"/>
                <w:szCs w:val="20"/>
                <w:lang w:val="es-GT" w:eastAsia="es-GT"/>
              </w:rPr>
            </w:pPr>
            <w:r w:rsidRPr="005B4026">
              <w:rPr>
                <w:sz w:val="20"/>
                <w:szCs w:val="20"/>
                <w:lang w:val="es-GT" w:eastAsia="es-GT"/>
              </w:rPr>
              <w:t>3,443.1</w:t>
            </w:r>
          </w:p>
        </w:tc>
      </w:tr>
      <w:tr w:rsidR="00467ED3" w:rsidRPr="005B4026" w:rsidTr="00467ED3">
        <w:trPr>
          <w:trHeight w:val="300"/>
        </w:trPr>
        <w:tc>
          <w:tcPr>
            <w:tcW w:w="3402" w:type="dxa"/>
            <w:tcBorders>
              <w:top w:val="nil"/>
              <w:left w:val="single" w:sz="8" w:space="0" w:color="auto"/>
              <w:bottom w:val="nil"/>
              <w:right w:val="single" w:sz="4" w:space="0" w:color="auto"/>
            </w:tcBorders>
            <w:shd w:val="clear" w:color="auto" w:fill="auto"/>
            <w:noWrap/>
            <w:hideMark/>
          </w:tcPr>
          <w:p w:rsidR="005B4026" w:rsidRPr="005B4026" w:rsidRDefault="005B4026" w:rsidP="005B4026">
            <w:pPr>
              <w:rPr>
                <w:sz w:val="20"/>
                <w:szCs w:val="20"/>
                <w:lang w:val="es-GT" w:eastAsia="es-GT"/>
              </w:rPr>
            </w:pPr>
            <w:r w:rsidRPr="005B4026">
              <w:rPr>
                <w:sz w:val="20"/>
                <w:szCs w:val="20"/>
                <w:lang w:val="es-GT" w:eastAsia="es-GT"/>
              </w:rPr>
              <w:t>Ingresos de Capital</w:t>
            </w:r>
          </w:p>
        </w:tc>
        <w:tc>
          <w:tcPr>
            <w:tcW w:w="1771" w:type="dxa"/>
            <w:tcBorders>
              <w:top w:val="nil"/>
              <w:left w:val="single" w:sz="4" w:space="0" w:color="auto"/>
              <w:bottom w:val="nil"/>
              <w:right w:val="single" w:sz="4" w:space="0" w:color="auto"/>
            </w:tcBorders>
            <w:shd w:val="clear" w:color="auto" w:fill="auto"/>
            <w:noWrap/>
            <w:hideMark/>
          </w:tcPr>
          <w:p w:rsidR="005B4026" w:rsidRPr="005B4026" w:rsidRDefault="005B4026" w:rsidP="005B4026">
            <w:pPr>
              <w:jc w:val="right"/>
              <w:rPr>
                <w:sz w:val="20"/>
                <w:szCs w:val="20"/>
                <w:lang w:val="es-GT" w:eastAsia="es-GT"/>
              </w:rPr>
            </w:pPr>
            <w:r w:rsidRPr="005B4026">
              <w:rPr>
                <w:sz w:val="20"/>
                <w:szCs w:val="20"/>
                <w:lang w:val="es-GT" w:eastAsia="es-GT"/>
              </w:rPr>
              <w:t>4.9</w:t>
            </w:r>
          </w:p>
        </w:tc>
        <w:tc>
          <w:tcPr>
            <w:tcW w:w="1701" w:type="dxa"/>
            <w:tcBorders>
              <w:top w:val="nil"/>
              <w:left w:val="nil"/>
              <w:bottom w:val="nil"/>
              <w:right w:val="single" w:sz="8" w:space="0" w:color="auto"/>
            </w:tcBorders>
            <w:shd w:val="clear" w:color="auto" w:fill="auto"/>
            <w:noWrap/>
            <w:hideMark/>
          </w:tcPr>
          <w:p w:rsidR="005B4026" w:rsidRPr="005B4026" w:rsidRDefault="005B4026" w:rsidP="005B4026">
            <w:pPr>
              <w:jc w:val="right"/>
              <w:rPr>
                <w:sz w:val="20"/>
                <w:szCs w:val="20"/>
                <w:lang w:val="es-GT" w:eastAsia="es-GT"/>
              </w:rPr>
            </w:pPr>
            <w:r w:rsidRPr="005B4026">
              <w:rPr>
                <w:sz w:val="20"/>
                <w:szCs w:val="20"/>
                <w:lang w:val="es-GT" w:eastAsia="es-GT"/>
              </w:rPr>
              <w:t>3.2</w:t>
            </w:r>
          </w:p>
        </w:tc>
      </w:tr>
      <w:tr w:rsidR="00467ED3" w:rsidRPr="005B4026" w:rsidTr="00467ED3">
        <w:trPr>
          <w:trHeight w:val="300"/>
        </w:trPr>
        <w:tc>
          <w:tcPr>
            <w:tcW w:w="3402" w:type="dxa"/>
            <w:tcBorders>
              <w:top w:val="nil"/>
              <w:left w:val="single" w:sz="8" w:space="0" w:color="auto"/>
              <w:bottom w:val="nil"/>
              <w:right w:val="single" w:sz="4" w:space="0" w:color="auto"/>
            </w:tcBorders>
            <w:shd w:val="clear" w:color="auto" w:fill="auto"/>
            <w:noWrap/>
            <w:hideMark/>
          </w:tcPr>
          <w:p w:rsidR="005B4026" w:rsidRPr="005B4026" w:rsidRDefault="005B4026" w:rsidP="005B4026">
            <w:pPr>
              <w:rPr>
                <w:sz w:val="20"/>
                <w:szCs w:val="20"/>
                <w:lang w:val="es-GT" w:eastAsia="es-GT"/>
              </w:rPr>
            </w:pPr>
            <w:r w:rsidRPr="005B4026">
              <w:rPr>
                <w:sz w:val="20"/>
                <w:szCs w:val="20"/>
                <w:lang w:val="es-GT" w:eastAsia="es-GT"/>
              </w:rPr>
              <w:t>Desembolsos de Préstamos</w:t>
            </w:r>
          </w:p>
        </w:tc>
        <w:tc>
          <w:tcPr>
            <w:tcW w:w="1771" w:type="dxa"/>
            <w:tcBorders>
              <w:top w:val="nil"/>
              <w:left w:val="single" w:sz="4" w:space="0" w:color="auto"/>
              <w:bottom w:val="nil"/>
              <w:right w:val="single" w:sz="4" w:space="0" w:color="auto"/>
            </w:tcBorders>
            <w:shd w:val="clear" w:color="auto" w:fill="auto"/>
            <w:noWrap/>
            <w:hideMark/>
          </w:tcPr>
          <w:p w:rsidR="005B4026" w:rsidRPr="005B4026" w:rsidRDefault="005B4026" w:rsidP="005B4026">
            <w:pPr>
              <w:jc w:val="right"/>
              <w:rPr>
                <w:sz w:val="20"/>
                <w:szCs w:val="20"/>
                <w:lang w:val="es-GT" w:eastAsia="es-GT"/>
              </w:rPr>
            </w:pPr>
            <w:r w:rsidRPr="005B4026">
              <w:rPr>
                <w:sz w:val="20"/>
                <w:szCs w:val="20"/>
                <w:lang w:val="es-GT" w:eastAsia="es-GT"/>
              </w:rPr>
              <w:t>2,580.7</w:t>
            </w:r>
          </w:p>
        </w:tc>
        <w:tc>
          <w:tcPr>
            <w:tcW w:w="1701" w:type="dxa"/>
            <w:tcBorders>
              <w:top w:val="nil"/>
              <w:left w:val="nil"/>
              <w:bottom w:val="nil"/>
              <w:right w:val="single" w:sz="8" w:space="0" w:color="auto"/>
            </w:tcBorders>
            <w:shd w:val="clear" w:color="auto" w:fill="auto"/>
            <w:noWrap/>
            <w:hideMark/>
          </w:tcPr>
          <w:p w:rsidR="005B4026" w:rsidRPr="005B4026" w:rsidRDefault="005B4026" w:rsidP="005B4026">
            <w:pPr>
              <w:jc w:val="right"/>
              <w:rPr>
                <w:sz w:val="20"/>
                <w:szCs w:val="20"/>
                <w:lang w:val="es-GT" w:eastAsia="es-GT"/>
              </w:rPr>
            </w:pPr>
            <w:r w:rsidRPr="005B4026">
              <w:rPr>
                <w:sz w:val="20"/>
                <w:szCs w:val="20"/>
                <w:lang w:val="es-GT" w:eastAsia="es-GT"/>
              </w:rPr>
              <w:t>2,928.0</w:t>
            </w:r>
          </w:p>
        </w:tc>
      </w:tr>
      <w:tr w:rsidR="00467ED3" w:rsidRPr="005B4026" w:rsidTr="00467ED3">
        <w:trPr>
          <w:trHeight w:val="300"/>
        </w:trPr>
        <w:tc>
          <w:tcPr>
            <w:tcW w:w="3402" w:type="dxa"/>
            <w:tcBorders>
              <w:top w:val="nil"/>
              <w:left w:val="single" w:sz="8" w:space="0" w:color="auto"/>
              <w:bottom w:val="nil"/>
              <w:right w:val="single" w:sz="4" w:space="0" w:color="auto"/>
            </w:tcBorders>
            <w:shd w:val="clear" w:color="auto" w:fill="auto"/>
            <w:noWrap/>
            <w:hideMark/>
          </w:tcPr>
          <w:p w:rsidR="005B4026" w:rsidRPr="005B4026" w:rsidRDefault="005B4026" w:rsidP="005B4026">
            <w:pPr>
              <w:rPr>
                <w:sz w:val="20"/>
                <w:szCs w:val="20"/>
                <w:lang w:val="es-GT" w:eastAsia="es-GT"/>
              </w:rPr>
            </w:pPr>
            <w:r w:rsidRPr="005B4026">
              <w:rPr>
                <w:sz w:val="20"/>
                <w:szCs w:val="20"/>
                <w:lang w:val="es-GT" w:eastAsia="es-GT"/>
              </w:rPr>
              <w:t>Negociación de Bonos</w:t>
            </w:r>
          </w:p>
        </w:tc>
        <w:tc>
          <w:tcPr>
            <w:tcW w:w="1771" w:type="dxa"/>
            <w:tcBorders>
              <w:top w:val="nil"/>
              <w:left w:val="single" w:sz="4" w:space="0" w:color="auto"/>
              <w:bottom w:val="nil"/>
              <w:right w:val="single" w:sz="4" w:space="0" w:color="auto"/>
            </w:tcBorders>
            <w:shd w:val="clear" w:color="auto" w:fill="auto"/>
            <w:noWrap/>
            <w:hideMark/>
          </w:tcPr>
          <w:p w:rsidR="005B4026" w:rsidRPr="005B4026" w:rsidRDefault="005B4026" w:rsidP="005B4026">
            <w:pPr>
              <w:jc w:val="right"/>
              <w:rPr>
                <w:sz w:val="20"/>
                <w:szCs w:val="20"/>
                <w:lang w:val="es-GT" w:eastAsia="es-GT"/>
              </w:rPr>
            </w:pPr>
            <w:r w:rsidRPr="005B4026">
              <w:rPr>
                <w:sz w:val="20"/>
                <w:szCs w:val="20"/>
                <w:lang w:val="es-GT" w:eastAsia="es-GT"/>
              </w:rPr>
              <w:t>10,543.5</w:t>
            </w:r>
          </w:p>
        </w:tc>
        <w:tc>
          <w:tcPr>
            <w:tcW w:w="1701" w:type="dxa"/>
            <w:tcBorders>
              <w:top w:val="nil"/>
              <w:left w:val="nil"/>
              <w:bottom w:val="nil"/>
              <w:right w:val="single" w:sz="8" w:space="0" w:color="auto"/>
            </w:tcBorders>
            <w:shd w:val="clear" w:color="auto" w:fill="auto"/>
            <w:noWrap/>
            <w:hideMark/>
          </w:tcPr>
          <w:p w:rsidR="005B4026" w:rsidRPr="005B4026" w:rsidRDefault="005B4026" w:rsidP="005B4026">
            <w:pPr>
              <w:jc w:val="right"/>
              <w:rPr>
                <w:sz w:val="20"/>
                <w:szCs w:val="20"/>
                <w:lang w:val="es-GT" w:eastAsia="es-GT"/>
              </w:rPr>
            </w:pPr>
            <w:r w:rsidRPr="005B4026">
              <w:rPr>
                <w:sz w:val="20"/>
                <w:szCs w:val="20"/>
                <w:lang w:val="es-GT" w:eastAsia="es-GT"/>
              </w:rPr>
              <w:t>9,638.4</w:t>
            </w:r>
          </w:p>
        </w:tc>
      </w:tr>
      <w:tr w:rsidR="00467ED3" w:rsidRPr="005B4026" w:rsidTr="00467ED3">
        <w:trPr>
          <w:trHeight w:val="300"/>
        </w:trPr>
        <w:tc>
          <w:tcPr>
            <w:tcW w:w="3402" w:type="dxa"/>
            <w:tcBorders>
              <w:top w:val="nil"/>
              <w:left w:val="single" w:sz="8" w:space="0" w:color="auto"/>
              <w:bottom w:val="nil"/>
              <w:right w:val="single" w:sz="4" w:space="0" w:color="auto"/>
            </w:tcBorders>
            <w:shd w:val="clear" w:color="auto" w:fill="auto"/>
            <w:noWrap/>
            <w:hideMark/>
          </w:tcPr>
          <w:p w:rsidR="005B4026" w:rsidRPr="005B4026" w:rsidRDefault="005B4026" w:rsidP="004663C0">
            <w:pPr>
              <w:rPr>
                <w:sz w:val="20"/>
                <w:szCs w:val="20"/>
                <w:lang w:val="es-GT" w:eastAsia="es-GT"/>
              </w:rPr>
            </w:pPr>
            <w:r w:rsidRPr="005B4026">
              <w:rPr>
                <w:sz w:val="20"/>
                <w:szCs w:val="20"/>
                <w:lang w:val="es-GT" w:eastAsia="es-GT"/>
              </w:rPr>
              <w:t xml:space="preserve">Prima de </w:t>
            </w:r>
            <w:r w:rsidR="004663C0">
              <w:rPr>
                <w:sz w:val="20"/>
                <w:szCs w:val="20"/>
                <w:lang w:val="es-GT" w:eastAsia="es-GT"/>
              </w:rPr>
              <w:t>C</w:t>
            </w:r>
            <w:r w:rsidRPr="005B4026">
              <w:rPr>
                <w:sz w:val="20"/>
                <w:szCs w:val="20"/>
                <w:lang w:val="es-GT" w:eastAsia="es-GT"/>
              </w:rPr>
              <w:t>olocación de Bonos</w:t>
            </w:r>
          </w:p>
        </w:tc>
        <w:tc>
          <w:tcPr>
            <w:tcW w:w="1771" w:type="dxa"/>
            <w:tcBorders>
              <w:top w:val="nil"/>
              <w:left w:val="single" w:sz="4" w:space="0" w:color="auto"/>
              <w:bottom w:val="nil"/>
              <w:right w:val="single" w:sz="4" w:space="0" w:color="auto"/>
            </w:tcBorders>
            <w:shd w:val="clear" w:color="auto" w:fill="auto"/>
            <w:noWrap/>
            <w:hideMark/>
          </w:tcPr>
          <w:p w:rsidR="005B4026" w:rsidRPr="005B4026" w:rsidRDefault="005B4026" w:rsidP="005B4026">
            <w:pPr>
              <w:jc w:val="right"/>
              <w:rPr>
                <w:sz w:val="20"/>
                <w:szCs w:val="20"/>
                <w:lang w:val="es-GT" w:eastAsia="es-GT"/>
              </w:rPr>
            </w:pPr>
            <w:r w:rsidRPr="005B4026">
              <w:rPr>
                <w:sz w:val="20"/>
                <w:szCs w:val="20"/>
                <w:lang w:val="es-GT" w:eastAsia="es-GT"/>
              </w:rPr>
              <w:t> </w:t>
            </w:r>
          </w:p>
        </w:tc>
        <w:tc>
          <w:tcPr>
            <w:tcW w:w="1701" w:type="dxa"/>
            <w:tcBorders>
              <w:top w:val="nil"/>
              <w:left w:val="nil"/>
              <w:bottom w:val="nil"/>
              <w:right w:val="single" w:sz="8" w:space="0" w:color="auto"/>
            </w:tcBorders>
            <w:shd w:val="clear" w:color="auto" w:fill="auto"/>
            <w:noWrap/>
            <w:hideMark/>
          </w:tcPr>
          <w:p w:rsidR="005B4026" w:rsidRPr="005B4026" w:rsidRDefault="005B4026" w:rsidP="005B4026">
            <w:pPr>
              <w:jc w:val="right"/>
              <w:rPr>
                <w:sz w:val="20"/>
                <w:szCs w:val="20"/>
                <w:lang w:val="es-GT" w:eastAsia="es-GT"/>
              </w:rPr>
            </w:pPr>
            <w:r w:rsidRPr="005B4026">
              <w:rPr>
                <w:sz w:val="20"/>
                <w:szCs w:val="20"/>
                <w:lang w:val="es-GT" w:eastAsia="es-GT"/>
              </w:rPr>
              <w:t>114.6</w:t>
            </w:r>
          </w:p>
        </w:tc>
      </w:tr>
      <w:tr w:rsidR="00467ED3" w:rsidRPr="005B4026" w:rsidTr="00467ED3">
        <w:trPr>
          <w:trHeight w:val="252"/>
        </w:trPr>
        <w:tc>
          <w:tcPr>
            <w:tcW w:w="3402" w:type="dxa"/>
            <w:tcBorders>
              <w:top w:val="nil"/>
              <w:left w:val="single" w:sz="8" w:space="0" w:color="auto"/>
              <w:bottom w:val="single" w:sz="8" w:space="0" w:color="auto"/>
              <w:right w:val="single" w:sz="4" w:space="0" w:color="auto"/>
            </w:tcBorders>
            <w:shd w:val="clear" w:color="auto" w:fill="auto"/>
            <w:noWrap/>
            <w:hideMark/>
          </w:tcPr>
          <w:p w:rsidR="005B4026" w:rsidRPr="005B4026" w:rsidRDefault="005B4026" w:rsidP="005B4026">
            <w:pPr>
              <w:rPr>
                <w:sz w:val="20"/>
                <w:szCs w:val="20"/>
                <w:lang w:val="es-GT" w:eastAsia="es-GT"/>
              </w:rPr>
            </w:pPr>
            <w:r w:rsidRPr="005B4026">
              <w:rPr>
                <w:sz w:val="20"/>
                <w:szCs w:val="20"/>
                <w:lang w:val="es-GT" w:eastAsia="es-GT"/>
              </w:rPr>
              <w:t>Uso de Recursos de Caja</w:t>
            </w:r>
          </w:p>
        </w:tc>
        <w:tc>
          <w:tcPr>
            <w:tcW w:w="1771" w:type="dxa"/>
            <w:tcBorders>
              <w:top w:val="nil"/>
              <w:left w:val="single" w:sz="4" w:space="0" w:color="auto"/>
              <w:bottom w:val="single" w:sz="8" w:space="0" w:color="auto"/>
              <w:right w:val="single" w:sz="4" w:space="0" w:color="auto"/>
            </w:tcBorders>
            <w:shd w:val="clear" w:color="auto" w:fill="auto"/>
            <w:noWrap/>
            <w:hideMark/>
          </w:tcPr>
          <w:p w:rsidR="005B4026" w:rsidRPr="005B4026" w:rsidRDefault="005B4026" w:rsidP="005B4026">
            <w:pPr>
              <w:jc w:val="right"/>
              <w:rPr>
                <w:sz w:val="20"/>
                <w:szCs w:val="20"/>
                <w:lang w:val="es-GT" w:eastAsia="es-GT"/>
              </w:rPr>
            </w:pPr>
            <w:r w:rsidRPr="005B4026">
              <w:rPr>
                <w:sz w:val="20"/>
                <w:szCs w:val="20"/>
                <w:lang w:val="es-GT" w:eastAsia="es-GT"/>
              </w:rPr>
              <w:t>1,704.9</w:t>
            </w:r>
          </w:p>
        </w:tc>
        <w:tc>
          <w:tcPr>
            <w:tcW w:w="1701" w:type="dxa"/>
            <w:tcBorders>
              <w:top w:val="nil"/>
              <w:left w:val="nil"/>
              <w:bottom w:val="single" w:sz="8" w:space="0" w:color="auto"/>
              <w:right w:val="single" w:sz="8" w:space="0" w:color="auto"/>
            </w:tcBorders>
            <w:shd w:val="clear" w:color="auto" w:fill="auto"/>
            <w:noWrap/>
            <w:hideMark/>
          </w:tcPr>
          <w:p w:rsidR="005B4026" w:rsidRPr="005B4026" w:rsidRDefault="005B4026" w:rsidP="005B4026">
            <w:pPr>
              <w:jc w:val="right"/>
              <w:rPr>
                <w:sz w:val="20"/>
                <w:szCs w:val="20"/>
                <w:lang w:val="es-GT" w:eastAsia="es-GT"/>
              </w:rPr>
            </w:pPr>
            <w:r w:rsidRPr="005B4026">
              <w:rPr>
                <w:sz w:val="20"/>
                <w:szCs w:val="20"/>
                <w:lang w:val="es-GT" w:eastAsia="es-GT"/>
              </w:rPr>
              <w:t>-1,297.7</w:t>
            </w:r>
          </w:p>
        </w:tc>
      </w:tr>
    </w:tbl>
    <w:p w:rsidR="00171991" w:rsidRDefault="00171991" w:rsidP="00171991">
      <w:pPr>
        <w:pStyle w:val="Prrafodelista"/>
        <w:rPr>
          <w:sz w:val="16"/>
        </w:rPr>
      </w:pPr>
    </w:p>
    <w:p w:rsidR="00171991" w:rsidRDefault="00171991" w:rsidP="00171991">
      <w:pPr>
        <w:pStyle w:val="Prrafodelista"/>
        <w:rPr>
          <w:sz w:val="16"/>
        </w:rPr>
      </w:pPr>
    </w:p>
    <w:p w:rsidR="00171991" w:rsidRDefault="00171991" w:rsidP="00171991">
      <w:pPr>
        <w:pStyle w:val="Prrafodelista"/>
        <w:rPr>
          <w:sz w:val="16"/>
        </w:rPr>
      </w:pPr>
    </w:p>
    <w:p w:rsidR="00171991" w:rsidRDefault="00171991" w:rsidP="00171991">
      <w:pPr>
        <w:pStyle w:val="Prrafodelista"/>
        <w:rPr>
          <w:sz w:val="16"/>
        </w:rPr>
      </w:pPr>
    </w:p>
    <w:p w:rsidR="00171991" w:rsidRDefault="00171991" w:rsidP="00171991">
      <w:pPr>
        <w:pStyle w:val="Prrafodelista"/>
        <w:rPr>
          <w:sz w:val="16"/>
        </w:rPr>
      </w:pPr>
    </w:p>
    <w:p w:rsidR="00171991" w:rsidRDefault="00171991" w:rsidP="00171991">
      <w:pPr>
        <w:pStyle w:val="Prrafodelista"/>
        <w:rPr>
          <w:sz w:val="16"/>
        </w:rPr>
      </w:pPr>
    </w:p>
    <w:p w:rsidR="00171991" w:rsidRDefault="00171991" w:rsidP="00171991">
      <w:pPr>
        <w:pStyle w:val="Prrafodelista"/>
        <w:rPr>
          <w:sz w:val="16"/>
        </w:rPr>
      </w:pPr>
    </w:p>
    <w:p w:rsidR="00171991" w:rsidRDefault="00171991" w:rsidP="00171991">
      <w:pPr>
        <w:pStyle w:val="Prrafodelista"/>
        <w:rPr>
          <w:sz w:val="16"/>
        </w:rPr>
      </w:pPr>
    </w:p>
    <w:p w:rsidR="00171991" w:rsidRDefault="00171991" w:rsidP="00171991">
      <w:pPr>
        <w:pStyle w:val="Prrafodelista"/>
        <w:rPr>
          <w:sz w:val="16"/>
        </w:rPr>
      </w:pPr>
    </w:p>
    <w:p w:rsidR="00171991" w:rsidRDefault="00171991" w:rsidP="00171991">
      <w:pPr>
        <w:pStyle w:val="Prrafodelista"/>
        <w:rPr>
          <w:sz w:val="16"/>
        </w:rPr>
      </w:pPr>
    </w:p>
    <w:p w:rsidR="00171991" w:rsidRDefault="00171991" w:rsidP="00171991">
      <w:pPr>
        <w:pStyle w:val="Prrafodelista"/>
        <w:rPr>
          <w:sz w:val="16"/>
        </w:rPr>
      </w:pPr>
    </w:p>
    <w:p w:rsidR="00171991" w:rsidRDefault="00171991" w:rsidP="00171991">
      <w:pPr>
        <w:pStyle w:val="Prrafodelista"/>
        <w:rPr>
          <w:sz w:val="16"/>
        </w:rPr>
      </w:pPr>
    </w:p>
    <w:p w:rsidR="00171991" w:rsidRDefault="00171991" w:rsidP="00171991">
      <w:pPr>
        <w:pStyle w:val="Prrafodelista"/>
        <w:rPr>
          <w:sz w:val="16"/>
        </w:rPr>
      </w:pPr>
    </w:p>
    <w:p w:rsidR="00171991" w:rsidRDefault="00171991" w:rsidP="00171991">
      <w:pPr>
        <w:pStyle w:val="Prrafodelista"/>
        <w:rPr>
          <w:sz w:val="16"/>
        </w:rPr>
      </w:pPr>
    </w:p>
    <w:p w:rsidR="00171991" w:rsidRDefault="00171991" w:rsidP="00171991">
      <w:pPr>
        <w:pStyle w:val="Prrafodelista"/>
        <w:rPr>
          <w:sz w:val="16"/>
        </w:rPr>
      </w:pPr>
    </w:p>
    <w:p w:rsidR="00171991" w:rsidRDefault="00171991" w:rsidP="00171991">
      <w:pPr>
        <w:pStyle w:val="Prrafodelista"/>
        <w:rPr>
          <w:sz w:val="16"/>
        </w:rPr>
      </w:pPr>
    </w:p>
    <w:p w:rsidR="00171991" w:rsidRDefault="005B4026" w:rsidP="00171991">
      <w:pPr>
        <w:pStyle w:val="Prrafodelista"/>
        <w:rPr>
          <w:sz w:val="16"/>
        </w:rPr>
      </w:pPr>
      <w:r>
        <w:rPr>
          <w:sz w:val="16"/>
        </w:rPr>
        <w:t xml:space="preserve">          </w:t>
      </w:r>
      <w:r w:rsidR="00171991" w:rsidRPr="00663718">
        <w:rPr>
          <w:sz w:val="16"/>
        </w:rPr>
        <w:t xml:space="preserve">Fuente: </w:t>
      </w:r>
      <w:r w:rsidR="00BE1F3E">
        <w:rPr>
          <w:sz w:val="16"/>
        </w:rPr>
        <w:t>Ministerio de Finanzas Públicas</w:t>
      </w:r>
      <w:r w:rsidR="00295F6D">
        <w:rPr>
          <w:sz w:val="16"/>
        </w:rPr>
        <w:t>.</w:t>
      </w:r>
    </w:p>
    <w:p w:rsidR="00171991" w:rsidRDefault="00171991" w:rsidP="00171991">
      <w:pPr>
        <w:autoSpaceDE w:val="0"/>
        <w:autoSpaceDN w:val="0"/>
        <w:adjustRightInd w:val="0"/>
        <w:jc w:val="both"/>
        <w:rPr>
          <w:b/>
        </w:rPr>
      </w:pPr>
    </w:p>
    <w:p w:rsidR="00EE714B" w:rsidRDefault="00EE714B" w:rsidP="00171991">
      <w:pPr>
        <w:autoSpaceDE w:val="0"/>
        <w:autoSpaceDN w:val="0"/>
        <w:adjustRightInd w:val="0"/>
        <w:jc w:val="both"/>
        <w:rPr>
          <w:b/>
        </w:rPr>
      </w:pPr>
    </w:p>
    <w:p w:rsidR="00171991" w:rsidRPr="00D845D9" w:rsidRDefault="00171991" w:rsidP="00D845D9">
      <w:pPr>
        <w:pStyle w:val="Ttulo2"/>
        <w:numPr>
          <w:ilvl w:val="1"/>
          <w:numId w:val="18"/>
        </w:numPr>
        <w:rPr>
          <w:rFonts w:ascii="Times New Roman" w:hAnsi="Times New Roman"/>
          <w:color w:val="auto"/>
          <w:sz w:val="24"/>
        </w:rPr>
      </w:pPr>
      <w:bookmarkStart w:id="38" w:name="_Toc525824416"/>
      <w:r w:rsidRPr="00D845D9">
        <w:rPr>
          <w:rFonts w:ascii="Times New Roman" w:hAnsi="Times New Roman"/>
          <w:color w:val="auto"/>
          <w:sz w:val="24"/>
        </w:rPr>
        <w:t xml:space="preserve">Ingresos </w:t>
      </w:r>
      <w:r w:rsidR="00B20C2F">
        <w:rPr>
          <w:rFonts w:ascii="Times New Roman" w:hAnsi="Times New Roman"/>
          <w:color w:val="auto"/>
          <w:sz w:val="24"/>
        </w:rPr>
        <w:t>T</w:t>
      </w:r>
      <w:r w:rsidRPr="00D845D9">
        <w:rPr>
          <w:rFonts w:ascii="Times New Roman" w:hAnsi="Times New Roman"/>
          <w:color w:val="auto"/>
          <w:sz w:val="24"/>
        </w:rPr>
        <w:t>ributarios</w:t>
      </w:r>
      <w:bookmarkEnd w:id="38"/>
      <w:r w:rsidRPr="00D845D9">
        <w:rPr>
          <w:rFonts w:ascii="Times New Roman" w:hAnsi="Times New Roman"/>
          <w:color w:val="auto"/>
          <w:sz w:val="24"/>
        </w:rPr>
        <w:t xml:space="preserve"> </w:t>
      </w:r>
    </w:p>
    <w:p w:rsidR="00171991" w:rsidRDefault="00171991" w:rsidP="00171991">
      <w:pPr>
        <w:pStyle w:val="Prrafodelista"/>
        <w:rPr>
          <w:b/>
        </w:rPr>
      </w:pPr>
    </w:p>
    <w:p w:rsidR="00171991" w:rsidRPr="009A057A" w:rsidRDefault="00171991" w:rsidP="00171991">
      <w:pPr>
        <w:autoSpaceDE w:val="0"/>
        <w:autoSpaceDN w:val="0"/>
        <w:adjustRightInd w:val="0"/>
        <w:jc w:val="both"/>
      </w:pPr>
      <w:r w:rsidRPr="009A057A">
        <w:t xml:space="preserve">Cifras </w:t>
      </w:r>
      <w:r>
        <w:t>a</w:t>
      </w:r>
      <w:r w:rsidRPr="009A057A">
        <w:t xml:space="preserve"> junio</w:t>
      </w:r>
      <w:r>
        <w:t xml:space="preserve"> de 2018</w:t>
      </w:r>
      <w:r w:rsidRPr="009A057A">
        <w:t xml:space="preserve"> dan cuenta de una brecha positiva de recaudación mensual de</w:t>
      </w:r>
      <w:r>
        <w:t xml:space="preserve"> </w:t>
      </w:r>
      <w:r w:rsidRPr="009A057A">
        <w:t>Q</w:t>
      </w:r>
      <w:r>
        <w:t>.</w:t>
      </w:r>
      <w:r w:rsidRPr="009A057A">
        <w:t>31.6 millones y de forma acumulada la brecha positiva es de Q</w:t>
      </w:r>
      <w:r>
        <w:t>.</w:t>
      </w:r>
      <w:r w:rsidRPr="009A057A">
        <w:t>491.1 millones</w:t>
      </w:r>
      <w:r>
        <w:t>,</w:t>
      </w:r>
      <w:r w:rsidRPr="009A057A">
        <w:t xml:space="preserve"> respecto </w:t>
      </w:r>
      <w:r>
        <w:t>de</w:t>
      </w:r>
      <w:r w:rsidRPr="009A057A">
        <w:t xml:space="preserve"> la meta de presupuesto. </w:t>
      </w:r>
      <w:r>
        <w:t>La recaudación mensual de junio, reporta una caída de 8.9% (Q.413.3 millones); entre los factores que contribuyeron a este resultado son una caída en el ISR, ISO y el IVA doméstico, entre otros, como resultado que durante este año la recaudación tributaria no se ha visto beneficiada por medidas extraordinarias como las observadas en el año previo por concepto del Acuerdo Gubernativo No. 82-2017 “Exoneración de multas, mora, intereses o recargos” que posteriormente fue ampliado por un mes adicional con el Acuerdo Gubernativo No. 182-2017 “Acuérdese prorrogar por un mes más el plazo de la vigencia del Acuerdo Gubernativo No. 82-2017…” y por adeudos tributarios de años anteriores, medidas que permitieron una recaudación de Q.845.6 millones a junio de 2017.</w:t>
      </w:r>
    </w:p>
    <w:p w:rsidR="00171991" w:rsidRDefault="00171991" w:rsidP="00171991">
      <w:pPr>
        <w:autoSpaceDE w:val="0"/>
        <w:autoSpaceDN w:val="0"/>
        <w:adjustRightInd w:val="0"/>
        <w:jc w:val="both"/>
        <w:rPr>
          <w:b/>
        </w:rPr>
      </w:pPr>
    </w:p>
    <w:p w:rsidR="00EE714B" w:rsidRDefault="00EE714B" w:rsidP="00171991">
      <w:pPr>
        <w:autoSpaceDE w:val="0"/>
        <w:autoSpaceDN w:val="0"/>
        <w:adjustRightInd w:val="0"/>
        <w:jc w:val="both"/>
        <w:rPr>
          <w:b/>
        </w:rPr>
      </w:pPr>
    </w:p>
    <w:p w:rsidR="00171991" w:rsidRDefault="00171991" w:rsidP="00171991">
      <w:pPr>
        <w:autoSpaceDE w:val="0"/>
        <w:autoSpaceDN w:val="0"/>
        <w:adjustRightInd w:val="0"/>
        <w:jc w:val="both"/>
      </w:pPr>
      <w:r>
        <w:t xml:space="preserve">Con la peculiaridad de </w:t>
      </w:r>
      <w:r w:rsidRPr="00FE082B">
        <w:t>la no aprobación del presupuesto</w:t>
      </w:r>
      <w:r>
        <w:t xml:space="preserve"> para el ejercicio fiscal 2018</w:t>
      </w:r>
      <w:r w:rsidRPr="00FE082B">
        <w:t>,</w:t>
      </w:r>
      <w:r>
        <w:t xml:space="preserve"> continúa vigente para este ejercicio la meta establecida en 2017, por un monto de Q.57</w:t>
      </w:r>
      <w:proofErr w:type="gramStart"/>
      <w:r>
        <w:t>,994.8</w:t>
      </w:r>
      <w:proofErr w:type="gramEnd"/>
      <w:r>
        <w:t xml:space="preserve"> millones, </w:t>
      </w:r>
      <w:r>
        <w:lastRenderedPageBreak/>
        <w:t xml:space="preserve">con lo cual es altamente probable que la meta de recaudación se alcance e incluso sea superada, aun sin contar con mayores medidas administrativas o extraordinarias -como las observadas en años previos-. Sin embargo, la carga tributaria sería de 9.8%; un </w:t>
      </w:r>
      <w:r w:rsidRPr="00B639C7">
        <w:t>escenario</w:t>
      </w:r>
      <w:r>
        <w:t xml:space="preserve"> nada</w:t>
      </w:r>
      <w:r w:rsidRPr="00B639C7">
        <w:t xml:space="preserve"> favorable,</w:t>
      </w:r>
      <w:r>
        <w:t xml:space="preserve"> significando un retroceso respecto de la </w:t>
      </w:r>
      <w:r w:rsidRPr="00B639C7">
        <w:t>carga tributaria</w:t>
      </w:r>
      <w:r>
        <w:t xml:space="preserve"> observada </w:t>
      </w:r>
      <w:r w:rsidRPr="00B639C7">
        <w:t>e</w:t>
      </w:r>
      <w:r>
        <w:t xml:space="preserve">l año previo (10.2% del PIB) y respecto de </w:t>
      </w:r>
      <w:r w:rsidRPr="00B639C7">
        <w:t>la carga tributaria media observada en l</w:t>
      </w:r>
      <w:r>
        <w:t xml:space="preserve">os últimos años (10.7% del PIB), pero escenario que, </w:t>
      </w:r>
      <w:r w:rsidRPr="009821F3">
        <w:t>le concede cierta laxitud y relajamiento al ente recaudador</w:t>
      </w:r>
      <w:r>
        <w:t xml:space="preserve"> al no tener que realizar mayores esfuerzos por alcanzar la meta, ya que la misma inercia de la recaudación la posibilitarían. </w:t>
      </w:r>
    </w:p>
    <w:p w:rsidR="00171991" w:rsidRDefault="00171991" w:rsidP="00171991">
      <w:pPr>
        <w:autoSpaceDE w:val="0"/>
        <w:autoSpaceDN w:val="0"/>
        <w:adjustRightInd w:val="0"/>
        <w:jc w:val="both"/>
      </w:pPr>
    </w:p>
    <w:p w:rsidR="00171991" w:rsidRDefault="00171991" w:rsidP="00171991">
      <w:pPr>
        <w:autoSpaceDE w:val="0"/>
        <w:autoSpaceDN w:val="0"/>
        <w:adjustRightInd w:val="0"/>
        <w:jc w:val="both"/>
      </w:pPr>
      <w:r>
        <w:t xml:space="preserve">Dentro del plan anual de recaudación, se estipula una serie de acciones que tienen como fin aumentar el cumplimiento voluntario, lo cual incluye una medida importante como lo es el acceso a la información bancaria con fines tributarios. Con la suspensión de la normativa que le permitía a la Superintendencia de Administración Tributaria (SAT) acceder a solicitar al levantamiento del secreto bancario, el país corre el riesgo de perder una importante herramienta fiscalizadora de lucha contra la evasión y defraudación; además de verse afectada la credibilidad e incluso ser considerado como un paraíso fiscal. Por el tiempo que fue aprobada la iniciativa, la SAT había realizado diversos requerimientos de información bancaria con fines tributarios, mismos que finalmente no prosperaron al quedar </w:t>
      </w:r>
      <w:proofErr w:type="gramStart"/>
      <w:r>
        <w:t>suspendida</w:t>
      </w:r>
      <w:proofErr w:type="gramEnd"/>
      <w:r>
        <w:t xml:space="preserve"> la normativa. La resolución de la Corte de Constitucionalidad podría tener un impacto negativo en la recaudación tributaria y su potencial en próximos ejercicios fiscales en los cuales se establezcan metas de recaudación ambiciosas. </w:t>
      </w:r>
    </w:p>
    <w:p w:rsidR="00171991" w:rsidRDefault="00171991" w:rsidP="00171991">
      <w:pPr>
        <w:autoSpaceDE w:val="0"/>
        <w:autoSpaceDN w:val="0"/>
        <w:adjustRightInd w:val="0"/>
        <w:jc w:val="both"/>
      </w:pPr>
    </w:p>
    <w:p w:rsidR="00171991" w:rsidRPr="000F28EC" w:rsidRDefault="00171991" w:rsidP="00171991">
      <w:pPr>
        <w:autoSpaceDE w:val="0"/>
        <w:autoSpaceDN w:val="0"/>
        <w:adjustRightInd w:val="0"/>
        <w:jc w:val="both"/>
      </w:pPr>
      <w:r w:rsidRPr="000F28EC">
        <w:t>Adicionalmente, la devolución del crédito fiscal a los exportadores muestra una mayor agilización en los pagos por parte de la SAT, como consecuencia de una serie de lineamientos establecidos para lograr la reactivación</w:t>
      </w:r>
      <w:r>
        <w:t xml:space="preserve"> de la</w:t>
      </w:r>
      <w:r w:rsidRPr="000F28EC">
        <w:t xml:space="preserve"> eco</w:t>
      </w:r>
      <w:r>
        <w:t>nomía</w:t>
      </w:r>
      <w:r w:rsidRPr="000F28EC">
        <w:t xml:space="preserve">, siendo la devolución del crédito fiscal uno de los estandartes.  El saldo de la cuenta Fondo IVA para la devolución del crédito fiscal a los exportadores al 30 de junio </w:t>
      </w:r>
      <w:r>
        <w:t xml:space="preserve">de 2018 </w:t>
      </w:r>
      <w:r w:rsidRPr="000F28EC">
        <w:t>se ubicó en Q</w:t>
      </w:r>
      <w:r>
        <w:t>.</w:t>
      </w:r>
      <w:r w:rsidRPr="000F28EC">
        <w:t>1</w:t>
      </w:r>
      <w:proofErr w:type="gramStart"/>
      <w:r w:rsidRPr="000F28EC">
        <w:t>,430.9</w:t>
      </w:r>
      <w:proofErr w:type="gramEnd"/>
      <w:r w:rsidRPr="000F28EC">
        <w:t xml:space="preserve"> millones. </w:t>
      </w:r>
    </w:p>
    <w:p w:rsidR="00171991" w:rsidRPr="000F28EC" w:rsidRDefault="00171991" w:rsidP="00171991">
      <w:pPr>
        <w:autoSpaceDE w:val="0"/>
        <w:autoSpaceDN w:val="0"/>
        <w:adjustRightInd w:val="0"/>
        <w:jc w:val="both"/>
      </w:pPr>
    </w:p>
    <w:p w:rsidR="00171991" w:rsidRPr="007921EB" w:rsidRDefault="00171991" w:rsidP="00171991">
      <w:pPr>
        <w:autoSpaceDE w:val="0"/>
        <w:autoSpaceDN w:val="0"/>
        <w:adjustRightInd w:val="0"/>
        <w:jc w:val="both"/>
      </w:pPr>
      <w:r w:rsidRPr="000F28EC">
        <w:t xml:space="preserve">Considerando el comportamiento observado en lo que va del año, así como el comportamiento estacional de las devoluciones en años anteriores y el aprovisionamiento derivado de la recaudación del IVA proyectada para el cierre del año, se prevé que las devoluciones </w:t>
      </w:r>
      <w:r>
        <w:t>a</w:t>
      </w:r>
      <w:r w:rsidRPr="000F28EC">
        <w:t>sc</w:t>
      </w:r>
      <w:r>
        <w:t>i</w:t>
      </w:r>
      <w:r w:rsidRPr="000F28EC">
        <w:t>end</w:t>
      </w:r>
      <w:r>
        <w:t>an</w:t>
      </w:r>
      <w:r w:rsidRPr="000F28EC">
        <w:t xml:space="preserve"> a Q</w:t>
      </w:r>
      <w:r>
        <w:t>.</w:t>
      </w:r>
      <w:r w:rsidRPr="000F28EC">
        <w:t>2</w:t>
      </w:r>
      <w:proofErr w:type="gramStart"/>
      <w:r w:rsidRPr="000F28EC">
        <w:t>,500</w:t>
      </w:r>
      <w:proofErr w:type="gramEnd"/>
      <w:r w:rsidRPr="000F28EC">
        <w:t xml:space="preserve"> millones</w:t>
      </w:r>
      <w:r>
        <w:t xml:space="preserve"> </w:t>
      </w:r>
      <w:r w:rsidRPr="000F28EC">
        <w:t>al final del año, lo que representaría el nivel más alto en más de 5 años. Hay que recordar que el aprovisionamiento para el pago de crédito fiscal a los exportadores proviene de la recaudación del IVA total y en algún momento esta política de priorización</w:t>
      </w:r>
      <w:r>
        <w:t xml:space="preserve"> en las devoluciones</w:t>
      </w:r>
      <w:r w:rsidRPr="000F28EC">
        <w:t xml:space="preserve"> podría tener algún efecto en la recaudación de dicho impuesto</w:t>
      </w:r>
      <w:r>
        <w:t xml:space="preserve">, aunque al cierre del año se espera que la meta por los impuestos que componen el IVA total (doméstico e importaciones) sea superada. </w:t>
      </w:r>
    </w:p>
    <w:p w:rsidR="00171991" w:rsidRDefault="00171991" w:rsidP="00171991">
      <w:pPr>
        <w:autoSpaceDE w:val="0"/>
        <w:autoSpaceDN w:val="0"/>
        <w:adjustRightInd w:val="0"/>
      </w:pPr>
    </w:p>
    <w:p w:rsidR="00171991" w:rsidRDefault="00171991" w:rsidP="00171991">
      <w:pPr>
        <w:autoSpaceDE w:val="0"/>
        <w:autoSpaceDN w:val="0"/>
        <w:adjustRightInd w:val="0"/>
        <w:jc w:val="both"/>
      </w:pPr>
      <w:r>
        <w:t xml:space="preserve">Con respecto al impacto de la actividad económica en la recaudación, durante </w:t>
      </w:r>
      <w:r w:rsidRPr="00285965">
        <w:t xml:space="preserve">el primer semestre del 2018, </w:t>
      </w:r>
      <w:r>
        <w:t xml:space="preserve">la actividad económica mostró un crecimiento menor al esperado originalmente, esto debido a factores que escapan del ámbito económico y se relacionan con decisiones a cargo de la Corte de Constitucionalidad, tal es el caso de Minera San Rafael, debido a la suspensión temporal de la licencia de explotación desde el pasado julio de 2017. Se esperaba el reinicio de operaciones de la minera en el primero o segundo trimestre del año, pero esto aún no ha ocurrido. </w:t>
      </w:r>
    </w:p>
    <w:p w:rsidR="00171991" w:rsidRDefault="00171991" w:rsidP="00171991">
      <w:pPr>
        <w:autoSpaceDE w:val="0"/>
        <w:autoSpaceDN w:val="0"/>
        <w:adjustRightInd w:val="0"/>
        <w:jc w:val="both"/>
      </w:pPr>
    </w:p>
    <w:p w:rsidR="00171991" w:rsidRPr="00285965" w:rsidRDefault="00171991" w:rsidP="00171991">
      <w:pPr>
        <w:autoSpaceDE w:val="0"/>
        <w:autoSpaceDN w:val="0"/>
        <w:adjustRightInd w:val="0"/>
        <w:jc w:val="both"/>
      </w:pPr>
      <w:r>
        <w:lastRenderedPageBreak/>
        <w:t xml:space="preserve">De acuerdo con previsiones del Banco de Guatemala, para este año se espera que la actividad de minas y canteras refleje un crecimiento negativo de 31.7%, afectando la exportación de minerales metálicos como plata, plomo y zinc, principales productos de Minera San Rafael. Además, otra empresa minera importante, Montana Exploradora propietaria de la Mina </w:t>
      </w:r>
      <w:proofErr w:type="spellStart"/>
      <w:r>
        <w:t>Marlin</w:t>
      </w:r>
      <w:proofErr w:type="spellEnd"/>
      <w:r>
        <w:t>, cerró operaciones el año recién pasado.</w:t>
      </w:r>
    </w:p>
    <w:p w:rsidR="00171991" w:rsidRDefault="00171991" w:rsidP="00171991">
      <w:pPr>
        <w:autoSpaceDE w:val="0"/>
        <w:autoSpaceDN w:val="0"/>
        <w:adjustRightInd w:val="0"/>
        <w:jc w:val="both"/>
        <w:rPr>
          <w:b/>
        </w:rPr>
      </w:pPr>
    </w:p>
    <w:p w:rsidR="00171991" w:rsidRPr="00032620" w:rsidRDefault="00171991" w:rsidP="00171991">
      <w:pPr>
        <w:autoSpaceDE w:val="0"/>
        <w:autoSpaceDN w:val="0"/>
        <w:adjustRightInd w:val="0"/>
        <w:jc w:val="both"/>
      </w:pPr>
      <w:r w:rsidRPr="00032620">
        <w:t>Se observó en el semestre una leve desaceleración del consumo privado,</w:t>
      </w:r>
      <w:r>
        <w:t xml:space="preserve"> siendo éste </w:t>
      </w:r>
      <w:r w:rsidRPr="00032620">
        <w:t>el principal componente de la demanda interna. Entre las actividades económicas revisadas a la baja y que afectan la recaudación tributaria, aparte del sector de minas y canteras mencionado anteriormente, también se encuentra el comercio al por mayor y al por menor pasando de un crecimiento estimado de 3.8% a 3.6% y los servicios privados de 3</w:t>
      </w:r>
      <w:r>
        <w:t>.6% a 3.5% en la revisión de jun</w:t>
      </w:r>
      <w:r w:rsidRPr="00032620">
        <w:t>io.</w:t>
      </w:r>
      <w:r>
        <w:t xml:space="preserve"> </w:t>
      </w:r>
    </w:p>
    <w:p w:rsidR="00171991" w:rsidRDefault="00171991" w:rsidP="00171991">
      <w:pPr>
        <w:autoSpaceDE w:val="0"/>
        <w:autoSpaceDN w:val="0"/>
        <w:adjustRightInd w:val="0"/>
        <w:jc w:val="both"/>
        <w:rPr>
          <w:b/>
        </w:rPr>
      </w:pPr>
    </w:p>
    <w:p w:rsidR="00171991" w:rsidRPr="00C72BFC" w:rsidRDefault="00171991" w:rsidP="00171991">
      <w:pPr>
        <w:autoSpaceDE w:val="0"/>
        <w:autoSpaceDN w:val="0"/>
        <w:adjustRightInd w:val="0"/>
        <w:jc w:val="both"/>
      </w:pPr>
      <w:r>
        <w:t>Asimismo, l</w:t>
      </w:r>
      <w:r w:rsidRPr="00C72BFC">
        <w:t xml:space="preserve">os resultados de la Encuesta de Expectativas Económicas que realiza el Banco de Guatemala a un panel de analistas privados se reflejan en el Índice de Confianza de la Actividad Económica, mismo que a junio se ubica en 32.14 puntos, mientras que a la misma fecha del año anterior se ubicaba en 50.00 puntos. </w:t>
      </w:r>
      <w:r>
        <w:t xml:space="preserve">Este </w:t>
      </w:r>
      <w:r w:rsidRPr="00C72BFC">
        <w:t>índice</w:t>
      </w:r>
      <w:r>
        <w:t xml:space="preserve"> muestra, por lo tanto, estar en zona de contracción, al encontrarse</w:t>
      </w:r>
      <w:r w:rsidRPr="00C72BFC">
        <w:t xml:space="preserve"> por debajo de </w:t>
      </w:r>
      <w:r>
        <w:t>los 50.00 puntos e indica que la percepción de los panelistas respecto del clima de negocios e inversión es desfavorable.</w:t>
      </w:r>
    </w:p>
    <w:p w:rsidR="00171991" w:rsidRDefault="00171991" w:rsidP="00171991">
      <w:pPr>
        <w:autoSpaceDE w:val="0"/>
        <w:autoSpaceDN w:val="0"/>
        <w:adjustRightInd w:val="0"/>
        <w:jc w:val="both"/>
        <w:rPr>
          <w:b/>
        </w:rPr>
      </w:pPr>
    </w:p>
    <w:p w:rsidR="00171991" w:rsidRDefault="00171991" w:rsidP="00171991">
      <w:pPr>
        <w:autoSpaceDE w:val="0"/>
        <w:autoSpaceDN w:val="0"/>
        <w:adjustRightInd w:val="0"/>
        <w:jc w:val="both"/>
        <w:rPr>
          <w:b/>
        </w:rPr>
      </w:pPr>
      <w:r>
        <w:t>Los impuestos principalmente afectados por las situaciones anteriormente mencionadas son el Impuesto sobre Regalías e Hidrocarburos Compartibles, el Impuesto al Valor Agregado Doméstico y el Impuesto sobre la Renta, entre otros.</w:t>
      </w:r>
    </w:p>
    <w:p w:rsidR="00171991" w:rsidRDefault="00171991" w:rsidP="00171991">
      <w:pPr>
        <w:autoSpaceDE w:val="0"/>
        <w:autoSpaceDN w:val="0"/>
        <w:adjustRightInd w:val="0"/>
        <w:jc w:val="both"/>
        <w:rPr>
          <w:b/>
        </w:rPr>
      </w:pPr>
    </w:p>
    <w:p w:rsidR="00171991" w:rsidRPr="008608C0" w:rsidRDefault="00171991" w:rsidP="00171991">
      <w:pPr>
        <w:autoSpaceDE w:val="0"/>
        <w:autoSpaceDN w:val="0"/>
        <w:adjustRightInd w:val="0"/>
        <w:jc w:val="both"/>
      </w:pPr>
      <w:r w:rsidRPr="008608C0">
        <w:t>La estimación de la recaudación prevista en Q</w:t>
      </w:r>
      <w:r>
        <w:t>.</w:t>
      </w:r>
      <w:r w:rsidRPr="008608C0">
        <w:t>59</w:t>
      </w:r>
      <w:proofErr w:type="gramStart"/>
      <w:r w:rsidRPr="008608C0">
        <w:t>,275.2</w:t>
      </w:r>
      <w:proofErr w:type="gramEnd"/>
      <w:r w:rsidRPr="008608C0">
        <w:t xml:space="preserve"> millones, supera la estimación de presupuesto en Q</w:t>
      </w:r>
      <w:r>
        <w:t>.</w:t>
      </w:r>
      <w:r w:rsidRPr="008608C0">
        <w:t>1,280.4 millones, en donde la mayoría de impuestos -como se puede observar a continuación-</w:t>
      </w:r>
      <w:r>
        <w:t>,</w:t>
      </w:r>
      <w:r w:rsidRPr="008608C0">
        <w:t xml:space="preserve"> supera la meta establecida</w:t>
      </w:r>
      <w:r>
        <w:t>,</w:t>
      </w:r>
      <w:r w:rsidRPr="008608C0">
        <w:t xml:space="preserve"> como resultado</w:t>
      </w:r>
      <w:r>
        <w:t xml:space="preserve"> principalmente,</w:t>
      </w:r>
      <w:r w:rsidRPr="008608C0">
        <w:t xml:space="preserve"> </w:t>
      </w:r>
      <w:r>
        <w:t xml:space="preserve">de que </w:t>
      </w:r>
      <w:r w:rsidRPr="008608C0">
        <w:t>la meta continúa siendo la establecida para el ejercicio 2017</w:t>
      </w:r>
      <w:r>
        <w:t>.</w:t>
      </w:r>
    </w:p>
    <w:p w:rsidR="00EE714B" w:rsidRDefault="00EE714B">
      <w:pPr>
        <w:rPr>
          <w:b/>
        </w:rPr>
      </w:pPr>
      <w:r>
        <w:rPr>
          <w:b/>
        </w:rPr>
        <w:br w:type="page"/>
      </w:r>
    </w:p>
    <w:p w:rsidR="00D60DED" w:rsidRPr="0088577C" w:rsidRDefault="00D60DED" w:rsidP="00D60DED">
      <w:pPr>
        <w:jc w:val="center"/>
        <w:rPr>
          <w:b/>
          <w:sz w:val="22"/>
          <w:lang w:val="es-MX"/>
        </w:rPr>
      </w:pPr>
      <w:r w:rsidRPr="0088577C">
        <w:rPr>
          <w:b/>
          <w:sz w:val="22"/>
          <w:lang w:val="es-MX"/>
        </w:rPr>
        <w:lastRenderedPageBreak/>
        <w:t xml:space="preserve">Cuadro </w:t>
      </w:r>
      <w:r>
        <w:rPr>
          <w:b/>
          <w:sz w:val="22"/>
          <w:lang w:val="es-MX"/>
        </w:rPr>
        <w:t>11</w:t>
      </w:r>
    </w:p>
    <w:p w:rsidR="00D60DED" w:rsidRPr="0088577C" w:rsidRDefault="00D60DED" w:rsidP="00D60DED">
      <w:pPr>
        <w:jc w:val="center"/>
        <w:rPr>
          <w:b/>
          <w:sz w:val="22"/>
          <w:lang w:val="es-MX"/>
        </w:rPr>
      </w:pPr>
      <w:r>
        <w:rPr>
          <w:b/>
          <w:sz w:val="22"/>
          <w:lang w:val="es-MX"/>
        </w:rPr>
        <w:t>Presupuesto Asignado y Estimación de Ingresos Tributarios</w:t>
      </w:r>
    </w:p>
    <w:p w:rsidR="00D60DED" w:rsidRPr="0088577C" w:rsidRDefault="00D60DED" w:rsidP="00D60DED">
      <w:pPr>
        <w:jc w:val="center"/>
        <w:rPr>
          <w:b/>
          <w:sz w:val="22"/>
          <w:lang w:val="es-MX"/>
        </w:rPr>
      </w:pPr>
      <w:r>
        <w:rPr>
          <w:b/>
          <w:sz w:val="22"/>
          <w:lang w:val="es-MX"/>
        </w:rPr>
        <w:t>Ejercicio Fiscal 2018</w:t>
      </w:r>
    </w:p>
    <w:p w:rsidR="00D60DED" w:rsidRDefault="00D60DED" w:rsidP="00D60DED">
      <w:pPr>
        <w:pStyle w:val="Prrafodelista"/>
        <w:jc w:val="center"/>
        <w:rPr>
          <w:sz w:val="16"/>
        </w:rPr>
      </w:pPr>
      <w:r w:rsidRPr="0088577C">
        <w:rPr>
          <w:b/>
          <w:sz w:val="22"/>
          <w:lang w:val="es-MX"/>
        </w:rPr>
        <w:t>(Cifras en Millones de Quetzales)</w:t>
      </w:r>
    </w:p>
    <w:tbl>
      <w:tblPr>
        <w:tblW w:w="8647" w:type="dxa"/>
        <w:tblInd w:w="354" w:type="dxa"/>
        <w:tblCellMar>
          <w:left w:w="70" w:type="dxa"/>
          <w:right w:w="70" w:type="dxa"/>
        </w:tblCellMar>
        <w:tblLook w:val="04A0" w:firstRow="1" w:lastRow="0" w:firstColumn="1" w:lastColumn="0" w:noHBand="0" w:noVBand="1"/>
      </w:tblPr>
      <w:tblGrid>
        <w:gridCol w:w="5245"/>
        <w:gridCol w:w="1701"/>
        <w:gridCol w:w="1701"/>
      </w:tblGrid>
      <w:tr w:rsidR="00D60DED" w:rsidRPr="00D60DED" w:rsidTr="00D60DED">
        <w:trPr>
          <w:trHeight w:val="375"/>
        </w:trPr>
        <w:tc>
          <w:tcPr>
            <w:tcW w:w="5245" w:type="dxa"/>
            <w:tcBorders>
              <w:top w:val="single" w:sz="8" w:space="0" w:color="auto"/>
              <w:left w:val="single" w:sz="8" w:space="0" w:color="auto"/>
              <w:bottom w:val="single" w:sz="8" w:space="0" w:color="auto"/>
              <w:right w:val="single" w:sz="4" w:space="0" w:color="auto"/>
            </w:tcBorders>
            <w:shd w:val="clear" w:color="000000" w:fill="366092"/>
            <w:noWrap/>
            <w:vAlign w:val="center"/>
            <w:hideMark/>
          </w:tcPr>
          <w:p w:rsidR="00D60DED" w:rsidRPr="00D60DED" w:rsidRDefault="00D60DED" w:rsidP="00D60DED">
            <w:pPr>
              <w:jc w:val="center"/>
              <w:rPr>
                <w:b/>
                <w:bCs/>
                <w:color w:val="FFFFFF"/>
                <w:sz w:val="20"/>
                <w:szCs w:val="20"/>
                <w:lang w:val="es-GT" w:eastAsia="es-GT"/>
              </w:rPr>
            </w:pPr>
            <w:r w:rsidRPr="00D60DED">
              <w:rPr>
                <w:b/>
                <w:bCs/>
                <w:color w:val="FFFFFF"/>
                <w:sz w:val="20"/>
                <w:szCs w:val="20"/>
                <w:lang w:val="es-GT" w:eastAsia="es-GT"/>
              </w:rPr>
              <w:t>Concepto</w:t>
            </w:r>
          </w:p>
        </w:tc>
        <w:tc>
          <w:tcPr>
            <w:tcW w:w="1701" w:type="dxa"/>
            <w:tcBorders>
              <w:top w:val="single" w:sz="8" w:space="0" w:color="auto"/>
              <w:left w:val="nil"/>
              <w:bottom w:val="single" w:sz="8" w:space="0" w:color="auto"/>
              <w:right w:val="single" w:sz="4" w:space="0" w:color="auto"/>
            </w:tcBorders>
            <w:shd w:val="clear" w:color="000000" w:fill="366092"/>
            <w:noWrap/>
            <w:vAlign w:val="center"/>
            <w:hideMark/>
          </w:tcPr>
          <w:p w:rsidR="00D60DED" w:rsidRPr="00D60DED" w:rsidRDefault="00D60DED" w:rsidP="00D60DED">
            <w:pPr>
              <w:jc w:val="center"/>
              <w:rPr>
                <w:b/>
                <w:bCs/>
                <w:color w:val="FFFFFF"/>
                <w:sz w:val="20"/>
                <w:szCs w:val="20"/>
                <w:lang w:val="es-GT" w:eastAsia="es-GT"/>
              </w:rPr>
            </w:pPr>
            <w:r w:rsidRPr="00D60DED">
              <w:rPr>
                <w:b/>
                <w:bCs/>
                <w:color w:val="FFFFFF"/>
                <w:sz w:val="20"/>
                <w:szCs w:val="20"/>
                <w:lang w:val="es-GT" w:eastAsia="es-GT"/>
              </w:rPr>
              <w:t>Presupuesto</w:t>
            </w:r>
          </w:p>
        </w:tc>
        <w:tc>
          <w:tcPr>
            <w:tcW w:w="1701" w:type="dxa"/>
            <w:tcBorders>
              <w:top w:val="single" w:sz="8" w:space="0" w:color="auto"/>
              <w:left w:val="nil"/>
              <w:bottom w:val="single" w:sz="8" w:space="0" w:color="auto"/>
              <w:right w:val="single" w:sz="8" w:space="0" w:color="auto"/>
            </w:tcBorders>
            <w:shd w:val="clear" w:color="000000" w:fill="366092"/>
            <w:noWrap/>
            <w:vAlign w:val="center"/>
            <w:hideMark/>
          </w:tcPr>
          <w:p w:rsidR="00D60DED" w:rsidRPr="00D60DED" w:rsidRDefault="00D60DED" w:rsidP="00D60DED">
            <w:pPr>
              <w:jc w:val="center"/>
              <w:rPr>
                <w:b/>
                <w:bCs/>
                <w:color w:val="FFFFFF"/>
                <w:sz w:val="20"/>
                <w:szCs w:val="20"/>
                <w:lang w:val="es-GT" w:eastAsia="es-GT"/>
              </w:rPr>
            </w:pPr>
            <w:r w:rsidRPr="00D60DED">
              <w:rPr>
                <w:b/>
                <w:bCs/>
                <w:color w:val="FFFFFF"/>
                <w:sz w:val="20"/>
                <w:szCs w:val="20"/>
                <w:lang w:val="es-GT" w:eastAsia="es-GT"/>
              </w:rPr>
              <w:t>Estimación</w:t>
            </w:r>
          </w:p>
        </w:tc>
      </w:tr>
      <w:tr w:rsidR="00D60DED" w:rsidRPr="00D60DED" w:rsidTr="00D60DED">
        <w:trPr>
          <w:trHeight w:val="285"/>
        </w:trPr>
        <w:tc>
          <w:tcPr>
            <w:tcW w:w="5245" w:type="dxa"/>
            <w:tcBorders>
              <w:top w:val="nil"/>
              <w:left w:val="single" w:sz="8" w:space="0" w:color="auto"/>
              <w:bottom w:val="nil"/>
              <w:right w:val="nil"/>
            </w:tcBorders>
            <w:shd w:val="clear" w:color="auto" w:fill="auto"/>
            <w:noWrap/>
            <w:vAlign w:val="bottom"/>
            <w:hideMark/>
          </w:tcPr>
          <w:p w:rsidR="00D60DED" w:rsidRPr="00D60DED" w:rsidRDefault="00D60DED" w:rsidP="00D60DED">
            <w:pPr>
              <w:rPr>
                <w:b/>
                <w:bCs/>
                <w:sz w:val="20"/>
                <w:szCs w:val="20"/>
                <w:lang w:val="es-GT" w:eastAsia="es-GT"/>
              </w:rPr>
            </w:pPr>
            <w:r w:rsidRPr="00D60DED">
              <w:rPr>
                <w:b/>
                <w:bCs/>
                <w:sz w:val="20"/>
                <w:szCs w:val="20"/>
                <w:lang w:val="es-GT" w:eastAsia="es-GT"/>
              </w:rPr>
              <w:t xml:space="preserve">Ingresos Tributarios </w:t>
            </w:r>
          </w:p>
        </w:tc>
        <w:tc>
          <w:tcPr>
            <w:tcW w:w="1701" w:type="dxa"/>
            <w:tcBorders>
              <w:top w:val="nil"/>
              <w:left w:val="single" w:sz="4" w:space="0" w:color="auto"/>
              <w:bottom w:val="nil"/>
              <w:right w:val="single" w:sz="4" w:space="0" w:color="auto"/>
            </w:tcBorders>
            <w:shd w:val="clear" w:color="auto" w:fill="auto"/>
            <w:noWrap/>
            <w:hideMark/>
          </w:tcPr>
          <w:p w:rsidR="00D60DED" w:rsidRPr="00D60DED" w:rsidRDefault="00D60DED" w:rsidP="00D60DED">
            <w:pPr>
              <w:jc w:val="right"/>
              <w:rPr>
                <w:b/>
                <w:bCs/>
                <w:sz w:val="20"/>
                <w:szCs w:val="20"/>
                <w:lang w:val="es-GT" w:eastAsia="es-GT"/>
              </w:rPr>
            </w:pPr>
            <w:r w:rsidRPr="00D60DED">
              <w:rPr>
                <w:b/>
                <w:bCs/>
                <w:sz w:val="20"/>
                <w:szCs w:val="20"/>
                <w:lang w:val="es-GT" w:eastAsia="es-GT"/>
              </w:rPr>
              <w:t>57,994.8</w:t>
            </w:r>
          </w:p>
        </w:tc>
        <w:tc>
          <w:tcPr>
            <w:tcW w:w="1701" w:type="dxa"/>
            <w:tcBorders>
              <w:top w:val="nil"/>
              <w:left w:val="nil"/>
              <w:bottom w:val="nil"/>
              <w:right w:val="single" w:sz="8" w:space="0" w:color="auto"/>
            </w:tcBorders>
            <w:shd w:val="clear" w:color="auto" w:fill="auto"/>
            <w:noWrap/>
            <w:hideMark/>
          </w:tcPr>
          <w:p w:rsidR="00D60DED" w:rsidRPr="00D60DED" w:rsidRDefault="00D60DED" w:rsidP="00D60DED">
            <w:pPr>
              <w:jc w:val="right"/>
              <w:rPr>
                <w:b/>
                <w:bCs/>
                <w:sz w:val="20"/>
                <w:szCs w:val="20"/>
                <w:lang w:val="es-GT" w:eastAsia="es-GT"/>
              </w:rPr>
            </w:pPr>
            <w:r w:rsidRPr="00D60DED">
              <w:rPr>
                <w:b/>
                <w:bCs/>
                <w:sz w:val="20"/>
                <w:szCs w:val="20"/>
                <w:lang w:val="es-GT" w:eastAsia="es-GT"/>
              </w:rPr>
              <w:t>59,275.2</w:t>
            </w:r>
          </w:p>
        </w:tc>
      </w:tr>
      <w:tr w:rsidR="00D60DED" w:rsidRPr="00D60DED" w:rsidTr="00D60DED">
        <w:trPr>
          <w:trHeight w:val="285"/>
        </w:trPr>
        <w:tc>
          <w:tcPr>
            <w:tcW w:w="5245" w:type="dxa"/>
            <w:tcBorders>
              <w:top w:val="nil"/>
              <w:left w:val="single" w:sz="8" w:space="0" w:color="auto"/>
              <w:bottom w:val="nil"/>
              <w:right w:val="nil"/>
            </w:tcBorders>
            <w:shd w:val="clear" w:color="auto" w:fill="auto"/>
            <w:noWrap/>
            <w:vAlign w:val="bottom"/>
            <w:hideMark/>
          </w:tcPr>
          <w:p w:rsidR="00D60DED" w:rsidRPr="00D60DED" w:rsidRDefault="00D60DED" w:rsidP="00D60DED">
            <w:pPr>
              <w:ind w:firstLineChars="100" w:firstLine="201"/>
              <w:rPr>
                <w:b/>
                <w:bCs/>
                <w:sz w:val="20"/>
                <w:szCs w:val="20"/>
                <w:lang w:val="es-GT" w:eastAsia="es-GT"/>
              </w:rPr>
            </w:pPr>
            <w:r w:rsidRPr="00D60DED">
              <w:rPr>
                <w:b/>
                <w:bCs/>
                <w:sz w:val="20"/>
                <w:szCs w:val="20"/>
                <w:lang w:val="es-GT" w:eastAsia="es-GT"/>
              </w:rPr>
              <w:t>Impuestos Directos</w:t>
            </w:r>
          </w:p>
        </w:tc>
        <w:tc>
          <w:tcPr>
            <w:tcW w:w="1701" w:type="dxa"/>
            <w:tcBorders>
              <w:top w:val="nil"/>
              <w:left w:val="single" w:sz="4" w:space="0" w:color="auto"/>
              <w:bottom w:val="nil"/>
              <w:right w:val="single" w:sz="4" w:space="0" w:color="auto"/>
            </w:tcBorders>
            <w:shd w:val="clear" w:color="auto" w:fill="auto"/>
            <w:noWrap/>
            <w:hideMark/>
          </w:tcPr>
          <w:p w:rsidR="00D60DED" w:rsidRPr="00D60DED" w:rsidRDefault="00D60DED" w:rsidP="00D60DED">
            <w:pPr>
              <w:jc w:val="right"/>
              <w:rPr>
                <w:b/>
                <w:bCs/>
                <w:sz w:val="20"/>
                <w:szCs w:val="20"/>
                <w:lang w:val="es-GT" w:eastAsia="es-GT"/>
              </w:rPr>
            </w:pPr>
            <w:r w:rsidRPr="00D60DED">
              <w:rPr>
                <w:b/>
                <w:bCs/>
                <w:sz w:val="20"/>
                <w:szCs w:val="20"/>
                <w:lang w:val="es-GT" w:eastAsia="es-GT"/>
              </w:rPr>
              <w:t>21,004.3</w:t>
            </w:r>
          </w:p>
        </w:tc>
        <w:tc>
          <w:tcPr>
            <w:tcW w:w="1701" w:type="dxa"/>
            <w:tcBorders>
              <w:top w:val="nil"/>
              <w:left w:val="nil"/>
              <w:bottom w:val="nil"/>
              <w:right w:val="single" w:sz="8" w:space="0" w:color="auto"/>
            </w:tcBorders>
            <w:shd w:val="clear" w:color="auto" w:fill="auto"/>
            <w:noWrap/>
            <w:hideMark/>
          </w:tcPr>
          <w:p w:rsidR="00D60DED" w:rsidRPr="00D60DED" w:rsidRDefault="00D60DED" w:rsidP="00D60DED">
            <w:pPr>
              <w:jc w:val="right"/>
              <w:rPr>
                <w:b/>
                <w:bCs/>
                <w:sz w:val="20"/>
                <w:szCs w:val="20"/>
                <w:lang w:val="es-GT" w:eastAsia="es-GT"/>
              </w:rPr>
            </w:pPr>
            <w:r w:rsidRPr="00D60DED">
              <w:rPr>
                <w:b/>
                <w:bCs/>
                <w:sz w:val="20"/>
                <w:szCs w:val="20"/>
                <w:lang w:val="es-GT" w:eastAsia="es-GT"/>
              </w:rPr>
              <w:t>20,920.7</w:t>
            </w:r>
          </w:p>
        </w:tc>
      </w:tr>
      <w:tr w:rsidR="00D60DED" w:rsidRPr="00D60DED" w:rsidTr="00D60DED">
        <w:trPr>
          <w:trHeight w:val="285"/>
        </w:trPr>
        <w:tc>
          <w:tcPr>
            <w:tcW w:w="5245" w:type="dxa"/>
            <w:tcBorders>
              <w:top w:val="nil"/>
              <w:left w:val="single" w:sz="8" w:space="0" w:color="auto"/>
              <w:bottom w:val="nil"/>
              <w:right w:val="nil"/>
            </w:tcBorders>
            <w:shd w:val="clear" w:color="auto" w:fill="auto"/>
            <w:noWrap/>
            <w:vAlign w:val="bottom"/>
            <w:hideMark/>
          </w:tcPr>
          <w:p w:rsidR="00D60DED" w:rsidRPr="00D60DED" w:rsidRDefault="00D60DED" w:rsidP="00D60DED">
            <w:pPr>
              <w:ind w:firstLineChars="200" w:firstLine="400"/>
              <w:rPr>
                <w:sz w:val="20"/>
                <w:szCs w:val="20"/>
                <w:lang w:val="es-GT" w:eastAsia="es-GT"/>
              </w:rPr>
            </w:pPr>
            <w:r w:rsidRPr="00D60DED">
              <w:rPr>
                <w:sz w:val="20"/>
                <w:szCs w:val="20"/>
                <w:lang w:val="es-GT" w:eastAsia="es-GT"/>
              </w:rPr>
              <w:t>Impuesto sobre la Renta</w:t>
            </w:r>
          </w:p>
        </w:tc>
        <w:tc>
          <w:tcPr>
            <w:tcW w:w="1701" w:type="dxa"/>
            <w:tcBorders>
              <w:top w:val="nil"/>
              <w:left w:val="single" w:sz="4" w:space="0" w:color="auto"/>
              <w:bottom w:val="nil"/>
              <w:right w:val="single" w:sz="4" w:space="0" w:color="auto"/>
            </w:tcBorders>
            <w:shd w:val="clear" w:color="auto" w:fill="auto"/>
            <w:noWrap/>
            <w:hideMark/>
          </w:tcPr>
          <w:p w:rsidR="00D60DED" w:rsidRPr="00D60DED" w:rsidRDefault="00D60DED" w:rsidP="00D60DED">
            <w:pPr>
              <w:jc w:val="right"/>
              <w:rPr>
                <w:sz w:val="20"/>
                <w:szCs w:val="20"/>
                <w:lang w:val="es-GT" w:eastAsia="es-GT"/>
              </w:rPr>
            </w:pPr>
            <w:r w:rsidRPr="00D60DED">
              <w:rPr>
                <w:sz w:val="20"/>
                <w:szCs w:val="20"/>
                <w:lang w:val="es-GT" w:eastAsia="es-GT"/>
              </w:rPr>
              <w:t>15,112.0</w:t>
            </w:r>
          </w:p>
        </w:tc>
        <w:tc>
          <w:tcPr>
            <w:tcW w:w="1701" w:type="dxa"/>
            <w:tcBorders>
              <w:top w:val="nil"/>
              <w:left w:val="nil"/>
              <w:bottom w:val="nil"/>
              <w:right w:val="single" w:sz="8" w:space="0" w:color="auto"/>
            </w:tcBorders>
            <w:shd w:val="clear" w:color="auto" w:fill="auto"/>
            <w:noWrap/>
            <w:hideMark/>
          </w:tcPr>
          <w:p w:rsidR="00D60DED" w:rsidRPr="00D60DED" w:rsidRDefault="00D60DED" w:rsidP="00D60DED">
            <w:pPr>
              <w:jc w:val="right"/>
              <w:rPr>
                <w:sz w:val="20"/>
                <w:szCs w:val="20"/>
                <w:lang w:val="es-GT" w:eastAsia="es-GT"/>
              </w:rPr>
            </w:pPr>
            <w:r w:rsidRPr="00D60DED">
              <w:rPr>
                <w:sz w:val="20"/>
                <w:szCs w:val="20"/>
                <w:lang w:val="es-GT" w:eastAsia="es-GT"/>
              </w:rPr>
              <w:t>16,509.0</w:t>
            </w:r>
          </w:p>
        </w:tc>
      </w:tr>
      <w:tr w:rsidR="00D60DED" w:rsidRPr="00D60DED" w:rsidTr="00D60DED">
        <w:trPr>
          <w:trHeight w:val="285"/>
        </w:trPr>
        <w:tc>
          <w:tcPr>
            <w:tcW w:w="5245" w:type="dxa"/>
            <w:tcBorders>
              <w:top w:val="nil"/>
              <w:left w:val="single" w:sz="8" w:space="0" w:color="auto"/>
              <w:bottom w:val="nil"/>
              <w:right w:val="nil"/>
            </w:tcBorders>
            <w:shd w:val="clear" w:color="auto" w:fill="auto"/>
            <w:noWrap/>
            <w:vAlign w:val="bottom"/>
            <w:hideMark/>
          </w:tcPr>
          <w:p w:rsidR="00D60DED" w:rsidRPr="00D60DED" w:rsidRDefault="00D60DED" w:rsidP="00D60DED">
            <w:pPr>
              <w:ind w:firstLineChars="200" w:firstLine="400"/>
              <w:rPr>
                <w:sz w:val="20"/>
                <w:szCs w:val="20"/>
                <w:lang w:val="es-GT" w:eastAsia="es-GT"/>
              </w:rPr>
            </w:pPr>
            <w:r w:rsidRPr="00D60DED">
              <w:rPr>
                <w:sz w:val="20"/>
                <w:szCs w:val="20"/>
                <w:lang w:val="es-GT" w:eastAsia="es-GT"/>
              </w:rPr>
              <w:t>Impuesto sobre la Propiedad y otros</w:t>
            </w:r>
          </w:p>
        </w:tc>
        <w:tc>
          <w:tcPr>
            <w:tcW w:w="1701" w:type="dxa"/>
            <w:tcBorders>
              <w:top w:val="nil"/>
              <w:left w:val="single" w:sz="4" w:space="0" w:color="auto"/>
              <w:bottom w:val="nil"/>
              <w:right w:val="single" w:sz="4" w:space="0" w:color="auto"/>
            </w:tcBorders>
            <w:shd w:val="clear" w:color="auto" w:fill="auto"/>
            <w:noWrap/>
            <w:hideMark/>
          </w:tcPr>
          <w:p w:rsidR="00D60DED" w:rsidRPr="00D60DED" w:rsidRDefault="00D60DED" w:rsidP="00D60DED">
            <w:pPr>
              <w:jc w:val="right"/>
              <w:rPr>
                <w:sz w:val="20"/>
                <w:szCs w:val="20"/>
                <w:lang w:val="es-GT" w:eastAsia="es-GT"/>
              </w:rPr>
            </w:pPr>
            <w:r w:rsidRPr="00D60DED">
              <w:rPr>
                <w:sz w:val="20"/>
                <w:szCs w:val="20"/>
                <w:lang w:val="es-GT" w:eastAsia="es-GT"/>
              </w:rPr>
              <w:t>24.7</w:t>
            </w:r>
          </w:p>
        </w:tc>
        <w:tc>
          <w:tcPr>
            <w:tcW w:w="1701" w:type="dxa"/>
            <w:tcBorders>
              <w:top w:val="nil"/>
              <w:left w:val="nil"/>
              <w:bottom w:val="nil"/>
              <w:right w:val="single" w:sz="8" w:space="0" w:color="auto"/>
            </w:tcBorders>
            <w:shd w:val="clear" w:color="auto" w:fill="auto"/>
            <w:noWrap/>
            <w:hideMark/>
          </w:tcPr>
          <w:p w:rsidR="00D60DED" w:rsidRPr="00D60DED" w:rsidRDefault="00D60DED" w:rsidP="00D60DED">
            <w:pPr>
              <w:jc w:val="right"/>
              <w:rPr>
                <w:sz w:val="20"/>
                <w:szCs w:val="20"/>
                <w:lang w:val="es-GT" w:eastAsia="es-GT"/>
              </w:rPr>
            </w:pPr>
            <w:r w:rsidRPr="00D60DED">
              <w:rPr>
                <w:sz w:val="20"/>
                <w:szCs w:val="20"/>
                <w:lang w:val="es-GT" w:eastAsia="es-GT"/>
              </w:rPr>
              <w:t>27.4</w:t>
            </w:r>
          </w:p>
        </w:tc>
      </w:tr>
      <w:tr w:rsidR="00D60DED" w:rsidRPr="00D60DED" w:rsidTr="00D60DED">
        <w:trPr>
          <w:trHeight w:val="285"/>
        </w:trPr>
        <w:tc>
          <w:tcPr>
            <w:tcW w:w="5245" w:type="dxa"/>
            <w:tcBorders>
              <w:top w:val="nil"/>
              <w:left w:val="single" w:sz="8" w:space="0" w:color="auto"/>
              <w:bottom w:val="nil"/>
              <w:right w:val="nil"/>
            </w:tcBorders>
            <w:shd w:val="clear" w:color="auto" w:fill="auto"/>
            <w:noWrap/>
            <w:vAlign w:val="bottom"/>
            <w:hideMark/>
          </w:tcPr>
          <w:p w:rsidR="00D60DED" w:rsidRPr="00D60DED" w:rsidRDefault="00D60DED" w:rsidP="00D60DED">
            <w:pPr>
              <w:ind w:firstLineChars="200" w:firstLine="400"/>
              <w:rPr>
                <w:sz w:val="20"/>
                <w:szCs w:val="20"/>
                <w:lang w:val="es-GT" w:eastAsia="es-GT"/>
              </w:rPr>
            </w:pPr>
            <w:r w:rsidRPr="00D60DED">
              <w:rPr>
                <w:sz w:val="20"/>
                <w:szCs w:val="20"/>
                <w:lang w:val="es-GT" w:eastAsia="es-GT"/>
              </w:rPr>
              <w:t>A las Empresas Mercantiles y Agropecuarias</w:t>
            </w:r>
          </w:p>
        </w:tc>
        <w:tc>
          <w:tcPr>
            <w:tcW w:w="1701" w:type="dxa"/>
            <w:tcBorders>
              <w:top w:val="nil"/>
              <w:left w:val="single" w:sz="4" w:space="0" w:color="auto"/>
              <w:bottom w:val="nil"/>
              <w:right w:val="single" w:sz="4" w:space="0" w:color="auto"/>
            </w:tcBorders>
            <w:shd w:val="clear" w:color="auto" w:fill="auto"/>
            <w:noWrap/>
            <w:hideMark/>
          </w:tcPr>
          <w:p w:rsidR="00D60DED" w:rsidRPr="00D60DED" w:rsidRDefault="00D60DED" w:rsidP="00D60DED">
            <w:pPr>
              <w:jc w:val="right"/>
              <w:rPr>
                <w:sz w:val="20"/>
                <w:szCs w:val="20"/>
                <w:lang w:val="es-GT" w:eastAsia="es-GT"/>
              </w:rPr>
            </w:pPr>
            <w:r w:rsidRPr="00D60DED">
              <w:rPr>
                <w:sz w:val="20"/>
                <w:szCs w:val="20"/>
                <w:lang w:val="es-GT" w:eastAsia="es-GT"/>
              </w:rPr>
              <w:t>0.0</w:t>
            </w:r>
          </w:p>
        </w:tc>
        <w:tc>
          <w:tcPr>
            <w:tcW w:w="1701" w:type="dxa"/>
            <w:tcBorders>
              <w:top w:val="nil"/>
              <w:left w:val="nil"/>
              <w:bottom w:val="nil"/>
              <w:right w:val="single" w:sz="8" w:space="0" w:color="auto"/>
            </w:tcBorders>
            <w:shd w:val="clear" w:color="auto" w:fill="auto"/>
            <w:noWrap/>
            <w:hideMark/>
          </w:tcPr>
          <w:p w:rsidR="00D60DED" w:rsidRPr="00D60DED" w:rsidRDefault="00D60DED" w:rsidP="00D60DED">
            <w:pPr>
              <w:jc w:val="right"/>
              <w:rPr>
                <w:sz w:val="20"/>
                <w:szCs w:val="20"/>
                <w:lang w:val="es-GT" w:eastAsia="es-GT"/>
              </w:rPr>
            </w:pPr>
            <w:r w:rsidRPr="00D60DED">
              <w:rPr>
                <w:sz w:val="20"/>
                <w:szCs w:val="20"/>
                <w:lang w:val="es-GT" w:eastAsia="es-GT"/>
              </w:rPr>
              <w:t>0.0</w:t>
            </w:r>
          </w:p>
        </w:tc>
      </w:tr>
      <w:tr w:rsidR="00D60DED" w:rsidRPr="00D60DED" w:rsidTr="00D60DED">
        <w:trPr>
          <w:trHeight w:val="285"/>
        </w:trPr>
        <w:tc>
          <w:tcPr>
            <w:tcW w:w="5245" w:type="dxa"/>
            <w:tcBorders>
              <w:top w:val="nil"/>
              <w:left w:val="single" w:sz="8" w:space="0" w:color="auto"/>
              <w:bottom w:val="nil"/>
              <w:right w:val="nil"/>
            </w:tcBorders>
            <w:shd w:val="clear" w:color="auto" w:fill="auto"/>
            <w:noWrap/>
            <w:vAlign w:val="bottom"/>
            <w:hideMark/>
          </w:tcPr>
          <w:p w:rsidR="00D60DED" w:rsidRPr="00D60DED" w:rsidRDefault="00D60DED" w:rsidP="00D60DED">
            <w:pPr>
              <w:ind w:firstLineChars="200" w:firstLine="400"/>
              <w:rPr>
                <w:sz w:val="20"/>
                <w:szCs w:val="20"/>
                <w:lang w:val="es-GT" w:eastAsia="es-GT"/>
              </w:rPr>
            </w:pPr>
            <w:r w:rsidRPr="00D60DED">
              <w:rPr>
                <w:sz w:val="20"/>
                <w:szCs w:val="20"/>
                <w:lang w:val="es-GT" w:eastAsia="es-GT"/>
              </w:rPr>
              <w:t xml:space="preserve">IETAAP </w:t>
            </w:r>
          </w:p>
        </w:tc>
        <w:tc>
          <w:tcPr>
            <w:tcW w:w="1701" w:type="dxa"/>
            <w:tcBorders>
              <w:top w:val="nil"/>
              <w:left w:val="single" w:sz="4" w:space="0" w:color="auto"/>
              <w:bottom w:val="nil"/>
              <w:right w:val="single" w:sz="4" w:space="0" w:color="auto"/>
            </w:tcBorders>
            <w:shd w:val="clear" w:color="auto" w:fill="auto"/>
            <w:noWrap/>
            <w:hideMark/>
          </w:tcPr>
          <w:p w:rsidR="00D60DED" w:rsidRPr="00D60DED" w:rsidRDefault="00D60DED" w:rsidP="00D60DED">
            <w:pPr>
              <w:jc w:val="right"/>
              <w:rPr>
                <w:sz w:val="20"/>
                <w:szCs w:val="20"/>
                <w:lang w:val="es-GT" w:eastAsia="es-GT"/>
              </w:rPr>
            </w:pPr>
            <w:r w:rsidRPr="00D60DED">
              <w:rPr>
                <w:sz w:val="20"/>
                <w:szCs w:val="20"/>
                <w:lang w:val="es-GT" w:eastAsia="es-GT"/>
              </w:rPr>
              <w:t>0.0</w:t>
            </w:r>
          </w:p>
        </w:tc>
        <w:tc>
          <w:tcPr>
            <w:tcW w:w="1701" w:type="dxa"/>
            <w:tcBorders>
              <w:top w:val="nil"/>
              <w:left w:val="nil"/>
              <w:bottom w:val="nil"/>
              <w:right w:val="single" w:sz="8" w:space="0" w:color="auto"/>
            </w:tcBorders>
            <w:shd w:val="clear" w:color="auto" w:fill="auto"/>
            <w:noWrap/>
            <w:hideMark/>
          </w:tcPr>
          <w:p w:rsidR="00D60DED" w:rsidRPr="00D60DED" w:rsidRDefault="00D60DED" w:rsidP="00D60DED">
            <w:pPr>
              <w:jc w:val="right"/>
              <w:rPr>
                <w:sz w:val="20"/>
                <w:szCs w:val="20"/>
                <w:lang w:val="es-GT" w:eastAsia="es-GT"/>
              </w:rPr>
            </w:pPr>
            <w:r w:rsidRPr="00D60DED">
              <w:rPr>
                <w:sz w:val="20"/>
                <w:szCs w:val="20"/>
                <w:lang w:val="es-GT" w:eastAsia="es-GT"/>
              </w:rPr>
              <w:t>5.0</w:t>
            </w:r>
          </w:p>
        </w:tc>
      </w:tr>
      <w:tr w:rsidR="00D60DED" w:rsidRPr="00D60DED" w:rsidTr="00D60DED">
        <w:trPr>
          <w:trHeight w:val="285"/>
        </w:trPr>
        <w:tc>
          <w:tcPr>
            <w:tcW w:w="5245" w:type="dxa"/>
            <w:tcBorders>
              <w:top w:val="nil"/>
              <w:left w:val="single" w:sz="8" w:space="0" w:color="auto"/>
              <w:bottom w:val="nil"/>
              <w:right w:val="nil"/>
            </w:tcBorders>
            <w:shd w:val="clear" w:color="auto" w:fill="auto"/>
            <w:noWrap/>
            <w:vAlign w:val="center"/>
            <w:hideMark/>
          </w:tcPr>
          <w:p w:rsidR="00D60DED" w:rsidRPr="00D60DED" w:rsidRDefault="00D60DED" w:rsidP="00D60DED">
            <w:pPr>
              <w:ind w:firstLineChars="200" w:firstLine="400"/>
              <w:rPr>
                <w:sz w:val="20"/>
                <w:szCs w:val="20"/>
                <w:lang w:val="es-GT" w:eastAsia="es-GT"/>
              </w:rPr>
            </w:pPr>
            <w:r w:rsidRPr="00D60DED">
              <w:rPr>
                <w:sz w:val="20"/>
                <w:szCs w:val="20"/>
                <w:lang w:val="es-GT" w:eastAsia="es-GT"/>
              </w:rPr>
              <w:t>Impues</w:t>
            </w:r>
            <w:r>
              <w:rPr>
                <w:sz w:val="20"/>
                <w:szCs w:val="20"/>
                <w:lang w:val="es-GT" w:eastAsia="es-GT"/>
              </w:rPr>
              <w:t>t</w:t>
            </w:r>
            <w:r w:rsidRPr="00D60DED">
              <w:rPr>
                <w:sz w:val="20"/>
                <w:szCs w:val="20"/>
                <w:lang w:val="es-GT" w:eastAsia="es-GT"/>
              </w:rPr>
              <w:t>o de Solidaridad</w:t>
            </w:r>
          </w:p>
        </w:tc>
        <w:tc>
          <w:tcPr>
            <w:tcW w:w="1701" w:type="dxa"/>
            <w:tcBorders>
              <w:top w:val="nil"/>
              <w:left w:val="single" w:sz="4" w:space="0" w:color="auto"/>
              <w:bottom w:val="nil"/>
              <w:right w:val="single" w:sz="4" w:space="0" w:color="auto"/>
            </w:tcBorders>
            <w:shd w:val="clear" w:color="auto" w:fill="auto"/>
            <w:noWrap/>
            <w:hideMark/>
          </w:tcPr>
          <w:p w:rsidR="00D60DED" w:rsidRPr="00D60DED" w:rsidRDefault="00D60DED" w:rsidP="00D60DED">
            <w:pPr>
              <w:jc w:val="right"/>
              <w:rPr>
                <w:sz w:val="20"/>
                <w:szCs w:val="20"/>
                <w:lang w:val="es-GT" w:eastAsia="es-GT"/>
              </w:rPr>
            </w:pPr>
            <w:r w:rsidRPr="00D60DED">
              <w:rPr>
                <w:sz w:val="20"/>
                <w:szCs w:val="20"/>
                <w:lang w:val="es-GT" w:eastAsia="es-GT"/>
              </w:rPr>
              <w:t>4,467.6</w:t>
            </w:r>
          </w:p>
        </w:tc>
        <w:tc>
          <w:tcPr>
            <w:tcW w:w="1701" w:type="dxa"/>
            <w:tcBorders>
              <w:top w:val="nil"/>
              <w:left w:val="nil"/>
              <w:bottom w:val="nil"/>
              <w:right w:val="single" w:sz="8" w:space="0" w:color="auto"/>
            </w:tcBorders>
            <w:shd w:val="clear" w:color="auto" w:fill="auto"/>
            <w:noWrap/>
            <w:hideMark/>
          </w:tcPr>
          <w:p w:rsidR="00D60DED" w:rsidRPr="00D60DED" w:rsidRDefault="00D60DED" w:rsidP="00D60DED">
            <w:pPr>
              <w:jc w:val="right"/>
              <w:rPr>
                <w:sz w:val="20"/>
                <w:szCs w:val="20"/>
                <w:lang w:val="es-GT" w:eastAsia="es-GT"/>
              </w:rPr>
            </w:pPr>
            <w:r w:rsidRPr="00D60DED">
              <w:rPr>
                <w:sz w:val="20"/>
                <w:szCs w:val="20"/>
                <w:lang w:val="es-GT" w:eastAsia="es-GT"/>
              </w:rPr>
              <w:t>4,379.3</w:t>
            </w:r>
          </w:p>
        </w:tc>
      </w:tr>
      <w:tr w:rsidR="00D60DED" w:rsidRPr="00D60DED" w:rsidTr="00D60DED">
        <w:trPr>
          <w:trHeight w:val="285"/>
        </w:trPr>
        <w:tc>
          <w:tcPr>
            <w:tcW w:w="5245" w:type="dxa"/>
            <w:tcBorders>
              <w:top w:val="nil"/>
              <w:left w:val="single" w:sz="8" w:space="0" w:color="auto"/>
              <w:bottom w:val="nil"/>
              <w:right w:val="nil"/>
            </w:tcBorders>
            <w:shd w:val="clear" w:color="auto" w:fill="auto"/>
            <w:noWrap/>
            <w:vAlign w:val="center"/>
            <w:hideMark/>
          </w:tcPr>
          <w:p w:rsidR="00D60DED" w:rsidRPr="00D60DED" w:rsidRDefault="00D60DED" w:rsidP="00D60DED">
            <w:pPr>
              <w:ind w:firstLineChars="200" w:firstLine="400"/>
              <w:rPr>
                <w:sz w:val="20"/>
                <w:szCs w:val="20"/>
                <w:lang w:val="es-GT" w:eastAsia="es-GT"/>
              </w:rPr>
            </w:pPr>
            <w:r w:rsidRPr="00D60DED">
              <w:rPr>
                <w:sz w:val="20"/>
                <w:szCs w:val="20"/>
                <w:lang w:val="es-GT" w:eastAsia="es-GT"/>
              </w:rPr>
              <w:t>Otros Directos</w:t>
            </w:r>
          </w:p>
        </w:tc>
        <w:tc>
          <w:tcPr>
            <w:tcW w:w="1701" w:type="dxa"/>
            <w:tcBorders>
              <w:top w:val="nil"/>
              <w:left w:val="single" w:sz="4" w:space="0" w:color="auto"/>
              <w:bottom w:val="nil"/>
              <w:right w:val="single" w:sz="4" w:space="0" w:color="auto"/>
            </w:tcBorders>
            <w:shd w:val="clear" w:color="auto" w:fill="auto"/>
            <w:noWrap/>
            <w:hideMark/>
          </w:tcPr>
          <w:p w:rsidR="00D60DED" w:rsidRPr="00D60DED" w:rsidRDefault="00D60DED" w:rsidP="00D60DED">
            <w:pPr>
              <w:jc w:val="right"/>
              <w:rPr>
                <w:sz w:val="20"/>
                <w:szCs w:val="20"/>
                <w:lang w:val="es-GT" w:eastAsia="es-GT"/>
              </w:rPr>
            </w:pPr>
            <w:r w:rsidRPr="00D60DED">
              <w:rPr>
                <w:sz w:val="20"/>
                <w:szCs w:val="20"/>
                <w:lang w:val="es-GT" w:eastAsia="es-GT"/>
              </w:rPr>
              <w:t>1,400.0</w:t>
            </w:r>
          </w:p>
        </w:tc>
        <w:tc>
          <w:tcPr>
            <w:tcW w:w="1701" w:type="dxa"/>
            <w:tcBorders>
              <w:top w:val="nil"/>
              <w:left w:val="nil"/>
              <w:bottom w:val="nil"/>
              <w:right w:val="single" w:sz="8" w:space="0" w:color="auto"/>
            </w:tcBorders>
            <w:shd w:val="clear" w:color="auto" w:fill="auto"/>
            <w:noWrap/>
            <w:hideMark/>
          </w:tcPr>
          <w:p w:rsidR="00D60DED" w:rsidRPr="00D60DED" w:rsidRDefault="00D60DED" w:rsidP="00D60DED">
            <w:pPr>
              <w:jc w:val="right"/>
              <w:rPr>
                <w:sz w:val="20"/>
                <w:szCs w:val="20"/>
                <w:lang w:val="es-GT" w:eastAsia="es-GT"/>
              </w:rPr>
            </w:pPr>
            <w:r w:rsidRPr="00D60DED">
              <w:rPr>
                <w:sz w:val="20"/>
                <w:szCs w:val="20"/>
                <w:lang w:val="es-GT" w:eastAsia="es-GT"/>
              </w:rPr>
              <w:t>0.0</w:t>
            </w:r>
          </w:p>
        </w:tc>
      </w:tr>
      <w:tr w:rsidR="00D60DED" w:rsidRPr="00D60DED" w:rsidTr="00D60DED">
        <w:trPr>
          <w:trHeight w:val="285"/>
        </w:trPr>
        <w:tc>
          <w:tcPr>
            <w:tcW w:w="5245" w:type="dxa"/>
            <w:tcBorders>
              <w:top w:val="nil"/>
              <w:left w:val="single" w:sz="8" w:space="0" w:color="auto"/>
              <w:bottom w:val="nil"/>
              <w:right w:val="nil"/>
            </w:tcBorders>
            <w:shd w:val="clear" w:color="auto" w:fill="auto"/>
            <w:noWrap/>
            <w:vAlign w:val="bottom"/>
            <w:hideMark/>
          </w:tcPr>
          <w:p w:rsidR="00D60DED" w:rsidRPr="00D60DED" w:rsidRDefault="00D60DED" w:rsidP="00D60DED">
            <w:pPr>
              <w:ind w:firstLineChars="100" w:firstLine="201"/>
              <w:rPr>
                <w:b/>
                <w:bCs/>
                <w:sz w:val="20"/>
                <w:szCs w:val="20"/>
                <w:lang w:val="es-GT" w:eastAsia="es-GT"/>
              </w:rPr>
            </w:pPr>
            <w:r w:rsidRPr="00D60DED">
              <w:rPr>
                <w:b/>
                <w:bCs/>
                <w:sz w:val="20"/>
                <w:szCs w:val="20"/>
                <w:lang w:val="es-GT" w:eastAsia="es-GT"/>
              </w:rPr>
              <w:t>Impuestos Indirectos</w:t>
            </w:r>
          </w:p>
        </w:tc>
        <w:tc>
          <w:tcPr>
            <w:tcW w:w="1701" w:type="dxa"/>
            <w:tcBorders>
              <w:top w:val="nil"/>
              <w:left w:val="single" w:sz="4" w:space="0" w:color="auto"/>
              <w:bottom w:val="nil"/>
              <w:right w:val="single" w:sz="4" w:space="0" w:color="auto"/>
            </w:tcBorders>
            <w:shd w:val="clear" w:color="auto" w:fill="auto"/>
            <w:noWrap/>
            <w:hideMark/>
          </w:tcPr>
          <w:p w:rsidR="00D60DED" w:rsidRPr="00D60DED" w:rsidRDefault="00D60DED" w:rsidP="00D60DED">
            <w:pPr>
              <w:jc w:val="right"/>
              <w:rPr>
                <w:b/>
                <w:bCs/>
                <w:sz w:val="20"/>
                <w:szCs w:val="20"/>
                <w:lang w:val="es-GT" w:eastAsia="es-GT"/>
              </w:rPr>
            </w:pPr>
            <w:r w:rsidRPr="00D60DED">
              <w:rPr>
                <w:b/>
                <w:bCs/>
                <w:sz w:val="20"/>
                <w:szCs w:val="20"/>
                <w:lang w:val="es-GT" w:eastAsia="es-GT"/>
              </w:rPr>
              <w:t>36,990.5</w:t>
            </w:r>
          </w:p>
        </w:tc>
        <w:tc>
          <w:tcPr>
            <w:tcW w:w="1701" w:type="dxa"/>
            <w:tcBorders>
              <w:top w:val="nil"/>
              <w:left w:val="nil"/>
              <w:bottom w:val="nil"/>
              <w:right w:val="single" w:sz="8" w:space="0" w:color="auto"/>
            </w:tcBorders>
            <w:shd w:val="clear" w:color="auto" w:fill="auto"/>
            <w:noWrap/>
            <w:hideMark/>
          </w:tcPr>
          <w:p w:rsidR="00D60DED" w:rsidRPr="00D60DED" w:rsidRDefault="00D60DED" w:rsidP="00D60DED">
            <w:pPr>
              <w:jc w:val="right"/>
              <w:rPr>
                <w:b/>
                <w:bCs/>
                <w:sz w:val="20"/>
                <w:szCs w:val="20"/>
                <w:lang w:val="es-GT" w:eastAsia="es-GT"/>
              </w:rPr>
            </w:pPr>
            <w:r w:rsidRPr="00D60DED">
              <w:rPr>
                <w:b/>
                <w:bCs/>
                <w:sz w:val="20"/>
                <w:szCs w:val="20"/>
                <w:lang w:val="es-GT" w:eastAsia="es-GT"/>
              </w:rPr>
              <w:t>38,354.5</w:t>
            </w:r>
          </w:p>
        </w:tc>
      </w:tr>
      <w:tr w:rsidR="00D60DED" w:rsidRPr="00D60DED" w:rsidTr="00D60DED">
        <w:trPr>
          <w:trHeight w:val="285"/>
        </w:trPr>
        <w:tc>
          <w:tcPr>
            <w:tcW w:w="5245" w:type="dxa"/>
            <w:tcBorders>
              <w:top w:val="nil"/>
              <w:left w:val="single" w:sz="8" w:space="0" w:color="auto"/>
              <w:bottom w:val="nil"/>
              <w:right w:val="nil"/>
            </w:tcBorders>
            <w:shd w:val="clear" w:color="auto" w:fill="auto"/>
            <w:noWrap/>
            <w:vAlign w:val="bottom"/>
            <w:hideMark/>
          </w:tcPr>
          <w:p w:rsidR="00D60DED" w:rsidRPr="00D60DED" w:rsidRDefault="00D60DED" w:rsidP="00D60DED">
            <w:pPr>
              <w:ind w:firstLineChars="200" w:firstLine="400"/>
              <w:rPr>
                <w:sz w:val="20"/>
                <w:szCs w:val="20"/>
                <w:lang w:val="es-GT" w:eastAsia="es-GT"/>
              </w:rPr>
            </w:pPr>
            <w:r w:rsidRPr="00D60DED">
              <w:rPr>
                <w:sz w:val="20"/>
                <w:szCs w:val="20"/>
                <w:lang w:val="es-GT" w:eastAsia="es-GT"/>
              </w:rPr>
              <w:t>Impuesto al Valor Agregado</w:t>
            </w:r>
          </w:p>
        </w:tc>
        <w:tc>
          <w:tcPr>
            <w:tcW w:w="1701" w:type="dxa"/>
            <w:tcBorders>
              <w:top w:val="nil"/>
              <w:left w:val="single" w:sz="4" w:space="0" w:color="auto"/>
              <w:bottom w:val="nil"/>
              <w:right w:val="single" w:sz="4" w:space="0" w:color="auto"/>
            </w:tcBorders>
            <w:shd w:val="clear" w:color="auto" w:fill="auto"/>
            <w:noWrap/>
            <w:hideMark/>
          </w:tcPr>
          <w:p w:rsidR="00D60DED" w:rsidRPr="00D60DED" w:rsidRDefault="00D60DED" w:rsidP="00D60DED">
            <w:pPr>
              <w:jc w:val="right"/>
              <w:rPr>
                <w:sz w:val="20"/>
                <w:szCs w:val="20"/>
                <w:lang w:val="es-GT" w:eastAsia="es-GT"/>
              </w:rPr>
            </w:pPr>
            <w:r w:rsidRPr="00D60DED">
              <w:rPr>
                <w:sz w:val="20"/>
                <w:szCs w:val="20"/>
                <w:lang w:val="es-GT" w:eastAsia="es-GT"/>
              </w:rPr>
              <w:t>25,353.2</w:t>
            </w:r>
          </w:p>
        </w:tc>
        <w:tc>
          <w:tcPr>
            <w:tcW w:w="1701" w:type="dxa"/>
            <w:tcBorders>
              <w:top w:val="nil"/>
              <w:left w:val="nil"/>
              <w:bottom w:val="nil"/>
              <w:right w:val="single" w:sz="8" w:space="0" w:color="auto"/>
            </w:tcBorders>
            <w:shd w:val="clear" w:color="auto" w:fill="auto"/>
            <w:noWrap/>
            <w:hideMark/>
          </w:tcPr>
          <w:p w:rsidR="00D60DED" w:rsidRPr="00D60DED" w:rsidRDefault="00D60DED" w:rsidP="00D60DED">
            <w:pPr>
              <w:jc w:val="right"/>
              <w:rPr>
                <w:sz w:val="20"/>
                <w:szCs w:val="20"/>
                <w:lang w:val="es-GT" w:eastAsia="es-GT"/>
              </w:rPr>
            </w:pPr>
            <w:r w:rsidRPr="00D60DED">
              <w:rPr>
                <w:sz w:val="20"/>
                <w:szCs w:val="20"/>
                <w:lang w:val="es-GT" w:eastAsia="es-GT"/>
              </w:rPr>
              <w:t>28,570.9</w:t>
            </w:r>
          </w:p>
        </w:tc>
      </w:tr>
      <w:tr w:rsidR="00D60DED" w:rsidRPr="00D60DED" w:rsidTr="00D60DED">
        <w:trPr>
          <w:trHeight w:val="285"/>
        </w:trPr>
        <w:tc>
          <w:tcPr>
            <w:tcW w:w="5245" w:type="dxa"/>
            <w:tcBorders>
              <w:top w:val="nil"/>
              <w:left w:val="single" w:sz="8" w:space="0" w:color="auto"/>
              <w:bottom w:val="nil"/>
              <w:right w:val="nil"/>
            </w:tcBorders>
            <w:shd w:val="clear" w:color="auto" w:fill="auto"/>
            <w:noWrap/>
            <w:vAlign w:val="bottom"/>
            <w:hideMark/>
          </w:tcPr>
          <w:p w:rsidR="00D60DED" w:rsidRPr="00D60DED" w:rsidRDefault="00D60DED" w:rsidP="00D60DED">
            <w:pPr>
              <w:ind w:firstLineChars="300" w:firstLine="600"/>
              <w:rPr>
                <w:sz w:val="20"/>
                <w:szCs w:val="20"/>
                <w:lang w:val="es-GT" w:eastAsia="es-GT"/>
              </w:rPr>
            </w:pPr>
            <w:r w:rsidRPr="00D60DED">
              <w:rPr>
                <w:sz w:val="20"/>
                <w:szCs w:val="20"/>
                <w:lang w:val="es-GT" w:eastAsia="es-GT"/>
              </w:rPr>
              <w:t>Doméstico</w:t>
            </w:r>
          </w:p>
        </w:tc>
        <w:tc>
          <w:tcPr>
            <w:tcW w:w="1701" w:type="dxa"/>
            <w:tcBorders>
              <w:top w:val="nil"/>
              <w:left w:val="single" w:sz="4" w:space="0" w:color="auto"/>
              <w:bottom w:val="nil"/>
              <w:right w:val="single" w:sz="4" w:space="0" w:color="auto"/>
            </w:tcBorders>
            <w:shd w:val="clear" w:color="auto" w:fill="auto"/>
            <w:noWrap/>
            <w:hideMark/>
          </w:tcPr>
          <w:p w:rsidR="00D60DED" w:rsidRPr="00D60DED" w:rsidRDefault="00D60DED" w:rsidP="00D60DED">
            <w:pPr>
              <w:jc w:val="right"/>
              <w:rPr>
                <w:sz w:val="20"/>
                <w:szCs w:val="20"/>
                <w:lang w:val="es-GT" w:eastAsia="es-GT"/>
              </w:rPr>
            </w:pPr>
            <w:r w:rsidRPr="00D60DED">
              <w:rPr>
                <w:sz w:val="20"/>
                <w:szCs w:val="20"/>
                <w:lang w:val="es-GT" w:eastAsia="es-GT"/>
              </w:rPr>
              <w:t>12,062.7</w:t>
            </w:r>
          </w:p>
        </w:tc>
        <w:tc>
          <w:tcPr>
            <w:tcW w:w="1701" w:type="dxa"/>
            <w:tcBorders>
              <w:top w:val="nil"/>
              <w:left w:val="nil"/>
              <w:bottom w:val="nil"/>
              <w:right w:val="single" w:sz="8" w:space="0" w:color="auto"/>
            </w:tcBorders>
            <w:shd w:val="clear" w:color="auto" w:fill="auto"/>
            <w:noWrap/>
            <w:hideMark/>
          </w:tcPr>
          <w:p w:rsidR="00D60DED" w:rsidRPr="00D60DED" w:rsidRDefault="00D60DED" w:rsidP="00D60DED">
            <w:pPr>
              <w:jc w:val="right"/>
              <w:rPr>
                <w:sz w:val="20"/>
                <w:szCs w:val="20"/>
                <w:lang w:val="es-GT" w:eastAsia="es-GT"/>
              </w:rPr>
            </w:pPr>
            <w:r w:rsidRPr="00D60DED">
              <w:rPr>
                <w:sz w:val="20"/>
                <w:szCs w:val="20"/>
                <w:lang w:val="es-GT" w:eastAsia="es-GT"/>
              </w:rPr>
              <w:t>14,116.1</w:t>
            </w:r>
          </w:p>
        </w:tc>
      </w:tr>
      <w:tr w:rsidR="00D60DED" w:rsidRPr="00D60DED" w:rsidTr="00D60DED">
        <w:trPr>
          <w:trHeight w:val="285"/>
        </w:trPr>
        <w:tc>
          <w:tcPr>
            <w:tcW w:w="5245" w:type="dxa"/>
            <w:tcBorders>
              <w:top w:val="nil"/>
              <w:left w:val="single" w:sz="8" w:space="0" w:color="auto"/>
              <w:bottom w:val="nil"/>
              <w:right w:val="nil"/>
            </w:tcBorders>
            <w:shd w:val="clear" w:color="auto" w:fill="auto"/>
            <w:noWrap/>
            <w:vAlign w:val="bottom"/>
            <w:hideMark/>
          </w:tcPr>
          <w:p w:rsidR="00D60DED" w:rsidRPr="00D60DED" w:rsidRDefault="00D60DED" w:rsidP="00D60DED">
            <w:pPr>
              <w:ind w:firstLineChars="300" w:firstLine="600"/>
              <w:rPr>
                <w:sz w:val="20"/>
                <w:szCs w:val="20"/>
                <w:lang w:val="es-GT" w:eastAsia="es-GT"/>
              </w:rPr>
            </w:pPr>
            <w:r w:rsidRPr="00D60DED">
              <w:rPr>
                <w:sz w:val="20"/>
                <w:szCs w:val="20"/>
                <w:lang w:val="es-GT" w:eastAsia="es-GT"/>
              </w:rPr>
              <w:t>Importaciones</w:t>
            </w:r>
          </w:p>
        </w:tc>
        <w:tc>
          <w:tcPr>
            <w:tcW w:w="1701" w:type="dxa"/>
            <w:tcBorders>
              <w:top w:val="nil"/>
              <w:left w:val="single" w:sz="4" w:space="0" w:color="auto"/>
              <w:bottom w:val="nil"/>
              <w:right w:val="single" w:sz="4" w:space="0" w:color="auto"/>
            </w:tcBorders>
            <w:shd w:val="clear" w:color="auto" w:fill="auto"/>
            <w:noWrap/>
            <w:hideMark/>
          </w:tcPr>
          <w:p w:rsidR="00D60DED" w:rsidRPr="00D60DED" w:rsidRDefault="00D60DED" w:rsidP="00D60DED">
            <w:pPr>
              <w:jc w:val="right"/>
              <w:rPr>
                <w:sz w:val="20"/>
                <w:szCs w:val="20"/>
                <w:lang w:val="es-GT" w:eastAsia="es-GT"/>
              </w:rPr>
            </w:pPr>
            <w:r w:rsidRPr="00D60DED">
              <w:rPr>
                <w:sz w:val="20"/>
                <w:szCs w:val="20"/>
                <w:lang w:val="es-GT" w:eastAsia="es-GT"/>
              </w:rPr>
              <w:t>13,290.5</w:t>
            </w:r>
          </w:p>
        </w:tc>
        <w:tc>
          <w:tcPr>
            <w:tcW w:w="1701" w:type="dxa"/>
            <w:tcBorders>
              <w:top w:val="nil"/>
              <w:left w:val="nil"/>
              <w:bottom w:val="nil"/>
              <w:right w:val="single" w:sz="8" w:space="0" w:color="auto"/>
            </w:tcBorders>
            <w:shd w:val="clear" w:color="auto" w:fill="auto"/>
            <w:noWrap/>
            <w:hideMark/>
          </w:tcPr>
          <w:p w:rsidR="00D60DED" w:rsidRPr="00D60DED" w:rsidRDefault="00D60DED" w:rsidP="00D60DED">
            <w:pPr>
              <w:jc w:val="right"/>
              <w:rPr>
                <w:sz w:val="20"/>
                <w:szCs w:val="20"/>
                <w:lang w:val="es-GT" w:eastAsia="es-GT"/>
              </w:rPr>
            </w:pPr>
            <w:r w:rsidRPr="00D60DED">
              <w:rPr>
                <w:sz w:val="20"/>
                <w:szCs w:val="20"/>
                <w:lang w:val="es-GT" w:eastAsia="es-GT"/>
              </w:rPr>
              <w:t>14,454.8</w:t>
            </w:r>
          </w:p>
        </w:tc>
      </w:tr>
      <w:tr w:rsidR="00D60DED" w:rsidRPr="00D60DED" w:rsidTr="00D60DED">
        <w:trPr>
          <w:trHeight w:val="285"/>
        </w:trPr>
        <w:tc>
          <w:tcPr>
            <w:tcW w:w="5245" w:type="dxa"/>
            <w:tcBorders>
              <w:top w:val="nil"/>
              <w:left w:val="single" w:sz="8" w:space="0" w:color="auto"/>
              <w:bottom w:val="nil"/>
              <w:right w:val="nil"/>
            </w:tcBorders>
            <w:shd w:val="clear" w:color="auto" w:fill="auto"/>
            <w:noWrap/>
            <w:vAlign w:val="bottom"/>
            <w:hideMark/>
          </w:tcPr>
          <w:p w:rsidR="00D60DED" w:rsidRPr="00D60DED" w:rsidRDefault="00D60DED" w:rsidP="00D60DED">
            <w:pPr>
              <w:ind w:firstLineChars="200" w:firstLine="400"/>
              <w:rPr>
                <w:sz w:val="20"/>
                <w:szCs w:val="20"/>
                <w:lang w:val="es-GT" w:eastAsia="es-GT"/>
              </w:rPr>
            </w:pPr>
            <w:r w:rsidRPr="00D60DED">
              <w:rPr>
                <w:sz w:val="20"/>
                <w:szCs w:val="20"/>
                <w:lang w:val="es-GT" w:eastAsia="es-GT"/>
              </w:rPr>
              <w:t>Derechos Arancelarios</w:t>
            </w:r>
          </w:p>
        </w:tc>
        <w:tc>
          <w:tcPr>
            <w:tcW w:w="1701" w:type="dxa"/>
            <w:tcBorders>
              <w:top w:val="nil"/>
              <w:left w:val="single" w:sz="4" w:space="0" w:color="auto"/>
              <w:bottom w:val="nil"/>
              <w:right w:val="single" w:sz="4" w:space="0" w:color="auto"/>
            </w:tcBorders>
            <w:shd w:val="clear" w:color="auto" w:fill="auto"/>
            <w:noWrap/>
            <w:hideMark/>
          </w:tcPr>
          <w:p w:rsidR="00D60DED" w:rsidRPr="00D60DED" w:rsidRDefault="00D60DED" w:rsidP="00D60DED">
            <w:pPr>
              <w:jc w:val="right"/>
              <w:rPr>
                <w:sz w:val="20"/>
                <w:szCs w:val="20"/>
                <w:lang w:val="es-GT" w:eastAsia="es-GT"/>
              </w:rPr>
            </w:pPr>
            <w:r w:rsidRPr="00D60DED">
              <w:rPr>
                <w:sz w:val="20"/>
                <w:szCs w:val="20"/>
                <w:lang w:val="es-GT" w:eastAsia="es-GT"/>
              </w:rPr>
              <w:t>2,477.4</w:t>
            </w:r>
          </w:p>
        </w:tc>
        <w:tc>
          <w:tcPr>
            <w:tcW w:w="1701" w:type="dxa"/>
            <w:tcBorders>
              <w:top w:val="nil"/>
              <w:left w:val="nil"/>
              <w:bottom w:val="nil"/>
              <w:right w:val="single" w:sz="8" w:space="0" w:color="auto"/>
            </w:tcBorders>
            <w:shd w:val="clear" w:color="auto" w:fill="auto"/>
            <w:noWrap/>
            <w:hideMark/>
          </w:tcPr>
          <w:p w:rsidR="00D60DED" w:rsidRPr="00D60DED" w:rsidRDefault="00D60DED" w:rsidP="00D60DED">
            <w:pPr>
              <w:jc w:val="right"/>
              <w:rPr>
                <w:sz w:val="20"/>
                <w:szCs w:val="20"/>
                <w:lang w:val="es-GT" w:eastAsia="es-GT"/>
              </w:rPr>
            </w:pPr>
            <w:r w:rsidRPr="00D60DED">
              <w:rPr>
                <w:sz w:val="20"/>
                <w:szCs w:val="20"/>
                <w:lang w:val="es-GT" w:eastAsia="es-GT"/>
              </w:rPr>
              <w:t>2,486.2</w:t>
            </w:r>
          </w:p>
        </w:tc>
      </w:tr>
      <w:tr w:rsidR="00D60DED" w:rsidRPr="00D60DED" w:rsidTr="00D60DED">
        <w:trPr>
          <w:trHeight w:val="285"/>
        </w:trPr>
        <w:tc>
          <w:tcPr>
            <w:tcW w:w="5245" w:type="dxa"/>
            <w:tcBorders>
              <w:top w:val="nil"/>
              <w:left w:val="single" w:sz="8" w:space="0" w:color="auto"/>
              <w:bottom w:val="nil"/>
              <w:right w:val="nil"/>
            </w:tcBorders>
            <w:shd w:val="clear" w:color="auto" w:fill="auto"/>
            <w:noWrap/>
            <w:vAlign w:val="bottom"/>
            <w:hideMark/>
          </w:tcPr>
          <w:p w:rsidR="00D60DED" w:rsidRPr="00D60DED" w:rsidRDefault="00D60DED" w:rsidP="00D60DED">
            <w:pPr>
              <w:ind w:firstLineChars="200" w:firstLine="400"/>
              <w:rPr>
                <w:sz w:val="20"/>
                <w:szCs w:val="20"/>
                <w:lang w:val="es-GT" w:eastAsia="es-GT"/>
              </w:rPr>
            </w:pPr>
            <w:r w:rsidRPr="00D60DED">
              <w:rPr>
                <w:sz w:val="20"/>
                <w:szCs w:val="20"/>
                <w:lang w:val="es-GT" w:eastAsia="es-GT"/>
              </w:rPr>
              <w:t>Petróleo</w:t>
            </w:r>
          </w:p>
        </w:tc>
        <w:tc>
          <w:tcPr>
            <w:tcW w:w="1701" w:type="dxa"/>
            <w:tcBorders>
              <w:top w:val="nil"/>
              <w:left w:val="single" w:sz="4" w:space="0" w:color="auto"/>
              <w:bottom w:val="nil"/>
              <w:right w:val="single" w:sz="4" w:space="0" w:color="auto"/>
            </w:tcBorders>
            <w:shd w:val="clear" w:color="auto" w:fill="auto"/>
            <w:noWrap/>
            <w:hideMark/>
          </w:tcPr>
          <w:p w:rsidR="00D60DED" w:rsidRPr="00D60DED" w:rsidRDefault="00D60DED" w:rsidP="00D60DED">
            <w:pPr>
              <w:jc w:val="right"/>
              <w:rPr>
                <w:sz w:val="20"/>
                <w:szCs w:val="20"/>
                <w:lang w:val="es-GT" w:eastAsia="es-GT"/>
              </w:rPr>
            </w:pPr>
            <w:r w:rsidRPr="00D60DED">
              <w:rPr>
                <w:sz w:val="20"/>
                <w:szCs w:val="20"/>
                <w:lang w:val="es-GT" w:eastAsia="es-GT"/>
              </w:rPr>
              <w:t>3,256.0</w:t>
            </w:r>
          </w:p>
        </w:tc>
        <w:tc>
          <w:tcPr>
            <w:tcW w:w="1701" w:type="dxa"/>
            <w:tcBorders>
              <w:top w:val="nil"/>
              <w:left w:val="nil"/>
              <w:bottom w:val="nil"/>
              <w:right w:val="single" w:sz="8" w:space="0" w:color="auto"/>
            </w:tcBorders>
            <w:shd w:val="clear" w:color="auto" w:fill="auto"/>
            <w:noWrap/>
            <w:hideMark/>
          </w:tcPr>
          <w:p w:rsidR="00D60DED" w:rsidRPr="00D60DED" w:rsidRDefault="00D60DED" w:rsidP="00D60DED">
            <w:pPr>
              <w:jc w:val="right"/>
              <w:rPr>
                <w:sz w:val="20"/>
                <w:szCs w:val="20"/>
                <w:lang w:val="es-GT" w:eastAsia="es-GT"/>
              </w:rPr>
            </w:pPr>
            <w:r w:rsidRPr="00D60DED">
              <w:rPr>
                <w:sz w:val="20"/>
                <w:szCs w:val="20"/>
                <w:lang w:val="es-GT" w:eastAsia="es-GT"/>
              </w:rPr>
              <w:t>3,326.6</w:t>
            </w:r>
          </w:p>
        </w:tc>
      </w:tr>
      <w:tr w:rsidR="00D60DED" w:rsidRPr="00D60DED" w:rsidTr="00D60DED">
        <w:trPr>
          <w:trHeight w:val="285"/>
        </w:trPr>
        <w:tc>
          <w:tcPr>
            <w:tcW w:w="5245" w:type="dxa"/>
            <w:tcBorders>
              <w:top w:val="nil"/>
              <w:left w:val="single" w:sz="8" w:space="0" w:color="auto"/>
              <w:bottom w:val="nil"/>
              <w:right w:val="nil"/>
            </w:tcBorders>
            <w:shd w:val="clear" w:color="auto" w:fill="auto"/>
            <w:noWrap/>
            <w:vAlign w:val="bottom"/>
            <w:hideMark/>
          </w:tcPr>
          <w:p w:rsidR="00D60DED" w:rsidRPr="00D60DED" w:rsidRDefault="00D60DED" w:rsidP="00D60DED">
            <w:pPr>
              <w:ind w:firstLineChars="200" w:firstLine="400"/>
              <w:rPr>
                <w:sz w:val="20"/>
                <w:szCs w:val="20"/>
                <w:lang w:val="es-GT" w:eastAsia="es-GT"/>
              </w:rPr>
            </w:pPr>
            <w:r w:rsidRPr="00D60DED">
              <w:rPr>
                <w:sz w:val="20"/>
                <w:szCs w:val="20"/>
                <w:lang w:val="es-GT" w:eastAsia="es-GT"/>
              </w:rPr>
              <w:t>Timbres Fiscales</w:t>
            </w:r>
          </w:p>
        </w:tc>
        <w:tc>
          <w:tcPr>
            <w:tcW w:w="1701" w:type="dxa"/>
            <w:tcBorders>
              <w:top w:val="nil"/>
              <w:left w:val="single" w:sz="4" w:space="0" w:color="auto"/>
              <w:bottom w:val="nil"/>
              <w:right w:val="single" w:sz="4" w:space="0" w:color="auto"/>
            </w:tcBorders>
            <w:shd w:val="clear" w:color="auto" w:fill="auto"/>
            <w:noWrap/>
            <w:hideMark/>
          </w:tcPr>
          <w:p w:rsidR="00D60DED" w:rsidRPr="00D60DED" w:rsidRDefault="00D60DED" w:rsidP="00D60DED">
            <w:pPr>
              <w:jc w:val="right"/>
              <w:rPr>
                <w:sz w:val="20"/>
                <w:szCs w:val="20"/>
                <w:lang w:val="es-GT" w:eastAsia="es-GT"/>
              </w:rPr>
            </w:pPr>
            <w:r w:rsidRPr="00D60DED">
              <w:rPr>
                <w:sz w:val="20"/>
                <w:szCs w:val="20"/>
                <w:lang w:val="es-GT" w:eastAsia="es-GT"/>
              </w:rPr>
              <w:t>395.0</w:t>
            </w:r>
          </w:p>
        </w:tc>
        <w:tc>
          <w:tcPr>
            <w:tcW w:w="1701" w:type="dxa"/>
            <w:tcBorders>
              <w:top w:val="nil"/>
              <w:left w:val="nil"/>
              <w:bottom w:val="nil"/>
              <w:right w:val="single" w:sz="8" w:space="0" w:color="auto"/>
            </w:tcBorders>
            <w:shd w:val="clear" w:color="auto" w:fill="auto"/>
            <w:noWrap/>
            <w:hideMark/>
          </w:tcPr>
          <w:p w:rsidR="00D60DED" w:rsidRPr="00D60DED" w:rsidRDefault="00D60DED" w:rsidP="00D60DED">
            <w:pPr>
              <w:jc w:val="right"/>
              <w:rPr>
                <w:sz w:val="20"/>
                <w:szCs w:val="20"/>
                <w:lang w:val="es-GT" w:eastAsia="es-GT"/>
              </w:rPr>
            </w:pPr>
            <w:r w:rsidRPr="00D60DED">
              <w:rPr>
                <w:sz w:val="20"/>
                <w:szCs w:val="20"/>
                <w:lang w:val="es-GT" w:eastAsia="es-GT"/>
              </w:rPr>
              <w:t>484.1</w:t>
            </w:r>
          </w:p>
        </w:tc>
      </w:tr>
      <w:tr w:rsidR="00D60DED" w:rsidRPr="00D60DED" w:rsidTr="00D60DED">
        <w:trPr>
          <w:trHeight w:val="285"/>
        </w:trPr>
        <w:tc>
          <w:tcPr>
            <w:tcW w:w="5245" w:type="dxa"/>
            <w:tcBorders>
              <w:top w:val="nil"/>
              <w:left w:val="single" w:sz="8" w:space="0" w:color="auto"/>
              <w:bottom w:val="nil"/>
              <w:right w:val="nil"/>
            </w:tcBorders>
            <w:shd w:val="clear" w:color="auto" w:fill="auto"/>
            <w:noWrap/>
            <w:vAlign w:val="bottom"/>
            <w:hideMark/>
          </w:tcPr>
          <w:p w:rsidR="00D60DED" w:rsidRPr="00D60DED" w:rsidRDefault="00D60DED" w:rsidP="00D60DED">
            <w:pPr>
              <w:ind w:firstLineChars="200" w:firstLine="400"/>
              <w:rPr>
                <w:sz w:val="20"/>
                <w:szCs w:val="20"/>
                <w:lang w:val="es-GT" w:eastAsia="es-GT"/>
              </w:rPr>
            </w:pPr>
            <w:r w:rsidRPr="00D60DED">
              <w:rPr>
                <w:sz w:val="20"/>
                <w:szCs w:val="20"/>
                <w:lang w:val="es-GT" w:eastAsia="es-GT"/>
              </w:rPr>
              <w:t>Vehículos</w:t>
            </w:r>
          </w:p>
        </w:tc>
        <w:tc>
          <w:tcPr>
            <w:tcW w:w="1701" w:type="dxa"/>
            <w:tcBorders>
              <w:top w:val="nil"/>
              <w:left w:val="single" w:sz="4" w:space="0" w:color="auto"/>
              <w:bottom w:val="nil"/>
              <w:right w:val="single" w:sz="4" w:space="0" w:color="auto"/>
            </w:tcBorders>
            <w:shd w:val="clear" w:color="auto" w:fill="auto"/>
            <w:noWrap/>
            <w:hideMark/>
          </w:tcPr>
          <w:p w:rsidR="00D60DED" w:rsidRPr="00D60DED" w:rsidRDefault="00D60DED" w:rsidP="00D60DED">
            <w:pPr>
              <w:jc w:val="right"/>
              <w:rPr>
                <w:sz w:val="20"/>
                <w:szCs w:val="20"/>
                <w:lang w:val="es-GT" w:eastAsia="es-GT"/>
              </w:rPr>
            </w:pPr>
            <w:r w:rsidRPr="00D60DED">
              <w:rPr>
                <w:sz w:val="20"/>
                <w:szCs w:val="20"/>
                <w:lang w:val="es-GT" w:eastAsia="es-GT"/>
              </w:rPr>
              <w:t>850.2</w:t>
            </w:r>
          </w:p>
        </w:tc>
        <w:tc>
          <w:tcPr>
            <w:tcW w:w="1701" w:type="dxa"/>
            <w:tcBorders>
              <w:top w:val="nil"/>
              <w:left w:val="nil"/>
              <w:bottom w:val="nil"/>
              <w:right w:val="single" w:sz="8" w:space="0" w:color="auto"/>
            </w:tcBorders>
            <w:shd w:val="clear" w:color="auto" w:fill="auto"/>
            <w:noWrap/>
            <w:hideMark/>
          </w:tcPr>
          <w:p w:rsidR="00D60DED" w:rsidRPr="00D60DED" w:rsidRDefault="00D60DED" w:rsidP="00D60DED">
            <w:pPr>
              <w:jc w:val="right"/>
              <w:rPr>
                <w:sz w:val="20"/>
                <w:szCs w:val="20"/>
                <w:lang w:val="es-GT" w:eastAsia="es-GT"/>
              </w:rPr>
            </w:pPr>
            <w:r w:rsidRPr="00D60DED">
              <w:rPr>
                <w:sz w:val="20"/>
                <w:szCs w:val="20"/>
                <w:lang w:val="es-GT" w:eastAsia="es-GT"/>
              </w:rPr>
              <w:t>778.5</w:t>
            </w:r>
          </w:p>
        </w:tc>
      </w:tr>
      <w:tr w:rsidR="00D60DED" w:rsidRPr="00D60DED" w:rsidTr="00D60DED">
        <w:trPr>
          <w:trHeight w:val="285"/>
        </w:trPr>
        <w:tc>
          <w:tcPr>
            <w:tcW w:w="5245" w:type="dxa"/>
            <w:tcBorders>
              <w:top w:val="nil"/>
              <w:left w:val="single" w:sz="8" w:space="0" w:color="auto"/>
              <w:bottom w:val="nil"/>
              <w:right w:val="nil"/>
            </w:tcBorders>
            <w:shd w:val="clear" w:color="auto" w:fill="auto"/>
            <w:noWrap/>
            <w:vAlign w:val="bottom"/>
            <w:hideMark/>
          </w:tcPr>
          <w:p w:rsidR="00D60DED" w:rsidRPr="00D60DED" w:rsidRDefault="00D60DED" w:rsidP="00D60DED">
            <w:pPr>
              <w:ind w:firstLineChars="200" w:firstLine="400"/>
              <w:rPr>
                <w:sz w:val="20"/>
                <w:szCs w:val="20"/>
                <w:lang w:val="es-GT" w:eastAsia="es-GT"/>
              </w:rPr>
            </w:pPr>
            <w:r w:rsidRPr="00D60DED">
              <w:rPr>
                <w:sz w:val="20"/>
                <w:szCs w:val="20"/>
                <w:lang w:val="es-GT" w:eastAsia="es-GT"/>
              </w:rPr>
              <w:t>IPRIMA</w:t>
            </w:r>
          </w:p>
        </w:tc>
        <w:tc>
          <w:tcPr>
            <w:tcW w:w="1701" w:type="dxa"/>
            <w:tcBorders>
              <w:top w:val="nil"/>
              <w:left w:val="single" w:sz="4" w:space="0" w:color="auto"/>
              <w:bottom w:val="nil"/>
              <w:right w:val="single" w:sz="4" w:space="0" w:color="auto"/>
            </w:tcBorders>
            <w:shd w:val="clear" w:color="auto" w:fill="auto"/>
            <w:noWrap/>
            <w:hideMark/>
          </w:tcPr>
          <w:p w:rsidR="00D60DED" w:rsidRPr="00D60DED" w:rsidRDefault="00D60DED" w:rsidP="00D60DED">
            <w:pPr>
              <w:jc w:val="right"/>
              <w:rPr>
                <w:sz w:val="20"/>
                <w:szCs w:val="20"/>
                <w:lang w:val="es-GT" w:eastAsia="es-GT"/>
              </w:rPr>
            </w:pPr>
            <w:r w:rsidRPr="00D60DED">
              <w:rPr>
                <w:sz w:val="20"/>
                <w:szCs w:val="20"/>
                <w:lang w:val="es-GT" w:eastAsia="es-GT"/>
              </w:rPr>
              <w:t>1,031.1</w:t>
            </w:r>
          </w:p>
        </w:tc>
        <w:tc>
          <w:tcPr>
            <w:tcW w:w="1701" w:type="dxa"/>
            <w:tcBorders>
              <w:top w:val="nil"/>
              <w:left w:val="nil"/>
              <w:bottom w:val="nil"/>
              <w:right w:val="single" w:sz="8" w:space="0" w:color="auto"/>
            </w:tcBorders>
            <w:shd w:val="clear" w:color="auto" w:fill="auto"/>
            <w:noWrap/>
            <w:hideMark/>
          </w:tcPr>
          <w:p w:rsidR="00D60DED" w:rsidRPr="00D60DED" w:rsidRDefault="00D60DED" w:rsidP="00D60DED">
            <w:pPr>
              <w:jc w:val="right"/>
              <w:rPr>
                <w:sz w:val="20"/>
                <w:szCs w:val="20"/>
                <w:lang w:val="es-GT" w:eastAsia="es-GT"/>
              </w:rPr>
            </w:pPr>
            <w:r w:rsidRPr="00D60DED">
              <w:rPr>
                <w:sz w:val="20"/>
                <w:szCs w:val="20"/>
                <w:lang w:val="es-GT" w:eastAsia="es-GT"/>
              </w:rPr>
              <w:t>954.9</w:t>
            </w:r>
          </w:p>
        </w:tc>
      </w:tr>
      <w:tr w:rsidR="00D60DED" w:rsidRPr="00D60DED" w:rsidTr="00D60DED">
        <w:trPr>
          <w:trHeight w:val="285"/>
        </w:trPr>
        <w:tc>
          <w:tcPr>
            <w:tcW w:w="5245" w:type="dxa"/>
            <w:tcBorders>
              <w:top w:val="nil"/>
              <w:left w:val="single" w:sz="8" w:space="0" w:color="auto"/>
              <w:bottom w:val="nil"/>
              <w:right w:val="nil"/>
            </w:tcBorders>
            <w:shd w:val="clear" w:color="auto" w:fill="auto"/>
            <w:noWrap/>
            <w:vAlign w:val="bottom"/>
            <w:hideMark/>
          </w:tcPr>
          <w:p w:rsidR="00D60DED" w:rsidRPr="00D60DED" w:rsidRDefault="00D60DED" w:rsidP="00D60DED">
            <w:pPr>
              <w:ind w:firstLineChars="200" w:firstLine="400"/>
              <w:rPr>
                <w:sz w:val="20"/>
                <w:szCs w:val="20"/>
                <w:lang w:val="es-GT" w:eastAsia="es-GT"/>
              </w:rPr>
            </w:pPr>
            <w:r w:rsidRPr="00D60DED">
              <w:rPr>
                <w:sz w:val="20"/>
                <w:szCs w:val="20"/>
                <w:lang w:val="es-GT" w:eastAsia="es-GT"/>
              </w:rPr>
              <w:t>Regalías</w:t>
            </w:r>
          </w:p>
        </w:tc>
        <w:tc>
          <w:tcPr>
            <w:tcW w:w="1701" w:type="dxa"/>
            <w:tcBorders>
              <w:top w:val="nil"/>
              <w:left w:val="single" w:sz="4" w:space="0" w:color="auto"/>
              <w:bottom w:val="nil"/>
              <w:right w:val="single" w:sz="4" w:space="0" w:color="auto"/>
            </w:tcBorders>
            <w:shd w:val="clear" w:color="auto" w:fill="auto"/>
            <w:noWrap/>
            <w:hideMark/>
          </w:tcPr>
          <w:p w:rsidR="00D60DED" w:rsidRPr="00D60DED" w:rsidRDefault="00D60DED" w:rsidP="00D60DED">
            <w:pPr>
              <w:jc w:val="right"/>
              <w:rPr>
                <w:sz w:val="20"/>
                <w:szCs w:val="20"/>
                <w:lang w:val="es-GT" w:eastAsia="es-GT"/>
              </w:rPr>
            </w:pPr>
            <w:r w:rsidRPr="00D60DED">
              <w:rPr>
                <w:sz w:val="20"/>
                <w:szCs w:val="20"/>
                <w:lang w:val="es-GT" w:eastAsia="es-GT"/>
              </w:rPr>
              <w:t>188.6</w:t>
            </w:r>
          </w:p>
        </w:tc>
        <w:tc>
          <w:tcPr>
            <w:tcW w:w="1701" w:type="dxa"/>
            <w:tcBorders>
              <w:top w:val="nil"/>
              <w:left w:val="nil"/>
              <w:bottom w:val="nil"/>
              <w:right w:val="single" w:sz="8" w:space="0" w:color="auto"/>
            </w:tcBorders>
            <w:shd w:val="clear" w:color="auto" w:fill="auto"/>
            <w:noWrap/>
            <w:hideMark/>
          </w:tcPr>
          <w:p w:rsidR="00D60DED" w:rsidRPr="00D60DED" w:rsidRDefault="00D60DED" w:rsidP="00D60DED">
            <w:pPr>
              <w:jc w:val="right"/>
              <w:rPr>
                <w:sz w:val="20"/>
                <w:szCs w:val="20"/>
                <w:lang w:val="es-GT" w:eastAsia="es-GT"/>
              </w:rPr>
            </w:pPr>
            <w:r w:rsidRPr="00D60DED">
              <w:rPr>
                <w:sz w:val="20"/>
                <w:szCs w:val="20"/>
                <w:lang w:val="es-GT" w:eastAsia="es-GT"/>
              </w:rPr>
              <w:t>209.0</w:t>
            </w:r>
          </w:p>
        </w:tc>
      </w:tr>
      <w:tr w:rsidR="00D60DED" w:rsidRPr="00D60DED" w:rsidTr="00D60DED">
        <w:trPr>
          <w:trHeight w:val="285"/>
        </w:trPr>
        <w:tc>
          <w:tcPr>
            <w:tcW w:w="5245" w:type="dxa"/>
            <w:tcBorders>
              <w:top w:val="nil"/>
              <w:left w:val="single" w:sz="8" w:space="0" w:color="auto"/>
              <w:bottom w:val="nil"/>
              <w:right w:val="nil"/>
            </w:tcBorders>
            <w:shd w:val="clear" w:color="auto" w:fill="auto"/>
            <w:noWrap/>
            <w:vAlign w:val="bottom"/>
            <w:hideMark/>
          </w:tcPr>
          <w:p w:rsidR="00D60DED" w:rsidRPr="00D60DED" w:rsidRDefault="00D60DED" w:rsidP="00D60DED">
            <w:pPr>
              <w:ind w:firstLineChars="200" w:firstLine="400"/>
              <w:rPr>
                <w:sz w:val="20"/>
                <w:szCs w:val="20"/>
                <w:lang w:val="es-GT" w:eastAsia="es-GT"/>
              </w:rPr>
            </w:pPr>
            <w:r w:rsidRPr="00D60DED">
              <w:rPr>
                <w:sz w:val="20"/>
                <w:szCs w:val="20"/>
                <w:lang w:val="es-GT" w:eastAsia="es-GT"/>
              </w:rPr>
              <w:t>Salida del País</w:t>
            </w:r>
          </w:p>
        </w:tc>
        <w:tc>
          <w:tcPr>
            <w:tcW w:w="1701" w:type="dxa"/>
            <w:tcBorders>
              <w:top w:val="nil"/>
              <w:left w:val="single" w:sz="4" w:space="0" w:color="auto"/>
              <w:bottom w:val="nil"/>
              <w:right w:val="single" w:sz="4" w:space="0" w:color="auto"/>
            </w:tcBorders>
            <w:shd w:val="clear" w:color="auto" w:fill="auto"/>
            <w:noWrap/>
            <w:hideMark/>
          </w:tcPr>
          <w:p w:rsidR="00D60DED" w:rsidRPr="00D60DED" w:rsidRDefault="00D60DED" w:rsidP="00D60DED">
            <w:pPr>
              <w:jc w:val="right"/>
              <w:rPr>
                <w:sz w:val="20"/>
                <w:szCs w:val="20"/>
                <w:lang w:val="es-GT" w:eastAsia="es-GT"/>
              </w:rPr>
            </w:pPr>
            <w:r w:rsidRPr="00D60DED">
              <w:rPr>
                <w:sz w:val="20"/>
                <w:szCs w:val="20"/>
                <w:lang w:val="es-GT" w:eastAsia="es-GT"/>
              </w:rPr>
              <w:t>343.2</w:t>
            </w:r>
          </w:p>
        </w:tc>
        <w:tc>
          <w:tcPr>
            <w:tcW w:w="1701" w:type="dxa"/>
            <w:tcBorders>
              <w:top w:val="nil"/>
              <w:left w:val="nil"/>
              <w:bottom w:val="nil"/>
              <w:right w:val="single" w:sz="8" w:space="0" w:color="auto"/>
            </w:tcBorders>
            <w:shd w:val="clear" w:color="auto" w:fill="auto"/>
            <w:noWrap/>
            <w:hideMark/>
          </w:tcPr>
          <w:p w:rsidR="00D60DED" w:rsidRPr="00D60DED" w:rsidRDefault="00D60DED" w:rsidP="00D60DED">
            <w:pPr>
              <w:jc w:val="right"/>
              <w:rPr>
                <w:sz w:val="20"/>
                <w:szCs w:val="20"/>
                <w:lang w:val="es-GT" w:eastAsia="es-GT"/>
              </w:rPr>
            </w:pPr>
            <w:r w:rsidRPr="00D60DED">
              <w:rPr>
                <w:sz w:val="20"/>
                <w:szCs w:val="20"/>
                <w:lang w:val="es-GT" w:eastAsia="es-GT"/>
              </w:rPr>
              <w:t>309.2</w:t>
            </w:r>
          </w:p>
        </w:tc>
      </w:tr>
      <w:tr w:rsidR="00D60DED" w:rsidRPr="00D60DED" w:rsidTr="00D60DED">
        <w:trPr>
          <w:trHeight w:val="285"/>
        </w:trPr>
        <w:tc>
          <w:tcPr>
            <w:tcW w:w="5245" w:type="dxa"/>
            <w:tcBorders>
              <w:top w:val="nil"/>
              <w:left w:val="single" w:sz="8" w:space="0" w:color="auto"/>
              <w:bottom w:val="nil"/>
              <w:right w:val="nil"/>
            </w:tcBorders>
            <w:shd w:val="clear" w:color="auto" w:fill="auto"/>
            <w:noWrap/>
            <w:vAlign w:val="bottom"/>
            <w:hideMark/>
          </w:tcPr>
          <w:p w:rsidR="00D60DED" w:rsidRPr="00D60DED" w:rsidRDefault="00D60DED" w:rsidP="00D60DED">
            <w:pPr>
              <w:ind w:firstLineChars="200" w:firstLine="400"/>
              <w:rPr>
                <w:sz w:val="20"/>
                <w:szCs w:val="20"/>
                <w:lang w:val="es-GT" w:eastAsia="es-GT"/>
              </w:rPr>
            </w:pPr>
            <w:r w:rsidRPr="00D60DED">
              <w:rPr>
                <w:sz w:val="20"/>
                <w:szCs w:val="20"/>
                <w:lang w:val="es-GT" w:eastAsia="es-GT"/>
              </w:rPr>
              <w:t>Impuestos Específicos</w:t>
            </w:r>
          </w:p>
        </w:tc>
        <w:tc>
          <w:tcPr>
            <w:tcW w:w="1701" w:type="dxa"/>
            <w:tcBorders>
              <w:top w:val="nil"/>
              <w:left w:val="single" w:sz="4" w:space="0" w:color="auto"/>
              <w:bottom w:val="nil"/>
              <w:right w:val="single" w:sz="4" w:space="0" w:color="auto"/>
            </w:tcBorders>
            <w:shd w:val="clear" w:color="auto" w:fill="auto"/>
            <w:noWrap/>
            <w:hideMark/>
          </w:tcPr>
          <w:p w:rsidR="00D60DED" w:rsidRPr="00D60DED" w:rsidRDefault="00D60DED" w:rsidP="00D60DED">
            <w:pPr>
              <w:jc w:val="right"/>
              <w:rPr>
                <w:sz w:val="20"/>
                <w:szCs w:val="20"/>
                <w:lang w:val="es-GT" w:eastAsia="es-GT"/>
              </w:rPr>
            </w:pPr>
            <w:r w:rsidRPr="00D60DED">
              <w:rPr>
                <w:sz w:val="20"/>
                <w:szCs w:val="20"/>
                <w:lang w:val="es-GT" w:eastAsia="es-GT"/>
              </w:rPr>
              <w:t>1,186.1</w:t>
            </w:r>
          </w:p>
        </w:tc>
        <w:tc>
          <w:tcPr>
            <w:tcW w:w="1701" w:type="dxa"/>
            <w:tcBorders>
              <w:top w:val="nil"/>
              <w:left w:val="nil"/>
              <w:bottom w:val="nil"/>
              <w:right w:val="single" w:sz="8" w:space="0" w:color="auto"/>
            </w:tcBorders>
            <w:shd w:val="clear" w:color="auto" w:fill="auto"/>
            <w:noWrap/>
            <w:hideMark/>
          </w:tcPr>
          <w:p w:rsidR="00D60DED" w:rsidRPr="00D60DED" w:rsidRDefault="00D60DED" w:rsidP="00D60DED">
            <w:pPr>
              <w:jc w:val="right"/>
              <w:rPr>
                <w:sz w:val="20"/>
                <w:szCs w:val="20"/>
                <w:lang w:val="es-GT" w:eastAsia="es-GT"/>
              </w:rPr>
            </w:pPr>
            <w:r w:rsidRPr="00D60DED">
              <w:rPr>
                <w:sz w:val="20"/>
                <w:szCs w:val="20"/>
                <w:lang w:val="es-GT" w:eastAsia="es-GT"/>
              </w:rPr>
              <w:t>1,110.9</w:t>
            </w:r>
          </w:p>
        </w:tc>
      </w:tr>
      <w:tr w:rsidR="00D60DED" w:rsidRPr="00D60DED" w:rsidTr="00D60DED">
        <w:trPr>
          <w:trHeight w:val="285"/>
        </w:trPr>
        <w:tc>
          <w:tcPr>
            <w:tcW w:w="5245" w:type="dxa"/>
            <w:tcBorders>
              <w:top w:val="nil"/>
              <w:left w:val="single" w:sz="8" w:space="0" w:color="auto"/>
              <w:bottom w:val="nil"/>
              <w:right w:val="nil"/>
            </w:tcBorders>
            <w:shd w:val="clear" w:color="auto" w:fill="auto"/>
            <w:noWrap/>
            <w:vAlign w:val="bottom"/>
            <w:hideMark/>
          </w:tcPr>
          <w:p w:rsidR="00D60DED" w:rsidRPr="00D60DED" w:rsidRDefault="00D60DED" w:rsidP="00D60DED">
            <w:pPr>
              <w:ind w:firstLineChars="300" w:firstLine="600"/>
              <w:rPr>
                <w:sz w:val="20"/>
                <w:szCs w:val="20"/>
                <w:lang w:val="es-GT" w:eastAsia="es-GT"/>
              </w:rPr>
            </w:pPr>
            <w:r w:rsidRPr="00D60DED">
              <w:rPr>
                <w:sz w:val="20"/>
                <w:szCs w:val="20"/>
                <w:lang w:val="es-GT" w:eastAsia="es-GT"/>
              </w:rPr>
              <w:t>Alcoholes y Bebidas</w:t>
            </w:r>
          </w:p>
        </w:tc>
        <w:tc>
          <w:tcPr>
            <w:tcW w:w="1701" w:type="dxa"/>
            <w:tcBorders>
              <w:top w:val="nil"/>
              <w:left w:val="single" w:sz="4" w:space="0" w:color="auto"/>
              <w:bottom w:val="nil"/>
              <w:right w:val="single" w:sz="4" w:space="0" w:color="auto"/>
            </w:tcBorders>
            <w:shd w:val="clear" w:color="auto" w:fill="auto"/>
            <w:noWrap/>
            <w:hideMark/>
          </w:tcPr>
          <w:p w:rsidR="00D60DED" w:rsidRPr="00D60DED" w:rsidRDefault="00D60DED" w:rsidP="00D60DED">
            <w:pPr>
              <w:jc w:val="right"/>
              <w:rPr>
                <w:sz w:val="20"/>
                <w:szCs w:val="20"/>
                <w:lang w:val="es-GT" w:eastAsia="es-GT"/>
              </w:rPr>
            </w:pPr>
            <w:r w:rsidRPr="00D60DED">
              <w:rPr>
                <w:sz w:val="20"/>
                <w:szCs w:val="20"/>
                <w:lang w:val="es-GT" w:eastAsia="es-GT"/>
              </w:rPr>
              <w:t>787.6</w:t>
            </w:r>
          </w:p>
        </w:tc>
        <w:tc>
          <w:tcPr>
            <w:tcW w:w="1701" w:type="dxa"/>
            <w:tcBorders>
              <w:top w:val="nil"/>
              <w:left w:val="nil"/>
              <w:bottom w:val="nil"/>
              <w:right w:val="single" w:sz="8" w:space="0" w:color="auto"/>
            </w:tcBorders>
            <w:shd w:val="clear" w:color="auto" w:fill="auto"/>
            <w:noWrap/>
            <w:hideMark/>
          </w:tcPr>
          <w:p w:rsidR="00D60DED" w:rsidRPr="00D60DED" w:rsidRDefault="00D60DED" w:rsidP="00D60DED">
            <w:pPr>
              <w:jc w:val="right"/>
              <w:rPr>
                <w:sz w:val="20"/>
                <w:szCs w:val="20"/>
                <w:lang w:val="es-GT" w:eastAsia="es-GT"/>
              </w:rPr>
            </w:pPr>
            <w:r w:rsidRPr="00D60DED">
              <w:rPr>
                <w:sz w:val="20"/>
                <w:szCs w:val="20"/>
                <w:lang w:val="es-GT" w:eastAsia="es-GT"/>
              </w:rPr>
              <w:t>761.1</w:t>
            </w:r>
          </w:p>
        </w:tc>
      </w:tr>
      <w:tr w:rsidR="00D60DED" w:rsidRPr="00D60DED" w:rsidTr="00D60DED">
        <w:trPr>
          <w:trHeight w:val="285"/>
        </w:trPr>
        <w:tc>
          <w:tcPr>
            <w:tcW w:w="5245" w:type="dxa"/>
            <w:tcBorders>
              <w:top w:val="nil"/>
              <w:left w:val="single" w:sz="8" w:space="0" w:color="auto"/>
              <w:bottom w:val="nil"/>
              <w:right w:val="nil"/>
            </w:tcBorders>
            <w:shd w:val="clear" w:color="auto" w:fill="auto"/>
            <w:noWrap/>
            <w:vAlign w:val="bottom"/>
            <w:hideMark/>
          </w:tcPr>
          <w:p w:rsidR="00D60DED" w:rsidRPr="00D60DED" w:rsidRDefault="00D60DED" w:rsidP="00D60DED">
            <w:pPr>
              <w:ind w:firstLineChars="300" w:firstLine="600"/>
              <w:rPr>
                <w:sz w:val="20"/>
                <w:szCs w:val="20"/>
                <w:lang w:val="es-GT" w:eastAsia="es-GT"/>
              </w:rPr>
            </w:pPr>
            <w:r w:rsidRPr="00D60DED">
              <w:rPr>
                <w:sz w:val="20"/>
                <w:szCs w:val="20"/>
                <w:lang w:val="es-GT" w:eastAsia="es-GT"/>
              </w:rPr>
              <w:t>Tabaco</w:t>
            </w:r>
          </w:p>
        </w:tc>
        <w:tc>
          <w:tcPr>
            <w:tcW w:w="1701" w:type="dxa"/>
            <w:tcBorders>
              <w:top w:val="nil"/>
              <w:left w:val="single" w:sz="4" w:space="0" w:color="auto"/>
              <w:bottom w:val="nil"/>
              <w:right w:val="single" w:sz="4" w:space="0" w:color="auto"/>
            </w:tcBorders>
            <w:shd w:val="clear" w:color="auto" w:fill="auto"/>
            <w:noWrap/>
            <w:hideMark/>
          </w:tcPr>
          <w:p w:rsidR="00D60DED" w:rsidRPr="00D60DED" w:rsidRDefault="00D60DED" w:rsidP="00D60DED">
            <w:pPr>
              <w:jc w:val="right"/>
              <w:rPr>
                <w:sz w:val="20"/>
                <w:szCs w:val="20"/>
                <w:lang w:val="es-GT" w:eastAsia="es-GT"/>
              </w:rPr>
            </w:pPr>
            <w:r w:rsidRPr="00D60DED">
              <w:rPr>
                <w:sz w:val="20"/>
                <w:szCs w:val="20"/>
                <w:lang w:val="es-GT" w:eastAsia="es-GT"/>
              </w:rPr>
              <w:t>398.5</w:t>
            </w:r>
          </w:p>
        </w:tc>
        <w:tc>
          <w:tcPr>
            <w:tcW w:w="1701" w:type="dxa"/>
            <w:tcBorders>
              <w:top w:val="nil"/>
              <w:left w:val="nil"/>
              <w:bottom w:val="nil"/>
              <w:right w:val="single" w:sz="8" w:space="0" w:color="auto"/>
            </w:tcBorders>
            <w:shd w:val="clear" w:color="auto" w:fill="auto"/>
            <w:noWrap/>
            <w:hideMark/>
          </w:tcPr>
          <w:p w:rsidR="00D60DED" w:rsidRPr="00D60DED" w:rsidRDefault="00D60DED" w:rsidP="00D60DED">
            <w:pPr>
              <w:jc w:val="right"/>
              <w:rPr>
                <w:sz w:val="20"/>
                <w:szCs w:val="20"/>
                <w:lang w:val="es-GT" w:eastAsia="es-GT"/>
              </w:rPr>
            </w:pPr>
            <w:r w:rsidRPr="00D60DED">
              <w:rPr>
                <w:sz w:val="20"/>
                <w:szCs w:val="20"/>
                <w:lang w:val="es-GT" w:eastAsia="es-GT"/>
              </w:rPr>
              <w:t>349.7</w:t>
            </w:r>
          </w:p>
        </w:tc>
      </w:tr>
      <w:tr w:rsidR="00D60DED" w:rsidRPr="00D60DED" w:rsidTr="00D60DED">
        <w:trPr>
          <w:trHeight w:val="285"/>
        </w:trPr>
        <w:tc>
          <w:tcPr>
            <w:tcW w:w="5245" w:type="dxa"/>
            <w:tcBorders>
              <w:top w:val="nil"/>
              <w:left w:val="single" w:sz="8" w:space="0" w:color="auto"/>
              <w:bottom w:val="nil"/>
              <w:right w:val="nil"/>
            </w:tcBorders>
            <w:shd w:val="clear" w:color="auto" w:fill="auto"/>
            <w:noWrap/>
            <w:vAlign w:val="bottom"/>
            <w:hideMark/>
          </w:tcPr>
          <w:p w:rsidR="00D60DED" w:rsidRPr="00D60DED" w:rsidRDefault="00D60DED" w:rsidP="00D60DED">
            <w:pPr>
              <w:ind w:firstLineChars="200" w:firstLine="400"/>
              <w:rPr>
                <w:sz w:val="20"/>
                <w:szCs w:val="20"/>
                <w:lang w:val="es-GT" w:eastAsia="es-GT"/>
              </w:rPr>
            </w:pPr>
            <w:r w:rsidRPr="00D60DED">
              <w:rPr>
                <w:sz w:val="20"/>
                <w:szCs w:val="20"/>
                <w:lang w:val="es-GT" w:eastAsia="es-GT"/>
              </w:rPr>
              <w:t>Distribución de Cemento</w:t>
            </w:r>
          </w:p>
        </w:tc>
        <w:tc>
          <w:tcPr>
            <w:tcW w:w="1701" w:type="dxa"/>
            <w:tcBorders>
              <w:top w:val="nil"/>
              <w:left w:val="single" w:sz="4" w:space="0" w:color="auto"/>
              <w:bottom w:val="nil"/>
              <w:right w:val="single" w:sz="4" w:space="0" w:color="auto"/>
            </w:tcBorders>
            <w:shd w:val="clear" w:color="auto" w:fill="auto"/>
            <w:noWrap/>
            <w:hideMark/>
          </w:tcPr>
          <w:p w:rsidR="00D60DED" w:rsidRPr="00D60DED" w:rsidRDefault="00D60DED" w:rsidP="00D60DED">
            <w:pPr>
              <w:jc w:val="right"/>
              <w:rPr>
                <w:sz w:val="20"/>
                <w:szCs w:val="20"/>
                <w:lang w:val="es-GT" w:eastAsia="es-GT"/>
              </w:rPr>
            </w:pPr>
            <w:r w:rsidRPr="00D60DED">
              <w:rPr>
                <w:sz w:val="20"/>
                <w:szCs w:val="20"/>
                <w:lang w:val="es-GT" w:eastAsia="es-GT"/>
              </w:rPr>
              <w:t>109.7</w:t>
            </w:r>
          </w:p>
        </w:tc>
        <w:tc>
          <w:tcPr>
            <w:tcW w:w="1701" w:type="dxa"/>
            <w:tcBorders>
              <w:top w:val="nil"/>
              <w:left w:val="nil"/>
              <w:bottom w:val="nil"/>
              <w:right w:val="single" w:sz="8" w:space="0" w:color="auto"/>
            </w:tcBorders>
            <w:shd w:val="clear" w:color="auto" w:fill="auto"/>
            <w:noWrap/>
            <w:hideMark/>
          </w:tcPr>
          <w:p w:rsidR="00D60DED" w:rsidRPr="00D60DED" w:rsidRDefault="00D60DED" w:rsidP="00D60DED">
            <w:pPr>
              <w:jc w:val="right"/>
              <w:rPr>
                <w:sz w:val="20"/>
                <w:szCs w:val="20"/>
                <w:lang w:val="es-GT" w:eastAsia="es-GT"/>
              </w:rPr>
            </w:pPr>
            <w:r w:rsidRPr="00D60DED">
              <w:rPr>
                <w:sz w:val="20"/>
                <w:szCs w:val="20"/>
                <w:lang w:val="es-GT" w:eastAsia="es-GT"/>
              </w:rPr>
              <w:t>117.5</w:t>
            </w:r>
          </w:p>
        </w:tc>
      </w:tr>
      <w:tr w:rsidR="00D60DED" w:rsidRPr="00D60DED" w:rsidTr="00D60DED">
        <w:trPr>
          <w:trHeight w:val="285"/>
        </w:trPr>
        <w:tc>
          <w:tcPr>
            <w:tcW w:w="5245" w:type="dxa"/>
            <w:tcBorders>
              <w:top w:val="nil"/>
              <w:left w:val="single" w:sz="8" w:space="0" w:color="auto"/>
              <w:bottom w:val="single" w:sz="8" w:space="0" w:color="auto"/>
              <w:right w:val="nil"/>
            </w:tcBorders>
            <w:shd w:val="clear" w:color="auto" w:fill="auto"/>
            <w:noWrap/>
            <w:vAlign w:val="bottom"/>
            <w:hideMark/>
          </w:tcPr>
          <w:p w:rsidR="00D60DED" w:rsidRPr="00D60DED" w:rsidRDefault="00D60DED" w:rsidP="00D60DED">
            <w:pPr>
              <w:ind w:firstLineChars="200" w:firstLine="400"/>
              <w:rPr>
                <w:sz w:val="20"/>
                <w:szCs w:val="20"/>
                <w:lang w:val="es-GT" w:eastAsia="es-GT"/>
              </w:rPr>
            </w:pPr>
            <w:r w:rsidRPr="00D60DED">
              <w:rPr>
                <w:sz w:val="20"/>
                <w:szCs w:val="20"/>
                <w:lang w:val="es-GT" w:eastAsia="es-GT"/>
              </w:rPr>
              <w:t>Otros Indirectos</w:t>
            </w:r>
          </w:p>
        </w:tc>
        <w:tc>
          <w:tcPr>
            <w:tcW w:w="1701" w:type="dxa"/>
            <w:tcBorders>
              <w:top w:val="nil"/>
              <w:left w:val="single" w:sz="4" w:space="0" w:color="auto"/>
              <w:bottom w:val="single" w:sz="8" w:space="0" w:color="auto"/>
              <w:right w:val="single" w:sz="4" w:space="0" w:color="auto"/>
            </w:tcBorders>
            <w:shd w:val="clear" w:color="auto" w:fill="auto"/>
            <w:noWrap/>
            <w:hideMark/>
          </w:tcPr>
          <w:p w:rsidR="00D60DED" w:rsidRPr="00D60DED" w:rsidRDefault="00D60DED" w:rsidP="00D60DED">
            <w:pPr>
              <w:jc w:val="right"/>
              <w:rPr>
                <w:sz w:val="20"/>
                <w:szCs w:val="20"/>
                <w:lang w:val="es-GT" w:eastAsia="es-GT"/>
              </w:rPr>
            </w:pPr>
            <w:r w:rsidRPr="00D60DED">
              <w:rPr>
                <w:sz w:val="20"/>
                <w:szCs w:val="20"/>
                <w:lang w:val="es-GT" w:eastAsia="es-GT"/>
              </w:rPr>
              <w:t>1,800.0</w:t>
            </w:r>
          </w:p>
        </w:tc>
        <w:tc>
          <w:tcPr>
            <w:tcW w:w="1701" w:type="dxa"/>
            <w:tcBorders>
              <w:top w:val="nil"/>
              <w:left w:val="nil"/>
              <w:bottom w:val="single" w:sz="8" w:space="0" w:color="auto"/>
              <w:right w:val="single" w:sz="8" w:space="0" w:color="auto"/>
            </w:tcBorders>
            <w:shd w:val="clear" w:color="auto" w:fill="auto"/>
            <w:noWrap/>
            <w:hideMark/>
          </w:tcPr>
          <w:p w:rsidR="00D60DED" w:rsidRPr="00D60DED" w:rsidRDefault="00D60DED" w:rsidP="00D60DED">
            <w:pPr>
              <w:jc w:val="right"/>
              <w:rPr>
                <w:sz w:val="20"/>
                <w:szCs w:val="20"/>
                <w:lang w:val="es-GT" w:eastAsia="es-GT"/>
              </w:rPr>
            </w:pPr>
            <w:r w:rsidRPr="00D60DED">
              <w:rPr>
                <w:sz w:val="20"/>
                <w:szCs w:val="20"/>
                <w:lang w:val="es-GT" w:eastAsia="es-GT"/>
              </w:rPr>
              <w:t>6.8</w:t>
            </w:r>
          </w:p>
        </w:tc>
      </w:tr>
    </w:tbl>
    <w:p w:rsidR="00171991" w:rsidRDefault="00171991" w:rsidP="00D60DED">
      <w:pPr>
        <w:pStyle w:val="Prrafodelista"/>
        <w:ind w:left="284"/>
        <w:jc w:val="both"/>
        <w:rPr>
          <w:sz w:val="16"/>
        </w:rPr>
      </w:pPr>
      <w:r w:rsidRPr="00663718">
        <w:rPr>
          <w:sz w:val="16"/>
        </w:rPr>
        <w:t xml:space="preserve">Fuente: </w:t>
      </w:r>
      <w:r w:rsidR="00BE1F3E">
        <w:rPr>
          <w:sz w:val="16"/>
        </w:rPr>
        <w:t>Ministerio de Finanzas Públicas</w:t>
      </w:r>
      <w:r w:rsidR="00D60DED">
        <w:rPr>
          <w:sz w:val="16"/>
        </w:rPr>
        <w:t>.</w:t>
      </w:r>
    </w:p>
    <w:p w:rsidR="00171991" w:rsidRDefault="00171991" w:rsidP="00171991">
      <w:pPr>
        <w:autoSpaceDE w:val="0"/>
        <w:autoSpaceDN w:val="0"/>
        <w:adjustRightInd w:val="0"/>
        <w:jc w:val="both"/>
        <w:rPr>
          <w:b/>
        </w:rPr>
      </w:pPr>
    </w:p>
    <w:p w:rsidR="00171991" w:rsidRPr="00D845D9" w:rsidRDefault="00171991" w:rsidP="00D845D9">
      <w:pPr>
        <w:pStyle w:val="Ttulo2"/>
        <w:numPr>
          <w:ilvl w:val="1"/>
          <w:numId w:val="18"/>
        </w:numPr>
        <w:rPr>
          <w:rFonts w:ascii="Times New Roman" w:hAnsi="Times New Roman"/>
          <w:color w:val="auto"/>
          <w:sz w:val="24"/>
        </w:rPr>
      </w:pPr>
      <w:bookmarkStart w:id="39" w:name="_Toc525824417"/>
      <w:r w:rsidRPr="00D845D9">
        <w:rPr>
          <w:rFonts w:ascii="Times New Roman" w:hAnsi="Times New Roman"/>
          <w:color w:val="auto"/>
          <w:sz w:val="24"/>
        </w:rPr>
        <w:t xml:space="preserve">Gasto Corriente y </w:t>
      </w:r>
      <w:r w:rsidR="00B20C2F">
        <w:rPr>
          <w:rFonts w:ascii="Times New Roman" w:hAnsi="Times New Roman"/>
          <w:color w:val="auto"/>
          <w:sz w:val="24"/>
        </w:rPr>
        <w:t xml:space="preserve">Gasto </w:t>
      </w:r>
      <w:r w:rsidRPr="00D845D9">
        <w:rPr>
          <w:rFonts w:ascii="Times New Roman" w:hAnsi="Times New Roman"/>
          <w:color w:val="auto"/>
          <w:sz w:val="24"/>
        </w:rPr>
        <w:t>de Capital</w:t>
      </w:r>
      <w:bookmarkEnd w:id="39"/>
      <w:r w:rsidRPr="00D845D9">
        <w:rPr>
          <w:rFonts w:ascii="Times New Roman" w:hAnsi="Times New Roman"/>
          <w:color w:val="auto"/>
          <w:sz w:val="24"/>
        </w:rPr>
        <w:t xml:space="preserve"> </w:t>
      </w:r>
    </w:p>
    <w:p w:rsidR="00171991" w:rsidRDefault="00171991" w:rsidP="00171991">
      <w:pPr>
        <w:autoSpaceDE w:val="0"/>
        <w:autoSpaceDN w:val="0"/>
        <w:adjustRightInd w:val="0"/>
        <w:jc w:val="both"/>
        <w:rPr>
          <w:b/>
        </w:rPr>
      </w:pPr>
    </w:p>
    <w:p w:rsidR="00171991" w:rsidRPr="00D6091E" w:rsidRDefault="00171991" w:rsidP="00171991">
      <w:pPr>
        <w:autoSpaceDE w:val="0"/>
        <w:autoSpaceDN w:val="0"/>
        <w:adjustRightInd w:val="0"/>
        <w:jc w:val="both"/>
      </w:pPr>
      <w:r w:rsidRPr="00D6091E">
        <w:t>El ejercicio fiscal 2018, con la no aprobación del presupuesto, deja en vigencia el presupuesto aprobado para el 2017 por un monto de Q</w:t>
      </w:r>
      <w:r>
        <w:t>.</w:t>
      </w:r>
      <w:r w:rsidRPr="00D6091E">
        <w:t>76</w:t>
      </w:r>
      <w:proofErr w:type="gramStart"/>
      <w:r w:rsidRPr="00D6091E">
        <w:t>,989.5</w:t>
      </w:r>
      <w:proofErr w:type="gramEnd"/>
      <w:r w:rsidRPr="00D6091E">
        <w:t xml:space="preserve"> millones. De esa cuenta, el Ministerio de Finanzas Públicas tuvo que afrontar varios desafíos relacionadas </w:t>
      </w:r>
      <w:r>
        <w:t>con</w:t>
      </w:r>
      <w:r w:rsidRPr="00D6091E">
        <w:t xml:space="preserve"> los ajustes presupuestarios que fue necesario realizar por parte de las instituciones para evitar complicaciones en la ejecución presupuestaria que p</w:t>
      </w:r>
      <w:r>
        <w:t>udieran</w:t>
      </w:r>
      <w:r w:rsidRPr="00D6091E">
        <w:t xml:space="preserve"> implicar desequilibrios fiscales. </w:t>
      </w:r>
    </w:p>
    <w:p w:rsidR="00171991" w:rsidRPr="00D6091E" w:rsidRDefault="00171991" w:rsidP="00171991">
      <w:pPr>
        <w:autoSpaceDE w:val="0"/>
        <w:autoSpaceDN w:val="0"/>
        <w:adjustRightInd w:val="0"/>
        <w:jc w:val="both"/>
      </w:pPr>
    </w:p>
    <w:p w:rsidR="00171991" w:rsidRPr="00D6091E" w:rsidRDefault="00171991" w:rsidP="00171991">
      <w:pPr>
        <w:autoSpaceDE w:val="0"/>
        <w:autoSpaceDN w:val="0"/>
        <w:adjustRightInd w:val="0"/>
        <w:jc w:val="both"/>
      </w:pPr>
      <w:r w:rsidRPr="00D6091E">
        <w:t xml:space="preserve">En cuanto al gasto público, el principal desafío de la no aprobación del presupuesto, se da por el lado del servicio de la deuda pública y las nóminas </w:t>
      </w:r>
      <w:r>
        <w:t xml:space="preserve">de salarios </w:t>
      </w:r>
      <w:r w:rsidRPr="00D6091E">
        <w:t xml:space="preserve">institucionales, en lograr cubrir plenamente estos compromisos. Para </w:t>
      </w:r>
      <w:r>
        <w:t>el efecto</w:t>
      </w:r>
      <w:r w:rsidRPr="00D6091E">
        <w:t>, fue necesario recurrir a las modificaciones presupuestarias para asegurar suficiente espacio presupuestario que permitiera cumplir las obligaciones de estos rubros, así como también asegurar su fuente de financiamiento.</w:t>
      </w:r>
    </w:p>
    <w:p w:rsidR="00171991" w:rsidRPr="00D6091E" w:rsidRDefault="00171991" w:rsidP="00171991">
      <w:pPr>
        <w:autoSpaceDE w:val="0"/>
        <w:autoSpaceDN w:val="0"/>
        <w:adjustRightInd w:val="0"/>
        <w:jc w:val="both"/>
      </w:pPr>
      <w:r w:rsidRPr="00D6091E">
        <w:lastRenderedPageBreak/>
        <w:t xml:space="preserve">Adicionalmente, con la negociación de pactos colectivos y su posible aprobación, podría darse un aumento salarial en </w:t>
      </w:r>
      <w:r>
        <w:t>los M</w:t>
      </w:r>
      <w:r w:rsidRPr="00D6091E">
        <w:t xml:space="preserve">inisterios </w:t>
      </w:r>
      <w:r>
        <w:t>de E</w:t>
      </w:r>
      <w:r w:rsidRPr="00D6091E">
        <w:t xml:space="preserve">ducación y </w:t>
      </w:r>
      <w:r>
        <w:t>S</w:t>
      </w:r>
      <w:r w:rsidRPr="00D6091E">
        <w:t xml:space="preserve">alud, poniendo más presión sobre el rubro de </w:t>
      </w:r>
      <w:r>
        <w:t xml:space="preserve">las </w:t>
      </w:r>
      <w:r w:rsidRPr="00D6091E">
        <w:t>nómina</w:t>
      </w:r>
      <w:r>
        <w:t>s de puestos</w:t>
      </w:r>
      <w:r w:rsidRPr="00D6091E">
        <w:t xml:space="preserve"> institucional</w:t>
      </w:r>
      <w:r>
        <w:t>es</w:t>
      </w:r>
      <w:r w:rsidRPr="00D6091E">
        <w:t>.</w:t>
      </w:r>
    </w:p>
    <w:p w:rsidR="00171991" w:rsidRPr="00D6091E" w:rsidRDefault="00171991" w:rsidP="00171991">
      <w:pPr>
        <w:autoSpaceDE w:val="0"/>
        <w:autoSpaceDN w:val="0"/>
        <w:adjustRightInd w:val="0"/>
        <w:jc w:val="both"/>
      </w:pPr>
    </w:p>
    <w:p w:rsidR="00171991" w:rsidRPr="00D6091E" w:rsidRDefault="00171991" w:rsidP="00171991">
      <w:pPr>
        <w:autoSpaceDE w:val="0"/>
        <w:autoSpaceDN w:val="0"/>
        <w:adjustRightInd w:val="0"/>
        <w:jc w:val="both"/>
      </w:pPr>
      <w:r w:rsidRPr="00D6091E">
        <w:t xml:space="preserve">El </w:t>
      </w:r>
      <w:r w:rsidR="00BE1F3E">
        <w:t>P</w:t>
      </w:r>
      <w:r w:rsidRPr="00D6091E">
        <w:t xml:space="preserve">residente </w:t>
      </w:r>
      <w:r>
        <w:t xml:space="preserve">Jimmy </w:t>
      </w:r>
      <w:r w:rsidRPr="00D6091E">
        <w:t>Morales, al principio del año firm</w:t>
      </w:r>
      <w:r>
        <w:t>ó</w:t>
      </w:r>
      <w:r w:rsidRPr="00D6091E">
        <w:t xml:space="preserve"> una propuesta de pacto colectivo con el Sindicato de Trabajadores de la Educación de Guatemala (STEG) que consta de diferentes beneficios, </w:t>
      </w:r>
      <w:r>
        <w:t xml:space="preserve">por lo que </w:t>
      </w:r>
      <w:r w:rsidRPr="00D6091E">
        <w:t>el incremento salarial del 5</w:t>
      </w:r>
      <w:r>
        <w:t>.0</w:t>
      </w:r>
      <w:r w:rsidRPr="00D6091E">
        <w:t>% para el presente año, sería progresivo hasta llegar al 15</w:t>
      </w:r>
      <w:r>
        <w:t>.0</w:t>
      </w:r>
      <w:r w:rsidRPr="00D6091E">
        <w:t>% en el 2020, así como un bono de Q</w:t>
      </w:r>
      <w:r>
        <w:t>.</w:t>
      </w:r>
      <w:r w:rsidRPr="00D6091E">
        <w:t>2,500 al final del año para todos los maestros y personal administrativo</w:t>
      </w:r>
      <w:r>
        <w:t>; esta</w:t>
      </w:r>
      <w:r w:rsidRPr="00D6091E">
        <w:t xml:space="preserve"> propuesta también considera incentivos para aquellos maestros que se hayan graduado o estén estudiando. </w:t>
      </w:r>
    </w:p>
    <w:p w:rsidR="00171991" w:rsidRPr="00D6091E" w:rsidRDefault="00171991" w:rsidP="00171991">
      <w:pPr>
        <w:autoSpaceDE w:val="0"/>
        <w:autoSpaceDN w:val="0"/>
        <w:adjustRightInd w:val="0"/>
        <w:jc w:val="both"/>
      </w:pPr>
    </w:p>
    <w:p w:rsidR="00171991" w:rsidRPr="00D6091E" w:rsidRDefault="00171991" w:rsidP="00171991">
      <w:pPr>
        <w:autoSpaceDE w:val="0"/>
        <w:autoSpaceDN w:val="0"/>
        <w:adjustRightInd w:val="0"/>
        <w:jc w:val="both"/>
      </w:pPr>
      <w:r w:rsidRPr="00D6091E">
        <w:t>Para hacer frente a est</w:t>
      </w:r>
      <w:r>
        <w:t>os</w:t>
      </w:r>
      <w:r w:rsidRPr="00D6091E">
        <w:t xml:space="preserve"> compromiso</w:t>
      </w:r>
      <w:r>
        <w:t>s</w:t>
      </w:r>
      <w:r w:rsidRPr="00D6091E">
        <w:t>, se requiere una ampliación presupuestaria para la cartera de Educación</w:t>
      </w:r>
      <w:r>
        <w:t>;</w:t>
      </w:r>
      <w:r w:rsidRPr="00D6091E">
        <w:t xml:space="preserve"> no obstante, dicha iniciativa no tiene el dictamen</w:t>
      </w:r>
      <w:r>
        <w:t xml:space="preserve"> favorable</w:t>
      </w:r>
      <w:r w:rsidRPr="00D6091E">
        <w:t xml:space="preserve"> del Congreso</w:t>
      </w:r>
      <w:r>
        <w:t xml:space="preserve"> de la República</w:t>
      </w:r>
      <w:r w:rsidRPr="00D6091E">
        <w:t>. El impacto podría ser alrededor de Q</w:t>
      </w:r>
      <w:r>
        <w:t>.</w:t>
      </w:r>
      <w:r w:rsidRPr="00D6091E">
        <w:t>961 millones. Sin embargo, este escenario dependerá del desarrollo que tengan los acontecimientos en los próximos meses.</w:t>
      </w:r>
    </w:p>
    <w:p w:rsidR="00171991" w:rsidRDefault="00171991" w:rsidP="00171991">
      <w:pPr>
        <w:autoSpaceDE w:val="0"/>
        <w:autoSpaceDN w:val="0"/>
        <w:adjustRightInd w:val="0"/>
        <w:jc w:val="both"/>
        <w:rPr>
          <w:b/>
        </w:rPr>
      </w:pPr>
    </w:p>
    <w:p w:rsidR="00171991" w:rsidRDefault="00171991" w:rsidP="00171991">
      <w:pPr>
        <w:autoSpaceDE w:val="0"/>
        <w:autoSpaceDN w:val="0"/>
        <w:adjustRightInd w:val="0"/>
        <w:jc w:val="both"/>
      </w:pPr>
      <w:r w:rsidRPr="009B3241">
        <w:t>Por su parte</w:t>
      </w:r>
      <w:r>
        <w:t>,</w:t>
      </w:r>
      <w:r w:rsidRPr="009B3241">
        <w:t xml:space="preserve"> las prestaciones a la seguridad social muestran un importante aumento</w:t>
      </w:r>
      <w:r>
        <w:t xml:space="preserve"> de 8.7% con respecto al año anterior</w:t>
      </w:r>
      <w:r w:rsidRPr="009B3241">
        <w:t>, esto debido a que, a partir de mayo de 201</w:t>
      </w:r>
      <w:r>
        <w:t>8, a través del Decreto No. 13-2018, “Reformas a la Ley de Incremento Económico a las Pensiones otorgadas por el Régimen de Clases Pasivas Civiles del Estado…”</w:t>
      </w:r>
      <w:r w:rsidRPr="009B3241">
        <w:t xml:space="preserve"> se otorga una mejora económica</w:t>
      </w:r>
      <w:r>
        <w:t xml:space="preserve"> de Q.500.00 mensuales</w:t>
      </w:r>
      <w:r w:rsidRPr="009B3241">
        <w:t xml:space="preserve"> a l</w:t>
      </w:r>
      <w:r>
        <w:t xml:space="preserve">os pensionados y/o beneficiarios de las pensiones, cuyo monto no sea mayor al salario mínimo vigente en 2016, lo cual benefició a ciertos regímenes. </w:t>
      </w:r>
    </w:p>
    <w:p w:rsidR="00171991" w:rsidRDefault="00171991" w:rsidP="00171991">
      <w:pPr>
        <w:autoSpaceDE w:val="0"/>
        <w:autoSpaceDN w:val="0"/>
        <w:adjustRightInd w:val="0"/>
        <w:jc w:val="both"/>
        <w:rPr>
          <w:b/>
        </w:rPr>
      </w:pPr>
    </w:p>
    <w:p w:rsidR="00171991" w:rsidRDefault="00171991" w:rsidP="00171991">
      <w:pPr>
        <w:autoSpaceDE w:val="0"/>
        <w:autoSpaceDN w:val="0"/>
        <w:adjustRightInd w:val="0"/>
        <w:jc w:val="both"/>
      </w:pPr>
      <w:r w:rsidRPr="00C73075">
        <w:t>Durante el mes</w:t>
      </w:r>
      <w:r>
        <w:t xml:space="preserve"> de junio de 2018</w:t>
      </w:r>
      <w:r w:rsidRPr="00C73075">
        <w:t xml:space="preserve">, ocurrió el fenómeno de la erupción del Volcán de Fuego que afectó severamente a diferentes municipios de los departamentos de Escuintla, Sacatepéquez y Chimaltenango, </w:t>
      </w:r>
      <w:r>
        <w:t xml:space="preserve">por lo que </w:t>
      </w:r>
      <w:r w:rsidRPr="00C73075">
        <w:t>se perdieron vidas humanas y muchas personas fueron damnificadas. De esta cuenta, se reportó un incremento de gasto en el rubro de bienes y servicios</w:t>
      </w:r>
      <w:r>
        <w:t>, por lo que el crecimiento interanual a junio de 2018 fue de 18.5%</w:t>
      </w:r>
      <w:r w:rsidRPr="00C73075">
        <w:t>.</w:t>
      </w:r>
    </w:p>
    <w:p w:rsidR="00171991" w:rsidRDefault="00171991" w:rsidP="00171991">
      <w:pPr>
        <w:autoSpaceDE w:val="0"/>
        <w:autoSpaceDN w:val="0"/>
        <w:adjustRightInd w:val="0"/>
        <w:jc w:val="both"/>
      </w:pPr>
    </w:p>
    <w:p w:rsidR="00171991" w:rsidRDefault="00171991" w:rsidP="00171991">
      <w:pPr>
        <w:autoSpaceDE w:val="0"/>
        <w:autoSpaceDN w:val="0"/>
        <w:adjustRightInd w:val="0"/>
        <w:jc w:val="both"/>
      </w:pPr>
      <w:r>
        <w:t xml:space="preserve">El gasto de capital se muestra más dinámico en junio, con una variación relativa de 10.5%, mientras que el crecimiento del gasto corriente se ubicó en 6.4%. Asimismo, se observa una mejora en la ejecución de la inversión real directa, con un crecimiento interanual de 202.6%, que junto a los bienes y servicios, son los rubros que muestran mejor desempeño. En el caso de la inversión real directa su dinamismo sirve de impulso a la formación bruta de capital fijo. </w:t>
      </w:r>
    </w:p>
    <w:p w:rsidR="00171991" w:rsidRDefault="00171991" w:rsidP="00171991">
      <w:pPr>
        <w:autoSpaceDE w:val="0"/>
        <w:autoSpaceDN w:val="0"/>
        <w:adjustRightInd w:val="0"/>
        <w:jc w:val="both"/>
      </w:pPr>
    </w:p>
    <w:p w:rsidR="00171991" w:rsidRDefault="00171991" w:rsidP="00171991">
      <w:pPr>
        <w:autoSpaceDE w:val="0"/>
        <w:autoSpaceDN w:val="0"/>
        <w:adjustRightInd w:val="0"/>
        <w:jc w:val="both"/>
      </w:pPr>
      <w:r>
        <w:t>Esto se da como consecuencia de una mayor priorización en la ejecución de proyectos relacionados a la infraestructura vial y la construcción de obras públicas por parte del Ministerio de Comunicaciones, Infraestructura y Vivienda. En el Proyecto de Presupuesto General de Ingresos y Egresos del Estado para el Ejercicio Fiscal 2018, este Ministerio contaba con una asignación de Q.4</w:t>
      </w:r>
      <w:proofErr w:type="gramStart"/>
      <w:r>
        <w:t>,634.3</w:t>
      </w:r>
      <w:proofErr w:type="gramEnd"/>
      <w:r>
        <w:t xml:space="preserve"> millones para inversión física y fue una de las entidades más favorecidas al contar con una mayor asignación. No obstante, con la no aprobación del presupuesto, fue necesario hacer modificaciones presupuestarias para poderle dar prioridad al tema del mantenimiento de la red vial existente y la construcción de nuevos nodos viales, altamente demandados por la población guatemalteca. De esa cuenta, el Ministerio de Comunicaciones, Infraestructura y Vivienda cuenta con el segundo mayor crecimiento interanual (90.0%) a junio </w:t>
      </w:r>
      <w:r w:rsidR="00BE1F3E">
        <w:t xml:space="preserve">de </w:t>
      </w:r>
      <w:r>
        <w:t xml:space="preserve">2018. </w:t>
      </w:r>
    </w:p>
    <w:p w:rsidR="00171991" w:rsidRDefault="00171991" w:rsidP="00171991">
      <w:pPr>
        <w:autoSpaceDE w:val="0"/>
        <w:autoSpaceDN w:val="0"/>
        <w:adjustRightInd w:val="0"/>
        <w:jc w:val="both"/>
      </w:pPr>
    </w:p>
    <w:p w:rsidR="00171991" w:rsidRPr="00435EB3" w:rsidRDefault="00171991" w:rsidP="00171991">
      <w:pPr>
        <w:autoSpaceDE w:val="0"/>
        <w:autoSpaceDN w:val="0"/>
        <w:adjustRightInd w:val="0"/>
        <w:jc w:val="both"/>
      </w:pPr>
      <w:r w:rsidRPr="00435EB3">
        <w:t xml:space="preserve">El único rubro de gasto que muestra una menor ejecución con respecto a lo observado en junio de 2017, son las </w:t>
      </w:r>
      <w:r>
        <w:t>T</w:t>
      </w:r>
      <w:r w:rsidRPr="00435EB3">
        <w:t xml:space="preserve">ransferencias de </w:t>
      </w:r>
      <w:r>
        <w:t>C</w:t>
      </w:r>
      <w:r w:rsidRPr="00435EB3">
        <w:t>apital</w:t>
      </w:r>
      <w:r>
        <w:t>,</w:t>
      </w:r>
      <w:r w:rsidRPr="00435EB3">
        <w:t xml:space="preserve"> en buena medida asociado a la reducción en los aportes a los Consejos Departamentales de Desarrollo.</w:t>
      </w:r>
    </w:p>
    <w:p w:rsidR="00171991" w:rsidRDefault="00171991" w:rsidP="00171991">
      <w:pPr>
        <w:autoSpaceDE w:val="0"/>
        <w:autoSpaceDN w:val="0"/>
        <w:adjustRightInd w:val="0"/>
        <w:jc w:val="both"/>
        <w:rPr>
          <w:b/>
        </w:rPr>
      </w:pPr>
    </w:p>
    <w:p w:rsidR="00171991" w:rsidRDefault="00171991" w:rsidP="00171991">
      <w:pPr>
        <w:autoSpaceDE w:val="0"/>
        <w:autoSpaceDN w:val="0"/>
        <w:adjustRightInd w:val="0"/>
        <w:jc w:val="both"/>
      </w:pPr>
      <w:r w:rsidRPr="0035729A">
        <w:t xml:space="preserve">Entre los factores que han influido </w:t>
      </w:r>
      <w:r>
        <w:t>en</w:t>
      </w:r>
      <w:r w:rsidRPr="0035729A">
        <w:t xml:space="preserve"> la dificultad de elevar el gasto público, se encuentra la no aprobación del presupuesto 2018 y la entrada en vigencia del presupuesto </w:t>
      </w:r>
      <w:r>
        <w:t xml:space="preserve">del año </w:t>
      </w:r>
      <w:r w:rsidRPr="0035729A">
        <w:t>anterior</w:t>
      </w:r>
      <w:r>
        <w:t>;</w:t>
      </w:r>
      <w:r w:rsidRPr="0035729A">
        <w:t xml:space="preserve"> mayores controles para evitar la corrupción y asegurar el uso eficiente de los recursos</w:t>
      </w:r>
      <w:r>
        <w:t>,</w:t>
      </w:r>
      <w:r w:rsidRPr="0035729A">
        <w:t xml:space="preserve"> por parte de la</w:t>
      </w:r>
      <w:r>
        <w:t xml:space="preserve"> fiscalización de la</w:t>
      </w:r>
      <w:r w:rsidRPr="0035729A">
        <w:t xml:space="preserve"> Contraloría General de Cuentas (CGC) que incide en una mayor percepción de riesgo por parte de las unidades ejecutoras y por ende en la capacidad de ejecución de ciertas dependencias</w:t>
      </w:r>
      <w:r>
        <w:t>;</w:t>
      </w:r>
      <w:r w:rsidRPr="0035729A">
        <w:t xml:space="preserve"> la baja ejecución de los préstamos  externos y la falta de aprobación por parte del Congreso de varios préstamos externos que ya han sido gestionados para finalidades específicas.</w:t>
      </w:r>
    </w:p>
    <w:p w:rsidR="00171991" w:rsidRDefault="00171991" w:rsidP="00171991">
      <w:pPr>
        <w:autoSpaceDE w:val="0"/>
        <w:autoSpaceDN w:val="0"/>
        <w:adjustRightInd w:val="0"/>
        <w:jc w:val="both"/>
      </w:pPr>
    </w:p>
    <w:p w:rsidR="00171991" w:rsidRPr="00695D33" w:rsidRDefault="00171991" w:rsidP="00171991">
      <w:pPr>
        <w:autoSpaceDE w:val="0"/>
        <w:autoSpaceDN w:val="0"/>
        <w:adjustRightInd w:val="0"/>
        <w:jc w:val="both"/>
      </w:pPr>
      <w:r>
        <w:t>A</w:t>
      </w:r>
      <w:r w:rsidRPr="00DB50D7">
        <w:t>l 30 de junio</w:t>
      </w:r>
      <w:r>
        <w:t xml:space="preserve"> de 2018</w:t>
      </w:r>
      <w:r w:rsidRPr="00DB50D7">
        <w:t>, la ejecución se situó en Q</w:t>
      </w:r>
      <w:r>
        <w:t>.</w:t>
      </w:r>
      <w:r w:rsidRPr="00DB50D7">
        <w:t>31</w:t>
      </w:r>
      <w:proofErr w:type="gramStart"/>
      <w:r w:rsidRPr="00DB50D7">
        <w:t>,277.8</w:t>
      </w:r>
      <w:proofErr w:type="gramEnd"/>
      <w:r w:rsidRPr="00DB50D7">
        <w:t xml:space="preserve"> millones (sin incluir las amortizaciones de deuda pública), mostrando un crecimiento interanual del 6.1% con respecto al mismo período de 2017.</w:t>
      </w:r>
      <w:r w:rsidRPr="00695D33">
        <w:t xml:space="preserve"> De esa cuenta, la estimación de cierre para el año 2018 se ubica en Q</w:t>
      </w:r>
      <w:r>
        <w:t>.</w:t>
      </w:r>
      <w:r w:rsidRPr="00695D33">
        <w:t>71</w:t>
      </w:r>
      <w:proofErr w:type="gramStart"/>
      <w:r w:rsidRPr="00695D33">
        <w:t>,395.6</w:t>
      </w:r>
      <w:proofErr w:type="gramEnd"/>
      <w:r w:rsidRPr="00695D33">
        <w:t xml:space="preserve"> millones, por debajo en Q</w:t>
      </w:r>
      <w:r>
        <w:t>.</w:t>
      </w:r>
      <w:r w:rsidRPr="00695D33">
        <w:t xml:space="preserve">1,968.9 millones respecto </w:t>
      </w:r>
      <w:r>
        <w:t>de</w:t>
      </w:r>
      <w:r w:rsidRPr="00695D33">
        <w:t xml:space="preserve"> lo establecido en el Presupuesto.</w:t>
      </w:r>
    </w:p>
    <w:p w:rsidR="00171991" w:rsidRDefault="00171991" w:rsidP="00171991">
      <w:pPr>
        <w:pStyle w:val="Prrafodelista"/>
        <w:rPr>
          <w:sz w:val="16"/>
        </w:rPr>
      </w:pPr>
    </w:p>
    <w:p w:rsidR="00D60DED" w:rsidRPr="0088577C" w:rsidRDefault="00D60DED" w:rsidP="00D60DED">
      <w:pPr>
        <w:jc w:val="center"/>
        <w:rPr>
          <w:b/>
          <w:sz w:val="22"/>
          <w:lang w:val="es-MX"/>
        </w:rPr>
      </w:pPr>
      <w:r w:rsidRPr="0088577C">
        <w:rPr>
          <w:b/>
          <w:sz w:val="22"/>
          <w:lang w:val="es-MX"/>
        </w:rPr>
        <w:t xml:space="preserve">Cuadro </w:t>
      </w:r>
      <w:r>
        <w:rPr>
          <w:b/>
          <w:sz w:val="22"/>
          <w:lang w:val="es-MX"/>
        </w:rPr>
        <w:t>12</w:t>
      </w:r>
    </w:p>
    <w:p w:rsidR="00D60DED" w:rsidRPr="0088577C" w:rsidRDefault="00D60DED" w:rsidP="00D60DED">
      <w:pPr>
        <w:jc w:val="center"/>
        <w:rPr>
          <w:b/>
          <w:sz w:val="22"/>
          <w:lang w:val="es-MX"/>
        </w:rPr>
      </w:pPr>
      <w:r>
        <w:rPr>
          <w:b/>
          <w:sz w:val="22"/>
          <w:lang w:val="es-MX"/>
        </w:rPr>
        <w:t>Presupuesto Asignado y Estimación de Egresos</w:t>
      </w:r>
    </w:p>
    <w:p w:rsidR="00D60DED" w:rsidRPr="0088577C" w:rsidRDefault="00D60DED" w:rsidP="00D60DED">
      <w:pPr>
        <w:jc w:val="center"/>
        <w:rPr>
          <w:b/>
          <w:sz w:val="22"/>
          <w:lang w:val="es-MX"/>
        </w:rPr>
      </w:pPr>
      <w:r>
        <w:rPr>
          <w:b/>
          <w:sz w:val="22"/>
          <w:lang w:val="es-MX"/>
        </w:rPr>
        <w:t>Ejercicio Fiscal 2018</w:t>
      </w:r>
    </w:p>
    <w:p w:rsidR="00D60DED" w:rsidRDefault="00D60DED" w:rsidP="00D60DED">
      <w:pPr>
        <w:pStyle w:val="Prrafodelista"/>
        <w:jc w:val="center"/>
        <w:rPr>
          <w:sz w:val="16"/>
        </w:rPr>
      </w:pPr>
      <w:r w:rsidRPr="0088577C">
        <w:rPr>
          <w:b/>
          <w:sz w:val="22"/>
          <w:lang w:val="es-MX"/>
        </w:rPr>
        <w:t>(Cifras en Millones de Quetzales)</w:t>
      </w:r>
    </w:p>
    <w:tbl>
      <w:tblPr>
        <w:tblW w:w="7797" w:type="dxa"/>
        <w:tblInd w:w="637" w:type="dxa"/>
        <w:tblCellMar>
          <w:left w:w="70" w:type="dxa"/>
          <w:right w:w="70" w:type="dxa"/>
        </w:tblCellMar>
        <w:tblLook w:val="04A0" w:firstRow="1" w:lastRow="0" w:firstColumn="1" w:lastColumn="0" w:noHBand="0" w:noVBand="1"/>
      </w:tblPr>
      <w:tblGrid>
        <w:gridCol w:w="4678"/>
        <w:gridCol w:w="1559"/>
        <w:gridCol w:w="1560"/>
      </w:tblGrid>
      <w:tr w:rsidR="00D60DED" w:rsidRPr="00D60DED" w:rsidTr="00467ED3">
        <w:trPr>
          <w:trHeight w:val="255"/>
        </w:trPr>
        <w:tc>
          <w:tcPr>
            <w:tcW w:w="4678" w:type="dxa"/>
            <w:vMerge w:val="restart"/>
            <w:tcBorders>
              <w:top w:val="single" w:sz="8" w:space="0" w:color="auto"/>
              <w:left w:val="single" w:sz="8" w:space="0" w:color="auto"/>
              <w:bottom w:val="single" w:sz="8" w:space="0" w:color="000000"/>
              <w:right w:val="nil"/>
            </w:tcBorders>
            <w:shd w:val="clear" w:color="000000" w:fill="366092"/>
            <w:vAlign w:val="center"/>
            <w:hideMark/>
          </w:tcPr>
          <w:p w:rsidR="00D60DED" w:rsidRPr="00D60DED" w:rsidRDefault="00D60DED" w:rsidP="00D60DED">
            <w:pPr>
              <w:jc w:val="center"/>
              <w:rPr>
                <w:b/>
                <w:bCs/>
                <w:color w:val="FFFFFF"/>
                <w:sz w:val="20"/>
                <w:szCs w:val="20"/>
                <w:lang w:val="es-GT" w:eastAsia="es-GT"/>
              </w:rPr>
            </w:pPr>
            <w:r w:rsidRPr="00D60DED">
              <w:rPr>
                <w:b/>
                <w:bCs/>
                <w:color w:val="FFFFFF"/>
                <w:sz w:val="20"/>
                <w:szCs w:val="20"/>
                <w:lang w:val="es-GT" w:eastAsia="es-GT"/>
              </w:rPr>
              <w:t>Descripción</w:t>
            </w:r>
          </w:p>
        </w:tc>
        <w:tc>
          <w:tcPr>
            <w:tcW w:w="3119" w:type="dxa"/>
            <w:gridSpan w:val="2"/>
            <w:tcBorders>
              <w:top w:val="single" w:sz="8" w:space="0" w:color="auto"/>
              <w:left w:val="single" w:sz="8" w:space="0" w:color="auto"/>
              <w:bottom w:val="single" w:sz="4" w:space="0" w:color="auto"/>
              <w:right w:val="single" w:sz="8" w:space="0" w:color="000000"/>
            </w:tcBorders>
            <w:shd w:val="clear" w:color="000000" w:fill="366092"/>
            <w:vAlign w:val="center"/>
            <w:hideMark/>
          </w:tcPr>
          <w:p w:rsidR="00D60DED" w:rsidRPr="00D60DED" w:rsidRDefault="00D60DED" w:rsidP="00D60DED">
            <w:pPr>
              <w:jc w:val="center"/>
              <w:rPr>
                <w:b/>
                <w:bCs/>
                <w:color w:val="FFFFFF"/>
                <w:sz w:val="20"/>
                <w:szCs w:val="20"/>
                <w:lang w:val="es-GT" w:eastAsia="es-GT"/>
              </w:rPr>
            </w:pPr>
            <w:r w:rsidRPr="00D60DED">
              <w:rPr>
                <w:b/>
                <w:bCs/>
                <w:color w:val="FFFFFF"/>
                <w:sz w:val="20"/>
                <w:szCs w:val="20"/>
                <w:lang w:val="es-GT" w:eastAsia="es-GT"/>
              </w:rPr>
              <w:t>2018</w:t>
            </w:r>
          </w:p>
        </w:tc>
      </w:tr>
      <w:tr w:rsidR="00D60DED" w:rsidRPr="00D60DED" w:rsidTr="00467ED3">
        <w:trPr>
          <w:trHeight w:val="270"/>
        </w:trPr>
        <w:tc>
          <w:tcPr>
            <w:tcW w:w="4678" w:type="dxa"/>
            <w:vMerge/>
            <w:tcBorders>
              <w:top w:val="single" w:sz="8" w:space="0" w:color="auto"/>
              <w:left w:val="single" w:sz="8" w:space="0" w:color="auto"/>
              <w:bottom w:val="single" w:sz="8" w:space="0" w:color="000000"/>
              <w:right w:val="nil"/>
            </w:tcBorders>
            <w:vAlign w:val="center"/>
            <w:hideMark/>
          </w:tcPr>
          <w:p w:rsidR="00D60DED" w:rsidRPr="00D60DED" w:rsidRDefault="00D60DED" w:rsidP="00D60DED">
            <w:pPr>
              <w:rPr>
                <w:b/>
                <w:bCs/>
                <w:color w:val="FFFFFF"/>
                <w:sz w:val="20"/>
                <w:szCs w:val="20"/>
                <w:lang w:val="es-GT" w:eastAsia="es-GT"/>
              </w:rPr>
            </w:pPr>
          </w:p>
        </w:tc>
        <w:tc>
          <w:tcPr>
            <w:tcW w:w="1559" w:type="dxa"/>
            <w:tcBorders>
              <w:top w:val="single" w:sz="4" w:space="0" w:color="auto"/>
              <w:left w:val="single" w:sz="8" w:space="0" w:color="auto"/>
              <w:bottom w:val="single" w:sz="8" w:space="0" w:color="auto"/>
              <w:right w:val="single" w:sz="4" w:space="0" w:color="auto"/>
            </w:tcBorders>
            <w:shd w:val="clear" w:color="000000" w:fill="366092"/>
            <w:vAlign w:val="center"/>
            <w:hideMark/>
          </w:tcPr>
          <w:p w:rsidR="00D60DED" w:rsidRPr="00D60DED" w:rsidRDefault="00D60DED" w:rsidP="00D60DED">
            <w:pPr>
              <w:jc w:val="center"/>
              <w:rPr>
                <w:b/>
                <w:bCs/>
                <w:color w:val="FFFFFF"/>
                <w:sz w:val="20"/>
                <w:szCs w:val="20"/>
                <w:lang w:val="es-GT" w:eastAsia="es-GT"/>
              </w:rPr>
            </w:pPr>
            <w:r w:rsidRPr="00D60DED">
              <w:rPr>
                <w:b/>
                <w:bCs/>
                <w:color w:val="FFFFFF"/>
                <w:sz w:val="20"/>
                <w:szCs w:val="20"/>
                <w:lang w:val="es-GT" w:eastAsia="es-GT"/>
              </w:rPr>
              <w:t>Presupuesto</w:t>
            </w:r>
          </w:p>
        </w:tc>
        <w:tc>
          <w:tcPr>
            <w:tcW w:w="1560" w:type="dxa"/>
            <w:tcBorders>
              <w:top w:val="single" w:sz="4" w:space="0" w:color="auto"/>
              <w:left w:val="nil"/>
              <w:bottom w:val="single" w:sz="8" w:space="0" w:color="auto"/>
              <w:right w:val="single" w:sz="8" w:space="0" w:color="auto"/>
            </w:tcBorders>
            <w:shd w:val="clear" w:color="000000" w:fill="366092"/>
            <w:vAlign w:val="center"/>
            <w:hideMark/>
          </w:tcPr>
          <w:p w:rsidR="00D60DED" w:rsidRPr="00D60DED" w:rsidRDefault="00D60DED" w:rsidP="00D60DED">
            <w:pPr>
              <w:jc w:val="center"/>
              <w:rPr>
                <w:b/>
                <w:bCs/>
                <w:color w:val="FFFFFF"/>
                <w:sz w:val="20"/>
                <w:szCs w:val="20"/>
                <w:lang w:val="es-GT" w:eastAsia="es-GT"/>
              </w:rPr>
            </w:pPr>
            <w:r w:rsidRPr="00D60DED">
              <w:rPr>
                <w:b/>
                <w:bCs/>
                <w:color w:val="FFFFFF"/>
                <w:sz w:val="20"/>
                <w:szCs w:val="20"/>
                <w:lang w:val="es-GT" w:eastAsia="es-GT"/>
              </w:rPr>
              <w:t>Estimación</w:t>
            </w:r>
          </w:p>
        </w:tc>
      </w:tr>
      <w:tr w:rsidR="00D60DED" w:rsidRPr="00D60DED" w:rsidTr="00467ED3">
        <w:trPr>
          <w:trHeight w:val="255"/>
        </w:trPr>
        <w:tc>
          <w:tcPr>
            <w:tcW w:w="4678" w:type="dxa"/>
            <w:tcBorders>
              <w:top w:val="nil"/>
              <w:left w:val="single" w:sz="8" w:space="0" w:color="auto"/>
              <w:bottom w:val="nil"/>
              <w:right w:val="nil"/>
            </w:tcBorders>
            <w:shd w:val="clear" w:color="auto" w:fill="auto"/>
            <w:noWrap/>
            <w:vAlign w:val="bottom"/>
            <w:hideMark/>
          </w:tcPr>
          <w:p w:rsidR="00D60DED" w:rsidRPr="00D60DED" w:rsidRDefault="00D60DED" w:rsidP="00D60DED">
            <w:pPr>
              <w:rPr>
                <w:b/>
                <w:bCs/>
                <w:sz w:val="20"/>
                <w:szCs w:val="20"/>
                <w:lang w:val="es-GT" w:eastAsia="es-GT"/>
              </w:rPr>
            </w:pPr>
            <w:r w:rsidRPr="00D60DED">
              <w:rPr>
                <w:b/>
                <w:bCs/>
                <w:sz w:val="20"/>
                <w:szCs w:val="20"/>
                <w:lang w:val="es-GT" w:eastAsia="es-GT"/>
              </w:rPr>
              <w:t>Gastos Totales</w:t>
            </w:r>
          </w:p>
        </w:tc>
        <w:tc>
          <w:tcPr>
            <w:tcW w:w="1559" w:type="dxa"/>
            <w:tcBorders>
              <w:top w:val="nil"/>
              <w:left w:val="single" w:sz="8" w:space="0" w:color="auto"/>
              <w:bottom w:val="nil"/>
              <w:right w:val="single" w:sz="4" w:space="0" w:color="auto"/>
            </w:tcBorders>
            <w:shd w:val="clear" w:color="auto" w:fill="auto"/>
            <w:noWrap/>
            <w:vAlign w:val="bottom"/>
            <w:hideMark/>
          </w:tcPr>
          <w:p w:rsidR="00D60DED" w:rsidRPr="00D60DED" w:rsidRDefault="00D60DED" w:rsidP="00D60DED">
            <w:pPr>
              <w:jc w:val="right"/>
              <w:rPr>
                <w:b/>
                <w:bCs/>
                <w:sz w:val="20"/>
                <w:szCs w:val="20"/>
                <w:lang w:val="es-GT" w:eastAsia="es-GT"/>
              </w:rPr>
            </w:pPr>
            <w:r w:rsidRPr="00D60DED">
              <w:rPr>
                <w:b/>
                <w:bCs/>
                <w:sz w:val="20"/>
                <w:szCs w:val="20"/>
                <w:lang w:val="es-GT" w:eastAsia="es-GT"/>
              </w:rPr>
              <w:t>73,364.5</w:t>
            </w:r>
          </w:p>
        </w:tc>
        <w:tc>
          <w:tcPr>
            <w:tcW w:w="1560" w:type="dxa"/>
            <w:tcBorders>
              <w:top w:val="nil"/>
              <w:left w:val="single" w:sz="4" w:space="0" w:color="auto"/>
              <w:bottom w:val="nil"/>
              <w:right w:val="single" w:sz="8" w:space="0" w:color="auto"/>
            </w:tcBorders>
            <w:shd w:val="clear" w:color="auto" w:fill="auto"/>
            <w:noWrap/>
            <w:vAlign w:val="bottom"/>
            <w:hideMark/>
          </w:tcPr>
          <w:p w:rsidR="00D60DED" w:rsidRPr="00D60DED" w:rsidRDefault="00D60DED" w:rsidP="00D60DED">
            <w:pPr>
              <w:jc w:val="right"/>
              <w:rPr>
                <w:b/>
                <w:bCs/>
                <w:sz w:val="20"/>
                <w:szCs w:val="20"/>
                <w:lang w:val="es-GT" w:eastAsia="es-GT"/>
              </w:rPr>
            </w:pPr>
            <w:r w:rsidRPr="00D60DED">
              <w:rPr>
                <w:b/>
                <w:bCs/>
                <w:sz w:val="20"/>
                <w:szCs w:val="20"/>
                <w:lang w:val="es-GT" w:eastAsia="es-GT"/>
              </w:rPr>
              <w:t>71,395.6</w:t>
            </w:r>
          </w:p>
        </w:tc>
      </w:tr>
      <w:tr w:rsidR="00D60DED" w:rsidRPr="00D60DED" w:rsidTr="00467ED3">
        <w:trPr>
          <w:trHeight w:val="255"/>
        </w:trPr>
        <w:tc>
          <w:tcPr>
            <w:tcW w:w="4678" w:type="dxa"/>
            <w:tcBorders>
              <w:top w:val="nil"/>
              <w:left w:val="single" w:sz="8" w:space="0" w:color="auto"/>
              <w:bottom w:val="nil"/>
              <w:right w:val="nil"/>
            </w:tcBorders>
            <w:shd w:val="clear" w:color="auto" w:fill="auto"/>
            <w:noWrap/>
            <w:vAlign w:val="bottom"/>
            <w:hideMark/>
          </w:tcPr>
          <w:p w:rsidR="00D60DED" w:rsidRPr="00D60DED" w:rsidRDefault="00D60DED" w:rsidP="00D60DED">
            <w:pPr>
              <w:ind w:firstLineChars="100" w:firstLine="201"/>
              <w:rPr>
                <w:b/>
                <w:bCs/>
                <w:sz w:val="20"/>
                <w:szCs w:val="20"/>
                <w:lang w:val="es-GT" w:eastAsia="es-GT"/>
              </w:rPr>
            </w:pPr>
            <w:r w:rsidRPr="00D60DED">
              <w:rPr>
                <w:b/>
                <w:bCs/>
                <w:sz w:val="20"/>
                <w:szCs w:val="20"/>
                <w:lang w:val="es-GT" w:eastAsia="es-GT"/>
              </w:rPr>
              <w:t>Gastos Corrientes</w:t>
            </w:r>
          </w:p>
        </w:tc>
        <w:tc>
          <w:tcPr>
            <w:tcW w:w="1559" w:type="dxa"/>
            <w:tcBorders>
              <w:top w:val="nil"/>
              <w:left w:val="single" w:sz="8" w:space="0" w:color="auto"/>
              <w:bottom w:val="nil"/>
              <w:right w:val="single" w:sz="4" w:space="0" w:color="auto"/>
            </w:tcBorders>
            <w:shd w:val="clear" w:color="auto" w:fill="auto"/>
            <w:noWrap/>
            <w:vAlign w:val="bottom"/>
            <w:hideMark/>
          </w:tcPr>
          <w:p w:rsidR="00D60DED" w:rsidRPr="00D60DED" w:rsidRDefault="00D60DED" w:rsidP="00D60DED">
            <w:pPr>
              <w:jc w:val="right"/>
              <w:rPr>
                <w:b/>
                <w:bCs/>
                <w:sz w:val="20"/>
                <w:szCs w:val="20"/>
                <w:lang w:val="es-GT" w:eastAsia="es-GT"/>
              </w:rPr>
            </w:pPr>
            <w:r w:rsidRPr="00D60DED">
              <w:rPr>
                <w:b/>
                <w:bCs/>
                <w:sz w:val="20"/>
                <w:szCs w:val="20"/>
                <w:lang w:val="es-GT" w:eastAsia="es-GT"/>
              </w:rPr>
              <w:t>58,905.2</w:t>
            </w:r>
          </w:p>
        </w:tc>
        <w:tc>
          <w:tcPr>
            <w:tcW w:w="1560" w:type="dxa"/>
            <w:tcBorders>
              <w:top w:val="nil"/>
              <w:left w:val="single" w:sz="4" w:space="0" w:color="auto"/>
              <w:bottom w:val="nil"/>
              <w:right w:val="single" w:sz="8" w:space="0" w:color="auto"/>
            </w:tcBorders>
            <w:shd w:val="clear" w:color="auto" w:fill="auto"/>
            <w:noWrap/>
            <w:vAlign w:val="bottom"/>
            <w:hideMark/>
          </w:tcPr>
          <w:p w:rsidR="00D60DED" w:rsidRPr="00D60DED" w:rsidRDefault="00D60DED" w:rsidP="00D60DED">
            <w:pPr>
              <w:jc w:val="right"/>
              <w:rPr>
                <w:b/>
                <w:bCs/>
                <w:sz w:val="20"/>
                <w:szCs w:val="20"/>
                <w:lang w:val="es-GT" w:eastAsia="es-GT"/>
              </w:rPr>
            </w:pPr>
            <w:r w:rsidRPr="00D60DED">
              <w:rPr>
                <w:b/>
                <w:bCs/>
                <w:sz w:val="20"/>
                <w:szCs w:val="20"/>
                <w:lang w:val="es-GT" w:eastAsia="es-GT"/>
              </w:rPr>
              <w:t>58,360.9</w:t>
            </w:r>
          </w:p>
        </w:tc>
      </w:tr>
      <w:tr w:rsidR="00D60DED" w:rsidRPr="00D60DED" w:rsidTr="00467ED3">
        <w:trPr>
          <w:trHeight w:val="255"/>
        </w:trPr>
        <w:tc>
          <w:tcPr>
            <w:tcW w:w="4678" w:type="dxa"/>
            <w:tcBorders>
              <w:top w:val="nil"/>
              <w:left w:val="single" w:sz="8" w:space="0" w:color="auto"/>
              <w:bottom w:val="nil"/>
              <w:right w:val="nil"/>
            </w:tcBorders>
            <w:shd w:val="clear" w:color="auto" w:fill="auto"/>
            <w:noWrap/>
            <w:vAlign w:val="bottom"/>
            <w:hideMark/>
          </w:tcPr>
          <w:p w:rsidR="00D60DED" w:rsidRPr="00D60DED" w:rsidRDefault="00D60DED" w:rsidP="00D60DED">
            <w:pPr>
              <w:ind w:firstLineChars="200" w:firstLine="400"/>
              <w:rPr>
                <w:sz w:val="20"/>
                <w:szCs w:val="20"/>
                <w:lang w:val="es-GT" w:eastAsia="es-GT"/>
              </w:rPr>
            </w:pPr>
            <w:r w:rsidRPr="00D60DED">
              <w:rPr>
                <w:sz w:val="20"/>
                <w:szCs w:val="20"/>
                <w:lang w:val="es-GT" w:eastAsia="es-GT"/>
              </w:rPr>
              <w:t>Remuneraciones</w:t>
            </w:r>
          </w:p>
        </w:tc>
        <w:tc>
          <w:tcPr>
            <w:tcW w:w="1559" w:type="dxa"/>
            <w:tcBorders>
              <w:top w:val="nil"/>
              <w:left w:val="single" w:sz="8" w:space="0" w:color="auto"/>
              <w:bottom w:val="nil"/>
              <w:right w:val="single" w:sz="4" w:space="0" w:color="auto"/>
            </w:tcBorders>
            <w:shd w:val="clear" w:color="auto" w:fill="auto"/>
            <w:noWrap/>
            <w:vAlign w:val="bottom"/>
            <w:hideMark/>
          </w:tcPr>
          <w:p w:rsidR="00D60DED" w:rsidRPr="00D60DED" w:rsidRDefault="00D60DED" w:rsidP="00D60DED">
            <w:pPr>
              <w:jc w:val="right"/>
              <w:rPr>
                <w:sz w:val="20"/>
                <w:szCs w:val="20"/>
                <w:lang w:val="es-GT" w:eastAsia="es-GT"/>
              </w:rPr>
            </w:pPr>
            <w:r w:rsidRPr="00D60DED">
              <w:rPr>
                <w:sz w:val="20"/>
                <w:szCs w:val="20"/>
                <w:lang w:val="es-GT" w:eastAsia="es-GT"/>
              </w:rPr>
              <w:t>23,067.5</w:t>
            </w:r>
          </w:p>
        </w:tc>
        <w:tc>
          <w:tcPr>
            <w:tcW w:w="1560" w:type="dxa"/>
            <w:tcBorders>
              <w:top w:val="nil"/>
              <w:left w:val="single" w:sz="4" w:space="0" w:color="auto"/>
              <w:bottom w:val="nil"/>
              <w:right w:val="single" w:sz="8" w:space="0" w:color="auto"/>
            </w:tcBorders>
            <w:shd w:val="clear" w:color="auto" w:fill="auto"/>
            <w:noWrap/>
            <w:vAlign w:val="bottom"/>
            <w:hideMark/>
          </w:tcPr>
          <w:p w:rsidR="00D60DED" w:rsidRPr="00D60DED" w:rsidRDefault="00D60DED" w:rsidP="00D60DED">
            <w:pPr>
              <w:jc w:val="right"/>
              <w:rPr>
                <w:sz w:val="20"/>
                <w:szCs w:val="20"/>
                <w:lang w:val="es-GT" w:eastAsia="es-GT"/>
              </w:rPr>
            </w:pPr>
            <w:r w:rsidRPr="00D60DED">
              <w:rPr>
                <w:sz w:val="20"/>
                <w:szCs w:val="20"/>
                <w:lang w:val="es-GT" w:eastAsia="es-GT"/>
              </w:rPr>
              <w:t>23,717.3</w:t>
            </w:r>
          </w:p>
        </w:tc>
      </w:tr>
      <w:tr w:rsidR="00D60DED" w:rsidRPr="00D60DED" w:rsidTr="00467ED3">
        <w:trPr>
          <w:trHeight w:val="255"/>
        </w:trPr>
        <w:tc>
          <w:tcPr>
            <w:tcW w:w="4678" w:type="dxa"/>
            <w:tcBorders>
              <w:top w:val="nil"/>
              <w:left w:val="single" w:sz="8" w:space="0" w:color="auto"/>
              <w:bottom w:val="nil"/>
              <w:right w:val="nil"/>
            </w:tcBorders>
            <w:shd w:val="clear" w:color="auto" w:fill="auto"/>
            <w:noWrap/>
            <w:vAlign w:val="bottom"/>
            <w:hideMark/>
          </w:tcPr>
          <w:p w:rsidR="00D60DED" w:rsidRPr="00D60DED" w:rsidRDefault="00D60DED" w:rsidP="00D60DED">
            <w:pPr>
              <w:ind w:firstLineChars="200" w:firstLine="400"/>
              <w:rPr>
                <w:sz w:val="20"/>
                <w:szCs w:val="20"/>
                <w:lang w:val="es-GT" w:eastAsia="es-GT"/>
              </w:rPr>
            </w:pPr>
            <w:r w:rsidRPr="00D60DED">
              <w:rPr>
                <w:sz w:val="20"/>
                <w:szCs w:val="20"/>
                <w:lang w:val="es-GT" w:eastAsia="es-GT"/>
              </w:rPr>
              <w:t>Bienes y Servicios</w:t>
            </w:r>
          </w:p>
        </w:tc>
        <w:tc>
          <w:tcPr>
            <w:tcW w:w="1559" w:type="dxa"/>
            <w:tcBorders>
              <w:top w:val="nil"/>
              <w:left w:val="single" w:sz="8" w:space="0" w:color="auto"/>
              <w:bottom w:val="nil"/>
              <w:right w:val="single" w:sz="4" w:space="0" w:color="auto"/>
            </w:tcBorders>
            <w:shd w:val="clear" w:color="auto" w:fill="auto"/>
            <w:noWrap/>
            <w:vAlign w:val="bottom"/>
            <w:hideMark/>
          </w:tcPr>
          <w:p w:rsidR="00D60DED" w:rsidRPr="00D60DED" w:rsidRDefault="00D60DED" w:rsidP="00D60DED">
            <w:pPr>
              <w:jc w:val="right"/>
              <w:rPr>
                <w:sz w:val="20"/>
                <w:szCs w:val="20"/>
                <w:lang w:val="es-GT" w:eastAsia="es-GT"/>
              </w:rPr>
            </w:pPr>
            <w:r w:rsidRPr="00D60DED">
              <w:rPr>
                <w:sz w:val="20"/>
                <w:szCs w:val="20"/>
                <w:lang w:val="es-GT" w:eastAsia="es-GT"/>
              </w:rPr>
              <w:t>10,336.9</w:t>
            </w:r>
          </w:p>
        </w:tc>
        <w:tc>
          <w:tcPr>
            <w:tcW w:w="1560" w:type="dxa"/>
            <w:tcBorders>
              <w:top w:val="nil"/>
              <w:left w:val="single" w:sz="4" w:space="0" w:color="auto"/>
              <w:bottom w:val="nil"/>
              <w:right w:val="single" w:sz="8" w:space="0" w:color="auto"/>
            </w:tcBorders>
            <w:shd w:val="clear" w:color="auto" w:fill="auto"/>
            <w:noWrap/>
            <w:vAlign w:val="bottom"/>
            <w:hideMark/>
          </w:tcPr>
          <w:p w:rsidR="00D60DED" w:rsidRPr="00D60DED" w:rsidRDefault="00D60DED" w:rsidP="00D60DED">
            <w:pPr>
              <w:jc w:val="right"/>
              <w:rPr>
                <w:sz w:val="20"/>
                <w:szCs w:val="20"/>
                <w:lang w:val="es-GT" w:eastAsia="es-GT"/>
              </w:rPr>
            </w:pPr>
            <w:r w:rsidRPr="00D60DED">
              <w:rPr>
                <w:sz w:val="20"/>
                <w:szCs w:val="20"/>
                <w:lang w:val="es-GT" w:eastAsia="es-GT"/>
              </w:rPr>
              <w:t>8,380.7</w:t>
            </w:r>
          </w:p>
        </w:tc>
      </w:tr>
      <w:tr w:rsidR="00D60DED" w:rsidRPr="00D60DED" w:rsidTr="00467ED3">
        <w:trPr>
          <w:trHeight w:val="255"/>
        </w:trPr>
        <w:tc>
          <w:tcPr>
            <w:tcW w:w="4678" w:type="dxa"/>
            <w:tcBorders>
              <w:top w:val="nil"/>
              <w:left w:val="single" w:sz="8" w:space="0" w:color="auto"/>
              <w:bottom w:val="nil"/>
              <w:right w:val="nil"/>
            </w:tcBorders>
            <w:shd w:val="clear" w:color="auto" w:fill="auto"/>
            <w:noWrap/>
            <w:vAlign w:val="bottom"/>
            <w:hideMark/>
          </w:tcPr>
          <w:p w:rsidR="00D60DED" w:rsidRPr="00D60DED" w:rsidRDefault="00D60DED" w:rsidP="00BE1F3E">
            <w:pPr>
              <w:ind w:firstLineChars="200" w:firstLine="400"/>
              <w:rPr>
                <w:sz w:val="20"/>
                <w:szCs w:val="20"/>
                <w:lang w:val="es-GT" w:eastAsia="es-GT"/>
              </w:rPr>
            </w:pPr>
            <w:r w:rsidRPr="00D60DED">
              <w:rPr>
                <w:sz w:val="20"/>
                <w:szCs w:val="20"/>
                <w:lang w:val="es-GT" w:eastAsia="es-GT"/>
              </w:rPr>
              <w:t xml:space="preserve">Impuestos </w:t>
            </w:r>
            <w:r w:rsidR="00BE1F3E">
              <w:rPr>
                <w:sz w:val="20"/>
                <w:szCs w:val="20"/>
                <w:lang w:val="es-GT" w:eastAsia="es-GT"/>
              </w:rPr>
              <w:t>P</w:t>
            </w:r>
            <w:r w:rsidRPr="00D60DED">
              <w:rPr>
                <w:sz w:val="20"/>
                <w:szCs w:val="20"/>
                <w:lang w:val="es-GT" w:eastAsia="es-GT"/>
              </w:rPr>
              <w:t xml:space="preserve">agados por </w:t>
            </w:r>
            <w:r w:rsidR="00BE1F3E">
              <w:rPr>
                <w:sz w:val="20"/>
                <w:szCs w:val="20"/>
                <w:lang w:val="es-GT" w:eastAsia="es-GT"/>
              </w:rPr>
              <w:t>D</w:t>
            </w:r>
            <w:r w:rsidRPr="00D60DED">
              <w:rPr>
                <w:sz w:val="20"/>
                <w:szCs w:val="20"/>
                <w:lang w:val="es-GT" w:eastAsia="es-GT"/>
              </w:rPr>
              <w:t>ependencias del Estado</w:t>
            </w:r>
          </w:p>
        </w:tc>
        <w:tc>
          <w:tcPr>
            <w:tcW w:w="1559" w:type="dxa"/>
            <w:tcBorders>
              <w:top w:val="nil"/>
              <w:left w:val="single" w:sz="8" w:space="0" w:color="auto"/>
              <w:bottom w:val="nil"/>
              <w:right w:val="single" w:sz="4" w:space="0" w:color="auto"/>
            </w:tcBorders>
            <w:shd w:val="clear" w:color="auto" w:fill="auto"/>
            <w:noWrap/>
            <w:vAlign w:val="bottom"/>
            <w:hideMark/>
          </w:tcPr>
          <w:p w:rsidR="00D60DED" w:rsidRPr="00D60DED" w:rsidRDefault="00D60DED" w:rsidP="00D60DED">
            <w:pPr>
              <w:jc w:val="right"/>
              <w:rPr>
                <w:sz w:val="20"/>
                <w:szCs w:val="20"/>
                <w:lang w:val="es-GT" w:eastAsia="es-GT"/>
              </w:rPr>
            </w:pPr>
            <w:r w:rsidRPr="00D60DED">
              <w:rPr>
                <w:sz w:val="20"/>
                <w:szCs w:val="20"/>
                <w:lang w:val="es-GT" w:eastAsia="es-GT"/>
              </w:rPr>
              <w:t>17.6</w:t>
            </w:r>
          </w:p>
        </w:tc>
        <w:tc>
          <w:tcPr>
            <w:tcW w:w="1560" w:type="dxa"/>
            <w:tcBorders>
              <w:top w:val="nil"/>
              <w:left w:val="single" w:sz="4" w:space="0" w:color="auto"/>
              <w:bottom w:val="nil"/>
              <w:right w:val="single" w:sz="8" w:space="0" w:color="auto"/>
            </w:tcBorders>
            <w:shd w:val="clear" w:color="auto" w:fill="auto"/>
            <w:noWrap/>
            <w:vAlign w:val="bottom"/>
            <w:hideMark/>
          </w:tcPr>
          <w:p w:rsidR="00D60DED" w:rsidRPr="00D60DED" w:rsidRDefault="00D60DED" w:rsidP="00D60DED">
            <w:pPr>
              <w:jc w:val="right"/>
              <w:rPr>
                <w:sz w:val="20"/>
                <w:szCs w:val="20"/>
                <w:lang w:val="es-GT" w:eastAsia="es-GT"/>
              </w:rPr>
            </w:pPr>
            <w:r w:rsidRPr="00D60DED">
              <w:rPr>
                <w:sz w:val="20"/>
                <w:szCs w:val="20"/>
                <w:lang w:val="es-GT" w:eastAsia="es-GT"/>
              </w:rPr>
              <w:t>11.4</w:t>
            </w:r>
          </w:p>
        </w:tc>
      </w:tr>
      <w:tr w:rsidR="00D60DED" w:rsidRPr="00D60DED" w:rsidTr="00467ED3">
        <w:trPr>
          <w:trHeight w:val="255"/>
        </w:trPr>
        <w:tc>
          <w:tcPr>
            <w:tcW w:w="4678" w:type="dxa"/>
            <w:tcBorders>
              <w:top w:val="nil"/>
              <w:left w:val="single" w:sz="8" w:space="0" w:color="auto"/>
              <w:bottom w:val="nil"/>
              <w:right w:val="nil"/>
            </w:tcBorders>
            <w:shd w:val="clear" w:color="auto" w:fill="auto"/>
            <w:noWrap/>
            <w:vAlign w:val="bottom"/>
            <w:hideMark/>
          </w:tcPr>
          <w:p w:rsidR="00D60DED" w:rsidRPr="00D60DED" w:rsidRDefault="00D60DED" w:rsidP="00D60DED">
            <w:pPr>
              <w:ind w:firstLineChars="200" w:firstLine="400"/>
              <w:rPr>
                <w:sz w:val="20"/>
                <w:szCs w:val="20"/>
                <w:lang w:val="es-GT" w:eastAsia="es-GT"/>
              </w:rPr>
            </w:pPr>
            <w:r w:rsidRPr="00D60DED">
              <w:rPr>
                <w:sz w:val="20"/>
                <w:szCs w:val="20"/>
                <w:lang w:val="es-GT" w:eastAsia="es-GT"/>
              </w:rPr>
              <w:t>Descuentos y Bonificaciones</w:t>
            </w:r>
          </w:p>
        </w:tc>
        <w:tc>
          <w:tcPr>
            <w:tcW w:w="1559" w:type="dxa"/>
            <w:tcBorders>
              <w:top w:val="nil"/>
              <w:left w:val="single" w:sz="8" w:space="0" w:color="auto"/>
              <w:bottom w:val="nil"/>
              <w:right w:val="single" w:sz="4" w:space="0" w:color="auto"/>
            </w:tcBorders>
            <w:shd w:val="clear" w:color="auto" w:fill="auto"/>
            <w:noWrap/>
            <w:vAlign w:val="bottom"/>
            <w:hideMark/>
          </w:tcPr>
          <w:p w:rsidR="00D60DED" w:rsidRPr="00D60DED" w:rsidRDefault="00D60DED" w:rsidP="00D60DED">
            <w:pPr>
              <w:jc w:val="right"/>
              <w:rPr>
                <w:sz w:val="20"/>
                <w:szCs w:val="20"/>
                <w:lang w:val="es-GT" w:eastAsia="es-GT"/>
              </w:rPr>
            </w:pPr>
            <w:r w:rsidRPr="00D60DED">
              <w:rPr>
                <w:sz w:val="20"/>
                <w:szCs w:val="20"/>
                <w:lang w:val="es-GT" w:eastAsia="es-GT"/>
              </w:rPr>
              <w:t>101.1</w:t>
            </w:r>
          </w:p>
        </w:tc>
        <w:tc>
          <w:tcPr>
            <w:tcW w:w="1560" w:type="dxa"/>
            <w:tcBorders>
              <w:top w:val="nil"/>
              <w:left w:val="single" w:sz="4" w:space="0" w:color="auto"/>
              <w:bottom w:val="nil"/>
              <w:right w:val="single" w:sz="8" w:space="0" w:color="auto"/>
            </w:tcBorders>
            <w:shd w:val="clear" w:color="auto" w:fill="auto"/>
            <w:noWrap/>
            <w:vAlign w:val="bottom"/>
            <w:hideMark/>
          </w:tcPr>
          <w:p w:rsidR="00D60DED" w:rsidRPr="00D60DED" w:rsidRDefault="00D60DED" w:rsidP="00D60DED">
            <w:pPr>
              <w:jc w:val="right"/>
              <w:rPr>
                <w:sz w:val="20"/>
                <w:szCs w:val="20"/>
                <w:lang w:val="es-GT" w:eastAsia="es-GT"/>
              </w:rPr>
            </w:pPr>
            <w:r w:rsidRPr="00D60DED">
              <w:rPr>
                <w:sz w:val="20"/>
                <w:szCs w:val="20"/>
                <w:lang w:val="es-GT" w:eastAsia="es-GT"/>
              </w:rPr>
              <w:t>102.0</w:t>
            </w:r>
          </w:p>
        </w:tc>
      </w:tr>
      <w:tr w:rsidR="00D60DED" w:rsidRPr="00D60DED" w:rsidTr="00467ED3">
        <w:trPr>
          <w:trHeight w:val="255"/>
        </w:trPr>
        <w:tc>
          <w:tcPr>
            <w:tcW w:w="4678" w:type="dxa"/>
            <w:tcBorders>
              <w:top w:val="nil"/>
              <w:left w:val="single" w:sz="8" w:space="0" w:color="auto"/>
              <w:bottom w:val="nil"/>
              <w:right w:val="nil"/>
            </w:tcBorders>
            <w:shd w:val="clear" w:color="auto" w:fill="auto"/>
            <w:noWrap/>
            <w:vAlign w:val="bottom"/>
            <w:hideMark/>
          </w:tcPr>
          <w:p w:rsidR="00D60DED" w:rsidRPr="00D60DED" w:rsidRDefault="00D60DED" w:rsidP="00D60DED">
            <w:pPr>
              <w:ind w:firstLineChars="200" w:firstLine="400"/>
              <w:rPr>
                <w:sz w:val="20"/>
                <w:szCs w:val="20"/>
                <w:lang w:val="es-GT" w:eastAsia="es-GT"/>
              </w:rPr>
            </w:pPr>
            <w:r w:rsidRPr="00D60DED">
              <w:rPr>
                <w:sz w:val="20"/>
                <w:szCs w:val="20"/>
                <w:lang w:val="es-GT" w:eastAsia="es-GT"/>
              </w:rPr>
              <w:t>Prestaciones a la Seguridad Social</w:t>
            </w:r>
          </w:p>
        </w:tc>
        <w:tc>
          <w:tcPr>
            <w:tcW w:w="1559" w:type="dxa"/>
            <w:tcBorders>
              <w:top w:val="nil"/>
              <w:left w:val="single" w:sz="8" w:space="0" w:color="auto"/>
              <w:bottom w:val="nil"/>
              <w:right w:val="single" w:sz="4" w:space="0" w:color="auto"/>
            </w:tcBorders>
            <w:shd w:val="clear" w:color="auto" w:fill="auto"/>
            <w:noWrap/>
            <w:vAlign w:val="bottom"/>
            <w:hideMark/>
          </w:tcPr>
          <w:p w:rsidR="00D60DED" w:rsidRPr="00D60DED" w:rsidRDefault="00D60DED" w:rsidP="00D60DED">
            <w:pPr>
              <w:jc w:val="right"/>
              <w:rPr>
                <w:sz w:val="20"/>
                <w:szCs w:val="20"/>
                <w:lang w:val="es-GT" w:eastAsia="es-GT"/>
              </w:rPr>
            </w:pPr>
            <w:r w:rsidRPr="00D60DED">
              <w:rPr>
                <w:sz w:val="20"/>
                <w:szCs w:val="20"/>
                <w:lang w:val="es-GT" w:eastAsia="es-GT"/>
              </w:rPr>
              <w:t>4,691.3</w:t>
            </w:r>
          </w:p>
        </w:tc>
        <w:tc>
          <w:tcPr>
            <w:tcW w:w="1560" w:type="dxa"/>
            <w:tcBorders>
              <w:top w:val="nil"/>
              <w:left w:val="single" w:sz="4" w:space="0" w:color="auto"/>
              <w:bottom w:val="nil"/>
              <w:right w:val="single" w:sz="8" w:space="0" w:color="auto"/>
            </w:tcBorders>
            <w:shd w:val="clear" w:color="auto" w:fill="auto"/>
            <w:noWrap/>
            <w:vAlign w:val="bottom"/>
            <w:hideMark/>
          </w:tcPr>
          <w:p w:rsidR="00D60DED" w:rsidRPr="00D60DED" w:rsidRDefault="00D60DED" w:rsidP="00D60DED">
            <w:pPr>
              <w:jc w:val="right"/>
              <w:rPr>
                <w:sz w:val="20"/>
                <w:szCs w:val="20"/>
                <w:lang w:val="es-GT" w:eastAsia="es-GT"/>
              </w:rPr>
            </w:pPr>
            <w:r w:rsidRPr="00D60DED">
              <w:rPr>
                <w:sz w:val="20"/>
                <w:szCs w:val="20"/>
                <w:lang w:val="es-GT" w:eastAsia="es-GT"/>
              </w:rPr>
              <w:t>5,066.2</w:t>
            </w:r>
          </w:p>
        </w:tc>
      </w:tr>
      <w:tr w:rsidR="00D60DED" w:rsidRPr="00D60DED" w:rsidTr="00467ED3">
        <w:trPr>
          <w:trHeight w:val="255"/>
        </w:trPr>
        <w:tc>
          <w:tcPr>
            <w:tcW w:w="4678" w:type="dxa"/>
            <w:tcBorders>
              <w:top w:val="nil"/>
              <w:left w:val="single" w:sz="8" w:space="0" w:color="auto"/>
              <w:bottom w:val="nil"/>
              <w:right w:val="nil"/>
            </w:tcBorders>
            <w:shd w:val="clear" w:color="auto" w:fill="auto"/>
            <w:noWrap/>
            <w:vAlign w:val="bottom"/>
            <w:hideMark/>
          </w:tcPr>
          <w:p w:rsidR="00D60DED" w:rsidRPr="00D60DED" w:rsidRDefault="00D60DED" w:rsidP="00D60DED">
            <w:pPr>
              <w:ind w:firstLineChars="200" w:firstLine="400"/>
              <w:rPr>
                <w:sz w:val="20"/>
                <w:szCs w:val="20"/>
                <w:lang w:val="es-GT" w:eastAsia="es-GT"/>
              </w:rPr>
            </w:pPr>
            <w:r w:rsidRPr="00D60DED">
              <w:rPr>
                <w:sz w:val="20"/>
                <w:szCs w:val="20"/>
                <w:lang w:val="es-GT" w:eastAsia="es-GT"/>
              </w:rPr>
              <w:t>Intereses</w:t>
            </w:r>
          </w:p>
        </w:tc>
        <w:tc>
          <w:tcPr>
            <w:tcW w:w="1559" w:type="dxa"/>
            <w:tcBorders>
              <w:top w:val="nil"/>
              <w:left w:val="single" w:sz="8" w:space="0" w:color="auto"/>
              <w:bottom w:val="nil"/>
              <w:right w:val="single" w:sz="4" w:space="0" w:color="auto"/>
            </w:tcBorders>
            <w:shd w:val="clear" w:color="auto" w:fill="auto"/>
            <w:noWrap/>
            <w:vAlign w:val="bottom"/>
            <w:hideMark/>
          </w:tcPr>
          <w:p w:rsidR="00D60DED" w:rsidRPr="00D60DED" w:rsidRDefault="00D60DED" w:rsidP="00D60DED">
            <w:pPr>
              <w:jc w:val="right"/>
              <w:rPr>
                <w:sz w:val="20"/>
                <w:szCs w:val="20"/>
                <w:lang w:val="es-GT" w:eastAsia="es-GT"/>
              </w:rPr>
            </w:pPr>
            <w:r w:rsidRPr="00D60DED">
              <w:rPr>
                <w:sz w:val="20"/>
                <w:szCs w:val="20"/>
                <w:lang w:val="es-GT" w:eastAsia="es-GT"/>
              </w:rPr>
              <w:t>8,193.3</w:t>
            </w:r>
          </w:p>
        </w:tc>
        <w:tc>
          <w:tcPr>
            <w:tcW w:w="1560" w:type="dxa"/>
            <w:tcBorders>
              <w:top w:val="nil"/>
              <w:left w:val="single" w:sz="4" w:space="0" w:color="auto"/>
              <w:bottom w:val="nil"/>
              <w:right w:val="single" w:sz="8" w:space="0" w:color="auto"/>
            </w:tcBorders>
            <w:shd w:val="clear" w:color="auto" w:fill="auto"/>
            <w:noWrap/>
            <w:vAlign w:val="bottom"/>
            <w:hideMark/>
          </w:tcPr>
          <w:p w:rsidR="00D60DED" w:rsidRPr="00D60DED" w:rsidRDefault="00D60DED" w:rsidP="00D60DED">
            <w:pPr>
              <w:jc w:val="right"/>
              <w:rPr>
                <w:sz w:val="20"/>
                <w:szCs w:val="20"/>
                <w:lang w:val="es-GT" w:eastAsia="es-GT"/>
              </w:rPr>
            </w:pPr>
            <w:r w:rsidRPr="00D60DED">
              <w:rPr>
                <w:sz w:val="20"/>
                <w:szCs w:val="20"/>
                <w:lang w:val="es-GT" w:eastAsia="es-GT"/>
              </w:rPr>
              <w:t>8,438.6</w:t>
            </w:r>
          </w:p>
        </w:tc>
      </w:tr>
      <w:tr w:rsidR="00D60DED" w:rsidRPr="00D60DED" w:rsidTr="00467ED3">
        <w:trPr>
          <w:trHeight w:val="255"/>
        </w:trPr>
        <w:tc>
          <w:tcPr>
            <w:tcW w:w="4678" w:type="dxa"/>
            <w:tcBorders>
              <w:top w:val="nil"/>
              <w:left w:val="single" w:sz="8" w:space="0" w:color="auto"/>
              <w:bottom w:val="nil"/>
              <w:right w:val="nil"/>
            </w:tcBorders>
            <w:shd w:val="clear" w:color="auto" w:fill="auto"/>
            <w:noWrap/>
            <w:vAlign w:val="bottom"/>
            <w:hideMark/>
          </w:tcPr>
          <w:p w:rsidR="00D60DED" w:rsidRPr="00D60DED" w:rsidRDefault="00D60DED" w:rsidP="00BE1F3E">
            <w:pPr>
              <w:ind w:firstLineChars="300" w:firstLine="600"/>
              <w:rPr>
                <w:sz w:val="20"/>
                <w:szCs w:val="20"/>
                <w:lang w:val="es-GT" w:eastAsia="es-GT"/>
              </w:rPr>
            </w:pPr>
            <w:r w:rsidRPr="00D60DED">
              <w:rPr>
                <w:sz w:val="20"/>
                <w:szCs w:val="20"/>
                <w:lang w:val="es-GT" w:eastAsia="es-GT"/>
              </w:rPr>
              <w:t xml:space="preserve">Deuda  </w:t>
            </w:r>
            <w:r w:rsidR="00BE1F3E">
              <w:rPr>
                <w:sz w:val="20"/>
                <w:szCs w:val="20"/>
                <w:lang w:val="es-GT" w:eastAsia="es-GT"/>
              </w:rPr>
              <w:t>I</w:t>
            </w:r>
            <w:r w:rsidRPr="00D60DED">
              <w:rPr>
                <w:sz w:val="20"/>
                <w:szCs w:val="20"/>
                <w:lang w:val="es-GT" w:eastAsia="es-GT"/>
              </w:rPr>
              <w:t xml:space="preserve">nterna </w:t>
            </w:r>
          </w:p>
        </w:tc>
        <w:tc>
          <w:tcPr>
            <w:tcW w:w="1559" w:type="dxa"/>
            <w:tcBorders>
              <w:top w:val="nil"/>
              <w:left w:val="single" w:sz="8" w:space="0" w:color="auto"/>
              <w:bottom w:val="nil"/>
              <w:right w:val="single" w:sz="4" w:space="0" w:color="auto"/>
            </w:tcBorders>
            <w:shd w:val="clear" w:color="auto" w:fill="auto"/>
            <w:noWrap/>
            <w:vAlign w:val="bottom"/>
            <w:hideMark/>
          </w:tcPr>
          <w:p w:rsidR="00D60DED" w:rsidRPr="00D60DED" w:rsidRDefault="00D60DED" w:rsidP="00D60DED">
            <w:pPr>
              <w:jc w:val="right"/>
              <w:rPr>
                <w:sz w:val="20"/>
                <w:szCs w:val="20"/>
                <w:lang w:val="es-GT" w:eastAsia="es-GT"/>
              </w:rPr>
            </w:pPr>
            <w:r w:rsidRPr="00D60DED">
              <w:rPr>
                <w:sz w:val="20"/>
                <w:szCs w:val="20"/>
                <w:lang w:val="es-GT" w:eastAsia="es-GT"/>
              </w:rPr>
              <w:t>5,911.7</w:t>
            </w:r>
          </w:p>
        </w:tc>
        <w:tc>
          <w:tcPr>
            <w:tcW w:w="1560" w:type="dxa"/>
            <w:tcBorders>
              <w:top w:val="nil"/>
              <w:left w:val="single" w:sz="4" w:space="0" w:color="auto"/>
              <w:bottom w:val="nil"/>
              <w:right w:val="single" w:sz="8" w:space="0" w:color="auto"/>
            </w:tcBorders>
            <w:shd w:val="clear" w:color="auto" w:fill="auto"/>
            <w:noWrap/>
            <w:vAlign w:val="bottom"/>
            <w:hideMark/>
          </w:tcPr>
          <w:p w:rsidR="00D60DED" w:rsidRPr="00D60DED" w:rsidRDefault="00D60DED" w:rsidP="00D60DED">
            <w:pPr>
              <w:jc w:val="right"/>
              <w:rPr>
                <w:sz w:val="20"/>
                <w:szCs w:val="20"/>
                <w:lang w:val="es-GT" w:eastAsia="es-GT"/>
              </w:rPr>
            </w:pPr>
            <w:r w:rsidRPr="00D60DED">
              <w:rPr>
                <w:sz w:val="20"/>
                <w:szCs w:val="20"/>
                <w:lang w:val="es-GT" w:eastAsia="es-GT"/>
              </w:rPr>
              <w:t>5,668.4</w:t>
            </w:r>
          </w:p>
        </w:tc>
      </w:tr>
      <w:tr w:rsidR="00D60DED" w:rsidRPr="00D60DED" w:rsidTr="00467ED3">
        <w:trPr>
          <w:trHeight w:val="255"/>
        </w:trPr>
        <w:tc>
          <w:tcPr>
            <w:tcW w:w="4678" w:type="dxa"/>
            <w:tcBorders>
              <w:top w:val="nil"/>
              <w:left w:val="single" w:sz="8" w:space="0" w:color="auto"/>
              <w:bottom w:val="nil"/>
              <w:right w:val="nil"/>
            </w:tcBorders>
            <w:shd w:val="clear" w:color="auto" w:fill="auto"/>
            <w:noWrap/>
            <w:vAlign w:val="bottom"/>
            <w:hideMark/>
          </w:tcPr>
          <w:p w:rsidR="00D60DED" w:rsidRPr="00D60DED" w:rsidRDefault="00D60DED" w:rsidP="00BE1F3E">
            <w:pPr>
              <w:ind w:firstLineChars="300" w:firstLine="600"/>
              <w:rPr>
                <w:sz w:val="20"/>
                <w:szCs w:val="20"/>
                <w:lang w:val="es-GT" w:eastAsia="es-GT"/>
              </w:rPr>
            </w:pPr>
            <w:r w:rsidRPr="00D60DED">
              <w:rPr>
                <w:sz w:val="20"/>
                <w:szCs w:val="20"/>
                <w:lang w:val="es-GT" w:eastAsia="es-GT"/>
              </w:rPr>
              <w:t xml:space="preserve">Deuda </w:t>
            </w:r>
            <w:r w:rsidR="00BE1F3E">
              <w:rPr>
                <w:sz w:val="20"/>
                <w:szCs w:val="20"/>
                <w:lang w:val="es-GT" w:eastAsia="es-GT"/>
              </w:rPr>
              <w:t>E</w:t>
            </w:r>
            <w:r w:rsidRPr="00D60DED">
              <w:rPr>
                <w:sz w:val="20"/>
                <w:szCs w:val="20"/>
                <w:lang w:val="es-GT" w:eastAsia="es-GT"/>
              </w:rPr>
              <w:t>xterna</w:t>
            </w:r>
          </w:p>
        </w:tc>
        <w:tc>
          <w:tcPr>
            <w:tcW w:w="1559" w:type="dxa"/>
            <w:tcBorders>
              <w:top w:val="nil"/>
              <w:left w:val="single" w:sz="8" w:space="0" w:color="auto"/>
              <w:bottom w:val="nil"/>
              <w:right w:val="single" w:sz="4" w:space="0" w:color="auto"/>
            </w:tcBorders>
            <w:shd w:val="clear" w:color="auto" w:fill="auto"/>
            <w:noWrap/>
            <w:vAlign w:val="bottom"/>
            <w:hideMark/>
          </w:tcPr>
          <w:p w:rsidR="00D60DED" w:rsidRPr="00D60DED" w:rsidRDefault="00D60DED" w:rsidP="00D60DED">
            <w:pPr>
              <w:jc w:val="right"/>
              <w:rPr>
                <w:sz w:val="20"/>
                <w:szCs w:val="20"/>
                <w:lang w:val="es-GT" w:eastAsia="es-GT"/>
              </w:rPr>
            </w:pPr>
            <w:r w:rsidRPr="00D60DED">
              <w:rPr>
                <w:sz w:val="20"/>
                <w:szCs w:val="20"/>
                <w:lang w:val="es-GT" w:eastAsia="es-GT"/>
              </w:rPr>
              <w:t>2,281.5</w:t>
            </w:r>
          </w:p>
        </w:tc>
        <w:tc>
          <w:tcPr>
            <w:tcW w:w="1560" w:type="dxa"/>
            <w:tcBorders>
              <w:top w:val="nil"/>
              <w:left w:val="single" w:sz="4" w:space="0" w:color="auto"/>
              <w:bottom w:val="nil"/>
              <w:right w:val="single" w:sz="8" w:space="0" w:color="auto"/>
            </w:tcBorders>
            <w:shd w:val="clear" w:color="auto" w:fill="auto"/>
            <w:noWrap/>
            <w:vAlign w:val="bottom"/>
            <w:hideMark/>
          </w:tcPr>
          <w:p w:rsidR="00D60DED" w:rsidRPr="00D60DED" w:rsidRDefault="00D60DED" w:rsidP="00D60DED">
            <w:pPr>
              <w:jc w:val="right"/>
              <w:rPr>
                <w:sz w:val="20"/>
                <w:szCs w:val="20"/>
                <w:lang w:val="es-GT" w:eastAsia="es-GT"/>
              </w:rPr>
            </w:pPr>
            <w:r w:rsidRPr="00D60DED">
              <w:rPr>
                <w:sz w:val="20"/>
                <w:szCs w:val="20"/>
                <w:lang w:val="es-GT" w:eastAsia="es-GT"/>
              </w:rPr>
              <w:t>2,770.2</w:t>
            </w:r>
          </w:p>
        </w:tc>
      </w:tr>
      <w:tr w:rsidR="00D60DED" w:rsidRPr="00D60DED" w:rsidTr="00467ED3">
        <w:trPr>
          <w:trHeight w:val="255"/>
        </w:trPr>
        <w:tc>
          <w:tcPr>
            <w:tcW w:w="4678" w:type="dxa"/>
            <w:tcBorders>
              <w:top w:val="nil"/>
              <w:left w:val="single" w:sz="8" w:space="0" w:color="auto"/>
              <w:bottom w:val="nil"/>
              <w:right w:val="nil"/>
            </w:tcBorders>
            <w:shd w:val="clear" w:color="auto" w:fill="auto"/>
            <w:noWrap/>
            <w:vAlign w:val="bottom"/>
            <w:hideMark/>
          </w:tcPr>
          <w:p w:rsidR="00D60DED" w:rsidRPr="00D60DED" w:rsidRDefault="00D60DED" w:rsidP="00D60DED">
            <w:pPr>
              <w:ind w:firstLineChars="400" w:firstLine="800"/>
              <w:rPr>
                <w:sz w:val="20"/>
                <w:szCs w:val="20"/>
                <w:lang w:val="es-GT" w:eastAsia="es-GT"/>
              </w:rPr>
            </w:pPr>
            <w:r w:rsidRPr="00D60DED">
              <w:rPr>
                <w:sz w:val="20"/>
                <w:szCs w:val="20"/>
                <w:lang w:val="es-GT" w:eastAsia="es-GT"/>
              </w:rPr>
              <w:t>Préstamos</w:t>
            </w:r>
          </w:p>
        </w:tc>
        <w:tc>
          <w:tcPr>
            <w:tcW w:w="1559" w:type="dxa"/>
            <w:tcBorders>
              <w:top w:val="nil"/>
              <w:left w:val="single" w:sz="8" w:space="0" w:color="auto"/>
              <w:bottom w:val="nil"/>
              <w:right w:val="single" w:sz="4" w:space="0" w:color="auto"/>
            </w:tcBorders>
            <w:shd w:val="clear" w:color="auto" w:fill="auto"/>
            <w:noWrap/>
            <w:vAlign w:val="bottom"/>
            <w:hideMark/>
          </w:tcPr>
          <w:p w:rsidR="00D60DED" w:rsidRPr="00D60DED" w:rsidRDefault="00D60DED" w:rsidP="00D60DED">
            <w:pPr>
              <w:jc w:val="right"/>
              <w:rPr>
                <w:sz w:val="20"/>
                <w:szCs w:val="20"/>
                <w:lang w:val="es-GT" w:eastAsia="es-GT"/>
              </w:rPr>
            </w:pPr>
            <w:r w:rsidRPr="00D60DED">
              <w:rPr>
                <w:sz w:val="20"/>
                <w:szCs w:val="20"/>
                <w:lang w:val="es-GT" w:eastAsia="es-GT"/>
              </w:rPr>
              <w:t>1,298.4</w:t>
            </w:r>
          </w:p>
        </w:tc>
        <w:tc>
          <w:tcPr>
            <w:tcW w:w="1560" w:type="dxa"/>
            <w:tcBorders>
              <w:top w:val="nil"/>
              <w:left w:val="single" w:sz="4" w:space="0" w:color="auto"/>
              <w:bottom w:val="nil"/>
              <w:right w:val="single" w:sz="8" w:space="0" w:color="auto"/>
            </w:tcBorders>
            <w:shd w:val="clear" w:color="auto" w:fill="auto"/>
            <w:noWrap/>
            <w:vAlign w:val="bottom"/>
            <w:hideMark/>
          </w:tcPr>
          <w:p w:rsidR="00D60DED" w:rsidRPr="00D60DED" w:rsidRDefault="00D60DED" w:rsidP="00D60DED">
            <w:pPr>
              <w:jc w:val="right"/>
              <w:rPr>
                <w:sz w:val="20"/>
                <w:szCs w:val="20"/>
                <w:lang w:val="es-GT" w:eastAsia="es-GT"/>
              </w:rPr>
            </w:pPr>
            <w:r w:rsidRPr="00D60DED">
              <w:rPr>
                <w:sz w:val="20"/>
                <w:szCs w:val="20"/>
                <w:lang w:val="es-GT" w:eastAsia="es-GT"/>
              </w:rPr>
              <w:t>1,588.5</w:t>
            </w:r>
          </w:p>
        </w:tc>
      </w:tr>
      <w:tr w:rsidR="00D60DED" w:rsidRPr="00D60DED" w:rsidTr="00467ED3">
        <w:trPr>
          <w:trHeight w:val="255"/>
        </w:trPr>
        <w:tc>
          <w:tcPr>
            <w:tcW w:w="4678" w:type="dxa"/>
            <w:tcBorders>
              <w:top w:val="nil"/>
              <w:left w:val="single" w:sz="8" w:space="0" w:color="auto"/>
              <w:bottom w:val="nil"/>
              <w:right w:val="nil"/>
            </w:tcBorders>
            <w:shd w:val="clear" w:color="auto" w:fill="auto"/>
            <w:noWrap/>
            <w:vAlign w:val="bottom"/>
            <w:hideMark/>
          </w:tcPr>
          <w:p w:rsidR="00D60DED" w:rsidRPr="00D60DED" w:rsidRDefault="00D60DED" w:rsidP="00D60DED">
            <w:pPr>
              <w:ind w:firstLineChars="400" w:firstLine="800"/>
              <w:rPr>
                <w:sz w:val="20"/>
                <w:szCs w:val="20"/>
                <w:lang w:val="es-GT" w:eastAsia="es-GT"/>
              </w:rPr>
            </w:pPr>
            <w:r w:rsidRPr="00D60DED">
              <w:rPr>
                <w:sz w:val="20"/>
                <w:szCs w:val="20"/>
                <w:lang w:val="es-GT" w:eastAsia="es-GT"/>
              </w:rPr>
              <w:t>Bonos</w:t>
            </w:r>
            <w:r w:rsidR="00397336">
              <w:rPr>
                <w:sz w:val="20"/>
                <w:szCs w:val="20"/>
                <w:lang w:val="es-GT" w:eastAsia="es-GT"/>
              </w:rPr>
              <w:t xml:space="preserve"> del Tesoro</w:t>
            </w:r>
          </w:p>
        </w:tc>
        <w:tc>
          <w:tcPr>
            <w:tcW w:w="1559" w:type="dxa"/>
            <w:tcBorders>
              <w:top w:val="nil"/>
              <w:left w:val="single" w:sz="8" w:space="0" w:color="auto"/>
              <w:bottom w:val="nil"/>
              <w:right w:val="single" w:sz="4" w:space="0" w:color="auto"/>
            </w:tcBorders>
            <w:shd w:val="clear" w:color="auto" w:fill="auto"/>
            <w:noWrap/>
            <w:vAlign w:val="bottom"/>
            <w:hideMark/>
          </w:tcPr>
          <w:p w:rsidR="00D60DED" w:rsidRPr="00D60DED" w:rsidRDefault="00D60DED" w:rsidP="00D60DED">
            <w:pPr>
              <w:jc w:val="right"/>
              <w:rPr>
                <w:sz w:val="20"/>
                <w:szCs w:val="20"/>
                <w:lang w:val="es-GT" w:eastAsia="es-GT"/>
              </w:rPr>
            </w:pPr>
            <w:r w:rsidRPr="00D60DED">
              <w:rPr>
                <w:sz w:val="20"/>
                <w:szCs w:val="20"/>
                <w:lang w:val="es-GT" w:eastAsia="es-GT"/>
              </w:rPr>
              <w:t>983.2</w:t>
            </w:r>
          </w:p>
        </w:tc>
        <w:tc>
          <w:tcPr>
            <w:tcW w:w="1560" w:type="dxa"/>
            <w:tcBorders>
              <w:top w:val="nil"/>
              <w:left w:val="single" w:sz="4" w:space="0" w:color="auto"/>
              <w:bottom w:val="nil"/>
              <w:right w:val="single" w:sz="8" w:space="0" w:color="auto"/>
            </w:tcBorders>
            <w:shd w:val="clear" w:color="auto" w:fill="auto"/>
            <w:noWrap/>
            <w:vAlign w:val="bottom"/>
            <w:hideMark/>
          </w:tcPr>
          <w:p w:rsidR="00D60DED" w:rsidRPr="00D60DED" w:rsidRDefault="00D60DED" w:rsidP="00D60DED">
            <w:pPr>
              <w:jc w:val="right"/>
              <w:rPr>
                <w:sz w:val="20"/>
                <w:szCs w:val="20"/>
                <w:lang w:val="es-GT" w:eastAsia="es-GT"/>
              </w:rPr>
            </w:pPr>
            <w:r w:rsidRPr="00D60DED">
              <w:rPr>
                <w:sz w:val="20"/>
                <w:szCs w:val="20"/>
                <w:lang w:val="es-GT" w:eastAsia="es-GT"/>
              </w:rPr>
              <w:t>1,181.7</w:t>
            </w:r>
          </w:p>
        </w:tc>
      </w:tr>
      <w:tr w:rsidR="00D60DED" w:rsidRPr="00D60DED" w:rsidTr="00467ED3">
        <w:trPr>
          <w:trHeight w:val="255"/>
        </w:trPr>
        <w:tc>
          <w:tcPr>
            <w:tcW w:w="4678" w:type="dxa"/>
            <w:tcBorders>
              <w:top w:val="nil"/>
              <w:left w:val="single" w:sz="8" w:space="0" w:color="auto"/>
              <w:bottom w:val="nil"/>
              <w:right w:val="nil"/>
            </w:tcBorders>
            <w:shd w:val="clear" w:color="auto" w:fill="auto"/>
            <w:noWrap/>
            <w:vAlign w:val="bottom"/>
            <w:hideMark/>
          </w:tcPr>
          <w:p w:rsidR="00D60DED" w:rsidRPr="00D60DED" w:rsidRDefault="00D60DED" w:rsidP="00D60DED">
            <w:pPr>
              <w:ind w:firstLineChars="200" w:firstLine="400"/>
              <w:rPr>
                <w:sz w:val="20"/>
                <w:szCs w:val="20"/>
                <w:lang w:val="es-GT" w:eastAsia="es-GT"/>
              </w:rPr>
            </w:pPr>
            <w:r w:rsidRPr="00D60DED">
              <w:rPr>
                <w:sz w:val="20"/>
                <w:szCs w:val="20"/>
                <w:lang w:val="es-GT" w:eastAsia="es-GT"/>
              </w:rPr>
              <w:t>Arrendamiento de Tierra y Terrenos</w:t>
            </w:r>
          </w:p>
        </w:tc>
        <w:tc>
          <w:tcPr>
            <w:tcW w:w="1559" w:type="dxa"/>
            <w:tcBorders>
              <w:top w:val="nil"/>
              <w:left w:val="single" w:sz="8" w:space="0" w:color="auto"/>
              <w:bottom w:val="nil"/>
              <w:right w:val="single" w:sz="4" w:space="0" w:color="auto"/>
            </w:tcBorders>
            <w:shd w:val="clear" w:color="auto" w:fill="auto"/>
            <w:noWrap/>
            <w:vAlign w:val="bottom"/>
            <w:hideMark/>
          </w:tcPr>
          <w:p w:rsidR="00D60DED" w:rsidRPr="00D60DED" w:rsidRDefault="00D60DED" w:rsidP="00D60DED">
            <w:pPr>
              <w:jc w:val="right"/>
              <w:rPr>
                <w:sz w:val="20"/>
                <w:szCs w:val="20"/>
                <w:lang w:val="es-GT" w:eastAsia="es-GT"/>
              </w:rPr>
            </w:pPr>
            <w:r w:rsidRPr="00D60DED">
              <w:rPr>
                <w:sz w:val="20"/>
                <w:szCs w:val="20"/>
                <w:lang w:val="es-GT" w:eastAsia="es-GT"/>
              </w:rPr>
              <w:t>0.4</w:t>
            </w:r>
          </w:p>
        </w:tc>
        <w:tc>
          <w:tcPr>
            <w:tcW w:w="1560" w:type="dxa"/>
            <w:tcBorders>
              <w:top w:val="nil"/>
              <w:left w:val="single" w:sz="4" w:space="0" w:color="auto"/>
              <w:bottom w:val="nil"/>
              <w:right w:val="single" w:sz="8" w:space="0" w:color="auto"/>
            </w:tcBorders>
            <w:shd w:val="clear" w:color="auto" w:fill="auto"/>
            <w:noWrap/>
            <w:vAlign w:val="bottom"/>
            <w:hideMark/>
          </w:tcPr>
          <w:p w:rsidR="00D60DED" w:rsidRPr="00D60DED" w:rsidRDefault="00D60DED" w:rsidP="00D60DED">
            <w:pPr>
              <w:jc w:val="right"/>
              <w:rPr>
                <w:sz w:val="20"/>
                <w:szCs w:val="20"/>
                <w:lang w:val="es-GT" w:eastAsia="es-GT"/>
              </w:rPr>
            </w:pPr>
            <w:r w:rsidRPr="00D60DED">
              <w:rPr>
                <w:sz w:val="20"/>
                <w:szCs w:val="20"/>
                <w:lang w:val="es-GT" w:eastAsia="es-GT"/>
              </w:rPr>
              <w:t>0.3</w:t>
            </w:r>
          </w:p>
        </w:tc>
      </w:tr>
      <w:tr w:rsidR="00D60DED" w:rsidRPr="00D60DED" w:rsidTr="00467ED3">
        <w:trPr>
          <w:trHeight w:val="255"/>
        </w:trPr>
        <w:tc>
          <w:tcPr>
            <w:tcW w:w="4678" w:type="dxa"/>
            <w:tcBorders>
              <w:top w:val="nil"/>
              <w:left w:val="single" w:sz="8" w:space="0" w:color="auto"/>
              <w:bottom w:val="nil"/>
              <w:right w:val="nil"/>
            </w:tcBorders>
            <w:shd w:val="clear" w:color="auto" w:fill="auto"/>
            <w:noWrap/>
            <w:vAlign w:val="bottom"/>
            <w:hideMark/>
          </w:tcPr>
          <w:p w:rsidR="00D60DED" w:rsidRPr="00D60DED" w:rsidRDefault="00D60DED" w:rsidP="00D60DED">
            <w:pPr>
              <w:ind w:firstLineChars="200" w:firstLine="400"/>
              <w:rPr>
                <w:sz w:val="20"/>
                <w:szCs w:val="20"/>
                <w:lang w:val="es-GT" w:eastAsia="es-GT"/>
              </w:rPr>
            </w:pPr>
            <w:r w:rsidRPr="00D60DED">
              <w:rPr>
                <w:sz w:val="20"/>
                <w:szCs w:val="20"/>
                <w:lang w:val="es-GT" w:eastAsia="es-GT"/>
              </w:rPr>
              <w:t>Derechos Sobre Bienes Intangibles</w:t>
            </w:r>
          </w:p>
        </w:tc>
        <w:tc>
          <w:tcPr>
            <w:tcW w:w="1559" w:type="dxa"/>
            <w:tcBorders>
              <w:top w:val="nil"/>
              <w:left w:val="single" w:sz="8" w:space="0" w:color="auto"/>
              <w:bottom w:val="nil"/>
              <w:right w:val="single" w:sz="4" w:space="0" w:color="auto"/>
            </w:tcBorders>
            <w:shd w:val="clear" w:color="auto" w:fill="auto"/>
            <w:noWrap/>
            <w:vAlign w:val="bottom"/>
            <w:hideMark/>
          </w:tcPr>
          <w:p w:rsidR="00D60DED" w:rsidRPr="00D60DED" w:rsidRDefault="00D60DED" w:rsidP="00D60DED">
            <w:pPr>
              <w:jc w:val="right"/>
              <w:rPr>
                <w:sz w:val="20"/>
                <w:szCs w:val="20"/>
                <w:lang w:val="es-GT" w:eastAsia="es-GT"/>
              </w:rPr>
            </w:pPr>
            <w:r w:rsidRPr="00D60DED">
              <w:rPr>
                <w:sz w:val="20"/>
                <w:szCs w:val="20"/>
                <w:lang w:val="es-GT" w:eastAsia="es-GT"/>
              </w:rPr>
              <w:t>52.5</w:t>
            </w:r>
          </w:p>
        </w:tc>
        <w:tc>
          <w:tcPr>
            <w:tcW w:w="1560" w:type="dxa"/>
            <w:tcBorders>
              <w:top w:val="nil"/>
              <w:left w:val="single" w:sz="4" w:space="0" w:color="auto"/>
              <w:bottom w:val="nil"/>
              <w:right w:val="single" w:sz="8" w:space="0" w:color="auto"/>
            </w:tcBorders>
            <w:shd w:val="clear" w:color="auto" w:fill="auto"/>
            <w:noWrap/>
            <w:vAlign w:val="bottom"/>
            <w:hideMark/>
          </w:tcPr>
          <w:p w:rsidR="00D60DED" w:rsidRPr="00D60DED" w:rsidRDefault="00D60DED" w:rsidP="00D60DED">
            <w:pPr>
              <w:jc w:val="right"/>
              <w:rPr>
                <w:sz w:val="20"/>
                <w:szCs w:val="20"/>
                <w:lang w:val="es-GT" w:eastAsia="es-GT"/>
              </w:rPr>
            </w:pPr>
            <w:r w:rsidRPr="00D60DED">
              <w:rPr>
                <w:sz w:val="20"/>
                <w:szCs w:val="20"/>
                <w:lang w:val="es-GT" w:eastAsia="es-GT"/>
              </w:rPr>
              <w:t>34.0</w:t>
            </w:r>
          </w:p>
        </w:tc>
      </w:tr>
      <w:tr w:rsidR="00D60DED" w:rsidRPr="00D60DED" w:rsidTr="00467ED3">
        <w:trPr>
          <w:trHeight w:val="255"/>
        </w:trPr>
        <w:tc>
          <w:tcPr>
            <w:tcW w:w="4678" w:type="dxa"/>
            <w:tcBorders>
              <w:top w:val="nil"/>
              <w:left w:val="single" w:sz="8" w:space="0" w:color="auto"/>
              <w:bottom w:val="nil"/>
              <w:right w:val="nil"/>
            </w:tcBorders>
            <w:shd w:val="clear" w:color="auto" w:fill="auto"/>
            <w:noWrap/>
            <w:vAlign w:val="bottom"/>
            <w:hideMark/>
          </w:tcPr>
          <w:p w:rsidR="00D60DED" w:rsidRPr="00D60DED" w:rsidRDefault="00D60DED" w:rsidP="00D60DED">
            <w:pPr>
              <w:ind w:firstLineChars="200" w:firstLine="400"/>
              <w:rPr>
                <w:sz w:val="20"/>
                <w:szCs w:val="20"/>
                <w:lang w:val="es-GT" w:eastAsia="es-GT"/>
              </w:rPr>
            </w:pPr>
            <w:r w:rsidRPr="00D60DED">
              <w:rPr>
                <w:sz w:val="20"/>
                <w:szCs w:val="20"/>
                <w:lang w:val="es-GT" w:eastAsia="es-GT"/>
              </w:rPr>
              <w:t>Transferencias</w:t>
            </w:r>
            <w:r w:rsidR="00BE1F3E">
              <w:rPr>
                <w:sz w:val="20"/>
                <w:szCs w:val="20"/>
                <w:lang w:val="es-GT" w:eastAsia="es-GT"/>
              </w:rPr>
              <w:t xml:space="preserve"> Corrientes</w:t>
            </w:r>
          </w:p>
        </w:tc>
        <w:tc>
          <w:tcPr>
            <w:tcW w:w="1559" w:type="dxa"/>
            <w:tcBorders>
              <w:top w:val="nil"/>
              <w:left w:val="single" w:sz="8" w:space="0" w:color="auto"/>
              <w:bottom w:val="nil"/>
              <w:right w:val="single" w:sz="4" w:space="0" w:color="auto"/>
            </w:tcBorders>
            <w:shd w:val="clear" w:color="auto" w:fill="auto"/>
            <w:noWrap/>
            <w:vAlign w:val="bottom"/>
            <w:hideMark/>
          </w:tcPr>
          <w:p w:rsidR="00D60DED" w:rsidRPr="00D60DED" w:rsidRDefault="00D60DED" w:rsidP="00D60DED">
            <w:pPr>
              <w:jc w:val="right"/>
              <w:rPr>
                <w:sz w:val="20"/>
                <w:szCs w:val="20"/>
                <w:lang w:val="es-GT" w:eastAsia="es-GT"/>
              </w:rPr>
            </w:pPr>
            <w:r w:rsidRPr="00D60DED">
              <w:rPr>
                <w:sz w:val="20"/>
                <w:szCs w:val="20"/>
                <w:lang w:val="es-GT" w:eastAsia="es-GT"/>
              </w:rPr>
              <w:t>12,444.7</w:t>
            </w:r>
          </w:p>
        </w:tc>
        <w:tc>
          <w:tcPr>
            <w:tcW w:w="1560" w:type="dxa"/>
            <w:tcBorders>
              <w:top w:val="nil"/>
              <w:left w:val="single" w:sz="4" w:space="0" w:color="auto"/>
              <w:bottom w:val="nil"/>
              <w:right w:val="single" w:sz="8" w:space="0" w:color="auto"/>
            </w:tcBorders>
            <w:shd w:val="clear" w:color="auto" w:fill="auto"/>
            <w:noWrap/>
            <w:vAlign w:val="bottom"/>
            <w:hideMark/>
          </w:tcPr>
          <w:p w:rsidR="00D60DED" w:rsidRPr="00D60DED" w:rsidRDefault="00D60DED" w:rsidP="00D60DED">
            <w:pPr>
              <w:jc w:val="right"/>
              <w:rPr>
                <w:sz w:val="20"/>
                <w:szCs w:val="20"/>
                <w:lang w:val="es-GT" w:eastAsia="es-GT"/>
              </w:rPr>
            </w:pPr>
            <w:r w:rsidRPr="00D60DED">
              <w:rPr>
                <w:sz w:val="20"/>
                <w:szCs w:val="20"/>
                <w:lang w:val="es-GT" w:eastAsia="es-GT"/>
              </w:rPr>
              <w:t>12,610.4</w:t>
            </w:r>
          </w:p>
        </w:tc>
      </w:tr>
      <w:tr w:rsidR="00D60DED" w:rsidRPr="00D60DED" w:rsidTr="00467ED3">
        <w:trPr>
          <w:trHeight w:val="255"/>
        </w:trPr>
        <w:tc>
          <w:tcPr>
            <w:tcW w:w="4678" w:type="dxa"/>
            <w:tcBorders>
              <w:top w:val="nil"/>
              <w:left w:val="single" w:sz="8" w:space="0" w:color="auto"/>
              <w:bottom w:val="nil"/>
              <w:right w:val="nil"/>
            </w:tcBorders>
            <w:shd w:val="clear" w:color="auto" w:fill="auto"/>
            <w:noWrap/>
            <w:vAlign w:val="bottom"/>
            <w:hideMark/>
          </w:tcPr>
          <w:p w:rsidR="00D60DED" w:rsidRPr="00D60DED" w:rsidRDefault="00D60DED" w:rsidP="00D60DED">
            <w:pPr>
              <w:ind w:firstLineChars="100" w:firstLine="201"/>
              <w:rPr>
                <w:b/>
                <w:bCs/>
                <w:sz w:val="20"/>
                <w:szCs w:val="20"/>
                <w:lang w:val="es-GT" w:eastAsia="es-GT"/>
              </w:rPr>
            </w:pPr>
            <w:r w:rsidRPr="00D60DED">
              <w:rPr>
                <w:b/>
                <w:bCs/>
                <w:sz w:val="20"/>
                <w:szCs w:val="20"/>
                <w:lang w:val="es-GT" w:eastAsia="es-GT"/>
              </w:rPr>
              <w:t>Gastos de Capital</w:t>
            </w:r>
          </w:p>
        </w:tc>
        <w:tc>
          <w:tcPr>
            <w:tcW w:w="1559" w:type="dxa"/>
            <w:tcBorders>
              <w:top w:val="nil"/>
              <w:left w:val="single" w:sz="8" w:space="0" w:color="auto"/>
              <w:bottom w:val="nil"/>
              <w:right w:val="single" w:sz="4" w:space="0" w:color="auto"/>
            </w:tcBorders>
            <w:shd w:val="clear" w:color="auto" w:fill="auto"/>
            <w:noWrap/>
            <w:vAlign w:val="bottom"/>
            <w:hideMark/>
          </w:tcPr>
          <w:p w:rsidR="00D60DED" w:rsidRPr="00D60DED" w:rsidRDefault="00D60DED" w:rsidP="00D60DED">
            <w:pPr>
              <w:jc w:val="right"/>
              <w:rPr>
                <w:b/>
                <w:bCs/>
                <w:sz w:val="20"/>
                <w:szCs w:val="20"/>
                <w:lang w:val="es-GT" w:eastAsia="es-GT"/>
              </w:rPr>
            </w:pPr>
            <w:r w:rsidRPr="00D60DED">
              <w:rPr>
                <w:b/>
                <w:bCs/>
                <w:sz w:val="20"/>
                <w:szCs w:val="20"/>
                <w:lang w:val="es-GT" w:eastAsia="es-GT"/>
              </w:rPr>
              <w:t>14,459.4</w:t>
            </w:r>
          </w:p>
        </w:tc>
        <w:tc>
          <w:tcPr>
            <w:tcW w:w="1560" w:type="dxa"/>
            <w:tcBorders>
              <w:top w:val="nil"/>
              <w:left w:val="single" w:sz="4" w:space="0" w:color="auto"/>
              <w:bottom w:val="nil"/>
              <w:right w:val="single" w:sz="8" w:space="0" w:color="auto"/>
            </w:tcBorders>
            <w:shd w:val="clear" w:color="auto" w:fill="auto"/>
            <w:noWrap/>
            <w:vAlign w:val="bottom"/>
            <w:hideMark/>
          </w:tcPr>
          <w:p w:rsidR="00D60DED" w:rsidRPr="00D60DED" w:rsidRDefault="00D60DED" w:rsidP="00D60DED">
            <w:pPr>
              <w:jc w:val="right"/>
              <w:rPr>
                <w:b/>
                <w:bCs/>
                <w:sz w:val="20"/>
                <w:szCs w:val="20"/>
                <w:lang w:val="es-GT" w:eastAsia="es-GT"/>
              </w:rPr>
            </w:pPr>
            <w:r w:rsidRPr="00D60DED">
              <w:rPr>
                <w:b/>
                <w:bCs/>
                <w:sz w:val="20"/>
                <w:szCs w:val="20"/>
                <w:lang w:val="es-GT" w:eastAsia="es-GT"/>
              </w:rPr>
              <w:t>13,034.7</w:t>
            </w:r>
          </w:p>
        </w:tc>
      </w:tr>
      <w:tr w:rsidR="00D60DED" w:rsidRPr="00D60DED" w:rsidTr="00467ED3">
        <w:trPr>
          <w:trHeight w:val="255"/>
        </w:trPr>
        <w:tc>
          <w:tcPr>
            <w:tcW w:w="4678" w:type="dxa"/>
            <w:tcBorders>
              <w:top w:val="nil"/>
              <w:left w:val="single" w:sz="8" w:space="0" w:color="auto"/>
              <w:bottom w:val="nil"/>
              <w:right w:val="nil"/>
            </w:tcBorders>
            <w:shd w:val="clear" w:color="auto" w:fill="auto"/>
            <w:noWrap/>
            <w:vAlign w:val="bottom"/>
            <w:hideMark/>
          </w:tcPr>
          <w:p w:rsidR="00D60DED" w:rsidRPr="00D60DED" w:rsidRDefault="00D60DED" w:rsidP="00D60DED">
            <w:pPr>
              <w:ind w:firstLineChars="200" w:firstLine="400"/>
              <w:rPr>
                <w:sz w:val="20"/>
                <w:szCs w:val="20"/>
                <w:lang w:val="es-GT" w:eastAsia="es-GT"/>
              </w:rPr>
            </w:pPr>
            <w:r w:rsidRPr="00D60DED">
              <w:rPr>
                <w:sz w:val="20"/>
                <w:szCs w:val="20"/>
                <w:lang w:val="es-GT" w:eastAsia="es-GT"/>
              </w:rPr>
              <w:t>Inversión Real Directa</w:t>
            </w:r>
          </w:p>
        </w:tc>
        <w:tc>
          <w:tcPr>
            <w:tcW w:w="1559" w:type="dxa"/>
            <w:tcBorders>
              <w:top w:val="nil"/>
              <w:left w:val="single" w:sz="8" w:space="0" w:color="auto"/>
              <w:bottom w:val="nil"/>
              <w:right w:val="single" w:sz="4" w:space="0" w:color="auto"/>
            </w:tcBorders>
            <w:shd w:val="clear" w:color="auto" w:fill="auto"/>
            <w:noWrap/>
            <w:vAlign w:val="bottom"/>
            <w:hideMark/>
          </w:tcPr>
          <w:p w:rsidR="00D60DED" w:rsidRPr="00D60DED" w:rsidRDefault="00D60DED" w:rsidP="00D60DED">
            <w:pPr>
              <w:jc w:val="right"/>
              <w:rPr>
                <w:sz w:val="20"/>
                <w:szCs w:val="20"/>
                <w:lang w:val="es-GT" w:eastAsia="es-GT"/>
              </w:rPr>
            </w:pPr>
            <w:r w:rsidRPr="00D60DED">
              <w:rPr>
                <w:sz w:val="20"/>
                <w:szCs w:val="20"/>
                <w:lang w:val="es-GT" w:eastAsia="es-GT"/>
              </w:rPr>
              <w:t>4,157.8</w:t>
            </w:r>
          </w:p>
        </w:tc>
        <w:tc>
          <w:tcPr>
            <w:tcW w:w="1560" w:type="dxa"/>
            <w:tcBorders>
              <w:top w:val="nil"/>
              <w:left w:val="single" w:sz="4" w:space="0" w:color="auto"/>
              <w:bottom w:val="nil"/>
              <w:right w:val="single" w:sz="8" w:space="0" w:color="auto"/>
            </w:tcBorders>
            <w:shd w:val="clear" w:color="auto" w:fill="auto"/>
            <w:noWrap/>
            <w:vAlign w:val="bottom"/>
            <w:hideMark/>
          </w:tcPr>
          <w:p w:rsidR="00D60DED" w:rsidRPr="00D60DED" w:rsidRDefault="00D60DED" w:rsidP="00D60DED">
            <w:pPr>
              <w:jc w:val="right"/>
              <w:rPr>
                <w:sz w:val="20"/>
                <w:szCs w:val="20"/>
                <w:lang w:val="es-GT" w:eastAsia="es-GT"/>
              </w:rPr>
            </w:pPr>
            <w:r w:rsidRPr="00D60DED">
              <w:rPr>
                <w:sz w:val="20"/>
                <w:szCs w:val="20"/>
                <w:lang w:val="es-GT" w:eastAsia="es-GT"/>
              </w:rPr>
              <w:t>3,089.2</w:t>
            </w:r>
          </w:p>
        </w:tc>
      </w:tr>
      <w:tr w:rsidR="00D60DED" w:rsidRPr="00D60DED" w:rsidTr="00467ED3">
        <w:trPr>
          <w:trHeight w:val="255"/>
        </w:trPr>
        <w:tc>
          <w:tcPr>
            <w:tcW w:w="4678" w:type="dxa"/>
            <w:tcBorders>
              <w:top w:val="nil"/>
              <w:left w:val="single" w:sz="8" w:space="0" w:color="auto"/>
              <w:bottom w:val="nil"/>
              <w:right w:val="nil"/>
            </w:tcBorders>
            <w:shd w:val="clear" w:color="auto" w:fill="auto"/>
            <w:noWrap/>
            <w:vAlign w:val="bottom"/>
            <w:hideMark/>
          </w:tcPr>
          <w:p w:rsidR="00D60DED" w:rsidRPr="00D60DED" w:rsidRDefault="00D60DED" w:rsidP="00D60DED">
            <w:pPr>
              <w:ind w:firstLineChars="200" w:firstLine="400"/>
              <w:rPr>
                <w:sz w:val="20"/>
                <w:szCs w:val="20"/>
                <w:lang w:val="es-GT" w:eastAsia="es-GT"/>
              </w:rPr>
            </w:pPr>
            <w:r w:rsidRPr="00D60DED">
              <w:rPr>
                <w:sz w:val="20"/>
                <w:szCs w:val="20"/>
                <w:lang w:val="es-GT" w:eastAsia="es-GT"/>
              </w:rPr>
              <w:t xml:space="preserve">Inversión Financiera </w:t>
            </w:r>
          </w:p>
        </w:tc>
        <w:tc>
          <w:tcPr>
            <w:tcW w:w="1559" w:type="dxa"/>
            <w:tcBorders>
              <w:top w:val="nil"/>
              <w:left w:val="single" w:sz="8" w:space="0" w:color="auto"/>
              <w:bottom w:val="nil"/>
              <w:right w:val="single" w:sz="4" w:space="0" w:color="auto"/>
            </w:tcBorders>
            <w:shd w:val="clear" w:color="auto" w:fill="auto"/>
            <w:noWrap/>
            <w:vAlign w:val="bottom"/>
            <w:hideMark/>
          </w:tcPr>
          <w:p w:rsidR="00D60DED" w:rsidRPr="00D60DED" w:rsidRDefault="00D60DED" w:rsidP="00D60DED">
            <w:pPr>
              <w:jc w:val="right"/>
              <w:rPr>
                <w:sz w:val="20"/>
                <w:szCs w:val="20"/>
                <w:lang w:val="es-GT" w:eastAsia="es-GT"/>
              </w:rPr>
            </w:pPr>
            <w:r w:rsidRPr="00D60DED">
              <w:rPr>
                <w:sz w:val="20"/>
                <w:szCs w:val="20"/>
                <w:lang w:val="es-GT" w:eastAsia="es-GT"/>
              </w:rPr>
              <w:t>44.1</w:t>
            </w:r>
          </w:p>
        </w:tc>
        <w:tc>
          <w:tcPr>
            <w:tcW w:w="1560" w:type="dxa"/>
            <w:tcBorders>
              <w:top w:val="nil"/>
              <w:left w:val="single" w:sz="4" w:space="0" w:color="auto"/>
              <w:bottom w:val="nil"/>
              <w:right w:val="single" w:sz="8" w:space="0" w:color="auto"/>
            </w:tcBorders>
            <w:shd w:val="clear" w:color="auto" w:fill="auto"/>
            <w:noWrap/>
            <w:vAlign w:val="bottom"/>
            <w:hideMark/>
          </w:tcPr>
          <w:p w:rsidR="00D60DED" w:rsidRPr="00D60DED" w:rsidRDefault="00D60DED" w:rsidP="00D60DED">
            <w:pPr>
              <w:jc w:val="right"/>
              <w:rPr>
                <w:sz w:val="20"/>
                <w:szCs w:val="20"/>
                <w:lang w:val="es-GT" w:eastAsia="es-GT"/>
              </w:rPr>
            </w:pPr>
            <w:r w:rsidRPr="00D60DED">
              <w:rPr>
                <w:sz w:val="20"/>
                <w:szCs w:val="20"/>
                <w:lang w:val="es-GT" w:eastAsia="es-GT"/>
              </w:rPr>
              <w:t>13.2</w:t>
            </w:r>
          </w:p>
        </w:tc>
      </w:tr>
      <w:tr w:rsidR="00D60DED" w:rsidRPr="00D60DED" w:rsidTr="00467ED3">
        <w:trPr>
          <w:trHeight w:val="270"/>
        </w:trPr>
        <w:tc>
          <w:tcPr>
            <w:tcW w:w="4678" w:type="dxa"/>
            <w:tcBorders>
              <w:top w:val="nil"/>
              <w:left w:val="single" w:sz="8" w:space="0" w:color="auto"/>
              <w:bottom w:val="single" w:sz="8" w:space="0" w:color="auto"/>
              <w:right w:val="nil"/>
            </w:tcBorders>
            <w:shd w:val="clear" w:color="auto" w:fill="auto"/>
            <w:noWrap/>
            <w:vAlign w:val="bottom"/>
            <w:hideMark/>
          </w:tcPr>
          <w:p w:rsidR="00D60DED" w:rsidRPr="00D60DED" w:rsidRDefault="00D60DED" w:rsidP="00D60DED">
            <w:pPr>
              <w:ind w:firstLineChars="200" w:firstLine="400"/>
              <w:rPr>
                <w:sz w:val="20"/>
                <w:szCs w:val="20"/>
                <w:lang w:val="es-GT" w:eastAsia="es-GT"/>
              </w:rPr>
            </w:pPr>
            <w:r w:rsidRPr="00D60DED">
              <w:rPr>
                <w:sz w:val="20"/>
                <w:szCs w:val="20"/>
                <w:lang w:val="es-GT" w:eastAsia="es-GT"/>
              </w:rPr>
              <w:t>Transferencias</w:t>
            </w:r>
            <w:r w:rsidR="00BE1F3E">
              <w:rPr>
                <w:sz w:val="20"/>
                <w:szCs w:val="20"/>
                <w:lang w:val="es-GT" w:eastAsia="es-GT"/>
              </w:rPr>
              <w:t xml:space="preserve"> de Capital</w:t>
            </w:r>
          </w:p>
        </w:tc>
        <w:tc>
          <w:tcPr>
            <w:tcW w:w="1559" w:type="dxa"/>
            <w:tcBorders>
              <w:top w:val="nil"/>
              <w:left w:val="single" w:sz="8" w:space="0" w:color="auto"/>
              <w:bottom w:val="single" w:sz="8" w:space="0" w:color="auto"/>
              <w:right w:val="single" w:sz="4" w:space="0" w:color="auto"/>
            </w:tcBorders>
            <w:shd w:val="clear" w:color="auto" w:fill="auto"/>
            <w:noWrap/>
            <w:vAlign w:val="bottom"/>
            <w:hideMark/>
          </w:tcPr>
          <w:p w:rsidR="00D60DED" w:rsidRPr="00D60DED" w:rsidRDefault="00D60DED" w:rsidP="00D60DED">
            <w:pPr>
              <w:jc w:val="right"/>
              <w:rPr>
                <w:sz w:val="20"/>
                <w:szCs w:val="20"/>
                <w:lang w:val="es-GT" w:eastAsia="es-GT"/>
              </w:rPr>
            </w:pPr>
            <w:r w:rsidRPr="00D60DED">
              <w:rPr>
                <w:sz w:val="20"/>
                <w:szCs w:val="20"/>
                <w:lang w:val="es-GT" w:eastAsia="es-GT"/>
              </w:rPr>
              <w:t>10,257.5</w:t>
            </w:r>
          </w:p>
        </w:tc>
        <w:tc>
          <w:tcPr>
            <w:tcW w:w="1560" w:type="dxa"/>
            <w:tcBorders>
              <w:top w:val="nil"/>
              <w:left w:val="single" w:sz="4" w:space="0" w:color="auto"/>
              <w:bottom w:val="single" w:sz="8" w:space="0" w:color="auto"/>
              <w:right w:val="single" w:sz="8" w:space="0" w:color="auto"/>
            </w:tcBorders>
            <w:shd w:val="clear" w:color="auto" w:fill="auto"/>
            <w:noWrap/>
            <w:vAlign w:val="bottom"/>
            <w:hideMark/>
          </w:tcPr>
          <w:p w:rsidR="00D60DED" w:rsidRPr="00D60DED" w:rsidRDefault="00D60DED" w:rsidP="00D60DED">
            <w:pPr>
              <w:jc w:val="right"/>
              <w:rPr>
                <w:sz w:val="20"/>
                <w:szCs w:val="20"/>
                <w:lang w:val="es-GT" w:eastAsia="es-GT"/>
              </w:rPr>
            </w:pPr>
            <w:r w:rsidRPr="00D60DED">
              <w:rPr>
                <w:sz w:val="20"/>
                <w:szCs w:val="20"/>
                <w:lang w:val="es-GT" w:eastAsia="es-GT"/>
              </w:rPr>
              <w:t>9,932.3</w:t>
            </w:r>
          </w:p>
        </w:tc>
      </w:tr>
    </w:tbl>
    <w:p w:rsidR="00D60DED" w:rsidRDefault="00D60DED" w:rsidP="00D60DED">
      <w:pPr>
        <w:pStyle w:val="Prrafodelista"/>
        <w:ind w:left="567"/>
        <w:rPr>
          <w:sz w:val="16"/>
        </w:rPr>
      </w:pPr>
      <w:r w:rsidRPr="00663718">
        <w:rPr>
          <w:sz w:val="16"/>
        </w:rPr>
        <w:t xml:space="preserve">Fuente: </w:t>
      </w:r>
      <w:r w:rsidR="00BE1F3E">
        <w:rPr>
          <w:sz w:val="16"/>
        </w:rPr>
        <w:t>Ministerio de Finanzas Públicas</w:t>
      </w:r>
      <w:r>
        <w:rPr>
          <w:sz w:val="16"/>
        </w:rPr>
        <w:t>.</w:t>
      </w:r>
    </w:p>
    <w:p w:rsidR="00D60DED" w:rsidRDefault="00D60DED" w:rsidP="00D60DED">
      <w:pPr>
        <w:pStyle w:val="Prrafodelista"/>
        <w:rPr>
          <w:sz w:val="16"/>
        </w:rPr>
      </w:pPr>
    </w:p>
    <w:p w:rsidR="00171991" w:rsidRDefault="00171991" w:rsidP="00171991">
      <w:pPr>
        <w:pStyle w:val="Prrafodelista"/>
        <w:rPr>
          <w:sz w:val="16"/>
        </w:rPr>
      </w:pPr>
    </w:p>
    <w:p w:rsidR="00171991" w:rsidRPr="00D845D9" w:rsidRDefault="00171991" w:rsidP="00D845D9">
      <w:pPr>
        <w:pStyle w:val="Ttulo2"/>
        <w:numPr>
          <w:ilvl w:val="1"/>
          <w:numId w:val="18"/>
        </w:numPr>
        <w:rPr>
          <w:rFonts w:ascii="Times New Roman" w:hAnsi="Times New Roman"/>
          <w:color w:val="auto"/>
          <w:sz w:val="24"/>
        </w:rPr>
      </w:pPr>
      <w:bookmarkStart w:id="40" w:name="_Toc525824418"/>
      <w:r w:rsidRPr="00D845D9">
        <w:rPr>
          <w:rFonts w:ascii="Times New Roman" w:hAnsi="Times New Roman"/>
          <w:color w:val="auto"/>
          <w:sz w:val="24"/>
        </w:rPr>
        <w:lastRenderedPageBreak/>
        <w:t>Gasto Institucional</w:t>
      </w:r>
      <w:bookmarkEnd w:id="40"/>
    </w:p>
    <w:p w:rsidR="00171991" w:rsidRDefault="00171991" w:rsidP="00171991">
      <w:pPr>
        <w:autoSpaceDE w:val="0"/>
        <w:autoSpaceDN w:val="0"/>
        <w:adjustRightInd w:val="0"/>
        <w:jc w:val="both"/>
        <w:rPr>
          <w:b/>
        </w:rPr>
      </w:pPr>
    </w:p>
    <w:p w:rsidR="00171991" w:rsidRDefault="00171991" w:rsidP="00171991">
      <w:pPr>
        <w:autoSpaceDE w:val="0"/>
        <w:autoSpaceDN w:val="0"/>
        <w:adjustRightInd w:val="0"/>
        <w:jc w:val="both"/>
      </w:pPr>
      <w:r>
        <w:t>Con r</w:t>
      </w:r>
      <w:r w:rsidRPr="00695D33">
        <w:t xml:space="preserve">especto a la capacidad de ejecución de las entidades, se observa que al </w:t>
      </w:r>
      <w:r>
        <w:t>30</w:t>
      </w:r>
      <w:r w:rsidRPr="00695D33">
        <w:t xml:space="preserve"> de junio</w:t>
      </w:r>
      <w:r>
        <w:t xml:space="preserve"> de 2018,</w:t>
      </w:r>
      <w:r w:rsidRPr="00695D33">
        <w:t xml:space="preserve"> la ejecución se ubica en Q</w:t>
      </w:r>
      <w:r>
        <w:t>.</w:t>
      </w:r>
      <w:r w:rsidRPr="00695D33">
        <w:t>3</w:t>
      </w:r>
      <w:r>
        <w:t>2</w:t>
      </w:r>
      <w:proofErr w:type="gramStart"/>
      <w:r w:rsidRPr="00695D33">
        <w:t>,503.7</w:t>
      </w:r>
      <w:proofErr w:type="gramEnd"/>
      <w:r w:rsidRPr="00695D33">
        <w:t xml:space="preserve"> millones (incluye amortizaciones de la deuda), un 42.1% del presupuesto vigente, encontrándose por arriba de la ejecución promedio de los últimos cinco años (41.4%). </w:t>
      </w:r>
    </w:p>
    <w:p w:rsidR="00171991" w:rsidRDefault="00171991" w:rsidP="00171991">
      <w:pPr>
        <w:autoSpaceDE w:val="0"/>
        <w:autoSpaceDN w:val="0"/>
        <w:adjustRightInd w:val="0"/>
        <w:jc w:val="both"/>
      </w:pPr>
    </w:p>
    <w:p w:rsidR="00171991" w:rsidRPr="00695D33" w:rsidRDefault="00171991" w:rsidP="00171991">
      <w:pPr>
        <w:autoSpaceDE w:val="0"/>
        <w:autoSpaceDN w:val="0"/>
        <w:adjustRightInd w:val="0"/>
        <w:jc w:val="both"/>
      </w:pPr>
      <w:r>
        <w:t xml:space="preserve">Entre las instituciones que encabezan el nivel de ejecución, se encuentran la Presidencia de la República (46.2%), Ministerio de Trabajo (45.9%), Ministerio de la Defensa Nacional (45.3%), Ministerio de Educación (45.2%) y las Obligaciones del Estado a Cargo del Tesoro (45.0%). Por su parte, </w:t>
      </w:r>
      <w:r w:rsidRPr="00695D33">
        <w:t>el Ministerio de Desarrollo Social junto al Ministerio de Comunicaciones, Infraestructura y Vivienda, reportan los crecimientos interanuales más elevados (221.3% y 90.0%, respectivamente), s</w:t>
      </w:r>
      <w:r>
        <w:t>iendo</w:t>
      </w:r>
      <w:r w:rsidRPr="00695D33">
        <w:t xml:space="preserve"> las instituciones con el menor nivel de ejecución, del orden de 31.6% y 30.</w:t>
      </w:r>
      <w:r>
        <w:t>2</w:t>
      </w:r>
      <w:r w:rsidRPr="00695D33">
        <w:t>%, respectivamente</w:t>
      </w:r>
      <w:r>
        <w:t>;</w:t>
      </w:r>
      <w:r w:rsidRPr="00695D33">
        <w:t xml:space="preserve"> esto es reflejo de los problemas de capacidad </w:t>
      </w:r>
      <w:r>
        <w:t>de ejecución</w:t>
      </w:r>
      <w:r w:rsidRPr="00695D33">
        <w:t xml:space="preserve"> que han tenido las unidades ejecutoras en los últimos años. </w:t>
      </w:r>
      <w:r>
        <w:t>En el</w:t>
      </w:r>
      <w:r w:rsidRPr="00695D33">
        <w:t xml:space="preserve"> nivel</w:t>
      </w:r>
      <w:r>
        <w:t xml:space="preserve"> más bajo</w:t>
      </w:r>
      <w:r w:rsidRPr="00695D33">
        <w:t xml:space="preserve"> de ejecución se encontraba el Ministerio de Cultura y Deportes (29.1%).</w:t>
      </w:r>
    </w:p>
    <w:p w:rsidR="00171991" w:rsidRDefault="00171991" w:rsidP="00171991">
      <w:pPr>
        <w:autoSpaceDE w:val="0"/>
        <w:autoSpaceDN w:val="0"/>
        <w:adjustRightInd w:val="0"/>
        <w:jc w:val="both"/>
      </w:pPr>
    </w:p>
    <w:p w:rsidR="00171991" w:rsidRDefault="00171991" w:rsidP="00171991">
      <w:pPr>
        <w:autoSpaceDE w:val="0"/>
        <w:autoSpaceDN w:val="0"/>
        <w:adjustRightInd w:val="0"/>
        <w:jc w:val="both"/>
      </w:pPr>
      <w:r w:rsidRPr="00695D33">
        <w:t>A partir de junio</w:t>
      </w:r>
      <w:r>
        <w:t xml:space="preserve"> de 2018</w:t>
      </w:r>
      <w:r w:rsidRPr="00695D33">
        <w:t xml:space="preserve">, </w:t>
      </w:r>
      <w:r>
        <w:t xml:space="preserve">se espera que </w:t>
      </w:r>
      <w:r w:rsidRPr="00695D33">
        <w:t>el gasto muestr</w:t>
      </w:r>
      <w:r>
        <w:t>e</w:t>
      </w:r>
      <w:r w:rsidRPr="00695D33">
        <w:t xml:space="preserve"> un comportamiento mucho más dinámico respecto </w:t>
      </w:r>
      <w:r>
        <w:t>de</w:t>
      </w:r>
      <w:r w:rsidRPr="00695D33">
        <w:t xml:space="preserve"> lo observado</w:t>
      </w:r>
      <w:r>
        <w:t xml:space="preserve"> durante el primer semestre, donde el gasto público fue moderado</w:t>
      </w:r>
      <w:r w:rsidRPr="00695D33">
        <w:t xml:space="preserve">, lo cual forma parte de la estacionalidad del gasto que se muestra más dinámico en la medida que </w:t>
      </w:r>
      <w:r>
        <w:t>avanzan</w:t>
      </w:r>
      <w:r w:rsidRPr="00695D33">
        <w:t xml:space="preserve"> los meses, </w:t>
      </w:r>
      <w:r>
        <w:t xml:space="preserve">ya que </w:t>
      </w:r>
      <w:r w:rsidRPr="00695D33">
        <w:t>las entidades tienden a elevar su ejecución y por ello el último trimestre del año da cuenta de un repunte significativo.</w:t>
      </w:r>
    </w:p>
    <w:p w:rsidR="00171991" w:rsidRDefault="00171991" w:rsidP="00171991">
      <w:pPr>
        <w:autoSpaceDE w:val="0"/>
        <w:autoSpaceDN w:val="0"/>
        <w:adjustRightInd w:val="0"/>
        <w:jc w:val="both"/>
      </w:pPr>
    </w:p>
    <w:p w:rsidR="00171991" w:rsidRDefault="00171991" w:rsidP="00171991">
      <w:pPr>
        <w:autoSpaceDE w:val="0"/>
        <w:autoSpaceDN w:val="0"/>
        <w:adjustRightInd w:val="0"/>
        <w:jc w:val="both"/>
      </w:pPr>
      <w:r>
        <w:t>Por finalidad del gasto, se permite visualizar el gasto público de acuerdo a la naturaleza de los servicios públicos que las entidades que conforman la Administración Central prestan a la ciudadanía. Los gastos se encuentran clasificados por finalidad para determinar objetivos generales de la política de gobierno y la ejecución que se muestra en los diferentes rubros da cuenta de la priorización que representan.</w:t>
      </w:r>
    </w:p>
    <w:p w:rsidR="00171991" w:rsidRDefault="00171991" w:rsidP="00171991">
      <w:pPr>
        <w:autoSpaceDE w:val="0"/>
        <w:autoSpaceDN w:val="0"/>
        <w:adjustRightInd w:val="0"/>
        <w:jc w:val="both"/>
      </w:pPr>
    </w:p>
    <w:p w:rsidR="00171991" w:rsidRDefault="00171991" w:rsidP="00171991">
      <w:pPr>
        <w:autoSpaceDE w:val="0"/>
        <w:autoSpaceDN w:val="0"/>
        <w:adjustRightInd w:val="0"/>
        <w:jc w:val="both"/>
      </w:pPr>
      <w:r>
        <w:t xml:space="preserve">La estimación de cierre de año da cuenta que la mayoría de finalidades reportan una ejecución superior al 80.0%. Las finalidades encargadas de brindar los servicios básicos a la población se encuentran liderando la ejecución estimada al cierre; tal es el caso de los Servicios Públicos Generales (100.0%), Educación (98.9%), Orden Público y Seguridad Ciudadana (98.5%) y Protección Social (98.1%). Mientras que las finalidades que se espera tengan un cierre en su ejecución muy por debajo del promedio son: Atención a Desastres y Gestión de Riesgos (65.0%) y Protección Ambiental (51.9%). En el caso de la finalidad de Atención a Desastres y Gestión de riesgos, es importante resaltar que a pesar que en el mes de junio se produjo la erupción del Volcán de Fuego, su impacto fue limitado y se concentró únicamente en los municipios de tres departamentos (Escuintla, Sacatepéquez y Chimaltenango), de los veintidós que conforman el país. Por su parte, la finalidad de Protección Ambiental no ha sido una de las prioridades de este gobierno y cuenta de ello es el deterioro que ha sufrido el activo natural del Estado en sus tres dimensiones (aire, agua y tierra). </w:t>
      </w:r>
    </w:p>
    <w:p w:rsidR="00171991" w:rsidRDefault="00171991" w:rsidP="00171991">
      <w:pPr>
        <w:autoSpaceDE w:val="0"/>
        <w:autoSpaceDN w:val="0"/>
        <w:adjustRightInd w:val="0"/>
        <w:jc w:val="both"/>
      </w:pPr>
    </w:p>
    <w:p w:rsidR="00171991" w:rsidRDefault="00171991" w:rsidP="00171991">
      <w:pPr>
        <w:autoSpaceDE w:val="0"/>
        <w:autoSpaceDN w:val="0"/>
        <w:adjustRightInd w:val="0"/>
        <w:jc w:val="both"/>
      </w:pPr>
      <w:r>
        <w:t xml:space="preserve">Al desglosar los programas institucionales (ver Anexo), se observa que dentro de las entidades se da mayor priorización a programas de alto impacto; es el caso del Ministerio de Gobernación que con su programa de servicios de seguridad a las personas y su patrimonio ha logrado disminuir el índice de homicidios, consiguiendo un histórico descenso, al alcanzar en </w:t>
      </w:r>
      <w:r>
        <w:lastRenderedPageBreak/>
        <w:t xml:space="preserve">febrero de 2018 el mismo valor que el observado a principios del siglo (25 homicidios por cada 100 mil habitantes). </w:t>
      </w:r>
    </w:p>
    <w:p w:rsidR="00171991" w:rsidRDefault="00171991" w:rsidP="00171991">
      <w:pPr>
        <w:autoSpaceDE w:val="0"/>
        <w:autoSpaceDN w:val="0"/>
        <w:adjustRightInd w:val="0"/>
        <w:jc w:val="both"/>
      </w:pPr>
    </w:p>
    <w:p w:rsidR="00171991" w:rsidRDefault="00171991" w:rsidP="00171991">
      <w:pPr>
        <w:autoSpaceDE w:val="0"/>
        <w:autoSpaceDN w:val="0"/>
        <w:adjustRightInd w:val="0"/>
        <w:jc w:val="both"/>
      </w:pPr>
      <w:r>
        <w:t>En el Ministerio de Educación, se continúa observando una mayor priorización en los programas de educación escolar de pre primaria y primaria, así como el apoyo al consumo adecuado de alimentos; mientras que la educación básica y diversificada se espera que tengan un alto nivel de ejecución, pero a un menor nivel de lo reportado por la educ</w:t>
      </w:r>
      <w:r w:rsidR="00397336">
        <w:t>ación pre primaria y primaria.</w:t>
      </w:r>
    </w:p>
    <w:p w:rsidR="00171991" w:rsidRDefault="00171991" w:rsidP="00171991">
      <w:pPr>
        <w:autoSpaceDE w:val="0"/>
        <w:autoSpaceDN w:val="0"/>
        <w:adjustRightInd w:val="0"/>
        <w:jc w:val="both"/>
      </w:pPr>
    </w:p>
    <w:p w:rsidR="00171991" w:rsidRDefault="00171991" w:rsidP="00171991">
      <w:pPr>
        <w:autoSpaceDE w:val="0"/>
        <w:autoSpaceDN w:val="0"/>
        <w:adjustRightInd w:val="0"/>
        <w:jc w:val="both"/>
      </w:pPr>
      <w:r>
        <w:t xml:space="preserve">Respecto del Ministerio de Salud Pública y Asistencia Social, en la estimación de cierre, los programas representativos como fomento de la salud y medicina preventiva y la recuperación de la salud se tiene estimado un alto nivel de ejecución. En el Ministerio de Trabajo y Previsión Social, el programa que terminará con el mayor nivel de ejecución es la atención del adulto mayor como resultado de una priorización por parte de esta entidad en cumplir con el aporte económico que por derecho les corresponde a los adultos de 65 años o más, que se encuentren en condiciones de extrema pobreza. </w:t>
      </w:r>
    </w:p>
    <w:p w:rsidR="00171991" w:rsidRDefault="00171991" w:rsidP="00171991">
      <w:pPr>
        <w:autoSpaceDE w:val="0"/>
        <w:autoSpaceDN w:val="0"/>
        <w:adjustRightInd w:val="0"/>
        <w:jc w:val="both"/>
      </w:pPr>
    </w:p>
    <w:p w:rsidR="00171991" w:rsidRDefault="00171991" w:rsidP="00171991">
      <w:pPr>
        <w:autoSpaceDE w:val="0"/>
        <w:autoSpaceDN w:val="0"/>
        <w:adjustRightInd w:val="0"/>
        <w:jc w:val="both"/>
      </w:pPr>
      <w:r>
        <w:t>Por último, el Ministerio de Desarrollo Social cuenta con una alta priorización del programa social, transferencias monetarias condicionadas en salud y educación, como resultado de estar enmarcado en la política de desarrollo social del actual Gobierno.</w:t>
      </w:r>
    </w:p>
    <w:p w:rsidR="00171991" w:rsidRDefault="00171991" w:rsidP="00171991">
      <w:pPr>
        <w:autoSpaceDE w:val="0"/>
        <w:autoSpaceDN w:val="0"/>
        <w:adjustRightInd w:val="0"/>
        <w:jc w:val="both"/>
      </w:pPr>
    </w:p>
    <w:p w:rsidR="00171991" w:rsidRDefault="00171991" w:rsidP="00171991">
      <w:pPr>
        <w:autoSpaceDE w:val="0"/>
        <w:autoSpaceDN w:val="0"/>
        <w:adjustRightInd w:val="0"/>
        <w:jc w:val="both"/>
      </w:pPr>
      <w:r>
        <w:t xml:space="preserve">En el informe de política monetaria a junio de 2018, el Banco de Guatemala indicó que hubo actividades económicas que fueron revisadas al alza, entre ellas, la administración pública y defensa, y </w:t>
      </w:r>
      <w:r w:rsidRPr="006F6BAC">
        <w:t xml:space="preserve">se espera que en el segundo semestre del año se dé un incremento en la inversión, </w:t>
      </w:r>
      <w:r>
        <w:t xml:space="preserve">que estará apoya por los </w:t>
      </w:r>
      <w:r w:rsidRPr="006F6BAC">
        <w:t>trabajos de reconstrucción necesarios por los daños ocasionados por la erupción del Volcán de Fueg</w:t>
      </w:r>
      <w:r>
        <w:t>o.</w:t>
      </w:r>
    </w:p>
    <w:p w:rsidR="00171991" w:rsidRDefault="00171991" w:rsidP="00171991">
      <w:pPr>
        <w:autoSpaceDE w:val="0"/>
        <w:autoSpaceDN w:val="0"/>
        <w:adjustRightInd w:val="0"/>
        <w:jc w:val="both"/>
      </w:pPr>
    </w:p>
    <w:p w:rsidR="00171991" w:rsidRDefault="00171991" w:rsidP="00171991">
      <w:pPr>
        <w:autoSpaceDE w:val="0"/>
        <w:autoSpaceDN w:val="0"/>
        <w:adjustRightInd w:val="0"/>
        <w:jc w:val="both"/>
      </w:pPr>
      <w:r>
        <w:t>En la evaluación de daños y pérdidas ocasionadas por la erupción del Volcán de Fuego, elaborada con el apoyo de organismos internacionales se observa que, de forma preliminar, los efectos totales causados por la erupción del volcán ascendieron a Q.1</w:t>
      </w:r>
      <w:proofErr w:type="gramStart"/>
      <w:r>
        <w:t>,642</w:t>
      </w:r>
      <w:proofErr w:type="gramEnd"/>
      <w:r>
        <w:t xml:space="preserve"> millones, de los cuales Q.201 millones corresponden a la afectación del sector público por los daños, pérdidas y costos adicionales en los que incurrió como resultado de la catástrofe. Una gran cantidad de personas perdieron la vida y las damnificadas fueron afectadas por la pérdida de vivienda y de servicios básicos. Asimismo, sufrieron daños la infraestructura vial y los servicios públicos. De esta cuenta se realizaron gastos de emergencia en los primeros días después de ocurrido el desastre, por parte de las instituciones rectoras en tema de emergencias y atención a los afectados. </w:t>
      </w:r>
    </w:p>
    <w:p w:rsidR="00171991" w:rsidRDefault="00171991" w:rsidP="00171991">
      <w:pPr>
        <w:autoSpaceDE w:val="0"/>
        <w:autoSpaceDN w:val="0"/>
        <w:adjustRightInd w:val="0"/>
        <w:jc w:val="both"/>
      </w:pPr>
    </w:p>
    <w:p w:rsidR="00171991" w:rsidRDefault="00171991" w:rsidP="00171991">
      <w:pPr>
        <w:autoSpaceDE w:val="0"/>
        <w:autoSpaceDN w:val="0"/>
        <w:adjustRightInd w:val="0"/>
        <w:jc w:val="both"/>
      </w:pPr>
      <w:r>
        <w:t>No obstante, con el fin de tener un mejor control sobre el gasto ejecutado por el evento, el Ministerio de Finanzas Públicas creó una estructura presupuestaria para que las instituciones que lo consideraran oportuno, programaran las asignaciones</w:t>
      </w:r>
      <w:r w:rsidR="00397336">
        <w:t xml:space="preserve"> </w:t>
      </w:r>
      <w:r>
        <w:t xml:space="preserve">relacionadas con la reconstrucción derivada del </w:t>
      </w:r>
      <w:r w:rsidR="00397336">
        <w:t xml:space="preserve">citado </w:t>
      </w:r>
      <w:r>
        <w:t>fenómeno en el programa 94 “Atención por desastres naturales y calamidades públicas”, subprograma 07 “Estado de Calamidad Pública, Erupción del Volcán de Fuego (DG 1-2018)”. Al mes de junio</w:t>
      </w:r>
      <w:r w:rsidR="00397336">
        <w:t xml:space="preserve"> de 2018</w:t>
      </w:r>
      <w:r>
        <w:t xml:space="preserve"> las entidades habían programado Q.354.75 millones, monto que se espera siga creciendo en los próximo meses. </w:t>
      </w:r>
    </w:p>
    <w:p w:rsidR="00171991" w:rsidRDefault="00171991" w:rsidP="00171991">
      <w:pPr>
        <w:autoSpaceDE w:val="0"/>
        <w:autoSpaceDN w:val="0"/>
        <w:adjustRightInd w:val="0"/>
        <w:jc w:val="both"/>
      </w:pPr>
    </w:p>
    <w:p w:rsidR="00171991" w:rsidRDefault="00171991" w:rsidP="00171991">
      <w:pPr>
        <w:autoSpaceDE w:val="0"/>
        <w:autoSpaceDN w:val="0"/>
        <w:adjustRightInd w:val="0"/>
        <w:jc w:val="both"/>
      </w:pPr>
      <w:r>
        <w:lastRenderedPageBreak/>
        <w:t>Por lo expuesto, l</w:t>
      </w:r>
      <w:r w:rsidRPr="00494CB9">
        <w:t>a estimación de cierre para el presente ejercicio fiscal se ubicaría en Q</w:t>
      </w:r>
      <w:r>
        <w:t>.</w:t>
      </w:r>
      <w:r w:rsidRPr="00494CB9">
        <w:t>74</w:t>
      </w:r>
      <w:proofErr w:type="gramStart"/>
      <w:r w:rsidRPr="00494CB9">
        <w:t>,104.9</w:t>
      </w:r>
      <w:proofErr w:type="gramEnd"/>
      <w:r w:rsidRPr="00494CB9">
        <w:t xml:space="preserve"> millones,</w:t>
      </w:r>
      <w:r>
        <w:t xml:space="preserve"> alcanzando una ejecución cercana al 96.0%. D</w:t>
      </w:r>
      <w:r w:rsidRPr="00494CB9">
        <w:t>icho cierre considera que la propuesta</w:t>
      </w:r>
      <w:r>
        <w:t xml:space="preserve"> de mejora salarial</w:t>
      </w:r>
      <w:r w:rsidRPr="00494CB9">
        <w:t xml:space="preserve"> del </w:t>
      </w:r>
      <w:r>
        <w:t>m</w:t>
      </w:r>
      <w:r w:rsidRPr="00494CB9">
        <w:t>agisterio</w:t>
      </w:r>
      <w:r>
        <w:t xml:space="preserve"> nacional</w:t>
      </w:r>
      <w:r w:rsidRPr="00494CB9">
        <w:t xml:space="preserve"> sea finalmente aprob</w:t>
      </w:r>
      <w:r>
        <w:t>ada y aumente el nivel de ejecución por la</w:t>
      </w:r>
      <w:r w:rsidRPr="00494CB9">
        <w:t xml:space="preserve"> erupción del Volcán de Fuego</w:t>
      </w:r>
      <w:r w:rsidR="00487A81">
        <w:t>.</w:t>
      </w:r>
    </w:p>
    <w:p w:rsidR="00171991" w:rsidRDefault="00171991" w:rsidP="00171991">
      <w:pPr>
        <w:autoSpaceDE w:val="0"/>
        <w:autoSpaceDN w:val="0"/>
        <w:adjustRightInd w:val="0"/>
        <w:jc w:val="both"/>
      </w:pPr>
    </w:p>
    <w:p w:rsidR="003C4357" w:rsidRDefault="003C4357" w:rsidP="00171991">
      <w:pPr>
        <w:autoSpaceDE w:val="0"/>
        <w:autoSpaceDN w:val="0"/>
        <w:adjustRightInd w:val="0"/>
        <w:jc w:val="both"/>
      </w:pPr>
    </w:p>
    <w:p w:rsidR="003C4357" w:rsidRPr="0088577C" w:rsidRDefault="003C4357" w:rsidP="003C4357">
      <w:pPr>
        <w:jc w:val="center"/>
        <w:rPr>
          <w:b/>
          <w:sz w:val="22"/>
          <w:lang w:val="es-MX"/>
        </w:rPr>
      </w:pPr>
      <w:r w:rsidRPr="0088577C">
        <w:rPr>
          <w:b/>
          <w:sz w:val="22"/>
          <w:lang w:val="es-MX"/>
        </w:rPr>
        <w:t xml:space="preserve">Cuadro </w:t>
      </w:r>
      <w:r>
        <w:rPr>
          <w:b/>
          <w:sz w:val="22"/>
          <w:lang w:val="es-MX"/>
        </w:rPr>
        <w:t>13</w:t>
      </w:r>
    </w:p>
    <w:p w:rsidR="003C4357" w:rsidRPr="0088577C" w:rsidRDefault="003C4357" w:rsidP="003C4357">
      <w:pPr>
        <w:jc w:val="center"/>
        <w:rPr>
          <w:b/>
          <w:sz w:val="22"/>
          <w:lang w:val="es-MX"/>
        </w:rPr>
      </w:pPr>
      <w:r>
        <w:rPr>
          <w:b/>
          <w:sz w:val="22"/>
          <w:lang w:val="es-MX"/>
        </w:rPr>
        <w:t>Presupuesto y Estimación del Gasto por Entidad</w:t>
      </w:r>
    </w:p>
    <w:p w:rsidR="003C4357" w:rsidRPr="0088577C" w:rsidRDefault="003C4357" w:rsidP="003C4357">
      <w:pPr>
        <w:jc w:val="center"/>
        <w:rPr>
          <w:b/>
          <w:sz w:val="22"/>
          <w:lang w:val="es-MX"/>
        </w:rPr>
      </w:pPr>
      <w:r>
        <w:rPr>
          <w:b/>
          <w:sz w:val="22"/>
          <w:lang w:val="es-MX"/>
        </w:rPr>
        <w:t>Ejercicio Fiscal 2018</w:t>
      </w:r>
    </w:p>
    <w:p w:rsidR="003C4357" w:rsidRDefault="003C4357" w:rsidP="003C4357">
      <w:pPr>
        <w:pStyle w:val="Prrafodelista"/>
        <w:jc w:val="center"/>
        <w:rPr>
          <w:sz w:val="16"/>
        </w:rPr>
      </w:pPr>
      <w:r w:rsidRPr="0088577C">
        <w:rPr>
          <w:b/>
          <w:sz w:val="22"/>
          <w:lang w:val="es-MX"/>
        </w:rPr>
        <w:t>(Cifras en Millones de Quetzales)</w:t>
      </w:r>
    </w:p>
    <w:tbl>
      <w:tblPr>
        <w:tblW w:w="8520" w:type="dxa"/>
        <w:tblInd w:w="55" w:type="dxa"/>
        <w:tblCellMar>
          <w:left w:w="70" w:type="dxa"/>
          <w:right w:w="70" w:type="dxa"/>
        </w:tblCellMar>
        <w:tblLook w:val="04A0" w:firstRow="1" w:lastRow="0" w:firstColumn="1" w:lastColumn="0" w:noHBand="0" w:noVBand="1"/>
      </w:tblPr>
      <w:tblGrid>
        <w:gridCol w:w="4410"/>
        <w:gridCol w:w="1452"/>
        <w:gridCol w:w="1099"/>
        <w:gridCol w:w="1559"/>
      </w:tblGrid>
      <w:tr w:rsidR="003C4357" w:rsidRPr="003C4357" w:rsidTr="003C4357">
        <w:trPr>
          <w:trHeight w:val="315"/>
        </w:trPr>
        <w:tc>
          <w:tcPr>
            <w:tcW w:w="4410" w:type="dxa"/>
            <w:vMerge w:val="restart"/>
            <w:tcBorders>
              <w:top w:val="single" w:sz="8" w:space="0" w:color="auto"/>
              <w:left w:val="single" w:sz="8" w:space="0" w:color="auto"/>
              <w:bottom w:val="single" w:sz="8" w:space="0" w:color="000000"/>
              <w:right w:val="nil"/>
            </w:tcBorders>
            <w:shd w:val="clear" w:color="000000" w:fill="366092"/>
            <w:vAlign w:val="center"/>
            <w:hideMark/>
          </w:tcPr>
          <w:p w:rsidR="003C4357" w:rsidRPr="003C4357" w:rsidRDefault="003C4357" w:rsidP="003C4357">
            <w:pPr>
              <w:jc w:val="center"/>
              <w:rPr>
                <w:b/>
                <w:bCs/>
                <w:color w:val="FFFFFF"/>
                <w:sz w:val="20"/>
                <w:szCs w:val="20"/>
                <w:lang w:val="es-GT" w:eastAsia="es-GT"/>
              </w:rPr>
            </w:pPr>
            <w:r w:rsidRPr="003C4357">
              <w:rPr>
                <w:b/>
                <w:bCs/>
                <w:color w:val="FFFFFF"/>
                <w:sz w:val="20"/>
                <w:szCs w:val="20"/>
                <w:lang w:val="es-GT" w:eastAsia="es-GT"/>
              </w:rPr>
              <w:t>Entidad</w:t>
            </w:r>
          </w:p>
        </w:tc>
        <w:tc>
          <w:tcPr>
            <w:tcW w:w="2551" w:type="dxa"/>
            <w:gridSpan w:val="2"/>
            <w:tcBorders>
              <w:top w:val="single" w:sz="8" w:space="0" w:color="auto"/>
              <w:left w:val="single" w:sz="8" w:space="0" w:color="auto"/>
              <w:bottom w:val="nil"/>
              <w:right w:val="single" w:sz="8" w:space="0" w:color="000000"/>
            </w:tcBorders>
            <w:shd w:val="clear" w:color="000000" w:fill="366092"/>
            <w:noWrap/>
            <w:vAlign w:val="center"/>
            <w:hideMark/>
          </w:tcPr>
          <w:p w:rsidR="003C4357" w:rsidRPr="003C4357" w:rsidRDefault="003C4357" w:rsidP="003C4357">
            <w:pPr>
              <w:jc w:val="center"/>
              <w:rPr>
                <w:b/>
                <w:bCs/>
                <w:color w:val="FFFFFF"/>
                <w:sz w:val="20"/>
                <w:szCs w:val="20"/>
                <w:lang w:val="es-GT" w:eastAsia="es-GT"/>
              </w:rPr>
            </w:pPr>
            <w:r w:rsidRPr="003C4357">
              <w:rPr>
                <w:b/>
                <w:bCs/>
                <w:color w:val="FFFFFF"/>
                <w:sz w:val="20"/>
                <w:szCs w:val="20"/>
                <w:lang w:val="es-GT" w:eastAsia="es-GT"/>
              </w:rPr>
              <w:t>Presupuesto</w:t>
            </w:r>
          </w:p>
        </w:tc>
        <w:tc>
          <w:tcPr>
            <w:tcW w:w="1559" w:type="dxa"/>
            <w:vMerge w:val="restart"/>
            <w:tcBorders>
              <w:top w:val="single" w:sz="8" w:space="0" w:color="auto"/>
              <w:left w:val="single" w:sz="8" w:space="0" w:color="auto"/>
              <w:bottom w:val="nil"/>
              <w:right w:val="single" w:sz="8" w:space="0" w:color="auto"/>
            </w:tcBorders>
            <w:shd w:val="clear" w:color="000000" w:fill="366092"/>
            <w:vAlign w:val="center"/>
            <w:hideMark/>
          </w:tcPr>
          <w:p w:rsidR="003C4357" w:rsidRPr="003C4357" w:rsidRDefault="003C4357" w:rsidP="003C4357">
            <w:pPr>
              <w:jc w:val="center"/>
              <w:rPr>
                <w:b/>
                <w:bCs/>
                <w:color w:val="FFFFFF"/>
                <w:sz w:val="20"/>
                <w:szCs w:val="20"/>
                <w:lang w:val="es-GT" w:eastAsia="es-GT"/>
              </w:rPr>
            </w:pPr>
            <w:r w:rsidRPr="003C4357">
              <w:rPr>
                <w:b/>
                <w:bCs/>
                <w:color w:val="FFFFFF"/>
                <w:sz w:val="20"/>
                <w:szCs w:val="20"/>
                <w:lang w:val="es-GT" w:eastAsia="es-GT"/>
              </w:rPr>
              <w:t>Estimación al Cierre 2018</w:t>
            </w:r>
          </w:p>
        </w:tc>
      </w:tr>
      <w:tr w:rsidR="003C4357" w:rsidRPr="003C4357" w:rsidTr="003C4357">
        <w:trPr>
          <w:trHeight w:val="330"/>
        </w:trPr>
        <w:tc>
          <w:tcPr>
            <w:tcW w:w="4410" w:type="dxa"/>
            <w:vMerge/>
            <w:tcBorders>
              <w:top w:val="single" w:sz="8" w:space="0" w:color="auto"/>
              <w:left w:val="single" w:sz="8" w:space="0" w:color="auto"/>
              <w:bottom w:val="single" w:sz="8" w:space="0" w:color="000000"/>
              <w:right w:val="nil"/>
            </w:tcBorders>
            <w:vAlign w:val="center"/>
            <w:hideMark/>
          </w:tcPr>
          <w:p w:rsidR="003C4357" w:rsidRPr="003C4357" w:rsidRDefault="003C4357" w:rsidP="003C4357">
            <w:pPr>
              <w:rPr>
                <w:b/>
                <w:bCs/>
                <w:color w:val="FFFFFF"/>
                <w:sz w:val="20"/>
                <w:szCs w:val="20"/>
                <w:lang w:val="es-GT" w:eastAsia="es-GT"/>
              </w:rPr>
            </w:pPr>
          </w:p>
        </w:tc>
        <w:tc>
          <w:tcPr>
            <w:tcW w:w="1452" w:type="dxa"/>
            <w:tcBorders>
              <w:top w:val="nil"/>
              <w:left w:val="single" w:sz="8" w:space="0" w:color="auto"/>
              <w:bottom w:val="nil"/>
              <w:right w:val="nil"/>
            </w:tcBorders>
            <w:shd w:val="clear" w:color="000000" w:fill="366092"/>
            <w:noWrap/>
            <w:vAlign w:val="center"/>
            <w:hideMark/>
          </w:tcPr>
          <w:p w:rsidR="003C4357" w:rsidRPr="003C4357" w:rsidRDefault="0069616A" w:rsidP="0069616A">
            <w:pPr>
              <w:jc w:val="center"/>
              <w:rPr>
                <w:b/>
                <w:bCs/>
                <w:color w:val="FFFFFF"/>
                <w:sz w:val="20"/>
                <w:szCs w:val="20"/>
                <w:lang w:val="es-GT" w:eastAsia="es-GT"/>
              </w:rPr>
            </w:pPr>
            <w:r>
              <w:rPr>
                <w:b/>
                <w:bCs/>
                <w:color w:val="FFFFFF"/>
                <w:sz w:val="20"/>
                <w:szCs w:val="20"/>
                <w:lang w:val="es-GT" w:eastAsia="es-GT"/>
              </w:rPr>
              <w:t>Aprobado</w:t>
            </w:r>
          </w:p>
        </w:tc>
        <w:tc>
          <w:tcPr>
            <w:tcW w:w="1099" w:type="dxa"/>
            <w:tcBorders>
              <w:top w:val="nil"/>
              <w:left w:val="nil"/>
              <w:bottom w:val="nil"/>
              <w:right w:val="single" w:sz="8" w:space="0" w:color="auto"/>
            </w:tcBorders>
            <w:shd w:val="clear" w:color="000000" w:fill="366092"/>
            <w:noWrap/>
            <w:vAlign w:val="center"/>
            <w:hideMark/>
          </w:tcPr>
          <w:p w:rsidR="003C4357" w:rsidRPr="003C4357" w:rsidRDefault="003C4357" w:rsidP="003C4357">
            <w:pPr>
              <w:jc w:val="center"/>
              <w:rPr>
                <w:b/>
                <w:bCs/>
                <w:color w:val="FFFFFF"/>
                <w:sz w:val="20"/>
                <w:szCs w:val="20"/>
                <w:lang w:val="es-GT" w:eastAsia="es-GT"/>
              </w:rPr>
            </w:pPr>
            <w:r w:rsidRPr="003C4357">
              <w:rPr>
                <w:b/>
                <w:bCs/>
                <w:color w:val="FFFFFF"/>
                <w:sz w:val="20"/>
                <w:szCs w:val="20"/>
                <w:lang w:val="es-GT" w:eastAsia="es-GT"/>
              </w:rPr>
              <w:t>Vigente</w:t>
            </w:r>
          </w:p>
        </w:tc>
        <w:tc>
          <w:tcPr>
            <w:tcW w:w="1559" w:type="dxa"/>
            <w:vMerge/>
            <w:tcBorders>
              <w:top w:val="single" w:sz="8" w:space="0" w:color="auto"/>
              <w:left w:val="single" w:sz="8" w:space="0" w:color="auto"/>
              <w:bottom w:val="nil"/>
              <w:right w:val="single" w:sz="8" w:space="0" w:color="auto"/>
            </w:tcBorders>
            <w:vAlign w:val="center"/>
            <w:hideMark/>
          </w:tcPr>
          <w:p w:rsidR="003C4357" w:rsidRPr="003C4357" w:rsidRDefault="003C4357" w:rsidP="003C4357">
            <w:pPr>
              <w:rPr>
                <w:b/>
                <w:bCs/>
                <w:color w:val="FFFFFF"/>
                <w:sz w:val="20"/>
                <w:szCs w:val="20"/>
                <w:lang w:val="es-GT" w:eastAsia="es-GT"/>
              </w:rPr>
            </w:pPr>
          </w:p>
        </w:tc>
      </w:tr>
      <w:tr w:rsidR="003C4357" w:rsidRPr="003C4357" w:rsidTr="003C4357">
        <w:trPr>
          <w:trHeight w:val="315"/>
        </w:trPr>
        <w:tc>
          <w:tcPr>
            <w:tcW w:w="4410" w:type="dxa"/>
            <w:tcBorders>
              <w:top w:val="nil"/>
              <w:left w:val="single" w:sz="8" w:space="0" w:color="auto"/>
              <w:bottom w:val="nil"/>
              <w:right w:val="nil"/>
            </w:tcBorders>
            <w:shd w:val="clear" w:color="auto" w:fill="auto"/>
            <w:vAlign w:val="center"/>
            <w:hideMark/>
          </w:tcPr>
          <w:p w:rsidR="003C4357" w:rsidRPr="003C4357" w:rsidRDefault="003C4357" w:rsidP="003C4357">
            <w:pPr>
              <w:jc w:val="center"/>
              <w:rPr>
                <w:b/>
                <w:bCs/>
                <w:sz w:val="20"/>
                <w:szCs w:val="20"/>
                <w:lang w:val="es-GT" w:eastAsia="es-GT"/>
              </w:rPr>
            </w:pPr>
            <w:r w:rsidRPr="003C4357">
              <w:rPr>
                <w:b/>
                <w:bCs/>
                <w:sz w:val="20"/>
                <w:szCs w:val="20"/>
                <w:lang w:val="es-GT" w:eastAsia="es-GT"/>
              </w:rPr>
              <w:t>Total</w:t>
            </w:r>
          </w:p>
        </w:tc>
        <w:tc>
          <w:tcPr>
            <w:tcW w:w="1452" w:type="dxa"/>
            <w:tcBorders>
              <w:top w:val="single" w:sz="8" w:space="0" w:color="auto"/>
              <w:left w:val="single" w:sz="8" w:space="0" w:color="auto"/>
              <w:bottom w:val="nil"/>
              <w:right w:val="nil"/>
            </w:tcBorders>
            <w:shd w:val="clear" w:color="auto" w:fill="auto"/>
            <w:vAlign w:val="bottom"/>
            <w:hideMark/>
          </w:tcPr>
          <w:p w:rsidR="003C4357" w:rsidRPr="003C4357" w:rsidRDefault="003C4357" w:rsidP="003C4357">
            <w:pPr>
              <w:jc w:val="center"/>
              <w:rPr>
                <w:b/>
                <w:bCs/>
                <w:sz w:val="20"/>
                <w:szCs w:val="20"/>
                <w:lang w:val="es-GT" w:eastAsia="es-GT"/>
              </w:rPr>
            </w:pPr>
            <w:r w:rsidRPr="003C4357">
              <w:rPr>
                <w:b/>
                <w:bCs/>
                <w:sz w:val="20"/>
                <w:szCs w:val="20"/>
                <w:lang w:val="es-GT" w:eastAsia="es-GT"/>
              </w:rPr>
              <w:t>76,989.5</w:t>
            </w:r>
          </w:p>
        </w:tc>
        <w:tc>
          <w:tcPr>
            <w:tcW w:w="1099" w:type="dxa"/>
            <w:tcBorders>
              <w:top w:val="single" w:sz="8" w:space="0" w:color="auto"/>
              <w:left w:val="nil"/>
              <w:bottom w:val="nil"/>
              <w:right w:val="single" w:sz="8" w:space="0" w:color="auto"/>
            </w:tcBorders>
            <w:shd w:val="clear" w:color="auto" w:fill="auto"/>
            <w:vAlign w:val="bottom"/>
            <w:hideMark/>
          </w:tcPr>
          <w:p w:rsidR="003C4357" w:rsidRPr="003C4357" w:rsidRDefault="003C4357" w:rsidP="003C4357">
            <w:pPr>
              <w:jc w:val="center"/>
              <w:rPr>
                <w:b/>
                <w:bCs/>
                <w:sz w:val="20"/>
                <w:szCs w:val="20"/>
                <w:lang w:val="es-GT" w:eastAsia="es-GT"/>
              </w:rPr>
            </w:pPr>
            <w:r w:rsidRPr="003C4357">
              <w:rPr>
                <w:b/>
                <w:bCs/>
                <w:sz w:val="20"/>
                <w:szCs w:val="20"/>
                <w:lang w:val="es-GT" w:eastAsia="es-GT"/>
              </w:rPr>
              <w:t>77,209.3</w:t>
            </w:r>
          </w:p>
        </w:tc>
        <w:tc>
          <w:tcPr>
            <w:tcW w:w="1559" w:type="dxa"/>
            <w:tcBorders>
              <w:top w:val="single" w:sz="8" w:space="0" w:color="auto"/>
              <w:left w:val="single" w:sz="8" w:space="0" w:color="auto"/>
              <w:bottom w:val="nil"/>
              <w:right w:val="single" w:sz="8" w:space="0" w:color="auto"/>
            </w:tcBorders>
            <w:shd w:val="clear" w:color="auto" w:fill="auto"/>
            <w:vAlign w:val="bottom"/>
            <w:hideMark/>
          </w:tcPr>
          <w:p w:rsidR="003C4357" w:rsidRPr="003C4357" w:rsidRDefault="003C4357" w:rsidP="003C4357">
            <w:pPr>
              <w:jc w:val="center"/>
              <w:rPr>
                <w:b/>
                <w:bCs/>
                <w:sz w:val="20"/>
                <w:szCs w:val="20"/>
                <w:lang w:val="es-GT" w:eastAsia="es-GT"/>
              </w:rPr>
            </w:pPr>
            <w:r w:rsidRPr="003C4357">
              <w:rPr>
                <w:b/>
                <w:bCs/>
                <w:sz w:val="20"/>
                <w:szCs w:val="20"/>
                <w:lang w:val="es-GT" w:eastAsia="es-GT"/>
              </w:rPr>
              <w:t>74,104.9</w:t>
            </w:r>
          </w:p>
        </w:tc>
      </w:tr>
      <w:tr w:rsidR="003C4357" w:rsidRPr="003C4357" w:rsidTr="003C4357">
        <w:trPr>
          <w:trHeight w:val="315"/>
        </w:trPr>
        <w:tc>
          <w:tcPr>
            <w:tcW w:w="4410" w:type="dxa"/>
            <w:tcBorders>
              <w:top w:val="nil"/>
              <w:left w:val="single" w:sz="8" w:space="0" w:color="auto"/>
              <w:bottom w:val="nil"/>
              <w:right w:val="nil"/>
            </w:tcBorders>
            <w:shd w:val="clear" w:color="auto" w:fill="auto"/>
            <w:noWrap/>
            <w:vAlign w:val="bottom"/>
            <w:hideMark/>
          </w:tcPr>
          <w:p w:rsidR="003C4357" w:rsidRPr="003C4357" w:rsidRDefault="003C4357" w:rsidP="003C4357">
            <w:pPr>
              <w:rPr>
                <w:sz w:val="20"/>
                <w:szCs w:val="20"/>
                <w:lang w:val="es-GT" w:eastAsia="es-GT"/>
              </w:rPr>
            </w:pPr>
            <w:r w:rsidRPr="003C4357">
              <w:rPr>
                <w:sz w:val="20"/>
                <w:szCs w:val="20"/>
                <w:lang w:val="es-GT" w:eastAsia="es-GT"/>
              </w:rPr>
              <w:t>Presidencia de la República</w:t>
            </w:r>
          </w:p>
        </w:tc>
        <w:tc>
          <w:tcPr>
            <w:tcW w:w="1452" w:type="dxa"/>
            <w:tcBorders>
              <w:top w:val="nil"/>
              <w:left w:val="single" w:sz="8" w:space="0" w:color="auto"/>
              <w:bottom w:val="nil"/>
              <w:right w:val="nil"/>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207.1</w:t>
            </w:r>
          </w:p>
        </w:tc>
        <w:tc>
          <w:tcPr>
            <w:tcW w:w="1099" w:type="dxa"/>
            <w:tcBorders>
              <w:top w:val="nil"/>
              <w:left w:val="nil"/>
              <w:bottom w:val="nil"/>
              <w:right w:val="single" w:sz="8" w:space="0" w:color="auto"/>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228.1</w:t>
            </w:r>
          </w:p>
        </w:tc>
        <w:tc>
          <w:tcPr>
            <w:tcW w:w="1559" w:type="dxa"/>
            <w:tcBorders>
              <w:top w:val="nil"/>
              <w:left w:val="single" w:sz="8" w:space="0" w:color="auto"/>
              <w:bottom w:val="nil"/>
              <w:right w:val="single" w:sz="8" w:space="0" w:color="auto"/>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218.3</w:t>
            </w:r>
          </w:p>
        </w:tc>
      </w:tr>
      <w:tr w:rsidR="003C4357" w:rsidRPr="003C4357" w:rsidTr="003C4357">
        <w:trPr>
          <w:trHeight w:val="315"/>
        </w:trPr>
        <w:tc>
          <w:tcPr>
            <w:tcW w:w="4410" w:type="dxa"/>
            <w:tcBorders>
              <w:top w:val="nil"/>
              <w:left w:val="single" w:sz="8" w:space="0" w:color="auto"/>
              <w:bottom w:val="nil"/>
              <w:right w:val="nil"/>
            </w:tcBorders>
            <w:shd w:val="clear" w:color="auto" w:fill="auto"/>
            <w:noWrap/>
            <w:vAlign w:val="bottom"/>
            <w:hideMark/>
          </w:tcPr>
          <w:p w:rsidR="003C4357" w:rsidRPr="003C4357" w:rsidRDefault="003C4357" w:rsidP="003C4357">
            <w:pPr>
              <w:rPr>
                <w:sz w:val="20"/>
                <w:szCs w:val="20"/>
                <w:lang w:val="es-GT" w:eastAsia="es-GT"/>
              </w:rPr>
            </w:pPr>
            <w:r w:rsidRPr="003C4357">
              <w:rPr>
                <w:sz w:val="20"/>
                <w:szCs w:val="20"/>
                <w:lang w:val="es-GT" w:eastAsia="es-GT"/>
              </w:rPr>
              <w:t>Relaciones Exteriores</w:t>
            </w:r>
          </w:p>
        </w:tc>
        <w:tc>
          <w:tcPr>
            <w:tcW w:w="1452" w:type="dxa"/>
            <w:tcBorders>
              <w:top w:val="nil"/>
              <w:left w:val="single" w:sz="8" w:space="0" w:color="auto"/>
              <w:bottom w:val="nil"/>
              <w:right w:val="nil"/>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442.7</w:t>
            </w:r>
          </w:p>
        </w:tc>
        <w:tc>
          <w:tcPr>
            <w:tcW w:w="1099" w:type="dxa"/>
            <w:tcBorders>
              <w:top w:val="nil"/>
              <w:left w:val="nil"/>
              <w:bottom w:val="nil"/>
              <w:right w:val="single" w:sz="8" w:space="0" w:color="auto"/>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442.7</w:t>
            </w:r>
          </w:p>
        </w:tc>
        <w:tc>
          <w:tcPr>
            <w:tcW w:w="1559" w:type="dxa"/>
            <w:tcBorders>
              <w:top w:val="nil"/>
              <w:left w:val="single" w:sz="8" w:space="0" w:color="auto"/>
              <w:bottom w:val="nil"/>
              <w:right w:val="single" w:sz="8" w:space="0" w:color="auto"/>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413.3</w:t>
            </w:r>
          </w:p>
        </w:tc>
      </w:tr>
      <w:tr w:rsidR="003C4357" w:rsidRPr="003C4357" w:rsidTr="003C4357">
        <w:trPr>
          <w:trHeight w:val="315"/>
        </w:trPr>
        <w:tc>
          <w:tcPr>
            <w:tcW w:w="4410" w:type="dxa"/>
            <w:tcBorders>
              <w:top w:val="nil"/>
              <w:left w:val="single" w:sz="8" w:space="0" w:color="auto"/>
              <w:bottom w:val="nil"/>
              <w:right w:val="nil"/>
            </w:tcBorders>
            <w:shd w:val="clear" w:color="auto" w:fill="auto"/>
            <w:noWrap/>
            <w:vAlign w:val="bottom"/>
            <w:hideMark/>
          </w:tcPr>
          <w:p w:rsidR="003C4357" w:rsidRPr="003C4357" w:rsidRDefault="003C4357" w:rsidP="003C4357">
            <w:pPr>
              <w:rPr>
                <w:sz w:val="20"/>
                <w:szCs w:val="20"/>
                <w:lang w:val="es-GT" w:eastAsia="es-GT"/>
              </w:rPr>
            </w:pPr>
            <w:r w:rsidRPr="003C4357">
              <w:rPr>
                <w:sz w:val="20"/>
                <w:szCs w:val="20"/>
                <w:lang w:val="es-GT" w:eastAsia="es-GT"/>
              </w:rPr>
              <w:t>Gobernación</w:t>
            </w:r>
          </w:p>
        </w:tc>
        <w:tc>
          <w:tcPr>
            <w:tcW w:w="1452" w:type="dxa"/>
            <w:tcBorders>
              <w:top w:val="nil"/>
              <w:left w:val="single" w:sz="8" w:space="0" w:color="auto"/>
              <w:bottom w:val="nil"/>
              <w:right w:val="nil"/>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5,465.6</w:t>
            </w:r>
          </w:p>
        </w:tc>
        <w:tc>
          <w:tcPr>
            <w:tcW w:w="1099" w:type="dxa"/>
            <w:tcBorders>
              <w:top w:val="nil"/>
              <w:left w:val="nil"/>
              <w:bottom w:val="nil"/>
              <w:right w:val="single" w:sz="8" w:space="0" w:color="auto"/>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5,070.3</w:t>
            </w:r>
          </w:p>
        </w:tc>
        <w:tc>
          <w:tcPr>
            <w:tcW w:w="1559" w:type="dxa"/>
            <w:tcBorders>
              <w:top w:val="nil"/>
              <w:left w:val="single" w:sz="8" w:space="0" w:color="auto"/>
              <w:bottom w:val="nil"/>
              <w:right w:val="single" w:sz="8" w:space="0" w:color="auto"/>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4,473.2</w:t>
            </w:r>
          </w:p>
        </w:tc>
      </w:tr>
      <w:tr w:rsidR="003C4357" w:rsidRPr="003C4357" w:rsidTr="003C4357">
        <w:trPr>
          <w:trHeight w:val="315"/>
        </w:trPr>
        <w:tc>
          <w:tcPr>
            <w:tcW w:w="4410" w:type="dxa"/>
            <w:tcBorders>
              <w:top w:val="nil"/>
              <w:left w:val="single" w:sz="8" w:space="0" w:color="auto"/>
              <w:bottom w:val="nil"/>
              <w:right w:val="nil"/>
            </w:tcBorders>
            <w:shd w:val="clear" w:color="auto" w:fill="auto"/>
            <w:noWrap/>
            <w:vAlign w:val="bottom"/>
            <w:hideMark/>
          </w:tcPr>
          <w:p w:rsidR="003C4357" w:rsidRPr="003C4357" w:rsidRDefault="003C4357" w:rsidP="003C4357">
            <w:pPr>
              <w:rPr>
                <w:sz w:val="20"/>
                <w:szCs w:val="20"/>
                <w:lang w:val="es-GT" w:eastAsia="es-GT"/>
              </w:rPr>
            </w:pPr>
            <w:r w:rsidRPr="003C4357">
              <w:rPr>
                <w:sz w:val="20"/>
                <w:szCs w:val="20"/>
                <w:lang w:val="es-GT" w:eastAsia="es-GT"/>
              </w:rPr>
              <w:t>Defensa Nacional</w:t>
            </w:r>
          </w:p>
        </w:tc>
        <w:tc>
          <w:tcPr>
            <w:tcW w:w="1452" w:type="dxa"/>
            <w:tcBorders>
              <w:top w:val="nil"/>
              <w:left w:val="single" w:sz="8" w:space="0" w:color="auto"/>
              <w:bottom w:val="nil"/>
              <w:right w:val="nil"/>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1,908.3</w:t>
            </w:r>
          </w:p>
        </w:tc>
        <w:tc>
          <w:tcPr>
            <w:tcW w:w="1099" w:type="dxa"/>
            <w:tcBorders>
              <w:top w:val="nil"/>
              <w:left w:val="nil"/>
              <w:bottom w:val="nil"/>
              <w:right w:val="single" w:sz="8" w:space="0" w:color="auto"/>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2,085.2</w:t>
            </w:r>
          </w:p>
        </w:tc>
        <w:tc>
          <w:tcPr>
            <w:tcW w:w="1559" w:type="dxa"/>
            <w:tcBorders>
              <w:top w:val="nil"/>
              <w:left w:val="single" w:sz="8" w:space="0" w:color="auto"/>
              <w:bottom w:val="nil"/>
              <w:right w:val="single" w:sz="8" w:space="0" w:color="auto"/>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2,025.7</w:t>
            </w:r>
          </w:p>
        </w:tc>
      </w:tr>
      <w:tr w:rsidR="003C4357" w:rsidRPr="003C4357" w:rsidTr="003C4357">
        <w:trPr>
          <w:trHeight w:val="315"/>
        </w:trPr>
        <w:tc>
          <w:tcPr>
            <w:tcW w:w="4410" w:type="dxa"/>
            <w:tcBorders>
              <w:top w:val="nil"/>
              <w:left w:val="single" w:sz="8" w:space="0" w:color="auto"/>
              <w:bottom w:val="nil"/>
              <w:right w:val="nil"/>
            </w:tcBorders>
            <w:shd w:val="clear" w:color="auto" w:fill="auto"/>
            <w:noWrap/>
            <w:vAlign w:val="bottom"/>
            <w:hideMark/>
          </w:tcPr>
          <w:p w:rsidR="003C4357" w:rsidRPr="003C4357" w:rsidRDefault="003C4357" w:rsidP="003C4357">
            <w:pPr>
              <w:rPr>
                <w:sz w:val="20"/>
                <w:szCs w:val="20"/>
                <w:lang w:val="es-GT" w:eastAsia="es-GT"/>
              </w:rPr>
            </w:pPr>
            <w:r w:rsidRPr="003C4357">
              <w:rPr>
                <w:sz w:val="20"/>
                <w:szCs w:val="20"/>
                <w:lang w:val="es-GT" w:eastAsia="es-GT"/>
              </w:rPr>
              <w:t>Finanzas Públicas</w:t>
            </w:r>
          </w:p>
        </w:tc>
        <w:tc>
          <w:tcPr>
            <w:tcW w:w="1452" w:type="dxa"/>
            <w:tcBorders>
              <w:top w:val="nil"/>
              <w:left w:val="single" w:sz="8" w:space="0" w:color="auto"/>
              <w:bottom w:val="nil"/>
              <w:right w:val="nil"/>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359.6</w:t>
            </w:r>
          </w:p>
        </w:tc>
        <w:tc>
          <w:tcPr>
            <w:tcW w:w="1099" w:type="dxa"/>
            <w:tcBorders>
              <w:top w:val="nil"/>
              <w:left w:val="nil"/>
              <w:bottom w:val="nil"/>
              <w:right w:val="single" w:sz="8" w:space="0" w:color="auto"/>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354.6</w:t>
            </w:r>
          </w:p>
        </w:tc>
        <w:tc>
          <w:tcPr>
            <w:tcW w:w="1559" w:type="dxa"/>
            <w:tcBorders>
              <w:top w:val="nil"/>
              <w:left w:val="single" w:sz="8" w:space="0" w:color="auto"/>
              <w:bottom w:val="nil"/>
              <w:right w:val="single" w:sz="8" w:space="0" w:color="auto"/>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276.7</w:t>
            </w:r>
          </w:p>
        </w:tc>
      </w:tr>
      <w:tr w:rsidR="003C4357" w:rsidRPr="003C4357" w:rsidTr="003C4357">
        <w:trPr>
          <w:trHeight w:val="315"/>
        </w:trPr>
        <w:tc>
          <w:tcPr>
            <w:tcW w:w="4410" w:type="dxa"/>
            <w:tcBorders>
              <w:top w:val="nil"/>
              <w:left w:val="single" w:sz="8" w:space="0" w:color="auto"/>
              <w:bottom w:val="nil"/>
              <w:right w:val="nil"/>
            </w:tcBorders>
            <w:shd w:val="clear" w:color="auto" w:fill="auto"/>
            <w:noWrap/>
            <w:vAlign w:val="bottom"/>
            <w:hideMark/>
          </w:tcPr>
          <w:p w:rsidR="003C4357" w:rsidRPr="003C4357" w:rsidRDefault="003C4357" w:rsidP="003C4357">
            <w:pPr>
              <w:rPr>
                <w:sz w:val="20"/>
                <w:szCs w:val="20"/>
                <w:lang w:val="es-GT" w:eastAsia="es-GT"/>
              </w:rPr>
            </w:pPr>
            <w:r w:rsidRPr="003C4357">
              <w:rPr>
                <w:sz w:val="20"/>
                <w:szCs w:val="20"/>
                <w:lang w:val="es-GT" w:eastAsia="es-GT"/>
              </w:rPr>
              <w:t xml:space="preserve">Educación </w:t>
            </w:r>
          </w:p>
        </w:tc>
        <w:tc>
          <w:tcPr>
            <w:tcW w:w="1452" w:type="dxa"/>
            <w:tcBorders>
              <w:top w:val="nil"/>
              <w:left w:val="single" w:sz="8" w:space="0" w:color="auto"/>
              <w:bottom w:val="nil"/>
              <w:right w:val="nil"/>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13,937.2</w:t>
            </w:r>
          </w:p>
        </w:tc>
        <w:tc>
          <w:tcPr>
            <w:tcW w:w="1099" w:type="dxa"/>
            <w:tcBorders>
              <w:top w:val="nil"/>
              <w:left w:val="nil"/>
              <w:bottom w:val="nil"/>
              <w:right w:val="single" w:sz="8" w:space="0" w:color="auto"/>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13,937.2</w:t>
            </w:r>
          </w:p>
        </w:tc>
        <w:tc>
          <w:tcPr>
            <w:tcW w:w="1559" w:type="dxa"/>
            <w:tcBorders>
              <w:top w:val="nil"/>
              <w:left w:val="single" w:sz="8" w:space="0" w:color="auto"/>
              <w:bottom w:val="nil"/>
              <w:right w:val="single" w:sz="8" w:space="0" w:color="auto"/>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14,366.7</w:t>
            </w:r>
          </w:p>
        </w:tc>
      </w:tr>
      <w:tr w:rsidR="003C4357" w:rsidRPr="003C4357" w:rsidTr="003C4357">
        <w:trPr>
          <w:trHeight w:val="315"/>
        </w:trPr>
        <w:tc>
          <w:tcPr>
            <w:tcW w:w="4410" w:type="dxa"/>
            <w:tcBorders>
              <w:top w:val="nil"/>
              <w:left w:val="single" w:sz="8" w:space="0" w:color="auto"/>
              <w:bottom w:val="nil"/>
              <w:right w:val="nil"/>
            </w:tcBorders>
            <w:shd w:val="clear" w:color="auto" w:fill="auto"/>
            <w:noWrap/>
            <w:vAlign w:val="bottom"/>
            <w:hideMark/>
          </w:tcPr>
          <w:p w:rsidR="003C4357" w:rsidRPr="003C4357" w:rsidRDefault="003C4357" w:rsidP="003C4357">
            <w:pPr>
              <w:rPr>
                <w:sz w:val="20"/>
                <w:szCs w:val="20"/>
                <w:lang w:val="es-GT" w:eastAsia="es-GT"/>
              </w:rPr>
            </w:pPr>
            <w:r w:rsidRPr="003C4357">
              <w:rPr>
                <w:sz w:val="20"/>
                <w:szCs w:val="20"/>
                <w:lang w:val="es-GT" w:eastAsia="es-GT"/>
              </w:rPr>
              <w:t>Salud Pública y Asistencia Social</w:t>
            </w:r>
          </w:p>
        </w:tc>
        <w:tc>
          <w:tcPr>
            <w:tcW w:w="1452" w:type="dxa"/>
            <w:tcBorders>
              <w:top w:val="nil"/>
              <w:left w:val="single" w:sz="8" w:space="0" w:color="auto"/>
              <w:bottom w:val="nil"/>
              <w:right w:val="nil"/>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6,897.1</w:t>
            </w:r>
          </w:p>
        </w:tc>
        <w:tc>
          <w:tcPr>
            <w:tcW w:w="1099" w:type="dxa"/>
            <w:tcBorders>
              <w:top w:val="nil"/>
              <w:left w:val="nil"/>
              <w:bottom w:val="nil"/>
              <w:right w:val="single" w:sz="8" w:space="0" w:color="auto"/>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6,897.1</w:t>
            </w:r>
          </w:p>
        </w:tc>
        <w:tc>
          <w:tcPr>
            <w:tcW w:w="1559" w:type="dxa"/>
            <w:tcBorders>
              <w:top w:val="nil"/>
              <w:left w:val="single" w:sz="8" w:space="0" w:color="auto"/>
              <w:bottom w:val="nil"/>
              <w:right w:val="single" w:sz="8" w:space="0" w:color="auto"/>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6,752.2</w:t>
            </w:r>
          </w:p>
        </w:tc>
      </w:tr>
      <w:tr w:rsidR="003C4357" w:rsidRPr="003C4357" w:rsidTr="003C4357">
        <w:trPr>
          <w:trHeight w:val="315"/>
        </w:trPr>
        <w:tc>
          <w:tcPr>
            <w:tcW w:w="4410" w:type="dxa"/>
            <w:tcBorders>
              <w:top w:val="nil"/>
              <w:left w:val="single" w:sz="8" w:space="0" w:color="auto"/>
              <w:bottom w:val="nil"/>
              <w:right w:val="nil"/>
            </w:tcBorders>
            <w:shd w:val="clear" w:color="auto" w:fill="auto"/>
            <w:noWrap/>
            <w:vAlign w:val="bottom"/>
            <w:hideMark/>
          </w:tcPr>
          <w:p w:rsidR="003C4357" w:rsidRPr="003C4357" w:rsidRDefault="003C4357" w:rsidP="003C4357">
            <w:pPr>
              <w:rPr>
                <w:sz w:val="20"/>
                <w:szCs w:val="20"/>
                <w:lang w:val="es-GT" w:eastAsia="es-GT"/>
              </w:rPr>
            </w:pPr>
            <w:r w:rsidRPr="003C4357">
              <w:rPr>
                <w:sz w:val="20"/>
                <w:szCs w:val="20"/>
                <w:lang w:val="es-GT" w:eastAsia="es-GT"/>
              </w:rPr>
              <w:t>Trabajo y Previsión Social</w:t>
            </w:r>
          </w:p>
        </w:tc>
        <w:tc>
          <w:tcPr>
            <w:tcW w:w="1452" w:type="dxa"/>
            <w:tcBorders>
              <w:top w:val="nil"/>
              <w:left w:val="single" w:sz="8" w:space="0" w:color="auto"/>
              <w:bottom w:val="nil"/>
              <w:right w:val="nil"/>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664.3</w:t>
            </w:r>
          </w:p>
        </w:tc>
        <w:tc>
          <w:tcPr>
            <w:tcW w:w="1099" w:type="dxa"/>
            <w:tcBorders>
              <w:top w:val="nil"/>
              <w:left w:val="nil"/>
              <w:bottom w:val="nil"/>
              <w:right w:val="single" w:sz="8" w:space="0" w:color="auto"/>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644.3</w:t>
            </w:r>
          </w:p>
        </w:tc>
        <w:tc>
          <w:tcPr>
            <w:tcW w:w="1559" w:type="dxa"/>
            <w:tcBorders>
              <w:top w:val="nil"/>
              <w:left w:val="single" w:sz="8" w:space="0" w:color="auto"/>
              <w:bottom w:val="nil"/>
              <w:right w:val="single" w:sz="8" w:space="0" w:color="auto"/>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611.4</w:t>
            </w:r>
          </w:p>
        </w:tc>
      </w:tr>
      <w:tr w:rsidR="003C4357" w:rsidRPr="003C4357" w:rsidTr="003C4357">
        <w:trPr>
          <w:trHeight w:val="315"/>
        </w:trPr>
        <w:tc>
          <w:tcPr>
            <w:tcW w:w="4410" w:type="dxa"/>
            <w:tcBorders>
              <w:top w:val="nil"/>
              <w:left w:val="single" w:sz="8" w:space="0" w:color="auto"/>
              <w:bottom w:val="nil"/>
              <w:right w:val="nil"/>
            </w:tcBorders>
            <w:shd w:val="clear" w:color="auto" w:fill="auto"/>
            <w:noWrap/>
            <w:vAlign w:val="bottom"/>
            <w:hideMark/>
          </w:tcPr>
          <w:p w:rsidR="003C4357" w:rsidRPr="003C4357" w:rsidRDefault="003C4357" w:rsidP="003C4357">
            <w:pPr>
              <w:rPr>
                <w:sz w:val="20"/>
                <w:szCs w:val="20"/>
                <w:lang w:val="es-GT" w:eastAsia="es-GT"/>
              </w:rPr>
            </w:pPr>
            <w:r w:rsidRPr="003C4357">
              <w:rPr>
                <w:sz w:val="20"/>
                <w:szCs w:val="20"/>
                <w:lang w:val="es-GT" w:eastAsia="es-GT"/>
              </w:rPr>
              <w:t>Economía</w:t>
            </w:r>
          </w:p>
        </w:tc>
        <w:tc>
          <w:tcPr>
            <w:tcW w:w="1452" w:type="dxa"/>
            <w:tcBorders>
              <w:top w:val="nil"/>
              <w:left w:val="single" w:sz="8" w:space="0" w:color="auto"/>
              <w:bottom w:val="nil"/>
              <w:right w:val="nil"/>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679.7</w:t>
            </w:r>
          </w:p>
        </w:tc>
        <w:tc>
          <w:tcPr>
            <w:tcW w:w="1099" w:type="dxa"/>
            <w:tcBorders>
              <w:top w:val="nil"/>
              <w:left w:val="nil"/>
              <w:bottom w:val="nil"/>
              <w:right w:val="single" w:sz="8" w:space="0" w:color="auto"/>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377.6</w:t>
            </w:r>
          </w:p>
        </w:tc>
        <w:tc>
          <w:tcPr>
            <w:tcW w:w="1559" w:type="dxa"/>
            <w:tcBorders>
              <w:top w:val="nil"/>
              <w:left w:val="single" w:sz="8" w:space="0" w:color="auto"/>
              <w:bottom w:val="nil"/>
              <w:right w:val="single" w:sz="8" w:space="0" w:color="auto"/>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365.9</w:t>
            </w:r>
          </w:p>
        </w:tc>
      </w:tr>
      <w:tr w:rsidR="003C4357" w:rsidRPr="003C4357" w:rsidTr="003C4357">
        <w:trPr>
          <w:trHeight w:val="315"/>
        </w:trPr>
        <w:tc>
          <w:tcPr>
            <w:tcW w:w="4410" w:type="dxa"/>
            <w:tcBorders>
              <w:top w:val="nil"/>
              <w:left w:val="single" w:sz="8" w:space="0" w:color="auto"/>
              <w:bottom w:val="nil"/>
              <w:right w:val="nil"/>
            </w:tcBorders>
            <w:shd w:val="clear" w:color="auto" w:fill="auto"/>
            <w:noWrap/>
            <w:vAlign w:val="bottom"/>
            <w:hideMark/>
          </w:tcPr>
          <w:p w:rsidR="003C4357" w:rsidRPr="003C4357" w:rsidRDefault="003C4357" w:rsidP="003C4357">
            <w:pPr>
              <w:rPr>
                <w:sz w:val="20"/>
                <w:szCs w:val="20"/>
                <w:lang w:val="es-GT" w:eastAsia="es-GT"/>
              </w:rPr>
            </w:pPr>
            <w:r w:rsidRPr="003C4357">
              <w:rPr>
                <w:sz w:val="20"/>
                <w:szCs w:val="20"/>
                <w:lang w:val="es-GT" w:eastAsia="es-GT"/>
              </w:rPr>
              <w:t>Agricultura, Ganadería y Alimentación</w:t>
            </w:r>
          </w:p>
        </w:tc>
        <w:tc>
          <w:tcPr>
            <w:tcW w:w="1452" w:type="dxa"/>
            <w:tcBorders>
              <w:top w:val="nil"/>
              <w:left w:val="single" w:sz="8" w:space="0" w:color="auto"/>
              <w:bottom w:val="nil"/>
              <w:right w:val="nil"/>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1,085.3</w:t>
            </w:r>
          </w:p>
        </w:tc>
        <w:tc>
          <w:tcPr>
            <w:tcW w:w="1099" w:type="dxa"/>
            <w:tcBorders>
              <w:top w:val="nil"/>
              <w:left w:val="nil"/>
              <w:bottom w:val="nil"/>
              <w:right w:val="single" w:sz="8" w:space="0" w:color="auto"/>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1,292.8</w:t>
            </w:r>
          </w:p>
        </w:tc>
        <w:tc>
          <w:tcPr>
            <w:tcW w:w="1559" w:type="dxa"/>
            <w:tcBorders>
              <w:top w:val="nil"/>
              <w:left w:val="single" w:sz="8" w:space="0" w:color="auto"/>
              <w:bottom w:val="nil"/>
              <w:right w:val="single" w:sz="8" w:space="0" w:color="auto"/>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1,453.7</w:t>
            </w:r>
          </w:p>
        </w:tc>
      </w:tr>
      <w:tr w:rsidR="003C4357" w:rsidRPr="003C4357" w:rsidTr="003C4357">
        <w:trPr>
          <w:trHeight w:val="315"/>
        </w:trPr>
        <w:tc>
          <w:tcPr>
            <w:tcW w:w="4410" w:type="dxa"/>
            <w:tcBorders>
              <w:top w:val="nil"/>
              <w:left w:val="single" w:sz="8" w:space="0" w:color="auto"/>
              <w:bottom w:val="nil"/>
              <w:right w:val="nil"/>
            </w:tcBorders>
            <w:shd w:val="clear" w:color="auto" w:fill="auto"/>
            <w:noWrap/>
            <w:vAlign w:val="bottom"/>
            <w:hideMark/>
          </w:tcPr>
          <w:p w:rsidR="003C4357" w:rsidRPr="003C4357" w:rsidRDefault="003C4357" w:rsidP="003C4357">
            <w:pPr>
              <w:rPr>
                <w:sz w:val="20"/>
                <w:szCs w:val="20"/>
                <w:lang w:val="es-GT" w:eastAsia="es-GT"/>
              </w:rPr>
            </w:pPr>
            <w:r w:rsidRPr="003C4357">
              <w:rPr>
                <w:sz w:val="20"/>
                <w:szCs w:val="20"/>
                <w:lang w:val="es-GT" w:eastAsia="es-GT"/>
              </w:rPr>
              <w:t>Comunicaciones, Infraestructura y Vivienda</w:t>
            </w:r>
          </w:p>
        </w:tc>
        <w:tc>
          <w:tcPr>
            <w:tcW w:w="1452" w:type="dxa"/>
            <w:tcBorders>
              <w:top w:val="nil"/>
              <w:left w:val="single" w:sz="8" w:space="0" w:color="auto"/>
              <w:bottom w:val="nil"/>
              <w:right w:val="nil"/>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4,098.1</w:t>
            </w:r>
          </w:p>
        </w:tc>
        <w:tc>
          <w:tcPr>
            <w:tcW w:w="1099" w:type="dxa"/>
            <w:tcBorders>
              <w:top w:val="nil"/>
              <w:left w:val="nil"/>
              <w:bottom w:val="nil"/>
              <w:right w:val="single" w:sz="8" w:space="0" w:color="auto"/>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4,915.1</w:t>
            </w:r>
          </w:p>
        </w:tc>
        <w:tc>
          <w:tcPr>
            <w:tcW w:w="1559" w:type="dxa"/>
            <w:tcBorders>
              <w:top w:val="nil"/>
              <w:left w:val="single" w:sz="8" w:space="0" w:color="auto"/>
              <w:bottom w:val="nil"/>
              <w:right w:val="single" w:sz="8" w:space="0" w:color="auto"/>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3,978.2</w:t>
            </w:r>
          </w:p>
        </w:tc>
      </w:tr>
      <w:tr w:rsidR="003C4357" w:rsidRPr="003C4357" w:rsidTr="003C4357">
        <w:trPr>
          <w:trHeight w:val="315"/>
        </w:trPr>
        <w:tc>
          <w:tcPr>
            <w:tcW w:w="4410" w:type="dxa"/>
            <w:tcBorders>
              <w:top w:val="nil"/>
              <w:left w:val="single" w:sz="8" w:space="0" w:color="auto"/>
              <w:bottom w:val="nil"/>
              <w:right w:val="nil"/>
            </w:tcBorders>
            <w:shd w:val="clear" w:color="auto" w:fill="auto"/>
            <w:noWrap/>
            <w:vAlign w:val="bottom"/>
            <w:hideMark/>
          </w:tcPr>
          <w:p w:rsidR="003C4357" w:rsidRPr="003C4357" w:rsidRDefault="003C4357" w:rsidP="003C4357">
            <w:pPr>
              <w:rPr>
                <w:sz w:val="20"/>
                <w:szCs w:val="20"/>
                <w:lang w:val="es-GT" w:eastAsia="es-GT"/>
              </w:rPr>
            </w:pPr>
            <w:r w:rsidRPr="003C4357">
              <w:rPr>
                <w:sz w:val="20"/>
                <w:szCs w:val="20"/>
                <w:lang w:val="es-GT" w:eastAsia="es-GT"/>
              </w:rPr>
              <w:t>Energía y Minas</w:t>
            </w:r>
          </w:p>
        </w:tc>
        <w:tc>
          <w:tcPr>
            <w:tcW w:w="1452" w:type="dxa"/>
            <w:tcBorders>
              <w:top w:val="nil"/>
              <w:left w:val="single" w:sz="8" w:space="0" w:color="auto"/>
              <w:bottom w:val="nil"/>
              <w:right w:val="nil"/>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80.8</w:t>
            </w:r>
          </w:p>
        </w:tc>
        <w:tc>
          <w:tcPr>
            <w:tcW w:w="1099" w:type="dxa"/>
            <w:tcBorders>
              <w:top w:val="nil"/>
              <w:left w:val="nil"/>
              <w:bottom w:val="nil"/>
              <w:right w:val="single" w:sz="8" w:space="0" w:color="auto"/>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70.8</w:t>
            </w:r>
          </w:p>
        </w:tc>
        <w:tc>
          <w:tcPr>
            <w:tcW w:w="1559" w:type="dxa"/>
            <w:tcBorders>
              <w:top w:val="nil"/>
              <w:left w:val="single" w:sz="8" w:space="0" w:color="auto"/>
              <w:bottom w:val="nil"/>
              <w:right w:val="single" w:sz="8" w:space="0" w:color="auto"/>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70.3</w:t>
            </w:r>
          </w:p>
        </w:tc>
      </w:tr>
      <w:tr w:rsidR="003C4357" w:rsidRPr="003C4357" w:rsidTr="003C4357">
        <w:trPr>
          <w:trHeight w:val="315"/>
        </w:trPr>
        <w:tc>
          <w:tcPr>
            <w:tcW w:w="4410" w:type="dxa"/>
            <w:tcBorders>
              <w:top w:val="nil"/>
              <w:left w:val="single" w:sz="8" w:space="0" w:color="auto"/>
              <w:bottom w:val="nil"/>
              <w:right w:val="nil"/>
            </w:tcBorders>
            <w:shd w:val="clear" w:color="auto" w:fill="auto"/>
            <w:noWrap/>
            <w:vAlign w:val="bottom"/>
            <w:hideMark/>
          </w:tcPr>
          <w:p w:rsidR="003C4357" w:rsidRPr="003C4357" w:rsidRDefault="003C4357" w:rsidP="003C4357">
            <w:pPr>
              <w:rPr>
                <w:sz w:val="20"/>
                <w:szCs w:val="20"/>
                <w:lang w:val="es-GT" w:eastAsia="es-GT"/>
              </w:rPr>
            </w:pPr>
            <w:r w:rsidRPr="003C4357">
              <w:rPr>
                <w:sz w:val="20"/>
                <w:szCs w:val="20"/>
                <w:lang w:val="es-GT" w:eastAsia="es-GT"/>
              </w:rPr>
              <w:t>Cultura y Deportes</w:t>
            </w:r>
          </w:p>
        </w:tc>
        <w:tc>
          <w:tcPr>
            <w:tcW w:w="1452" w:type="dxa"/>
            <w:tcBorders>
              <w:top w:val="nil"/>
              <w:left w:val="single" w:sz="8" w:space="0" w:color="auto"/>
              <w:bottom w:val="nil"/>
              <w:right w:val="nil"/>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559.3</w:t>
            </w:r>
          </w:p>
        </w:tc>
        <w:tc>
          <w:tcPr>
            <w:tcW w:w="1099" w:type="dxa"/>
            <w:tcBorders>
              <w:top w:val="nil"/>
              <w:left w:val="nil"/>
              <w:bottom w:val="nil"/>
              <w:right w:val="single" w:sz="8" w:space="0" w:color="auto"/>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554.6</w:t>
            </w:r>
          </w:p>
        </w:tc>
        <w:tc>
          <w:tcPr>
            <w:tcW w:w="1559" w:type="dxa"/>
            <w:tcBorders>
              <w:top w:val="nil"/>
              <w:left w:val="single" w:sz="8" w:space="0" w:color="auto"/>
              <w:bottom w:val="nil"/>
              <w:right w:val="single" w:sz="8" w:space="0" w:color="auto"/>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377.3</w:t>
            </w:r>
          </w:p>
        </w:tc>
      </w:tr>
      <w:tr w:rsidR="003C4357" w:rsidRPr="003C4357" w:rsidTr="003C4357">
        <w:trPr>
          <w:trHeight w:val="315"/>
        </w:trPr>
        <w:tc>
          <w:tcPr>
            <w:tcW w:w="4410" w:type="dxa"/>
            <w:tcBorders>
              <w:top w:val="nil"/>
              <w:left w:val="single" w:sz="8" w:space="0" w:color="auto"/>
              <w:bottom w:val="nil"/>
              <w:right w:val="nil"/>
            </w:tcBorders>
            <w:shd w:val="clear" w:color="auto" w:fill="auto"/>
            <w:noWrap/>
            <w:vAlign w:val="bottom"/>
            <w:hideMark/>
          </w:tcPr>
          <w:p w:rsidR="003C4357" w:rsidRPr="003C4357" w:rsidRDefault="003C4357" w:rsidP="003C4357">
            <w:pPr>
              <w:rPr>
                <w:sz w:val="20"/>
                <w:szCs w:val="20"/>
                <w:lang w:val="es-GT" w:eastAsia="es-GT"/>
              </w:rPr>
            </w:pPr>
            <w:r w:rsidRPr="003C4357">
              <w:rPr>
                <w:sz w:val="20"/>
                <w:szCs w:val="20"/>
                <w:lang w:val="es-GT" w:eastAsia="es-GT"/>
              </w:rPr>
              <w:t>Secretarías y Otras Dependencias del Ejecutivo</w:t>
            </w:r>
          </w:p>
        </w:tc>
        <w:tc>
          <w:tcPr>
            <w:tcW w:w="1452" w:type="dxa"/>
            <w:tcBorders>
              <w:top w:val="nil"/>
              <w:left w:val="single" w:sz="8" w:space="0" w:color="auto"/>
              <w:bottom w:val="nil"/>
              <w:right w:val="nil"/>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1,312.2</w:t>
            </w:r>
          </w:p>
        </w:tc>
        <w:tc>
          <w:tcPr>
            <w:tcW w:w="1099" w:type="dxa"/>
            <w:tcBorders>
              <w:top w:val="nil"/>
              <w:left w:val="nil"/>
              <w:bottom w:val="nil"/>
              <w:right w:val="single" w:sz="8" w:space="0" w:color="auto"/>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1,464.7</w:t>
            </w:r>
          </w:p>
        </w:tc>
        <w:tc>
          <w:tcPr>
            <w:tcW w:w="1559" w:type="dxa"/>
            <w:tcBorders>
              <w:top w:val="nil"/>
              <w:left w:val="single" w:sz="8" w:space="0" w:color="auto"/>
              <w:bottom w:val="nil"/>
              <w:right w:val="single" w:sz="8" w:space="0" w:color="auto"/>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1,093.4</w:t>
            </w:r>
          </w:p>
        </w:tc>
      </w:tr>
      <w:tr w:rsidR="003C4357" w:rsidRPr="003C4357" w:rsidTr="003C4357">
        <w:trPr>
          <w:trHeight w:val="315"/>
        </w:trPr>
        <w:tc>
          <w:tcPr>
            <w:tcW w:w="4410" w:type="dxa"/>
            <w:tcBorders>
              <w:top w:val="nil"/>
              <w:left w:val="single" w:sz="8" w:space="0" w:color="auto"/>
              <w:bottom w:val="nil"/>
              <w:right w:val="nil"/>
            </w:tcBorders>
            <w:shd w:val="clear" w:color="auto" w:fill="auto"/>
            <w:noWrap/>
            <w:vAlign w:val="bottom"/>
            <w:hideMark/>
          </w:tcPr>
          <w:p w:rsidR="003C4357" w:rsidRPr="003C4357" w:rsidRDefault="003C4357" w:rsidP="003C4357">
            <w:pPr>
              <w:rPr>
                <w:sz w:val="20"/>
                <w:szCs w:val="20"/>
                <w:lang w:val="es-GT" w:eastAsia="es-GT"/>
              </w:rPr>
            </w:pPr>
            <w:r w:rsidRPr="003C4357">
              <w:rPr>
                <w:sz w:val="20"/>
                <w:szCs w:val="20"/>
                <w:lang w:val="es-GT" w:eastAsia="es-GT"/>
              </w:rPr>
              <w:t>Ambiente y Recursos Naturales</w:t>
            </w:r>
          </w:p>
        </w:tc>
        <w:tc>
          <w:tcPr>
            <w:tcW w:w="1452" w:type="dxa"/>
            <w:tcBorders>
              <w:top w:val="nil"/>
              <w:left w:val="single" w:sz="8" w:space="0" w:color="auto"/>
              <w:bottom w:val="nil"/>
              <w:right w:val="nil"/>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171.9</w:t>
            </w:r>
          </w:p>
        </w:tc>
        <w:tc>
          <w:tcPr>
            <w:tcW w:w="1099" w:type="dxa"/>
            <w:tcBorders>
              <w:top w:val="nil"/>
              <w:left w:val="nil"/>
              <w:bottom w:val="nil"/>
              <w:right w:val="single" w:sz="8" w:space="0" w:color="auto"/>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151.9</w:t>
            </w:r>
          </w:p>
        </w:tc>
        <w:tc>
          <w:tcPr>
            <w:tcW w:w="1559" w:type="dxa"/>
            <w:tcBorders>
              <w:top w:val="nil"/>
              <w:left w:val="single" w:sz="8" w:space="0" w:color="auto"/>
              <w:bottom w:val="nil"/>
              <w:right w:val="single" w:sz="8" w:space="0" w:color="auto"/>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114.1</w:t>
            </w:r>
          </w:p>
        </w:tc>
      </w:tr>
      <w:tr w:rsidR="003C4357" w:rsidRPr="003C4357" w:rsidTr="003C4357">
        <w:trPr>
          <w:trHeight w:val="360"/>
        </w:trPr>
        <w:tc>
          <w:tcPr>
            <w:tcW w:w="4410" w:type="dxa"/>
            <w:tcBorders>
              <w:top w:val="nil"/>
              <w:left w:val="single" w:sz="8" w:space="0" w:color="auto"/>
              <w:bottom w:val="nil"/>
              <w:right w:val="nil"/>
            </w:tcBorders>
            <w:shd w:val="clear" w:color="auto" w:fill="auto"/>
            <w:noWrap/>
            <w:vAlign w:val="bottom"/>
            <w:hideMark/>
          </w:tcPr>
          <w:p w:rsidR="003C4357" w:rsidRPr="003C4357" w:rsidRDefault="003C4357" w:rsidP="003C4357">
            <w:pPr>
              <w:rPr>
                <w:sz w:val="20"/>
                <w:szCs w:val="20"/>
                <w:lang w:val="es-GT" w:eastAsia="es-GT"/>
              </w:rPr>
            </w:pPr>
            <w:r w:rsidRPr="003C4357">
              <w:rPr>
                <w:sz w:val="20"/>
                <w:szCs w:val="20"/>
                <w:lang w:val="es-GT" w:eastAsia="es-GT"/>
              </w:rPr>
              <w:t>Obligaciones del Estado a Cargo del Tesoro</w:t>
            </w:r>
          </w:p>
        </w:tc>
        <w:tc>
          <w:tcPr>
            <w:tcW w:w="1452" w:type="dxa"/>
            <w:tcBorders>
              <w:top w:val="nil"/>
              <w:left w:val="single" w:sz="8" w:space="0" w:color="auto"/>
              <w:bottom w:val="nil"/>
              <w:right w:val="nil"/>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26,019.0</w:t>
            </w:r>
          </w:p>
        </w:tc>
        <w:tc>
          <w:tcPr>
            <w:tcW w:w="1099" w:type="dxa"/>
            <w:tcBorders>
              <w:top w:val="nil"/>
              <w:left w:val="nil"/>
              <w:bottom w:val="nil"/>
              <w:right w:val="single" w:sz="8" w:space="0" w:color="auto"/>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25,605.8</w:t>
            </w:r>
          </w:p>
        </w:tc>
        <w:tc>
          <w:tcPr>
            <w:tcW w:w="1559" w:type="dxa"/>
            <w:tcBorders>
              <w:top w:val="nil"/>
              <w:left w:val="single" w:sz="8" w:space="0" w:color="auto"/>
              <w:bottom w:val="nil"/>
              <w:right w:val="single" w:sz="8" w:space="0" w:color="auto"/>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25,577.0</w:t>
            </w:r>
          </w:p>
        </w:tc>
      </w:tr>
      <w:tr w:rsidR="003C4357" w:rsidRPr="003C4357" w:rsidTr="003C4357">
        <w:trPr>
          <w:trHeight w:val="315"/>
        </w:trPr>
        <w:tc>
          <w:tcPr>
            <w:tcW w:w="4410" w:type="dxa"/>
            <w:tcBorders>
              <w:top w:val="nil"/>
              <w:left w:val="single" w:sz="8" w:space="0" w:color="auto"/>
              <w:bottom w:val="nil"/>
              <w:right w:val="nil"/>
            </w:tcBorders>
            <w:shd w:val="clear" w:color="auto" w:fill="auto"/>
            <w:noWrap/>
            <w:vAlign w:val="bottom"/>
            <w:hideMark/>
          </w:tcPr>
          <w:p w:rsidR="003C4357" w:rsidRPr="003C4357" w:rsidRDefault="003C4357" w:rsidP="003C4357">
            <w:pPr>
              <w:rPr>
                <w:sz w:val="20"/>
                <w:szCs w:val="20"/>
                <w:lang w:val="es-GT" w:eastAsia="es-GT"/>
              </w:rPr>
            </w:pPr>
            <w:r w:rsidRPr="003C4357">
              <w:rPr>
                <w:sz w:val="20"/>
                <w:szCs w:val="20"/>
                <w:lang w:val="es-GT" w:eastAsia="es-GT"/>
              </w:rPr>
              <w:t>Servicios de la Deuda Pública</w:t>
            </w:r>
          </w:p>
        </w:tc>
        <w:tc>
          <w:tcPr>
            <w:tcW w:w="1452" w:type="dxa"/>
            <w:tcBorders>
              <w:top w:val="nil"/>
              <w:left w:val="single" w:sz="8" w:space="0" w:color="auto"/>
              <w:bottom w:val="nil"/>
              <w:right w:val="nil"/>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12,096.0</w:t>
            </w:r>
          </w:p>
        </w:tc>
        <w:tc>
          <w:tcPr>
            <w:tcW w:w="1099" w:type="dxa"/>
            <w:tcBorders>
              <w:top w:val="nil"/>
              <w:left w:val="nil"/>
              <w:bottom w:val="nil"/>
              <w:right w:val="single" w:sz="8" w:space="0" w:color="auto"/>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12,038.0</w:t>
            </w:r>
          </w:p>
        </w:tc>
        <w:tc>
          <w:tcPr>
            <w:tcW w:w="1559" w:type="dxa"/>
            <w:tcBorders>
              <w:top w:val="nil"/>
              <w:left w:val="single" w:sz="8" w:space="0" w:color="auto"/>
              <w:bottom w:val="nil"/>
              <w:right w:val="single" w:sz="8" w:space="0" w:color="auto"/>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11,185.7</w:t>
            </w:r>
          </w:p>
        </w:tc>
      </w:tr>
      <w:tr w:rsidR="003C4357" w:rsidRPr="003C4357" w:rsidTr="003C4357">
        <w:trPr>
          <w:trHeight w:val="315"/>
        </w:trPr>
        <w:tc>
          <w:tcPr>
            <w:tcW w:w="4410" w:type="dxa"/>
            <w:tcBorders>
              <w:top w:val="nil"/>
              <w:left w:val="single" w:sz="8" w:space="0" w:color="auto"/>
              <w:bottom w:val="nil"/>
              <w:right w:val="nil"/>
            </w:tcBorders>
            <w:shd w:val="clear" w:color="auto" w:fill="auto"/>
            <w:noWrap/>
            <w:vAlign w:val="bottom"/>
            <w:hideMark/>
          </w:tcPr>
          <w:p w:rsidR="003C4357" w:rsidRPr="003C4357" w:rsidRDefault="003C4357" w:rsidP="003C4357">
            <w:pPr>
              <w:rPr>
                <w:sz w:val="20"/>
                <w:szCs w:val="20"/>
                <w:lang w:val="es-GT" w:eastAsia="es-GT"/>
              </w:rPr>
            </w:pPr>
            <w:r w:rsidRPr="003C4357">
              <w:rPr>
                <w:sz w:val="20"/>
                <w:szCs w:val="20"/>
                <w:lang w:val="es-GT" w:eastAsia="es-GT"/>
              </w:rPr>
              <w:t>Ministerio de Desarrollo Social</w:t>
            </w:r>
          </w:p>
        </w:tc>
        <w:tc>
          <w:tcPr>
            <w:tcW w:w="1452" w:type="dxa"/>
            <w:tcBorders>
              <w:top w:val="nil"/>
              <w:left w:val="single" w:sz="8" w:space="0" w:color="auto"/>
              <w:bottom w:val="nil"/>
              <w:right w:val="nil"/>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923.0</w:t>
            </w:r>
          </w:p>
        </w:tc>
        <w:tc>
          <w:tcPr>
            <w:tcW w:w="1099" w:type="dxa"/>
            <w:tcBorders>
              <w:top w:val="nil"/>
              <w:left w:val="nil"/>
              <w:bottom w:val="nil"/>
              <w:right w:val="single" w:sz="8" w:space="0" w:color="auto"/>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971.5</w:t>
            </w:r>
          </w:p>
        </w:tc>
        <w:tc>
          <w:tcPr>
            <w:tcW w:w="1559" w:type="dxa"/>
            <w:tcBorders>
              <w:top w:val="nil"/>
              <w:left w:val="single" w:sz="8" w:space="0" w:color="auto"/>
              <w:bottom w:val="nil"/>
              <w:right w:val="single" w:sz="8" w:space="0" w:color="auto"/>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656.9</w:t>
            </w:r>
          </w:p>
        </w:tc>
      </w:tr>
      <w:tr w:rsidR="003C4357" w:rsidRPr="003C4357" w:rsidTr="003C4357">
        <w:trPr>
          <w:trHeight w:val="330"/>
        </w:trPr>
        <w:tc>
          <w:tcPr>
            <w:tcW w:w="4410" w:type="dxa"/>
            <w:tcBorders>
              <w:top w:val="nil"/>
              <w:left w:val="single" w:sz="8" w:space="0" w:color="auto"/>
              <w:bottom w:val="single" w:sz="8" w:space="0" w:color="auto"/>
              <w:right w:val="nil"/>
            </w:tcBorders>
            <w:shd w:val="clear" w:color="auto" w:fill="auto"/>
            <w:noWrap/>
            <w:vAlign w:val="bottom"/>
            <w:hideMark/>
          </w:tcPr>
          <w:p w:rsidR="003C4357" w:rsidRPr="003C4357" w:rsidRDefault="003C4357" w:rsidP="003C4357">
            <w:pPr>
              <w:rPr>
                <w:sz w:val="20"/>
                <w:szCs w:val="20"/>
                <w:lang w:val="es-GT" w:eastAsia="es-GT"/>
              </w:rPr>
            </w:pPr>
            <w:r w:rsidRPr="003C4357">
              <w:rPr>
                <w:sz w:val="20"/>
                <w:szCs w:val="20"/>
                <w:lang w:val="es-GT" w:eastAsia="es-GT"/>
              </w:rPr>
              <w:t>Procuraduría General de la Nación</w:t>
            </w:r>
          </w:p>
        </w:tc>
        <w:tc>
          <w:tcPr>
            <w:tcW w:w="1452" w:type="dxa"/>
            <w:tcBorders>
              <w:top w:val="nil"/>
              <w:left w:val="single" w:sz="8" w:space="0" w:color="auto"/>
              <w:bottom w:val="single" w:sz="8" w:space="0" w:color="auto"/>
              <w:right w:val="nil"/>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82.3</w:t>
            </w:r>
          </w:p>
        </w:tc>
        <w:tc>
          <w:tcPr>
            <w:tcW w:w="1099" w:type="dxa"/>
            <w:tcBorders>
              <w:top w:val="nil"/>
              <w:left w:val="nil"/>
              <w:bottom w:val="single" w:sz="8" w:space="0" w:color="auto"/>
              <w:right w:val="single" w:sz="8" w:space="0" w:color="auto"/>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107.3</w:t>
            </w:r>
          </w:p>
        </w:tc>
        <w:tc>
          <w:tcPr>
            <w:tcW w:w="1559" w:type="dxa"/>
            <w:tcBorders>
              <w:top w:val="nil"/>
              <w:left w:val="nil"/>
              <w:bottom w:val="single" w:sz="8" w:space="0" w:color="auto"/>
              <w:right w:val="single" w:sz="8" w:space="0" w:color="auto"/>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95.1</w:t>
            </w:r>
          </w:p>
        </w:tc>
      </w:tr>
    </w:tbl>
    <w:p w:rsidR="00171991" w:rsidRDefault="00171991" w:rsidP="00171991">
      <w:pPr>
        <w:autoSpaceDE w:val="0"/>
        <w:autoSpaceDN w:val="0"/>
        <w:adjustRightInd w:val="0"/>
        <w:jc w:val="both"/>
        <w:rPr>
          <w:sz w:val="16"/>
        </w:rPr>
      </w:pPr>
      <w:r w:rsidRPr="00663718">
        <w:rPr>
          <w:sz w:val="16"/>
        </w:rPr>
        <w:t xml:space="preserve">Fuente: </w:t>
      </w:r>
      <w:r w:rsidR="00487A81">
        <w:rPr>
          <w:sz w:val="16"/>
        </w:rPr>
        <w:t>Ministerio de Finanzas Públicas.</w:t>
      </w:r>
    </w:p>
    <w:p w:rsidR="00171991" w:rsidRDefault="00171991" w:rsidP="00171991">
      <w:pPr>
        <w:autoSpaceDE w:val="0"/>
        <w:autoSpaceDN w:val="0"/>
        <w:adjustRightInd w:val="0"/>
        <w:jc w:val="both"/>
        <w:rPr>
          <w:b/>
        </w:rPr>
      </w:pPr>
    </w:p>
    <w:p w:rsidR="00171991" w:rsidRDefault="00171991" w:rsidP="00171991">
      <w:pPr>
        <w:autoSpaceDE w:val="0"/>
        <w:autoSpaceDN w:val="0"/>
        <w:adjustRightInd w:val="0"/>
        <w:jc w:val="both"/>
        <w:rPr>
          <w:b/>
        </w:rPr>
      </w:pPr>
    </w:p>
    <w:p w:rsidR="00171991" w:rsidRPr="00EE714B" w:rsidRDefault="00171991" w:rsidP="00EE714B">
      <w:pPr>
        <w:pStyle w:val="Ttulo2"/>
        <w:numPr>
          <w:ilvl w:val="1"/>
          <w:numId w:val="18"/>
        </w:numPr>
        <w:rPr>
          <w:rFonts w:ascii="Times New Roman" w:hAnsi="Times New Roman"/>
          <w:color w:val="auto"/>
          <w:sz w:val="24"/>
        </w:rPr>
      </w:pPr>
      <w:bookmarkStart w:id="41" w:name="_Toc525824419"/>
      <w:r w:rsidRPr="00EE714B">
        <w:rPr>
          <w:rFonts w:ascii="Times New Roman" w:hAnsi="Times New Roman"/>
          <w:color w:val="auto"/>
          <w:sz w:val="24"/>
        </w:rPr>
        <w:t>Gasto por Finalidad</w:t>
      </w:r>
      <w:bookmarkEnd w:id="41"/>
    </w:p>
    <w:p w:rsidR="00171991" w:rsidRDefault="00171991" w:rsidP="00171991">
      <w:pPr>
        <w:autoSpaceDE w:val="0"/>
        <w:autoSpaceDN w:val="0"/>
        <w:adjustRightInd w:val="0"/>
        <w:jc w:val="both"/>
        <w:rPr>
          <w:b/>
        </w:rPr>
      </w:pPr>
    </w:p>
    <w:p w:rsidR="00171991" w:rsidRDefault="00171991" w:rsidP="00171991">
      <w:pPr>
        <w:autoSpaceDE w:val="0"/>
        <w:autoSpaceDN w:val="0"/>
        <w:adjustRightInd w:val="0"/>
        <w:jc w:val="both"/>
      </w:pPr>
      <w:r w:rsidRPr="00945F3D">
        <w:t>Esta clasificación de gasto es importante porque permite determinar los objetivos generales</w:t>
      </w:r>
      <w:r>
        <w:t xml:space="preserve"> de la administración pública</w:t>
      </w:r>
      <w:r w:rsidRPr="00945F3D">
        <w:t xml:space="preserve"> y cuáles son las acciones </w:t>
      </w:r>
      <w:r>
        <w:t>que se estiman para</w:t>
      </w:r>
      <w:r w:rsidRPr="00945F3D">
        <w:t xml:space="preserve"> alcanzarlos. En estos términos</w:t>
      </w:r>
      <w:r>
        <w:t>,</w:t>
      </w:r>
      <w:r w:rsidRPr="00945F3D">
        <w:t xml:space="preserve"> </w:t>
      </w:r>
      <w:r>
        <w:t>esta clasificación</w:t>
      </w:r>
      <w:r w:rsidRPr="00945F3D">
        <w:t xml:space="preserve"> constituye un instrumento fundamental para la toma de decisiones por el poder político.</w:t>
      </w:r>
    </w:p>
    <w:p w:rsidR="00171991" w:rsidRDefault="00171991" w:rsidP="00171991">
      <w:pPr>
        <w:autoSpaceDE w:val="0"/>
        <w:autoSpaceDN w:val="0"/>
        <w:adjustRightInd w:val="0"/>
        <w:jc w:val="both"/>
      </w:pPr>
    </w:p>
    <w:p w:rsidR="00171991" w:rsidRDefault="00171991" w:rsidP="00171991">
      <w:pPr>
        <w:autoSpaceDE w:val="0"/>
        <w:autoSpaceDN w:val="0"/>
        <w:adjustRightInd w:val="0"/>
        <w:jc w:val="both"/>
      </w:pPr>
      <w:r>
        <w:lastRenderedPageBreak/>
        <w:t>En ese sentido, se puede observar que la finalidad que tiene una mayor importancia en el presupuesto es Educación (Q.17</w:t>
      </w:r>
      <w:proofErr w:type="gramStart"/>
      <w:r>
        <w:t>,577.5</w:t>
      </w:r>
      <w:proofErr w:type="gramEnd"/>
      <w:r>
        <w:t xml:space="preserve"> millones) representando cerca del 23.0% del monto total del presupuesto de 2018 y en la ejecución se prevé que se ejecutará cerca del 99.0% de su asignación, mostrando con ello que una de las prioridades fundamentales en la asignación y ejecu</w:t>
      </w:r>
      <w:r w:rsidR="00652306">
        <w:t>ción es el sector educación.</w:t>
      </w:r>
    </w:p>
    <w:p w:rsidR="00171991" w:rsidRDefault="00171991" w:rsidP="00171991">
      <w:pPr>
        <w:autoSpaceDE w:val="0"/>
        <w:autoSpaceDN w:val="0"/>
        <w:adjustRightInd w:val="0"/>
        <w:jc w:val="both"/>
      </w:pPr>
    </w:p>
    <w:p w:rsidR="00171991" w:rsidRDefault="00171991" w:rsidP="00171991">
      <w:pPr>
        <w:autoSpaceDE w:val="0"/>
        <w:autoSpaceDN w:val="0"/>
        <w:adjustRightInd w:val="0"/>
        <w:jc w:val="both"/>
      </w:pPr>
      <w:r>
        <w:t>Asimismo, la finalidad de Orden Público y Seguridad Ciudadana, tiene una asignación de Q.9</w:t>
      </w:r>
      <w:proofErr w:type="gramStart"/>
      <w:r>
        <w:t>,790.6</w:t>
      </w:r>
      <w:proofErr w:type="gramEnd"/>
      <w:r>
        <w:t xml:space="preserve"> millones, equivalente al 12.6% del presupuesto total y muestra una ejecución estimada del 98.5% de su presupuesto, mostrando también la prioridad del gobierno en fortalec</w:t>
      </w:r>
      <w:r w:rsidR="00652306">
        <w:t>er la seguridad y la justicia.</w:t>
      </w:r>
    </w:p>
    <w:p w:rsidR="00171991" w:rsidRDefault="00171991" w:rsidP="00171991">
      <w:pPr>
        <w:autoSpaceDE w:val="0"/>
        <w:autoSpaceDN w:val="0"/>
        <w:adjustRightInd w:val="0"/>
        <w:jc w:val="both"/>
      </w:pPr>
    </w:p>
    <w:p w:rsidR="00171991" w:rsidRPr="00945F3D" w:rsidRDefault="00171991" w:rsidP="00171991">
      <w:pPr>
        <w:autoSpaceDE w:val="0"/>
        <w:autoSpaceDN w:val="0"/>
        <w:adjustRightInd w:val="0"/>
        <w:jc w:val="both"/>
      </w:pPr>
      <w:r>
        <w:t>Aunque una de las prioridades es la finalidad de Salud, la estimación de cierre no es tan alta como las anteriores, principalmente por algunos inconvenientes en materia de proyectos de Agua y saneamiento y en algunos programas del Ministerio Salud Pública y Asistencia Social, no obstante, sigue siendo u</w:t>
      </w:r>
      <w:r w:rsidR="00652306">
        <w:t>na prioridad del gasto público.</w:t>
      </w:r>
    </w:p>
    <w:p w:rsidR="00171991" w:rsidRPr="00945F3D" w:rsidRDefault="00171991" w:rsidP="00171991">
      <w:pPr>
        <w:autoSpaceDE w:val="0"/>
        <w:autoSpaceDN w:val="0"/>
        <w:adjustRightInd w:val="0"/>
        <w:jc w:val="both"/>
      </w:pPr>
    </w:p>
    <w:p w:rsidR="00171991" w:rsidRDefault="00171991" w:rsidP="00171991">
      <w:pPr>
        <w:autoSpaceDE w:val="0"/>
        <w:autoSpaceDN w:val="0"/>
        <w:adjustRightInd w:val="0"/>
        <w:jc w:val="both"/>
      </w:pPr>
      <w:r w:rsidRPr="009B554C">
        <w:t xml:space="preserve">Por su parte las finalidades de </w:t>
      </w:r>
      <w:r>
        <w:t>A</w:t>
      </w:r>
      <w:r w:rsidRPr="009B554C">
        <w:t xml:space="preserve">suntos </w:t>
      </w:r>
      <w:r>
        <w:t>E</w:t>
      </w:r>
      <w:r w:rsidRPr="009B554C">
        <w:t xml:space="preserve">conómicos y </w:t>
      </w:r>
      <w:r>
        <w:t>P</w:t>
      </w:r>
      <w:r w:rsidRPr="009B554C">
        <w:t xml:space="preserve">rotección </w:t>
      </w:r>
      <w:r>
        <w:t>A</w:t>
      </w:r>
      <w:r w:rsidRPr="009B554C">
        <w:t>mbiental son la</w:t>
      </w:r>
      <w:r>
        <w:t>s</w:t>
      </w:r>
      <w:r w:rsidRPr="009B554C">
        <w:t xml:space="preserve"> que </w:t>
      </w:r>
      <w:r>
        <w:t>menor ejecución</w:t>
      </w:r>
      <w:r w:rsidRPr="009B554C">
        <w:t xml:space="preserve"> muestran con respecto </w:t>
      </w:r>
      <w:r>
        <w:t>de</w:t>
      </w:r>
      <w:r w:rsidRPr="009B554C">
        <w:t xml:space="preserve"> su presupuesto</w:t>
      </w:r>
      <w:r>
        <w:t xml:space="preserve"> vigente</w:t>
      </w:r>
      <w:r w:rsidRPr="009B554C">
        <w:t xml:space="preserve">, derivado </w:t>
      </w:r>
      <w:r>
        <w:t>de</w:t>
      </w:r>
      <w:r w:rsidRPr="009B554C">
        <w:t xml:space="preserve"> problemas en la ejecución de algunos programas de </w:t>
      </w:r>
      <w:r>
        <w:t>los M</w:t>
      </w:r>
      <w:r w:rsidRPr="009B554C">
        <w:t>inisterios</w:t>
      </w:r>
      <w:r>
        <w:t xml:space="preserve"> de</w:t>
      </w:r>
      <w:r w:rsidRPr="009B554C">
        <w:t xml:space="preserve"> </w:t>
      </w:r>
      <w:r>
        <w:t>C</w:t>
      </w:r>
      <w:r w:rsidRPr="009B554C">
        <w:t xml:space="preserve">omunicaciones, </w:t>
      </w:r>
      <w:r>
        <w:t>Infraestructura y Vivienda; de A</w:t>
      </w:r>
      <w:r w:rsidRPr="009B554C">
        <w:t>mbiente</w:t>
      </w:r>
      <w:r>
        <w:t xml:space="preserve"> y Recursos Naturales</w:t>
      </w:r>
      <w:r w:rsidRPr="009B554C">
        <w:t xml:space="preserve"> y algunas </w:t>
      </w:r>
      <w:r>
        <w:t>S</w:t>
      </w:r>
      <w:r w:rsidRPr="009B554C">
        <w:t>ecretarías</w:t>
      </w:r>
      <w:r>
        <w:t xml:space="preserve"> y Otras Dependencias</w:t>
      </w:r>
      <w:r w:rsidRPr="009B554C">
        <w:t xml:space="preserve"> del ejecutivo.</w:t>
      </w:r>
    </w:p>
    <w:p w:rsidR="000541ED" w:rsidRDefault="000541ED" w:rsidP="00171991">
      <w:pPr>
        <w:autoSpaceDE w:val="0"/>
        <w:autoSpaceDN w:val="0"/>
        <w:adjustRightInd w:val="0"/>
        <w:jc w:val="both"/>
      </w:pPr>
    </w:p>
    <w:p w:rsidR="000541ED" w:rsidRDefault="000541ED" w:rsidP="00171991">
      <w:pPr>
        <w:autoSpaceDE w:val="0"/>
        <w:autoSpaceDN w:val="0"/>
        <w:adjustRightInd w:val="0"/>
        <w:jc w:val="both"/>
      </w:pPr>
    </w:p>
    <w:p w:rsidR="000541ED" w:rsidRPr="0088577C" w:rsidRDefault="000541ED" w:rsidP="000541ED">
      <w:pPr>
        <w:jc w:val="center"/>
        <w:rPr>
          <w:b/>
          <w:sz w:val="22"/>
          <w:lang w:val="es-MX"/>
        </w:rPr>
      </w:pPr>
      <w:r w:rsidRPr="0088577C">
        <w:rPr>
          <w:b/>
          <w:sz w:val="22"/>
          <w:lang w:val="es-MX"/>
        </w:rPr>
        <w:t xml:space="preserve">Cuadro </w:t>
      </w:r>
      <w:r>
        <w:rPr>
          <w:b/>
          <w:sz w:val="22"/>
          <w:lang w:val="es-MX"/>
        </w:rPr>
        <w:t>14</w:t>
      </w:r>
    </w:p>
    <w:p w:rsidR="000541ED" w:rsidRPr="0088577C" w:rsidRDefault="000541ED" w:rsidP="000541ED">
      <w:pPr>
        <w:jc w:val="center"/>
        <w:rPr>
          <w:b/>
          <w:sz w:val="22"/>
          <w:lang w:val="es-MX"/>
        </w:rPr>
      </w:pPr>
      <w:r>
        <w:rPr>
          <w:b/>
          <w:sz w:val="22"/>
          <w:lang w:val="es-MX"/>
        </w:rPr>
        <w:t>Presupuesto y Estimación del Gasto por Finalidad</w:t>
      </w:r>
    </w:p>
    <w:p w:rsidR="000541ED" w:rsidRPr="0088577C" w:rsidRDefault="000541ED" w:rsidP="000541ED">
      <w:pPr>
        <w:jc w:val="center"/>
        <w:rPr>
          <w:b/>
          <w:sz w:val="22"/>
          <w:lang w:val="es-MX"/>
        </w:rPr>
      </w:pPr>
      <w:r>
        <w:rPr>
          <w:b/>
          <w:sz w:val="22"/>
          <w:lang w:val="es-MX"/>
        </w:rPr>
        <w:t>Ejercicio Fiscal 2018</w:t>
      </w:r>
    </w:p>
    <w:p w:rsidR="000541ED" w:rsidRDefault="000541ED" w:rsidP="000541ED">
      <w:pPr>
        <w:pStyle w:val="Prrafodelista"/>
        <w:jc w:val="center"/>
        <w:rPr>
          <w:sz w:val="16"/>
        </w:rPr>
      </w:pPr>
      <w:r w:rsidRPr="0088577C">
        <w:rPr>
          <w:b/>
          <w:sz w:val="22"/>
          <w:lang w:val="es-MX"/>
        </w:rPr>
        <w:t>(Cifras en Millones de Quetzales)</w:t>
      </w:r>
    </w:p>
    <w:tbl>
      <w:tblPr>
        <w:tblW w:w="9087" w:type="dxa"/>
        <w:tblInd w:w="55" w:type="dxa"/>
        <w:tblCellMar>
          <w:left w:w="70" w:type="dxa"/>
          <w:right w:w="70" w:type="dxa"/>
        </w:tblCellMar>
        <w:tblLook w:val="04A0" w:firstRow="1" w:lastRow="0" w:firstColumn="1" w:lastColumn="0" w:noHBand="0" w:noVBand="1"/>
      </w:tblPr>
      <w:tblGrid>
        <w:gridCol w:w="5260"/>
        <w:gridCol w:w="1985"/>
        <w:gridCol w:w="1842"/>
      </w:tblGrid>
      <w:tr w:rsidR="000541ED" w:rsidRPr="000541ED" w:rsidTr="00652306">
        <w:trPr>
          <w:trHeight w:val="360"/>
        </w:trPr>
        <w:tc>
          <w:tcPr>
            <w:tcW w:w="5260" w:type="dxa"/>
            <w:vMerge w:val="restart"/>
            <w:tcBorders>
              <w:top w:val="single" w:sz="8" w:space="0" w:color="auto"/>
              <w:left w:val="single" w:sz="8" w:space="0" w:color="auto"/>
              <w:bottom w:val="single" w:sz="8" w:space="0" w:color="000000"/>
              <w:right w:val="nil"/>
            </w:tcBorders>
            <w:shd w:val="clear" w:color="000000" w:fill="366092"/>
            <w:vAlign w:val="center"/>
            <w:hideMark/>
          </w:tcPr>
          <w:p w:rsidR="000541ED" w:rsidRPr="000541ED" w:rsidRDefault="000541ED" w:rsidP="000541ED">
            <w:pPr>
              <w:jc w:val="center"/>
              <w:rPr>
                <w:b/>
                <w:bCs/>
                <w:color w:val="FFFFFF"/>
                <w:sz w:val="20"/>
                <w:szCs w:val="20"/>
                <w:lang w:val="es-GT" w:eastAsia="es-GT"/>
              </w:rPr>
            </w:pPr>
            <w:r w:rsidRPr="000541ED">
              <w:rPr>
                <w:b/>
                <w:bCs/>
                <w:color w:val="FFFFFF"/>
                <w:sz w:val="20"/>
                <w:szCs w:val="20"/>
                <w:lang w:val="es-GT" w:eastAsia="es-GT"/>
              </w:rPr>
              <w:t>Descripción</w:t>
            </w:r>
          </w:p>
        </w:tc>
        <w:tc>
          <w:tcPr>
            <w:tcW w:w="1985" w:type="dxa"/>
            <w:vMerge w:val="restart"/>
            <w:tcBorders>
              <w:top w:val="single" w:sz="8" w:space="0" w:color="auto"/>
              <w:left w:val="single" w:sz="4" w:space="0" w:color="auto"/>
              <w:bottom w:val="single" w:sz="8" w:space="0" w:color="000000"/>
              <w:right w:val="single" w:sz="4" w:space="0" w:color="auto"/>
            </w:tcBorders>
            <w:shd w:val="clear" w:color="000000" w:fill="366092"/>
            <w:vAlign w:val="center"/>
            <w:hideMark/>
          </w:tcPr>
          <w:p w:rsidR="000541ED" w:rsidRPr="000541ED" w:rsidRDefault="000541ED" w:rsidP="000541ED">
            <w:pPr>
              <w:jc w:val="center"/>
              <w:rPr>
                <w:b/>
                <w:bCs/>
                <w:color w:val="FFFFFF"/>
                <w:sz w:val="20"/>
                <w:szCs w:val="20"/>
                <w:lang w:val="es-GT" w:eastAsia="es-GT"/>
              </w:rPr>
            </w:pPr>
            <w:r w:rsidRPr="000541ED">
              <w:rPr>
                <w:b/>
                <w:bCs/>
                <w:color w:val="FFFFFF"/>
                <w:sz w:val="20"/>
                <w:szCs w:val="20"/>
                <w:lang w:val="es-GT" w:eastAsia="es-GT"/>
              </w:rPr>
              <w:t>Vigente</w:t>
            </w:r>
          </w:p>
        </w:tc>
        <w:tc>
          <w:tcPr>
            <w:tcW w:w="1842" w:type="dxa"/>
            <w:vMerge w:val="restart"/>
            <w:tcBorders>
              <w:top w:val="single" w:sz="8" w:space="0" w:color="auto"/>
              <w:left w:val="single" w:sz="4" w:space="0" w:color="auto"/>
              <w:bottom w:val="single" w:sz="8" w:space="0" w:color="000000"/>
              <w:right w:val="single" w:sz="8" w:space="0" w:color="auto"/>
            </w:tcBorders>
            <w:shd w:val="clear" w:color="000000" w:fill="366092"/>
            <w:vAlign w:val="center"/>
            <w:hideMark/>
          </w:tcPr>
          <w:p w:rsidR="000541ED" w:rsidRPr="000541ED" w:rsidRDefault="000541ED" w:rsidP="00652306">
            <w:pPr>
              <w:jc w:val="center"/>
              <w:rPr>
                <w:b/>
                <w:bCs/>
                <w:color w:val="FFFFFF"/>
                <w:sz w:val="20"/>
                <w:szCs w:val="20"/>
                <w:lang w:val="es-GT" w:eastAsia="es-GT"/>
              </w:rPr>
            </w:pPr>
            <w:r w:rsidRPr="000541ED">
              <w:rPr>
                <w:b/>
                <w:bCs/>
                <w:color w:val="FFFFFF"/>
                <w:sz w:val="20"/>
                <w:szCs w:val="20"/>
                <w:lang w:val="es-GT" w:eastAsia="es-GT"/>
              </w:rPr>
              <w:t xml:space="preserve">Estimación de </w:t>
            </w:r>
            <w:r w:rsidR="00652306">
              <w:rPr>
                <w:b/>
                <w:bCs/>
                <w:color w:val="FFFFFF"/>
                <w:sz w:val="20"/>
                <w:szCs w:val="20"/>
                <w:lang w:val="es-GT" w:eastAsia="es-GT"/>
              </w:rPr>
              <w:t>C</w:t>
            </w:r>
            <w:r w:rsidRPr="000541ED">
              <w:rPr>
                <w:b/>
                <w:bCs/>
                <w:color w:val="FFFFFF"/>
                <w:sz w:val="20"/>
                <w:szCs w:val="20"/>
                <w:lang w:val="es-GT" w:eastAsia="es-GT"/>
              </w:rPr>
              <w:t>ierre</w:t>
            </w:r>
          </w:p>
        </w:tc>
      </w:tr>
      <w:tr w:rsidR="000541ED" w:rsidRPr="000541ED" w:rsidTr="00652306">
        <w:trPr>
          <w:trHeight w:val="230"/>
        </w:trPr>
        <w:tc>
          <w:tcPr>
            <w:tcW w:w="5260" w:type="dxa"/>
            <w:vMerge/>
            <w:tcBorders>
              <w:top w:val="single" w:sz="8" w:space="0" w:color="auto"/>
              <w:left w:val="single" w:sz="8" w:space="0" w:color="auto"/>
              <w:bottom w:val="single" w:sz="8" w:space="0" w:color="000000"/>
              <w:right w:val="nil"/>
            </w:tcBorders>
            <w:vAlign w:val="center"/>
            <w:hideMark/>
          </w:tcPr>
          <w:p w:rsidR="000541ED" w:rsidRPr="000541ED" w:rsidRDefault="000541ED" w:rsidP="000541ED">
            <w:pPr>
              <w:rPr>
                <w:b/>
                <w:bCs/>
                <w:color w:val="FFFFFF"/>
                <w:sz w:val="20"/>
                <w:szCs w:val="20"/>
                <w:lang w:val="es-GT" w:eastAsia="es-GT"/>
              </w:rPr>
            </w:pPr>
          </w:p>
        </w:tc>
        <w:tc>
          <w:tcPr>
            <w:tcW w:w="1985" w:type="dxa"/>
            <w:vMerge/>
            <w:tcBorders>
              <w:top w:val="single" w:sz="8" w:space="0" w:color="auto"/>
              <w:left w:val="single" w:sz="4" w:space="0" w:color="auto"/>
              <w:bottom w:val="single" w:sz="8" w:space="0" w:color="000000"/>
              <w:right w:val="single" w:sz="4" w:space="0" w:color="auto"/>
            </w:tcBorders>
            <w:vAlign w:val="center"/>
            <w:hideMark/>
          </w:tcPr>
          <w:p w:rsidR="000541ED" w:rsidRPr="000541ED" w:rsidRDefault="000541ED" w:rsidP="000541ED">
            <w:pPr>
              <w:rPr>
                <w:b/>
                <w:bCs/>
                <w:color w:val="FFFFFF"/>
                <w:sz w:val="20"/>
                <w:szCs w:val="20"/>
                <w:lang w:val="es-GT" w:eastAsia="es-GT"/>
              </w:rPr>
            </w:pPr>
          </w:p>
        </w:tc>
        <w:tc>
          <w:tcPr>
            <w:tcW w:w="1842" w:type="dxa"/>
            <w:vMerge/>
            <w:tcBorders>
              <w:top w:val="single" w:sz="8" w:space="0" w:color="auto"/>
              <w:left w:val="single" w:sz="4" w:space="0" w:color="auto"/>
              <w:bottom w:val="single" w:sz="8" w:space="0" w:color="000000"/>
              <w:right w:val="single" w:sz="8" w:space="0" w:color="auto"/>
            </w:tcBorders>
            <w:vAlign w:val="center"/>
            <w:hideMark/>
          </w:tcPr>
          <w:p w:rsidR="000541ED" w:rsidRPr="000541ED" w:rsidRDefault="000541ED" w:rsidP="000541ED">
            <w:pPr>
              <w:rPr>
                <w:b/>
                <w:bCs/>
                <w:color w:val="FFFFFF"/>
                <w:sz w:val="20"/>
                <w:szCs w:val="20"/>
                <w:lang w:val="es-GT" w:eastAsia="es-GT"/>
              </w:rPr>
            </w:pPr>
          </w:p>
        </w:tc>
      </w:tr>
      <w:tr w:rsidR="000541ED" w:rsidRPr="000541ED" w:rsidTr="00652306">
        <w:trPr>
          <w:trHeight w:val="327"/>
        </w:trPr>
        <w:tc>
          <w:tcPr>
            <w:tcW w:w="5260" w:type="dxa"/>
            <w:tcBorders>
              <w:top w:val="nil"/>
              <w:left w:val="single" w:sz="8" w:space="0" w:color="auto"/>
              <w:bottom w:val="nil"/>
              <w:right w:val="nil"/>
            </w:tcBorders>
            <w:shd w:val="clear" w:color="000000" w:fill="FFFFFF"/>
            <w:vAlign w:val="center"/>
            <w:hideMark/>
          </w:tcPr>
          <w:p w:rsidR="000541ED" w:rsidRPr="000541ED" w:rsidRDefault="00652306" w:rsidP="000541ED">
            <w:pPr>
              <w:jc w:val="center"/>
              <w:rPr>
                <w:color w:val="FFFFFF"/>
                <w:sz w:val="20"/>
                <w:szCs w:val="20"/>
                <w:lang w:val="es-GT" w:eastAsia="es-GT"/>
              </w:rPr>
            </w:pPr>
            <w:r>
              <w:rPr>
                <w:b/>
                <w:bCs/>
                <w:sz w:val="20"/>
                <w:szCs w:val="20"/>
                <w:lang w:val="es-GT" w:eastAsia="es-GT"/>
              </w:rPr>
              <w:t>Total</w:t>
            </w:r>
          </w:p>
        </w:tc>
        <w:tc>
          <w:tcPr>
            <w:tcW w:w="1985" w:type="dxa"/>
            <w:tcBorders>
              <w:top w:val="nil"/>
              <w:left w:val="single" w:sz="4" w:space="0" w:color="auto"/>
              <w:bottom w:val="nil"/>
              <w:right w:val="single" w:sz="4" w:space="0" w:color="auto"/>
            </w:tcBorders>
            <w:shd w:val="clear" w:color="000000" w:fill="FFFFFF"/>
            <w:vAlign w:val="bottom"/>
            <w:hideMark/>
          </w:tcPr>
          <w:p w:rsidR="000541ED" w:rsidRPr="000541ED" w:rsidRDefault="000541ED" w:rsidP="000541ED">
            <w:pPr>
              <w:jc w:val="center"/>
              <w:rPr>
                <w:b/>
                <w:bCs/>
                <w:color w:val="FFFFFF"/>
                <w:sz w:val="20"/>
                <w:szCs w:val="20"/>
                <w:lang w:val="es-GT" w:eastAsia="es-GT"/>
              </w:rPr>
            </w:pPr>
            <w:r w:rsidRPr="000541ED">
              <w:rPr>
                <w:b/>
                <w:bCs/>
                <w:sz w:val="20"/>
                <w:szCs w:val="20"/>
                <w:lang w:val="es-GT" w:eastAsia="es-GT"/>
              </w:rPr>
              <w:t>77,921.4</w:t>
            </w:r>
          </w:p>
        </w:tc>
        <w:tc>
          <w:tcPr>
            <w:tcW w:w="1842" w:type="dxa"/>
            <w:tcBorders>
              <w:top w:val="nil"/>
              <w:left w:val="nil"/>
              <w:bottom w:val="nil"/>
              <w:right w:val="single" w:sz="8" w:space="0" w:color="auto"/>
            </w:tcBorders>
            <w:shd w:val="clear" w:color="000000" w:fill="FFFFFF"/>
            <w:vAlign w:val="bottom"/>
            <w:hideMark/>
          </w:tcPr>
          <w:p w:rsidR="000541ED" w:rsidRPr="000541ED" w:rsidRDefault="000541ED" w:rsidP="000541ED">
            <w:pPr>
              <w:jc w:val="center"/>
              <w:rPr>
                <w:color w:val="FFFFFF"/>
                <w:sz w:val="20"/>
                <w:szCs w:val="20"/>
                <w:lang w:val="es-GT" w:eastAsia="es-GT"/>
              </w:rPr>
            </w:pPr>
            <w:r w:rsidRPr="000541ED">
              <w:rPr>
                <w:b/>
                <w:bCs/>
                <w:sz w:val="20"/>
                <w:szCs w:val="20"/>
                <w:lang w:val="es-GT" w:eastAsia="es-GT"/>
              </w:rPr>
              <w:t>74,104.9</w:t>
            </w:r>
          </w:p>
        </w:tc>
      </w:tr>
      <w:tr w:rsidR="000541ED" w:rsidRPr="000541ED" w:rsidTr="00652306">
        <w:trPr>
          <w:trHeight w:val="97"/>
        </w:trPr>
        <w:tc>
          <w:tcPr>
            <w:tcW w:w="5260" w:type="dxa"/>
            <w:tcBorders>
              <w:top w:val="nil"/>
              <w:left w:val="single" w:sz="8" w:space="0" w:color="auto"/>
              <w:bottom w:val="nil"/>
              <w:right w:val="single" w:sz="4" w:space="0" w:color="auto"/>
            </w:tcBorders>
            <w:shd w:val="clear" w:color="000000" w:fill="FFFFFF"/>
            <w:noWrap/>
            <w:vAlign w:val="bottom"/>
            <w:hideMark/>
          </w:tcPr>
          <w:p w:rsidR="000541ED" w:rsidRPr="000541ED" w:rsidRDefault="000541ED" w:rsidP="000541ED">
            <w:pPr>
              <w:rPr>
                <w:b/>
                <w:bCs/>
                <w:sz w:val="20"/>
                <w:szCs w:val="20"/>
                <w:lang w:val="es-GT" w:eastAsia="es-GT"/>
              </w:rPr>
            </w:pPr>
            <w:r w:rsidRPr="000541ED">
              <w:rPr>
                <w:sz w:val="20"/>
                <w:szCs w:val="20"/>
                <w:lang w:val="es-GT" w:eastAsia="es-GT"/>
              </w:rPr>
              <w:t>S</w:t>
            </w:r>
            <w:r>
              <w:rPr>
                <w:sz w:val="20"/>
                <w:szCs w:val="20"/>
                <w:lang w:val="es-GT" w:eastAsia="es-GT"/>
              </w:rPr>
              <w:t>ervicios Públicos Generales</w:t>
            </w:r>
          </w:p>
        </w:tc>
        <w:tc>
          <w:tcPr>
            <w:tcW w:w="1985" w:type="dxa"/>
            <w:tcBorders>
              <w:top w:val="nil"/>
              <w:left w:val="single" w:sz="4" w:space="0" w:color="auto"/>
              <w:bottom w:val="nil"/>
              <w:right w:val="single" w:sz="4" w:space="0" w:color="auto"/>
            </w:tcBorders>
            <w:shd w:val="clear" w:color="000000" w:fill="FFFFFF"/>
            <w:noWrap/>
            <w:vAlign w:val="bottom"/>
            <w:hideMark/>
          </w:tcPr>
          <w:p w:rsidR="000541ED" w:rsidRPr="000541ED" w:rsidRDefault="000541ED" w:rsidP="000541ED">
            <w:pPr>
              <w:jc w:val="center"/>
              <w:rPr>
                <w:b/>
                <w:bCs/>
                <w:sz w:val="20"/>
                <w:szCs w:val="20"/>
                <w:lang w:val="es-GT" w:eastAsia="es-GT"/>
              </w:rPr>
            </w:pPr>
            <w:r w:rsidRPr="000541ED">
              <w:rPr>
                <w:sz w:val="20"/>
                <w:szCs w:val="20"/>
                <w:lang w:val="es-GT" w:eastAsia="es-GT"/>
              </w:rPr>
              <w:t>4,739.1</w:t>
            </w:r>
          </w:p>
        </w:tc>
        <w:tc>
          <w:tcPr>
            <w:tcW w:w="1842" w:type="dxa"/>
            <w:tcBorders>
              <w:top w:val="nil"/>
              <w:left w:val="nil"/>
              <w:bottom w:val="nil"/>
              <w:right w:val="single" w:sz="8" w:space="0" w:color="auto"/>
            </w:tcBorders>
            <w:shd w:val="clear" w:color="000000" w:fill="FFFFFF"/>
            <w:noWrap/>
            <w:vAlign w:val="bottom"/>
            <w:hideMark/>
          </w:tcPr>
          <w:p w:rsidR="000541ED" w:rsidRPr="000541ED" w:rsidRDefault="000541ED" w:rsidP="000541ED">
            <w:pPr>
              <w:jc w:val="center"/>
              <w:rPr>
                <w:b/>
                <w:bCs/>
                <w:sz w:val="20"/>
                <w:szCs w:val="20"/>
                <w:lang w:val="es-GT" w:eastAsia="es-GT"/>
              </w:rPr>
            </w:pPr>
            <w:r w:rsidRPr="000541ED">
              <w:rPr>
                <w:sz w:val="20"/>
                <w:szCs w:val="20"/>
                <w:lang w:val="es-GT" w:eastAsia="es-GT"/>
              </w:rPr>
              <w:t>4,746.3</w:t>
            </w:r>
          </w:p>
        </w:tc>
      </w:tr>
      <w:tr w:rsidR="000541ED" w:rsidRPr="000541ED" w:rsidTr="00652306">
        <w:trPr>
          <w:trHeight w:val="300"/>
        </w:trPr>
        <w:tc>
          <w:tcPr>
            <w:tcW w:w="5260" w:type="dxa"/>
            <w:tcBorders>
              <w:top w:val="nil"/>
              <w:left w:val="single" w:sz="8" w:space="0" w:color="auto"/>
              <w:bottom w:val="nil"/>
              <w:right w:val="single" w:sz="4" w:space="0" w:color="auto"/>
            </w:tcBorders>
            <w:shd w:val="clear" w:color="000000" w:fill="FFFFFF"/>
            <w:noWrap/>
            <w:vAlign w:val="bottom"/>
            <w:hideMark/>
          </w:tcPr>
          <w:p w:rsidR="000541ED" w:rsidRPr="000541ED" w:rsidRDefault="000541ED" w:rsidP="000541ED">
            <w:pPr>
              <w:rPr>
                <w:sz w:val="20"/>
                <w:szCs w:val="20"/>
                <w:lang w:val="es-GT" w:eastAsia="es-GT"/>
              </w:rPr>
            </w:pPr>
            <w:r w:rsidRPr="000541ED">
              <w:rPr>
                <w:sz w:val="20"/>
                <w:szCs w:val="20"/>
                <w:lang w:val="es-GT" w:eastAsia="es-GT"/>
              </w:rPr>
              <w:t>D</w:t>
            </w:r>
            <w:r>
              <w:rPr>
                <w:sz w:val="20"/>
                <w:szCs w:val="20"/>
                <w:lang w:val="es-GT" w:eastAsia="es-GT"/>
              </w:rPr>
              <w:t>efensa</w:t>
            </w:r>
          </w:p>
        </w:tc>
        <w:tc>
          <w:tcPr>
            <w:tcW w:w="1985" w:type="dxa"/>
            <w:tcBorders>
              <w:top w:val="nil"/>
              <w:left w:val="single" w:sz="4" w:space="0" w:color="auto"/>
              <w:bottom w:val="nil"/>
              <w:right w:val="single" w:sz="4" w:space="0" w:color="auto"/>
            </w:tcBorders>
            <w:shd w:val="clear" w:color="000000" w:fill="FFFFFF"/>
            <w:noWrap/>
            <w:vAlign w:val="bottom"/>
            <w:hideMark/>
          </w:tcPr>
          <w:p w:rsidR="000541ED" w:rsidRPr="000541ED" w:rsidRDefault="000541ED" w:rsidP="000541ED">
            <w:pPr>
              <w:jc w:val="center"/>
              <w:rPr>
                <w:sz w:val="20"/>
                <w:szCs w:val="20"/>
                <w:lang w:val="es-GT" w:eastAsia="es-GT"/>
              </w:rPr>
            </w:pPr>
            <w:r w:rsidRPr="000541ED">
              <w:rPr>
                <w:sz w:val="20"/>
                <w:szCs w:val="20"/>
                <w:lang w:val="es-GT" w:eastAsia="es-GT"/>
              </w:rPr>
              <w:t>1,436.6</w:t>
            </w:r>
          </w:p>
        </w:tc>
        <w:tc>
          <w:tcPr>
            <w:tcW w:w="1842" w:type="dxa"/>
            <w:tcBorders>
              <w:top w:val="nil"/>
              <w:left w:val="nil"/>
              <w:bottom w:val="nil"/>
              <w:right w:val="single" w:sz="8" w:space="0" w:color="auto"/>
            </w:tcBorders>
            <w:shd w:val="clear" w:color="000000" w:fill="FFFFFF"/>
            <w:noWrap/>
            <w:vAlign w:val="bottom"/>
            <w:hideMark/>
          </w:tcPr>
          <w:p w:rsidR="000541ED" w:rsidRPr="000541ED" w:rsidRDefault="000541ED" w:rsidP="000541ED">
            <w:pPr>
              <w:jc w:val="center"/>
              <w:rPr>
                <w:sz w:val="20"/>
                <w:szCs w:val="20"/>
                <w:lang w:val="es-GT" w:eastAsia="es-GT"/>
              </w:rPr>
            </w:pPr>
            <w:r w:rsidRPr="000541ED">
              <w:rPr>
                <w:sz w:val="20"/>
                <w:szCs w:val="20"/>
                <w:lang w:val="es-GT" w:eastAsia="es-GT"/>
              </w:rPr>
              <w:t>1,373.2</w:t>
            </w:r>
          </w:p>
        </w:tc>
      </w:tr>
      <w:tr w:rsidR="000541ED" w:rsidRPr="000541ED" w:rsidTr="00652306">
        <w:trPr>
          <w:trHeight w:val="300"/>
        </w:trPr>
        <w:tc>
          <w:tcPr>
            <w:tcW w:w="5260" w:type="dxa"/>
            <w:tcBorders>
              <w:top w:val="nil"/>
              <w:left w:val="single" w:sz="8" w:space="0" w:color="auto"/>
              <w:bottom w:val="nil"/>
              <w:right w:val="single" w:sz="4" w:space="0" w:color="auto"/>
            </w:tcBorders>
            <w:shd w:val="clear" w:color="000000" w:fill="FFFFFF"/>
            <w:noWrap/>
            <w:vAlign w:val="bottom"/>
            <w:hideMark/>
          </w:tcPr>
          <w:p w:rsidR="000541ED" w:rsidRPr="000541ED" w:rsidRDefault="000541ED" w:rsidP="000541ED">
            <w:pPr>
              <w:rPr>
                <w:sz w:val="20"/>
                <w:szCs w:val="20"/>
                <w:lang w:val="es-GT" w:eastAsia="es-GT"/>
              </w:rPr>
            </w:pPr>
            <w:r w:rsidRPr="000541ED">
              <w:rPr>
                <w:sz w:val="20"/>
                <w:szCs w:val="20"/>
                <w:lang w:val="es-GT" w:eastAsia="es-GT"/>
              </w:rPr>
              <w:t>O</w:t>
            </w:r>
            <w:r>
              <w:rPr>
                <w:sz w:val="20"/>
                <w:szCs w:val="20"/>
                <w:lang w:val="es-GT" w:eastAsia="es-GT"/>
              </w:rPr>
              <w:t>rden Público y Seguridad Ciudadana</w:t>
            </w:r>
          </w:p>
        </w:tc>
        <w:tc>
          <w:tcPr>
            <w:tcW w:w="1985" w:type="dxa"/>
            <w:tcBorders>
              <w:top w:val="nil"/>
              <w:left w:val="single" w:sz="4" w:space="0" w:color="auto"/>
              <w:bottom w:val="nil"/>
              <w:right w:val="single" w:sz="4" w:space="0" w:color="auto"/>
            </w:tcBorders>
            <w:shd w:val="clear" w:color="000000" w:fill="FFFFFF"/>
            <w:noWrap/>
            <w:vAlign w:val="bottom"/>
            <w:hideMark/>
          </w:tcPr>
          <w:p w:rsidR="000541ED" w:rsidRPr="000541ED" w:rsidRDefault="000541ED" w:rsidP="000541ED">
            <w:pPr>
              <w:jc w:val="center"/>
              <w:rPr>
                <w:sz w:val="20"/>
                <w:szCs w:val="20"/>
                <w:lang w:val="es-GT" w:eastAsia="es-GT"/>
              </w:rPr>
            </w:pPr>
            <w:r w:rsidRPr="000541ED">
              <w:rPr>
                <w:sz w:val="20"/>
                <w:szCs w:val="20"/>
                <w:lang w:val="es-GT" w:eastAsia="es-GT"/>
              </w:rPr>
              <w:t>9,790.6</w:t>
            </w:r>
          </w:p>
        </w:tc>
        <w:tc>
          <w:tcPr>
            <w:tcW w:w="1842" w:type="dxa"/>
            <w:tcBorders>
              <w:top w:val="nil"/>
              <w:left w:val="nil"/>
              <w:bottom w:val="nil"/>
              <w:right w:val="single" w:sz="8" w:space="0" w:color="auto"/>
            </w:tcBorders>
            <w:shd w:val="clear" w:color="000000" w:fill="FFFFFF"/>
            <w:noWrap/>
            <w:vAlign w:val="bottom"/>
            <w:hideMark/>
          </w:tcPr>
          <w:p w:rsidR="000541ED" w:rsidRPr="000541ED" w:rsidRDefault="000541ED" w:rsidP="000541ED">
            <w:pPr>
              <w:jc w:val="center"/>
              <w:rPr>
                <w:sz w:val="20"/>
                <w:szCs w:val="20"/>
                <w:lang w:val="es-GT" w:eastAsia="es-GT"/>
              </w:rPr>
            </w:pPr>
            <w:r w:rsidRPr="000541ED">
              <w:rPr>
                <w:sz w:val="20"/>
                <w:szCs w:val="20"/>
                <w:lang w:val="es-GT" w:eastAsia="es-GT"/>
              </w:rPr>
              <w:t>9,648.1</w:t>
            </w:r>
          </w:p>
        </w:tc>
      </w:tr>
      <w:tr w:rsidR="000541ED" w:rsidRPr="000541ED" w:rsidTr="00652306">
        <w:trPr>
          <w:trHeight w:val="300"/>
        </w:trPr>
        <w:tc>
          <w:tcPr>
            <w:tcW w:w="5260" w:type="dxa"/>
            <w:tcBorders>
              <w:top w:val="nil"/>
              <w:left w:val="single" w:sz="8" w:space="0" w:color="auto"/>
              <w:bottom w:val="nil"/>
              <w:right w:val="single" w:sz="4" w:space="0" w:color="auto"/>
            </w:tcBorders>
            <w:shd w:val="clear" w:color="000000" w:fill="FFFFFF"/>
            <w:noWrap/>
            <w:vAlign w:val="bottom"/>
            <w:hideMark/>
          </w:tcPr>
          <w:p w:rsidR="000541ED" w:rsidRPr="000541ED" w:rsidRDefault="000541ED" w:rsidP="000541ED">
            <w:pPr>
              <w:rPr>
                <w:sz w:val="20"/>
                <w:szCs w:val="20"/>
                <w:lang w:val="es-GT" w:eastAsia="es-GT"/>
              </w:rPr>
            </w:pPr>
            <w:r w:rsidRPr="000541ED">
              <w:rPr>
                <w:sz w:val="20"/>
                <w:szCs w:val="20"/>
                <w:lang w:val="es-GT" w:eastAsia="es-GT"/>
              </w:rPr>
              <w:t>A</w:t>
            </w:r>
            <w:r>
              <w:rPr>
                <w:sz w:val="20"/>
                <w:szCs w:val="20"/>
                <w:lang w:val="es-GT" w:eastAsia="es-GT"/>
              </w:rPr>
              <w:t>tención a Desastres y Gestión de Riesgos</w:t>
            </w:r>
          </w:p>
        </w:tc>
        <w:tc>
          <w:tcPr>
            <w:tcW w:w="1985" w:type="dxa"/>
            <w:tcBorders>
              <w:top w:val="nil"/>
              <w:left w:val="single" w:sz="4" w:space="0" w:color="auto"/>
              <w:bottom w:val="nil"/>
              <w:right w:val="single" w:sz="4" w:space="0" w:color="auto"/>
            </w:tcBorders>
            <w:shd w:val="clear" w:color="000000" w:fill="FFFFFF"/>
            <w:noWrap/>
            <w:vAlign w:val="bottom"/>
            <w:hideMark/>
          </w:tcPr>
          <w:p w:rsidR="000541ED" w:rsidRPr="000541ED" w:rsidRDefault="000541ED" w:rsidP="000541ED">
            <w:pPr>
              <w:jc w:val="center"/>
              <w:rPr>
                <w:sz w:val="20"/>
                <w:szCs w:val="20"/>
                <w:lang w:val="es-GT" w:eastAsia="es-GT"/>
              </w:rPr>
            </w:pPr>
            <w:r w:rsidRPr="000541ED">
              <w:rPr>
                <w:sz w:val="20"/>
                <w:szCs w:val="20"/>
                <w:lang w:val="es-GT" w:eastAsia="es-GT"/>
              </w:rPr>
              <w:t>869.6</w:t>
            </w:r>
          </w:p>
        </w:tc>
        <w:tc>
          <w:tcPr>
            <w:tcW w:w="1842" w:type="dxa"/>
            <w:tcBorders>
              <w:top w:val="nil"/>
              <w:left w:val="nil"/>
              <w:bottom w:val="nil"/>
              <w:right w:val="single" w:sz="8" w:space="0" w:color="auto"/>
            </w:tcBorders>
            <w:shd w:val="clear" w:color="000000" w:fill="FFFFFF"/>
            <w:noWrap/>
            <w:vAlign w:val="bottom"/>
            <w:hideMark/>
          </w:tcPr>
          <w:p w:rsidR="000541ED" w:rsidRPr="000541ED" w:rsidRDefault="000541ED" w:rsidP="000541ED">
            <w:pPr>
              <w:jc w:val="center"/>
              <w:rPr>
                <w:sz w:val="20"/>
                <w:szCs w:val="20"/>
                <w:lang w:val="es-GT" w:eastAsia="es-GT"/>
              </w:rPr>
            </w:pPr>
            <w:r w:rsidRPr="000541ED">
              <w:rPr>
                <w:sz w:val="20"/>
                <w:szCs w:val="20"/>
                <w:lang w:val="es-GT" w:eastAsia="es-GT"/>
              </w:rPr>
              <w:t>566.1</w:t>
            </w:r>
          </w:p>
        </w:tc>
      </w:tr>
      <w:tr w:rsidR="000541ED" w:rsidRPr="000541ED" w:rsidTr="00652306">
        <w:trPr>
          <w:trHeight w:val="300"/>
        </w:trPr>
        <w:tc>
          <w:tcPr>
            <w:tcW w:w="5260" w:type="dxa"/>
            <w:tcBorders>
              <w:top w:val="nil"/>
              <w:left w:val="single" w:sz="8" w:space="0" w:color="auto"/>
              <w:bottom w:val="nil"/>
              <w:right w:val="single" w:sz="4" w:space="0" w:color="auto"/>
            </w:tcBorders>
            <w:shd w:val="clear" w:color="000000" w:fill="FFFFFF"/>
            <w:noWrap/>
            <w:vAlign w:val="bottom"/>
            <w:hideMark/>
          </w:tcPr>
          <w:p w:rsidR="000541ED" w:rsidRPr="000541ED" w:rsidRDefault="000541ED" w:rsidP="000541ED">
            <w:pPr>
              <w:rPr>
                <w:sz w:val="20"/>
                <w:szCs w:val="20"/>
                <w:lang w:val="es-GT" w:eastAsia="es-GT"/>
              </w:rPr>
            </w:pPr>
            <w:r w:rsidRPr="000541ED">
              <w:rPr>
                <w:sz w:val="20"/>
                <w:szCs w:val="20"/>
                <w:lang w:val="es-GT" w:eastAsia="es-GT"/>
              </w:rPr>
              <w:t>A</w:t>
            </w:r>
            <w:r>
              <w:rPr>
                <w:sz w:val="20"/>
                <w:szCs w:val="20"/>
                <w:lang w:val="es-GT" w:eastAsia="es-GT"/>
              </w:rPr>
              <w:t>suntos Económicos</w:t>
            </w:r>
          </w:p>
        </w:tc>
        <w:tc>
          <w:tcPr>
            <w:tcW w:w="1985" w:type="dxa"/>
            <w:tcBorders>
              <w:top w:val="nil"/>
              <w:left w:val="single" w:sz="4" w:space="0" w:color="auto"/>
              <w:bottom w:val="nil"/>
              <w:right w:val="single" w:sz="4" w:space="0" w:color="auto"/>
            </w:tcBorders>
            <w:shd w:val="clear" w:color="000000" w:fill="FFFFFF"/>
            <w:noWrap/>
            <w:vAlign w:val="bottom"/>
            <w:hideMark/>
          </w:tcPr>
          <w:p w:rsidR="000541ED" w:rsidRPr="000541ED" w:rsidRDefault="000541ED" w:rsidP="000541ED">
            <w:pPr>
              <w:jc w:val="center"/>
              <w:rPr>
                <w:sz w:val="20"/>
                <w:szCs w:val="20"/>
                <w:lang w:val="es-GT" w:eastAsia="es-GT"/>
              </w:rPr>
            </w:pPr>
            <w:r w:rsidRPr="000541ED">
              <w:rPr>
                <w:sz w:val="20"/>
                <w:szCs w:val="20"/>
                <w:lang w:val="es-GT" w:eastAsia="es-GT"/>
              </w:rPr>
              <w:t>6,552.3</w:t>
            </w:r>
          </w:p>
        </w:tc>
        <w:tc>
          <w:tcPr>
            <w:tcW w:w="1842" w:type="dxa"/>
            <w:tcBorders>
              <w:top w:val="nil"/>
              <w:left w:val="nil"/>
              <w:bottom w:val="nil"/>
              <w:right w:val="single" w:sz="8" w:space="0" w:color="auto"/>
            </w:tcBorders>
            <w:shd w:val="clear" w:color="000000" w:fill="FFFFFF"/>
            <w:noWrap/>
            <w:vAlign w:val="bottom"/>
            <w:hideMark/>
          </w:tcPr>
          <w:p w:rsidR="000541ED" w:rsidRPr="000541ED" w:rsidRDefault="000541ED" w:rsidP="000541ED">
            <w:pPr>
              <w:jc w:val="center"/>
              <w:rPr>
                <w:sz w:val="20"/>
                <w:szCs w:val="20"/>
                <w:lang w:val="es-GT" w:eastAsia="es-GT"/>
              </w:rPr>
            </w:pPr>
            <w:r w:rsidRPr="000541ED">
              <w:rPr>
                <w:sz w:val="20"/>
                <w:szCs w:val="20"/>
                <w:lang w:val="es-GT" w:eastAsia="es-GT"/>
              </w:rPr>
              <w:t>5,588.9</w:t>
            </w:r>
          </w:p>
        </w:tc>
      </w:tr>
      <w:tr w:rsidR="000541ED" w:rsidRPr="000541ED" w:rsidTr="00652306">
        <w:trPr>
          <w:trHeight w:val="300"/>
        </w:trPr>
        <w:tc>
          <w:tcPr>
            <w:tcW w:w="5260" w:type="dxa"/>
            <w:tcBorders>
              <w:top w:val="nil"/>
              <w:left w:val="single" w:sz="8" w:space="0" w:color="auto"/>
              <w:bottom w:val="nil"/>
              <w:right w:val="single" w:sz="4" w:space="0" w:color="auto"/>
            </w:tcBorders>
            <w:shd w:val="clear" w:color="000000" w:fill="FFFFFF"/>
            <w:noWrap/>
            <w:vAlign w:val="bottom"/>
            <w:hideMark/>
          </w:tcPr>
          <w:p w:rsidR="000541ED" w:rsidRPr="000541ED" w:rsidRDefault="000541ED" w:rsidP="000541ED">
            <w:pPr>
              <w:rPr>
                <w:sz w:val="20"/>
                <w:szCs w:val="20"/>
                <w:lang w:val="es-GT" w:eastAsia="es-GT"/>
              </w:rPr>
            </w:pPr>
            <w:r w:rsidRPr="000541ED">
              <w:rPr>
                <w:sz w:val="20"/>
                <w:szCs w:val="20"/>
                <w:lang w:val="es-GT" w:eastAsia="es-GT"/>
              </w:rPr>
              <w:t>P</w:t>
            </w:r>
            <w:r>
              <w:rPr>
                <w:sz w:val="20"/>
                <w:szCs w:val="20"/>
                <w:lang w:val="es-GT" w:eastAsia="es-GT"/>
              </w:rPr>
              <w:t>rotección Ambiental</w:t>
            </w:r>
          </w:p>
        </w:tc>
        <w:tc>
          <w:tcPr>
            <w:tcW w:w="1985" w:type="dxa"/>
            <w:tcBorders>
              <w:top w:val="nil"/>
              <w:left w:val="single" w:sz="4" w:space="0" w:color="auto"/>
              <w:bottom w:val="nil"/>
              <w:right w:val="single" w:sz="4" w:space="0" w:color="auto"/>
            </w:tcBorders>
            <w:shd w:val="clear" w:color="000000" w:fill="FFFFFF"/>
            <w:noWrap/>
            <w:vAlign w:val="bottom"/>
            <w:hideMark/>
          </w:tcPr>
          <w:p w:rsidR="000541ED" w:rsidRPr="000541ED" w:rsidRDefault="000541ED" w:rsidP="000541ED">
            <w:pPr>
              <w:jc w:val="center"/>
              <w:rPr>
                <w:sz w:val="20"/>
                <w:szCs w:val="20"/>
                <w:lang w:val="es-GT" w:eastAsia="es-GT"/>
              </w:rPr>
            </w:pPr>
            <w:r w:rsidRPr="000541ED">
              <w:rPr>
                <w:sz w:val="20"/>
                <w:szCs w:val="20"/>
                <w:lang w:val="es-GT" w:eastAsia="es-GT"/>
              </w:rPr>
              <w:t>1,419.6</w:t>
            </w:r>
          </w:p>
        </w:tc>
        <w:tc>
          <w:tcPr>
            <w:tcW w:w="1842" w:type="dxa"/>
            <w:tcBorders>
              <w:top w:val="nil"/>
              <w:left w:val="nil"/>
              <w:bottom w:val="nil"/>
              <w:right w:val="single" w:sz="8" w:space="0" w:color="auto"/>
            </w:tcBorders>
            <w:shd w:val="clear" w:color="000000" w:fill="FFFFFF"/>
            <w:noWrap/>
            <w:vAlign w:val="bottom"/>
            <w:hideMark/>
          </w:tcPr>
          <w:p w:rsidR="000541ED" w:rsidRPr="000541ED" w:rsidRDefault="000541ED" w:rsidP="000541ED">
            <w:pPr>
              <w:jc w:val="center"/>
              <w:rPr>
                <w:sz w:val="20"/>
                <w:szCs w:val="20"/>
                <w:lang w:val="es-GT" w:eastAsia="es-GT"/>
              </w:rPr>
            </w:pPr>
            <w:r w:rsidRPr="000541ED">
              <w:rPr>
                <w:sz w:val="20"/>
                <w:szCs w:val="20"/>
                <w:lang w:val="es-GT" w:eastAsia="es-GT"/>
              </w:rPr>
              <w:t>736.9</w:t>
            </w:r>
          </w:p>
        </w:tc>
      </w:tr>
      <w:tr w:rsidR="000541ED" w:rsidRPr="000541ED" w:rsidTr="00652306">
        <w:trPr>
          <w:trHeight w:val="300"/>
        </w:trPr>
        <w:tc>
          <w:tcPr>
            <w:tcW w:w="5260" w:type="dxa"/>
            <w:tcBorders>
              <w:top w:val="nil"/>
              <w:left w:val="single" w:sz="8" w:space="0" w:color="auto"/>
              <w:bottom w:val="nil"/>
              <w:right w:val="single" w:sz="4" w:space="0" w:color="auto"/>
            </w:tcBorders>
            <w:shd w:val="clear" w:color="000000" w:fill="FFFFFF"/>
            <w:noWrap/>
            <w:vAlign w:val="bottom"/>
            <w:hideMark/>
          </w:tcPr>
          <w:p w:rsidR="000541ED" w:rsidRPr="000541ED" w:rsidRDefault="000541ED" w:rsidP="000541ED">
            <w:pPr>
              <w:rPr>
                <w:sz w:val="20"/>
                <w:szCs w:val="20"/>
                <w:lang w:val="es-GT" w:eastAsia="es-GT"/>
              </w:rPr>
            </w:pPr>
            <w:r w:rsidRPr="000541ED">
              <w:rPr>
                <w:sz w:val="20"/>
                <w:szCs w:val="20"/>
                <w:lang w:val="es-GT" w:eastAsia="es-GT"/>
              </w:rPr>
              <w:t>U</w:t>
            </w:r>
            <w:r>
              <w:rPr>
                <w:sz w:val="20"/>
                <w:szCs w:val="20"/>
                <w:lang w:val="es-GT" w:eastAsia="es-GT"/>
              </w:rPr>
              <w:t>rbanización y Servicios Comunitarios</w:t>
            </w:r>
          </w:p>
        </w:tc>
        <w:tc>
          <w:tcPr>
            <w:tcW w:w="1985" w:type="dxa"/>
            <w:tcBorders>
              <w:top w:val="nil"/>
              <w:left w:val="single" w:sz="4" w:space="0" w:color="auto"/>
              <w:bottom w:val="nil"/>
              <w:right w:val="single" w:sz="4" w:space="0" w:color="auto"/>
            </w:tcBorders>
            <w:shd w:val="clear" w:color="000000" w:fill="FFFFFF"/>
            <w:noWrap/>
            <w:vAlign w:val="bottom"/>
            <w:hideMark/>
          </w:tcPr>
          <w:p w:rsidR="000541ED" w:rsidRPr="000541ED" w:rsidRDefault="000541ED" w:rsidP="000541ED">
            <w:pPr>
              <w:jc w:val="center"/>
              <w:rPr>
                <w:sz w:val="20"/>
                <w:szCs w:val="20"/>
                <w:lang w:val="es-GT" w:eastAsia="es-GT"/>
              </w:rPr>
            </w:pPr>
            <w:r w:rsidRPr="000541ED">
              <w:rPr>
                <w:sz w:val="20"/>
                <w:szCs w:val="20"/>
                <w:lang w:val="es-GT" w:eastAsia="es-GT"/>
              </w:rPr>
              <w:t>8,091.1</w:t>
            </w:r>
          </w:p>
        </w:tc>
        <w:tc>
          <w:tcPr>
            <w:tcW w:w="1842" w:type="dxa"/>
            <w:tcBorders>
              <w:top w:val="nil"/>
              <w:left w:val="nil"/>
              <w:bottom w:val="nil"/>
              <w:right w:val="single" w:sz="8" w:space="0" w:color="auto"/>
            </w:tcBorders>
            <w:shd w:val="clear" w:color="000000" w:fill="FFFFFF"/>
            <w:noWrap/>
            <w:vAlign w:val="bottom"/>
            <w:hideMark/>
          </w:tcPr>
          <w:p w:rsidR="000541ED" w:rsidRPr="000541ED" w:rsidRDefault="000541ED" w:rsidP="000541ED">
            <w:pPr>
              <w:jc w:val="center"/>
              <w:rPr>
                <w:sz w:val="20"/>
                <w:szCs w:val="20"/>
                <w:lang w:val="es-GT" w:eastAsia="es-GT"/>
              </w:rPr>
            </w:pPr>
            <w:r w:rsidRPr="000541ED">
              <w:rPr>
                <w:sz w:val="20"/>
                <w:szCs w:val="20"/>
                <w:lang w:val="es-GT" w:eastAsia="es-GT"/>
              </w:rPr>
              <w:t>8,298.6</w:t>
            </w:r>
          </w:p>
        </w:tc>
      </w:tr>
      <w:tr w:rsidR="000541ED" w:rsidRPr="000541ED" w:rsidTr="00652306">
        <w:trPr>
          <w:trHeight w:val="300"/>
        </w:trPr>
        <w:tc>
          <w:tcPr>
            <w:tcW w:w="5260" w:type="dxa"/>
            <w:tcBorders>
              <w:top w:val="nil"/>
              <w:left w:val="single" w:sz="8" w:space="0" w:color="auto"/>
              <w:bottom w:val="nil"/>
              <w:right w:val="single" w:sz="4" w:space="0" w:color="auto"/>
            </w:tcBorders>
            <w:shd w:val="clear" w:color="000000" w:fill="FFFFFF"/>
            <w:noWrap/>
            <w:vAlign w:val="bottom"/>
            <w:hideMark/>
          </w:tcPr>
          <w:p w:rsidR="000541ED" w:rsidRPr="000541ED" w:rsidRDefault="000541ED" w:rsidP="000541ED">
            <w:pPr>
              <w:rPr>
                <w:sz w:val="20"/>
                <w:szCs w:val="20"/>
                <w:lang w:val="es-GT" w:eastAsia="es-GT"/>
              </w:rPr>
            </w:pPr>
            <w:r w:rsidRPr="000541ED">
              <w:rPr>
                <w:sz w:val="20"/>
                <w:szCs w:val="20"/>
                <w:lang w:val="es-GT" w:eastAsia="es-GT"/>
              </w:rPr>
              <w:t>S</w:t>
            </w:r>
            <w:r>
              <w:rPr>
                <w:sz w:val="20"/>
                <w:szCs w:val="20"/>
                <w:lang w:val="es-GT" w:eastAsia="es-GT"/>
              </w:rPr>
              <w:t>alud</w:t>
            </w:r>
          </w:p>
        </w:tc>
        <w:tc>
          <w:tcPr>
            <w:tcW w:w="1985" w:type="dxa"/>
            <w:tcBorders>
              <w:top w:val="nil"/>
              <w:left w:val="single" w:sz="4" w:space="0" w:color="auto"/>
              <w:bottom w:val="nil"/>
              <w:right w:val="single" w:sz="4" w:space="0" w:color="auto"/>
            </w:tcBorders>
            <w:shd w:val="clear" w:color="000000" w:fill="FFFFFF"/>
            <w:noWrap/>
            <w:vAlign w:val="bottom"/>
            <w:hideMark/>
          </w:tcPr>
          <w:p w:rsidR="000541ED" w:rsidRPr="000541ED" w:rsidRDefault="000541ED" w:rsidP="000541ED">
            <w:pPr>
              <w:jc w:val="center"/>
              <w:rPr>
                <w:sz w:val="20"/>
                <w:szCs w:val="20"/>
                <w:lang w:val="es-GT" w:eastAsia="es-GT"/>
              </w:rPr>
            </w:pPr>
            <w:r w:rsidRPr="000541ED">
              <w:rPr>
                <w:sz w:val="20"/>
                <w:szCs w:val="20"/>
                <w:lang w:val="es-GT" w:eastAsia="es-GT"/>
              </w:rPr>
              <w:t>6,980.2</w:t>
            </w:r>
          </w:p>
        </w:tc>
        <w:tc>
          <w:tcPr>
            <w:tcW w:w="1842" w:type="dxa"/>
            <w:tcBorders>
              <w:top w:val="nil"/>
              <w:left w:val="nil"/>
              <w:bottom w:val="nil"/>
              <w:right w:val="single" w:sz="8" w:space="0" w:color="auto"/>
            </w:tcBorders>
            <w:shd w:val="clear" w:color="000000" w:fill="FFFFFF"/>
            <w:noWrap/>
            <w:vAlign w:val="bottom"/>
            <w:hideMark/>
          </w:tcPr>
          <w:p w:rsidR="000541ED" w:rsidRPr="000541ED" w:rsidRDefault="000541ED" w:rsidP="000541ED">
            <w:pPr>
              <w:jc w:val="center"/>
              <w:rPr>
                <w:sz w:val="20"/>
                <w:szCs w:val="20"/>
                <w:lang w:val="es-GT" w:eastAsia="es-GT"/>
              </w:rPr>
            </w:pPr>
            <w:r w:rsidRPr="000541ED">
              <w:rPr>
                <w:sz w:val="20"/>
                <w:szCs w:val="20"/>
                <w:lang w:val="es-GT" w:eastAsia="es-GT"/>
              </w:rPr>
              <w:t>6,118.2</w:t>
            </w:r>
          </w:p>
        </w:tc>
      </w:tr>
      <w:tr w:rsidR="000541ED" w:rsidRPr="000541ED" w:rsidTr="00652306">
        <w:trPr>
          <w:trHeight w:val="300"/>
        </w:trPr>
        <w:tc>
          <w:tcPr>
            <w:tcW w:w="5260" w:type="dxa"/>
            <w:tcBorders>
              <w:top w:val="nil"/>
              <w:left w:val="single" w:sz="8" w:space="0" w:color="auto"/>
              <w:bottom w:val="nil"/>
              <w:right w:val="single" w:sz="4" w:space="0" w:color="auto"/>
            </w:tcBorders>
            <w:shd w:val="clear" w:color="000000" w:fill="FFFFFF"/>
            <w:noWrap/>
            <w:vAlign w:val="bottom"/>
            <w:hideMark/>
          </w:tcPr>
          <w:p w:rsidR="000541ED" w:rsidRPr="000541ED" w:rsidRDefault="000541ED" w:rsidP="000541ED">
            <w:pPr>
              <w:rPr>
                <w:sz w:val="20"/>
                <w:szCs w:val="20"/>
                <w:lang w:val="es-GT" w:eastAsia="es-GT"/>
              </w:rPr>
            </w:pPr>
            <w:r w:rsidRPr="000541ED">
              <w:rPr>
                <w:sz w:val="20"/>
                <w:szCs w:val="20"/>
                <w:lang w:val="es-GT" w:eastAsia="es-GT"/>
              </w:rPr>
              <w:t>A</w:t>
            </w:r>
            <w:r>
              <w:rPr>
                <w:sz w:val="20"/>
                <w:szCs w:val="20"/>
                <w:lang w:val="es-GT" w:eastAsia="es-GT"/>
              </w:rPr>
              <w:t>ctividades Deportivas, Recreativas, Cultura y Religión</w:t>
            </w:r>
          </w:p>
        </w:tc>
        <w:tc>
          <w:tcPr>
            <w:tcW w:w="1985" w:type="dxa"/>
            <w:tcBorders>
              <w:top w:val="nil"/>
              <w:left w:val="single" w:sz="4" w:space="0" w:color="auto"/>
              <w:bottom w:val="nil"/>
              <w:right w:val="single" w:sz="4" w:space="0" w:color="auto"/>
            </w:tcBorders>
            <w:shd w:val="clear" w:color="000000" w:fill="FFFFFF"/>
            <w:noWrap/>
            <w:vAlign w:val="bottom"/>
            <w:hideMark/>
          </w:tcPr>
          <w:p w:rsidR="000541ED" w:rsidRPr="000541ED" w:rsidRDefault="000541ED" w:rsidP="000541ED">
            <w:pPr>
              <w:jc w:val="center"/>
              <w:rPr>
                <w:sz w:val="20"/>
                <w:szCs w:val="20"/>
                <w:lang w:val="es-GT" w:eastAsia="es-GT"/>
              </w:rPr>
            </w:pPr>
            <w:r w:rsidRPr="000541ED">
              <w:rPr>
                <w:sz w:val="20"/>
                <w:szCs w:val="20"/>
                <w:lang w:val="es-GT" w:eastAsia="es-GT"/>
              </w:rPr>
              <w:t>1,158.3</w:t>
            </w:r>
          </w:p>
        </w:tc>
        <w:tc>
          <w:tcPr>
            <w:tcW w:w="1842" w:type="dxa"/>
            <w:tcBorders>
              <w:top w:val="nil"/>
              <w:left w:val="nil"/>
              <w:bottom w:val="nil"/>
              <w:right w:val="single" w:sz="8" w:space="0" w:color="auto"/>
            </w:tcBorders>
            <w:shd w:val="clear" w:color="000000" w:fill="FFFFFF"/>
            <w:noWrap/>
            <w:vAlign w:val="bottom"/>
            <w:hideMark/>
          </w:tcPr>
          <w:p w:rsidR="000541ED" w:rsidRPr="000541ED" w:rsidRDefault="000541ED" w:rsidP="000541ED">
            <w:pPr>
              <w:jc w:val="center"/>
              <w:rPr>
                <w:sz w:val="20"/>
                <w:szCs w:val="20"/>
                <w:lang w:val="es-GT" w:eastAsia="es-GT"/>
              </w:rPr>
            </w:pPr>
            <w:r w:rsidRPr="000541ED">
              <w:rPr>
                <w:sz w:val="20"/>
                <w:szCs w:val="20"/>
                <w:lang w:val="es-GT" w:eastAsia="es-GT"/>
              </w:rPr>
              <w:t>971.7</w:t>
            </w:r>
          </w:p>
        </w:tc>
      </w:tr>
      <w:tr w:rsidR="000541ED" w:rsidRPr="000541ED" w:rsidTr="00652306">
        <w:trPr>
          <w:trHeight w:val="300"/>
        </w:trPr>
        <w:tc>
          <w:tcPr>
            <w:tcW w:w="5260" w:type="dxa"/>
            <w:tcBorders>
              <w:top w:val="nil"/>
              <w:left w:val="single" w:sz="8" w:space="0" w:color="auto"/>
              <w:bottom w:val="nil"/>
              <w:right w:val="single" w:sz="4" w:space="0" w:color="auto"/>
            </w:tcBorders>
            <w:shd w:val="clear" w:color="000000" w:fill="FFFFFF"/>
            <w:noWrap/>
            <w:vAlign w:val="bottom"/>
            <w:hideMark/>
          </w:tcPr>
          <w:p w:rsidR="000541ED" w:rsidRPr="000541ED" w:rsidRDefault="000541ED" w:rsidP="000541ED">
            <w:pPr>
              <w:rPr>
                <w:sz w:val="20"/>
                <w:szCs w:val="20"/>
                <w:lang w:val="es-GT" w:eastAsia="es-GT"/>
              </w:rPr>
            </w:pPr>
            <w:r w:rsidRPr="000541ED">
              <w:rPr>
                <w:sz w:val="20"/>
                <w:szCs w:val="20"/>
                <w:lang w:val="es-GT" w:eastAsia="es-GT"/>
              </w:rPr>
              <w:t>E</w:t>
            </w:r>
            <w:r>
              <w:rPr>
                <w:sz w:val="20"/>
                <w:szCs w:val="20"/>
                <w:lang w:val="es-GT" w:eastAsia="es-GT"/>
              </w:rPr>
              <w:t>ducación</w:t>
            </w:r>
          </w:p>
        </w:tc>
        <w:tc>
          <w:tcPr>
            <w:tcW w:w="1985" w:type="dxa"/>
            <w:tcBorders>
              <w:top w:val="nil"/>
              <w:left w:val="single" w:sz="4" w:space="0" w:color="auto"/>
              <w:bottom w:val="nil"/>
              <w:right w:val="single" w:sz="4" w:space="0" w:color="auto"/>
            </w:tcBorders>
            <w:shd w:val="clear" w:color="000000" w:fill="FFFFFF"/>
            <w:noWrap/>
            <w:vAlign w:val="bottom"/>
            <w:hideMark/>
          </w:tcPr>
          <w:p w:rsidR="000541ED" w:rsidRPr="000541ED" w:rsidRDefault="000541ED" w:rsidP="000541ED">
            <w:pPr>
              <w:jc w:val="center"/>
              <w:rPr>
                <w:sz w:val="20"/>
                <w:szCs w:val="20"/>
                <w:lang w:val="es-GT" w:eastAsia="es-GT"/>
              </w:rPr>
            </w:pPr>
            <w:r w:rsidRPr="000541ED">
              <w:rPr>
                <w:sz w:val="20"/>
                <w:szCs w:val="20"/>
                <w:lang w:val="es-GT" w:eastAsia="es-GT"/>
              </w:rPr>
              <w:t>17,577.5</w:t>
            </w:r>
          </w:p>
        </w:tc>
        <w:tc>
          <w:tcPr>
            <w:tcW w:w="1842" w:type="dxa"/>
            <w:tcBorders>
              <w:top w:val="nil"/>
              <w:left w:val="nil"/>
              <w:bottom w:val="nil"/>
              <w:right w:val="single" w:sz="8" w:space="0" w:color="auto"/>
            </w:tcBorders>
            <w:shd w:val="clear" w:color="000000" w:fill="FFFFFF"/>
            <w:noWrap/>
            <w:vAlign w:val="bottom"/>
            <w:hideMark/>
          </w:tcPr>
          <w:p w:rsidR="000541ED" w:rsidRPr="000541ED" w:rsidRDefault="000541ED" w:rsidP="000541ED">
            <w:pPr>
              <w:jc w:val="center"/>
              <w:rPr>
                <w:sz w:val="20"/>
                <w:szCs w:val="20"/>
                <w:lang w:val="es-GT" w:eastAsia="es-GT"/>
              </w:rPr>
            </w:pPr>
            <w:r w:rsidRPr="000541ED">
              <w:rPr>
                <w:sz w:val="20"/>
                <w:szCs w:val="20"/>
                <w:lang w:val="es-GT" w:eastAsia="es-GT"/>
              </w:rPr>
              <w:t>17,399.9</w:t>
            </w:r>
          </w:p>
        </w:tc>
      </w:tr>
      <w:tr w:rsidR="000541ED" w:rsidRPr="000541ED" w:rsidTr="00652306">
        <w:trPr>
          <w:trHeight w:val="300"/>
        </w:trPr>
        <w:tc>
          <w:tcPr>
            <w:tcW w:w="5260" w:type="dxa"/>
            <w:tcBorders>
              <w:top w:val="nil"/>
              <w:left w:val="single" w:sz="8" w:space="0" w:color="auto"/>
              <w:bottom w:val="nil"/>
              <w:right w:val="single" w:sz="4" w:space="0" w:color="auto"/>
            </w:tcBorders>
            <w:shd w:val="clear" w:color="000000" w:fill="FFFFFF"/>
            <w:noWrap/>
            <w:vAlign w:val="bottom"/>
            <w:hideMark/>
          </w:tcPr>
          <w:p w:rsidR="000541ED" w:rsidRPr="000541ED" w:rsidRDefault="000541ED" w:rsidP="000541ED">
            <w:pPr>
              <w:rPr>
                <w:sz w:val="20"/>
                <w:szCs w:val="20"/>
                <w:lang w:val="es-GT" w:eastAsia="es-GT"/>
              </w:rPr>
            </w:pPr>
            <w:r w:rsidRPr="000541ED">
              <w:rPr>
                <w:sz w:val="20"/>
                <w:szCs w:val="20"/>
                <w:lang w:val="es-GT" w:eastAsia="es-GT"/>
              </w:rPr>
              <w:t>P</w:t>
            </w:r>
            <w:r>
              <w:rPr>
                <w:sz w:val="20"/>
                <w:szCs w:val="20"/>
                <w:lang w:val="es-GT" w:eastAsia="es-GT"/>
              </w:rPr>
              <w:t>rotección Social</w:t>
            </w:r>
          </w:p>
        </w:tc>
        <w:tc>
          <w:tcPr>
            <w:tcW w:w="1985" w:type="dxa"/>
            <w:tcBorders>
              <w:top w:val="nil"/>
              <w:left w:val="single" w:sz="4" w:space="0" w:color="auto"/>
              <w:bottom w:val="nil"/>
              <w:right w:val="single" w:sz="4" w:space="0" w:color="auto"/>
            </w:tcBorders>
            <w:shd w:val="clear" w:color="000000" w:fill="FFFFFF"/>
            <w:noWrap/>
            <w:vAlign w:val="bottom"/>
            <w:hideMark/>
          </w:tcPr>
          <w:p w:rsidR="000541ED" w:rsidRPr="000541ED" w:rsidRDefault="000541ED" w:rsidP="000541ED">
            <w:pPr>
              <w:jc w:val="center"/>
              <w:rPr>
                <w:sz w:val="20"/>
                <w:szCs w:val="20"/>
                <w:lang w:val="es-GT" w:eastAsia="es-GT"/>
              </w:rPr>
            </w:pPr>
            <w:r w:rsidRPr="000541ED">
              <w:rPr>
                <w:sz w:val="20"/>
                <w:szCs w:val="20"/>
                <w:lang w:val="es-GT" w:eastAsia="es-GT"/>
              </w:rPr>
              <w:t>7,650.3</w:t>
            </w:r>
          </w:p>
        </w:tc>
        <w:tc>
          <w:tcPr>
            <w:tcW w:w="1842" w:type="dxa"/>
            <w:tcBorders>
              <w:top w:val="nil"/>
              <w:left w:val="nil"/>
              <w:bottom w:val="nil"/>
              <w:right w:val="single" w:sz="8" w:space="0" w:color="auto"/>
            </w:tcBorders>
            <w:shd w:val="clear" w:color="000000" w:fill="FFFFFF"/>
            <w:noWrap/>
            <w:vAlign w:val="bottom"/>
            <w:hideMark/>
          </w:tcPr>
          <w:p w:rsidR="000541ED" w:rsidRPr="000541ED" w:rsidRDefault="000541ED" w:rsidP="000541ED">
            <w:pPr>
              <w:jc w:val="center"/>
              <w:rPr>
                <w:sz w:val="20"/>
                <w:szCs w:val="20"/>
                <w:lang w:val="es-GT" w:eastAsia="es-GT"/>
              </w:rPr>
            </w:pPr>
            <w:r w:rsidRPr="000541ED">
              <w:rPr>
                <w:sz w:val="20"/>
                <w:szCs w:val="20"/>
                <w:lang w:val="es-GT" w:eastAsia="es-GT"/>
              </w:rPr>
              <w:t>7,509.1</w:t>
            </w:r>
          </w:p>
        </w:tc>
      </w:tr>
      <w:tr w:rsidR="000541ED" w:rsidRPr="000541ED" w:rsidTr="00652306">
        <w:trPr>
          <w:trHeight w:val="300"/>
        </w:trPr>
        <w:tc>
          <w:tcPr>
            <w:tcW w:w="5260" w:type="dxa"/>
            <w:tcBorders>
              <w:top w:val="nil"/>
              <w:left w:val="single" w:sz="8" w:space="0" w:color="auto"/>
              <w:bottom w:val="single" w:sz="8" w:space="0" w:color="auto"/>
              <w:right w:val="single" w:sz="4" w:space="0" w:color="auto"/>
            </w:tcBorders>
            <w:shd w:val="clear" w:color="000000" w:fill="FFFFFF"/>
            <w:noWrap/>
            <w:vAlign w:val="bottom"/>
            <w:hideMark/>
          </w:tcPr>
          <w:p w:rsidR="000541ED" w:rsidRPr="000541ED" w:rsidRDefault="000541ED" w:rsidP="006314D6">
            <w:pPr>
              <w:rPr>
                <w:sz w:val="20"/>
                <w:szCs w:val="20"/>
                <w:lang w:val="es-GT" w:eastAsia="es-GT"/>
              </w:rPr>
            </w:pPr>
            <w:r w:rsidRPr="000541ED">
              <w:rPr>
                <w:sz w:val="20"/>
                <w:szCs w:val="20"/>
                <w:lang w:val="es-GT" w:eastAsia="es-GT"/>
              </w:rPr>
              <w:t>T</w:t>
            </w:r>
            <w:r>
              <w:rPr>
                <w:sz w:val="20"/>
                <w:szCs w:val="20"/>
                <w:lang w:val="es-GT" w:eastAsia="es-GT"/>
              </w:rPr>
              <w:t xml:space="preserve">ransacciones de la Deuda </w:t>
            </w:r>
            <w:r w:rsidR="006314D6">
              <w:rPr>
                <w:sz w:val="20"/>
                <w:szCs w:val="20"/>
                <w:lang w:val="es-GT" w:eastAsia="es-GT"/>
              </w:rPr>
              <w:t>P</w:t>
            </w:r>
            <w:r>
              <w:rPr>
                <w:sz w:val="20"/>
                <w:szCs w:val="20"/>
                <w:lang w:val="es-GT" w:eastAsia="es-GT"/>
              </w:rPr>
              <w:t>ública</w:t>
            </w:r>
          </w:p>
        </w:tc>
        <w:tc>
          <w:tcPr>
            <w:tcW w:w="1985" w:type="dxa"/>
            <w:tcBorders>
              <w:top w:val="nil"/>
              <w:left w:val="nil"/>
              <w:bottom w:val="single" w:sz="8" w:space="0" w:color="auto"/>
              <w:right w:val="single" w:sz="4" w:space="0" w:color="auto"/>
            </w:tcBorders>
            <w:shd w:val="clear" w:color="000000" w:fill="FFFFFF"/>
            <w:noWrap/>
            <w:vAlign w:val="bottom"/>
            <w:hideMark/>
          </w:tcPr>
          <w:p w:rsidR="000541ED" w:rsidRPr="000541ED" w:rsidRDefault="000541ED" w:rsidP="000541ED">
            <w:pPr>
              <w:jc w:val="center"/>
              <w:rPr>
                <w:sz w:val="20"/>
                <w:szCs w:val="20"/>
                <w:lang w:val="es-GT" w:eastAsia="es-GT"/>
              </w:rPr>
            </w:pPr>
            <w:r w:rsidRPr="000541ED">
              <w:rPr>
                <w:sz w:val="20"/>
                <w:szCs w:val="20"/>
                <w:lang w:val="es-GT" w:eastAsia="es-GT"/>
              </w:rPr>
              <w:t>11,656.2</w:t>
            </w:r>
          </w:p>
        </w:tc>
        <w:tc>
          <w:tcPr>
            <w:tcW w:w="1842" w:type="dxa"/>
            <w:tcBorders>
              <w:top w:val="nil"/>
              <w:left w:val="nil"/>
              <w:bottom w:val="single" w:sz="8" w:space="0" w:color="auto"/>
              <w:right w:val="single" w:sz="8" w:space="0" w:color="auto"/>
            </w:tcBorders>
            <w:shd w:val="clear" w:color="000000" w:fill="FFFFFF"/>
            <w:noWrap/>
            <w:vAlign w:val="bottom"/>
            <w:hideMark/>
          </w:tcPr>
          <w:p w:rsidR="000541ED" w:rsidRPr="000541ED" w:rsidRDefault="000541ED" w:rsidP="000541ED">
            <w:pPr>
              <w:jc w:val="center"/>
              <w:rPr>
                <w:sz w:val="20"/>
                <w:szCs w:val="20"/>
                <w:lang w:val="es-GT" w:eastAsia="es-GT"/>
              </w:rPr>
            </w:pPr>
            <w:r w:rsidRPr="000541ED">
              <w:rPr>
                <w:sz w:val="20"/>
                <w:szCs w:val="20"/>
                <w:lang w:val="es-GT" w:eastAsia="es-GT"/>
              </w:rPr>
              <w:t>11,147.8</w:t>
            </w:r>
          </w:p>
        </w:tc>
      </w:tr>
    </w:tbl>
    <w:p w:rsidR="00171991" w:rsidRDefault="00171991" w:rsidP="00171991">
      <w:pPr>
        <w:autoSpaceDE w:val="0"/>
        <w:autoSpaceDN w:val="0"/>
        <w:adjustRightInd w:val="0"/>
        <w:jc w:val="both"/>
        <w:rPr>
          <w:sz w:val="16"/>
        </w:rPr>
      </w:pPr>
      <w:r w:rsidRPr="00663718">
        <w:rPr>
          <w:sz w:val="16"/>
        </w:rPr>
        <w:t xml:space="preserve">Fuente: </w:t>
      </w:r>
      <w:r w:rsidR="00652306">
        <w:rPr>
          <w:sz w:val="16"/>
        </w:rPr>
        <w:t>Ministerio de Finanzas Públicas</w:t>
      </w:r>
      <w:r w:rsidR="000541ED">
        <w:rPr>
          <w:sz w:val="16"/>
        </w:rPr>
        <w:t>.</w:t>
      </w:r>
    </w:p>
    <w:p w:rsidR="00171991" w:rsidRDefault="00171991" w:rsidP="00171991">
      <w:pPr>
        <w:autoSpaceDE w:val="0"/>
        <w:autoSpaceDN w:val="0"/>
        <w:adjustRightInd w:val="0"/>
        <w:jc w:val="both"/>
        <w:rPr>
          <w:b/>
        </w:rPr>
      </w:pPr>
    </w:p>
    <w:p w:rsidR="00171991" w:rsidRPr="00D845D9" w:rsidRDefault="00171991" w:rsidP="00D845D9">
      <w:pPr>
        <w:pStyle w:val="Ttulo2"/>
        <w:numPr>
          <w:ilvl w:val="1"/>
          <w:numId w:val="18"/>
        </w:numPr>
        <w:rPr>
          <w:rFonts w:ascii="Times New Roman" w:hAnsi="Times New Roman"/>
          <w:color w:val="auto"/>
          <w:sz w:val="24"/>
        </w:rPr>
      </w:pPr>
      <w:bookmarkStart w:id="42" w:name="_Toc525824420"/>
      <w:r w:rsidRPr="00D845D9">
        <w:rPr>
          <w:rFonts w:ascii="Times New Roman" w:hAnsi="Times New Roman"/>
          <w:color w:val="auto"/>
          <w:sz w:val="24"/>
        </w:rPr>
        <w:lastRenderedPageBreak/>
        <w:t xml:space="preserve">Déficit Fiscal y su </w:t>
      </w:r>
      <w:r w:rsidR="00B20C2F">
        <w:rPr>
          <w:rFonts w:ascii="Times New Roman" w:hAnsi="Times New Roman"/>
          <w:color w:val="auto"/>
          <w:sz w:val="24"/>
        </w:rPr>
        <w:t>F</w:t>
      </w:r>
      <w:r w:rsidRPr="00D845D9">
        <w:rPr>
          <w:rFonts w:ascii="Times New Roman" w:hAnsi="Times New Roman"/>
          <w:color w:val="auto"/>
          <w:sz w:val="24"/>
        </w:rPr>
        <w:t>inanciamiento</w:t>
      </w:r>
      <w:bookmarkEnd w:id="42"/>
    </w:p>
    <w:p w:rsidR="00171991" w:rsidRDefault="00171991" w:rsidP="00171991">
      <w:pPr>
        <w:autoSpaceDE w:val="0"/>
        <w:autoSpaceDN w:val="0"/>
        <w:adjustRightInd w:val="0"/>
        <w:jc w:val="both"/>
        <w:rPr>
          <w:b/>
        </w:rPr>
      </w:pPr>
    </w:p>
    <w:p w:rsidR="00171991" w:rsidRDefault="00171991" w:rsidP="00171991">
      <w:pPr>
        <w:autoSpaceDE w:val="0"/>
        <w:autoSpaceDN w:val="0"/>
        <w:adjustRightInd w:val="0"/>
        <w:jc w:val="both"/>
      </w:pPr>
      <w:r>
        <w:t>Dada la dinámica de ingresos y gastos, e</w:t>
      </w:r>
      <w:r w:rsidRPr="00264476">
        <w:t>l déficit</w:t>
      </w:r>
      <w:r>
        <w:t xml:space="preserve"> a junio de 2018</w:t>
      </w:r>
      <w:r w:rsidR="006314D6">
        <w:t xml:space="preserve"> </w:t>
      </w:r>
      <w:r>
        <w:t>se ubica en Q.659.0 millones (-0.1% del PIB). S</w:t>
      </w:r>
      <w:r w:rsidRPr="00264476">
        <w:t>e tiene contemplado</w:t>
      </w:r>
      <w:r>
        <w:t xml:space="preserve"> que el déficit </w:t>
      </w:r>
      <w:r w:rsidRPr="00264476">
        <w:t xml:space="preserve">para el cierre del año </w:t>
      </w:r>
      <w:r>
        <w:t>sea</w:t>
      </w:r>
      <w:r w:rsidRPr="00264476">
        <w:t xml:space="preserve"> de 1.</w:t>
      </w:r>
      <w:r w:rsidR="006314D6">
        <w:t>5</w:t>
      </w:r>
      <w:r w:rsidRPr="00264476">
        <w:t>%</w:t>
      </w:r>
      <w:r>
        <w:t xml:space="preserve"> contra un déficit de presupuesto de 1.8%. </w:t>
      </w:r>
    </w:p>
    <w:p w:rsidR="00171991" w:rsidRDefault="00171991" w:rsidP="00171991">
      <w:pPr>
        <w:autoSpaceDE w:val="0"/>
        <w:autoSpaceDN w:val="0"/>
        <w:adjustRightInd w:val="0"/>
        <w:jc w:val="both"/>
      </w:pPr>
    </w:p>
    <w:p w:rsidR="00171991" w:rsidRPr="00264476" w:rsidRDefault="00171991" w:rsidP="00171991">
      <w:pPr>
        <w:autoSpaceDE w:val="0"/>
        <w:autoSpaceDN w:val="0"/>
        <w:adjustRightInd w:val="0"/>
        <w:jc w:val="both"/>
      </w:pPr>
      <w:r>
        <w:t xml:space="preserve">El </w:t>
      </w:r>
      <w:r w:rsidRPr="00264476">
        <w:t>déficit</w:t>
      </w:r>
      <w:r>
        <w:t xml:space="preserve"> estimado</w:t>
      </w:r>
      <w:r w:rsidRPr="00264476">
        <w:t xml:space="preserve"> se basa en</w:t>
      </w:r>
      <w:r>
        <w:t xml:space="preserve"> el efectivo cumplimiento de</w:t>
      </w:r>
      <w:r w:rsidRPr="00264476">
        <w:t xml:space="preserve"> una serie de supuestos</w:t>
      </w:r>
      <w:r>
        <w:t>,</w:t>
      </w:r>
      <w:r w:rsidRPr="00264476">
        <w:t xml:space="preserve"> tales como</w:t>
      </w:r>
      <w:r>
        <w:t>,</w:t>
      </w:r>
      <w:r w:rsidRPr="00264476">
        <w:t xml:space="preserve"> el aumento salarial a los maestros, que se destinen y ejecuten por lo menos Q</w:t>
      </w:r>
      <w:r>
        <w:t>.</w:t>
      </w:r>
      <w:r w:rsidRPr="00264476">
        <w:t xml:space="preserve">300 millones para la reconstrucción por la erupción del </w:t>
      </w:r>
      <w:r>
        <w:t>V</w:t>
      </w:r>
      <w:r w:rsidRPr="00264476">
        <w:t>olcán de Fuego</w:t>
      </w:r>
      <w:r>
        <w:t>;</w:t>
      </w:r>
      <w:r w:rsidRPr="00264476">
        <w:t xml:space="preserve"> mejora en la ejecución de los Ministerio de Salud Pública y</w:t>
      </w:r>
      <w:r>
        <w:t xml:space="preserve"> Asistencia Social y de</w:t>
      </w:r>
      <w:r w:rsidRPr="00264476">
        <w:t xml:space="preserve"> Gobernación, principalmente en el rubro de bienes y servicios, entre otros.</w:t>
      </w:r>
    </w:p>
    <w:p w:rsidR="00171991" w:rsidRDefault="00171991" w:rsidP="00171991">
      <w:pPr>
        <w:autoSpaceDE w:val="0"/>
        <w:autoSpaceDN w:val="0"/>
        <w:adjustRightInd w:val="0"/>
        <w:jc w:val="both"/>
        <w:rPr>
          <w:b/>
        </w:rPr>
      </w:pPr>
    </w:p>
    <w:p w:rsidR="00171991" w:rsidRPr="003A7A22" w:rsidRDefault="00171991" w:rsidP="00171991">
      <w:pPr>
        <w:autoSpaceDE w:val="0"/>
        <w:autoSpaceDN w:val="0"/>
        <w:adjustRightInd w:val="0"/>
        <w:jc w:val="both"/>
      </w:pPr>
      <w:r w:rsidRPr="003A7A22">
        <w:t>En cuanto al financiamiento del déficit de presupuesto, al cierre de junio 2018 se obtuvo un flujo negativo en el endeudamiento de préstamos externos neto por el equivalente a</w:t>
      </w:r>
      <w:r>
        <w:t xml:space="preserve"> </w:t>
      </w:r>
      <w:r w:rsidRPr="003A7A22">
        <w:t>Q</w:t>
      </w:r>
      <w:r>
        <w:t>.</w:t>
      </w:r>
      <w:r w:rsidRPr="003A7A22">
        <w:t xml:space="preserve">687.6 millones, a pesar de que en lo que va del año ha mejorado el nivel de desembolsos de préstamos externos, con respecto </w:t>
      </w:r>
      <w:r>
        <w:t>de</w:t>
      </w:r>
      <w:r w:rsidRPr="003A7A22">
        <w:t xml:space="preserve"> lo observado en 2017 donde apenas se recibieron desembolsos por Q</w:t>
      </w:r>
      <w:r>
        <w:t>.</w:t>
      </w:r>
      <w:r w:rsidRPr="003A7A22">
        <w:t>87.7 millones y hasta junio estos ascienden a Q</w:t>
      </w:r>
      <w:r>
        <w:t>.</w:t>
      </w:r>
      <w:r w:rsidRPr="003A7A22">
        <w:t>519.8 millones.</w:t>
      </w:r>
    </w:p>
    <w:p w:rsidR="00171991" w:rsidRPr="003A7A22" w:rsidRDefault="00171991" w:rsidP="00171991">
      <w:pPr>
        <w:autoSpaceDE w:val="0"/>
        <w:autoSpaceDN w:val="0"/>
        <w:adjustRightInd w:val="0"/>
        <w:jc w:val="both"/>
      </w:pPr>
    </w:p>
    <w:p w:rsidR="00171991" w:rsidRPr="003A7A22" w:rsidRDefault="00171991" w:rsidP="00171991">
      <w:pPr>
        <w:autoSpaceDE w:val="0"/>
        <w:autoSpaceDN w:val="0"/>
        <w:adjustRightInd w:val="0"/>
        <w:jc w:val="both"/>
      </w:pPr>
      <w:r w:rsidRPr="003A7A22">
        <w:t>Asimismo, se han realizado varios eventos de colocación de Bonos del Tesoro los cuales</w:t>
      </w:r>
      <w:r>
        <w:t xml:space="preserve"> </w:t>
      </w:r>
      <w:r w:rsidRPr="003A7A22">
        <w:t>muestran una demanda acumulada de Q</w:t>
      </w:r>
      <w:r>
        <w:t>.</w:t>
      </w:r>
      <w:r w:rsidRPr="003A7A22">
        <w:t>21</w:t>
      </w:r>
      <w:proofErr w:type="gramStart"/>
      <w:r w:rsidRPr="003A7A22">
        <w:t>,283.7</w:t>
      </w:r>
      <w:proofErr w:type="gramEnd"/>
      <w:r>
        <w:t xml:space="preserve"> millones,</w:t>
      </w:r>
      <w:r w:rsidRPr="003A7A22">
        <w:t xml:space="preserve"> de los cuales se adjudicaron Q</w:t>
      </w:r>
      <w:r>
        <w:t>.</w:t>
      </w:r>
      <w:r w:rsidRPr="003A7A22">
        <w:t>5,194.0 millones en el mercado interno en moneda nacional.</w:t>
      </w:r>
    </w:p>
    <w:p w:rsidR="00171991" w:rsidRPr="003A7A22" w:rsidRDefault="00171991" w:rsidP="00171991">
      <w:pPr>
        <w:autoSpaceDE w:val="0"/>
        <w:autoSpaceDN w:val="0"/>
        <w:adjustRightInd w:val="0"/>
        <w:jc w:val="both"/>
      </w:pPr>
    </w:p>
    <w:p w:rsidR="00171991" w:rsidRPr="003A7A22" w:rsidRDefault="00171991" w:rsidP="00171991">
      <w:pPr>
        <w:autoSpaceDE w:val="0"/>
        <w:autoSpaceDN w:val="0"/>
        <w:adjustRightInd w:val="0"/>
        <w:jc w:val="both"/>
      </w:pPr>
      <w:r w:rsidRPr="003A7A22">
        <w:t>Derivado de lo anterior, la colocación de Bonos del Tesoro pendiente de realizar es de</w:t>
      </w:r>
      <w:r>
        <w:t xml:space="preserve"> </w:t>
      </w:r>
      <w:r w:rsidRPr="003A7A22">
        <w:t>Q</w:t>
      </w:r>
      <w:r>
        <w:t>.</w:t>
      </w:r>
      <w:r w:rsidRPr="003A7A22">
        <w:t>8</w:t>
      </w:r>
      <w:proofErr w:type="gramStart"/>
      <w:r w:rsidRPr="003A7A22">
        <w:t>,555.1</w:t>
      </w:r>
      <w:proofErr w:type="gramEnd"/>
      <w:r w:rsidRPr="003A7A22">
        <w:t xml:space="preserve"> millones, equivalente al 62.2% del total de la emisión autorizada por el Congreso de la República.</w:t>
      </w:r>
    </w:p>
    <w:p w:rsidR="00171991" w:rsidRDefault="00171991" w:rsidP="00171991">
      <w:pPr>
        <w:autoSpaceDE w:val="0"/>
        <w:autoSpaceDN w:val="0"/>
        <w:adjustRightInd w:val="0"/>
        <w:jc w:val="both"/>
        <w:rPr>
          <w:b/>
        </w:rPr>
      </w:pPr>
    </w:p>
    <w:p w:rsidR="00171991" w:rsidRPr="004122AE" w:rsidRDefault="00171991" w:rsidP="00171991">
      <w:pPr>
        <w:autoSpaceDE w:val="0"/>
        <w:autoSpaceDN w:val="0"/>
        <w:adjustRightInd w:val="0"/>
        <w:jc w:val="both"/>
      </w:pPr>
      <w:r w:rsidRPr="004122AE">
        <w:t>E</w:t>
      </w:r>
      <w:r>
        <w:t>n junio de 2018</w:t>
      </w:r>
      <w:r w:rsidRPr="004122AE">
        <w:t xml:space="preserve"> fue aprobado por el Congreso de la República un préstamo de apoyo presupuestario suscrito con el Banco Mundial por un monto de US$250 millones, equivalente aproximadamente a Q</w:t>
      </w:r>
      <w:r>
        <w:t>.</w:t>
      </w:r>
      <w:r w:rsidRPr="004122AE">
        <w:t xml:space="preserve">1,875.0 millones. De acuerdo con lo descrito </w:t>
      </w:r>
      <w:r>
        <w:t>en</w:t>
      </w:r>
      <w:r w:rsidRPr="004122AE">
        <w:t xml:space="preserve"> el artículo 73 de la Ley Orgánica del Presupuesto, </w:t>
      </w:r>
      <w:r w:rsidR="006314D6">
        <w:t xml:space="preserve">Decreto No. 101-97 del Congreso de la República, </w:t>
      </w:r>
      <w:r w:rsidRPr="004122AE">
        <w:t>se faculta al Ministerio de Finanzas</w:t>
      </w:r>
      <w:r>
        <w:t xml:space="preserve"> Públicas</w:t>
      </w:r>
      <w:r w:rsidRPr="004122AE">
        <w:t xml:space="preserve"> para que pueda incorporar los préstamos de apoyo presupuestario con los </w:t>
      </w:r>
      <w:r>
        <w:t>o</w:t>
      </w:r>
      <w:r w:rsidRPr="004122AE">
        <w:t xml:space="preserve">rganismos </w:t>
      </w:r>
      <w:r>
        <w:t>f</w:t>
      </w:r>
      <w:r w:rsidRPr="004122AE">
        <w:t xml:space="preserve">inancieros </w:t>
      </w:r>
      <w:r>
        <w:t>i</w:t>
      </w:r>
      <w:r w:rsidRPr="004122AE">
        <w:t xml:space="preserve">nternacionales, al </w:t>
      </w:r>
      <w:r>
        <w:t>P</w:t>
      </w:r>
      <w:r w:rsidRPr="004122AE">
        <w:t xml:space="preserve">resupuesto </w:t>
      </w:r>
      <w:r>
        <w:t>G</w:t>
      </w:r>
      <w:r w:rsidRPr="004122AE">
        <w:t xml:space="preserve">eneral de </w:t>
      </w:r>
      <w:r>
        <w:t>I</w:t>
      </w:r>
      <w:r w:rsidRPr="004122AE">
        <w:t xml:space="preserve">ngresos y </w:t>
      </w:r>
      <w:r>
        <w:t>E</w:t>
      </w:r>
      <w:r w:rsidRPr="004122AE">
        <w:t>gresos del Estado, y finalizado su proceso de aprobación en el Congreso</w:t>
      </w:r>
      <w:r>
        <w:t xml:space="preserve"> de la República</w:t>
      </w:r>
      <w:r w:rsidRPr="004122AE">
        <w:t xml:space="preserve">, </w:t>
      </w:r>
      <w:r>
        <w:t xml:space="preserve">se </w:t>
      </w:r>
      <w:r w:rsidRPr="004122AE">
        <w:t xml:space="preserve">sustituye el espacio presupuestario de colocación de bonos a préstamos externos. </w:t>
      </w:r>
    </w:p>
    <w:p w:rsidR="00171991" w:rsidRPr="004122AE" w:rsidRDefault="00171991" w:rsidP="00171991">
      <w:pPr>
        <w:autoSpaceDE w:val="0"/>
        <w:autoSpaceDN w:val="0"/>
        <w:adjustRightInd w:val="0"/>
        <w:jc w:val="both"/>
      </w:pPr>
    </w:p>
    <w:p w:rsidR="00171991" w:rsidRPr="004122AE" w:rsidRDefault="00171991" w:rsidP="00171991">
      <w:pPr>
        <w:autoSpaceDE w:val="0"/>
        <w:autoSpaceDN w:val="0"/>
        <w:adjustRightInd w:val="0"/>
        <w:jc w:val="both"/>
      </w:pPr>
      <w:r w:rsidRPr="004122AE">
        <w:t>Del monto de los Q</w:t>
      </w:r>
      <w:r>
        <w:t>.</w:t>
      </w:r>
      <w:r w:rsidRPr="004122AE">
        <w:t>1</w:t>
      </w:r>
      <w:proofErr w:type="gramStart"/>
      <w:r w:rsidRPr="004122AE">
        <w:t>,875</w:t>
      </w:r>
      <w:proofErr w:type="gramEnd"/>
      <w:r w:rsidRPr="004122AE">
        <w:t xml:space="preserve"> millones, se tiene previsto que alrededor de Q</w:t>
      </w:r>
      <w:r>
        <w:t>.</w:t>
      </w:r>
      <w:r w:rsidRPr="004122AE">
        <w:t xml:space="preserve">580 millones se </w:t>
      </w:r>
      <w:r w:rsidR="00AC3CC7" w:rsidRPr="004122AE">
        <w:t>destinen</w:t>
      </w:r>
      <w:r w:rsidRPr="004122AE">
        <w:t xml:space="preserve"> a instituciones públicas relacionadas directamente con la catástrofe del Volcán de Fuego. Adicionalmente, con este préstamo se reducen las posibilidades de salir al mercado internacional con un Eurobono.</w:t>
      </w:r>
    </w:p>
    <w:p w:rsidR="00171991" w:rsidRDefault="00171991" w:rsidP="00171991">
      <w:pPr>
        <w:autoSpaceDE w:val="0"/>
        <w:autoSpaceDN w:val="0"/>
        <w:adjustRightInd w:val="0"/>
        <w:jc w:val="both"/>
        <w:rPr>
          <w:b/>
        </w:rPr>
      </w:pPr>
    </w:p>
    <w:p w:rsidR="00171991" w:rsidRDefault="00171991" w:rsidP="00171991">
      <w:pPr>
        <w:autoSpaceDE w:val="0"/>
        <w:autoSpaceDN w:val="0"/>
        <w:adjustRightInd w:val="0"/>
        <w:jc w:val="both"/>
        <w:rPr>
          <w:b/>
        </w:rPr>
      </w:pPr>
    </w:p>
    <w:p w:rsidR="00171991" w:rsidRPr="00D845D9" w:rsidRDefault="00171991" w:rsidP="00D845D9">
      <w:pPr>
        <w:pStyle w:val="Ttulo2"/>
        <w:numPr>
          <w:ilvl w:val="1"/>
          <w:numId w:val="18"/>
        </w:numPr>
        <w:rPr>
          <w:rFonts w:ascii="Times New Roman" w:hAnsi="Times New Roman"/>
          <w:color w:val="auto"/>
          <w:sz w:val="24"/>
        </w:rPr>
      </w:pPr>
      <w:bookmarkStart w:id="43" w:name="_Toc525824421"/>
      <w:r w:rsidRPr="00D845D9">
        <w:rPr>
          <w:rFonts w:ascii="Times New Roman" w:hAnsi="Times New Roman"/>
          <w:color w:val="auto"/>
          <w:sz w:val="24"/>
        </w:rPr>
        <w:t>Deuda Pública</w:t>
      </w:r>
      <w:bookmarkEnd w:id="43"/>
    </w:p>
    <w:p w:rsidR="00171991" w:rsidRDefault="00171991" w:rsidP="00171991">
      <w:pPr>
        <w:autoSpaceDE w:val="0"/>
        <w:autoSpaceDN w:val="0"/>
        <w:adjustRightInd w:val="0"/>
        <w:jc w:val="both"/>
      </w:pPr>
    </w:p>
    <w:p w:rsidR="00171991" w:rsidRDefault="00171991" w:rsidP="00171991">
      <w:pPr>
        <w:autoSpaceDE w:val="0"/>
        <w:autoSpaceDN w:val="0"/>
        <w:adjustRightInd w:val="0"/>
        <w:jc w:val="both"/>
      </w:pPr>
      <w:r>
        <w:t>La deuda pública en 2017 reportó un saldo de Q.132</w:t>
      </w:r>
      <w:proofErr w:type="gramStart"/>
      <w:r>
        <w:t>,288.8</w:t>
      </w:r>
      <w:proofErr w:type="gramEnd"/>
      <w:r>
        <w:t xml:space="preserve"> millones, de los cuales, por estructura de origen, el 54.6% correspondió a deuda interna y 45.4% a deuda externa. </w:t>
      </w:r>
      <w:r>
        <w:lastRenderedPageBreak/>
        <w:t xml:space="preserve">Respecto de la estructura por moneda, el 50.1% correspondió a moneda nacional y 49.9% a moneda extranjera. </w:t>
      </w:r>
    </w:p>
    <w:p w:rsidR="00171991" w:rsidRDefault="00171991" w:rsidP="00171991">
      <w:pPr>
        <w:autoSpaceDE w:val="0"/>
        <w:autoSpaceDN w:val="0"/>
        <w:adjustRightInd w:val="0"/>
        <w:jc w:val="both"/>
      </w:pPr>
    </w:p>
    <w:p w:rsidR="00171991" w:rsidRDefault="00171991" w:rsidP="00171991">
      <w:pPr>
        <w:autoSpaceDE w:val="0"/>
        <w:autoSpaceDN w:val="0"/>
        <w:adjustRightInd w:val="0"/>
        <w:jc w:val="both"/>
      </w:pPr>
      <w:r>
        <w:t>De acuerdo con la estimación de cierre del presente año, se espera que el saldo de la deuda pública crezca en Q.11</w:t>
      </w:r>
      <w:proofErr w:type="gramStart"/>
      <w:r>
        <w:t>,423.3</w:t>
      </w:r>
      <w:proofErr w:type="gramEnd"/>
      <w:r>
        <w:t xml:space="preserve"> millones (8.6%) y la estructura de origen de deuda y tipo de moneda se mantenga sin mayores variaciones respecto de lo programado en el presupuesto. No obstante, con relación al cierre observado en 2017,  se considera que la estructura de la deuda interna aumentaría en 2.5%, esto como resultado que la deuda interna en los últimos años ha pasado a ser proporcionalmente más representativa que la deuda externa. A partir de 2011, se observa este cambio, cuando la deuda interna (51.0%) superó por primera v</w:t>
      </w:r>
      <w:r w:rsidR="006314D6">
        <w:t>ez a la deuda externa (49.0%).</w:t>
      </w:r>
    </w:p>
    <w:p w:rsidR="00171991" w:rsidRDefault="00171991" w:rsidP="00171991">
      <w:pPr>
        <w:autoSpaceDE w:val="0"/>
        <w:autoSpaceDN w:val="0"/>
        <w:adjustRightInd w:val="0"/>
        <w:jc w:val="both"/>
      </w:pPr>
    </w:p>
    <w:p w:rsidR="00171991" w:rsidRDefault="00171991" w:rsidP="00171991">
      <w:pPr>
        <w:autoSpaceDE w:val="0"/>
        <w:autoSpaceDN w:val="0"/>
        <w:adjustRightInd w:val="0"/>
        <w:jc w:val="both"/>
      </w:pPr>
      <w:r>
        <w:t xml:space="preserve">Respecto de la deuda pública externa, ésta es contratada en su mayoría con organismos multilaterales. En general esta deuda se contrata en dólares estadounidenses. Una de las razones por las cuales la deuda interna supera a la externa se da por la dificultad de ir al Congreso de la República a aprobar nuevas operaciones de endeudamiento a través de préstamos. De esa cuenta, al cobrar mayor relevancia la deuda interna, por composición de moneda, el Quetzal tiene mayor peso y, por lo tanto, el riesgo cambiario ha disminuido. </w:t>
      </w:r>
    </w:p>
    <w:p w:rsidR="00171991" w:rsidRDefault="00171991" w:rsidP="00171991">
      <w:pPr>
        <w:autoSpaceDE w:val="0"/>
        <w:autoSpaceDN w:val="0"/>
        <w:adjustRightInd w:val="0"/>
        <w:jc w:val="both"/>
      </w:pPr>
    </w:p>
    <w:p w:rsidR="00171991" w:rsidRDefault="00171991" w:rsidP="00171991">
      <w:pPr>
        <w:autoSpaceDE w:val="0"/>
        <w:autoSpaceDN w:val="0"/>
        <w:adjustRightInd w:val="0"/>
        <w:jc w:val="both"/>
      </w:pPr>
      <w:r>
        <w:t>Con relación a la deuda respecto del PIB, se espera que cierre en 24.1%, igual valor al establecido en el presupuesto y con un pequeño incremento de 0.3%, respecto del valor de cierre de 2017 (23.8% del PIB). El nivel de deuda pública respecto del PIB muestra que Guatemala aún goza de un margen amplio de endeudamiento, de acuerdo a los lineamientos establecidos por organismos internacionales para países con las características de Guatemala (40.0% del PIB).</w:t>
      </w:r>
    </w:p>
    <w:p w:rsidR="00D065BE" w:rsidRDefault="00D065BE" w:rsidP="00171991">
      <w:pPr>
        <w:autoSpaceDE w:val="0"/>
        <w:autoSpaceDN w:val="0"/>
        <w:adjustRightInd w:val="0"/>
        <w:jc w:val="both"/>
        <w:rPr>
          <w:sz w:val="18"/>
        </w:rPr>
      </w:pPr>
    </w:p>
    <w:p w:rsidR="00806DD8" w:rsidRDefault="00806DD8" w:rsidP="00171991">
      <w:pPr>
        <w:autoSpaceDE w:val="0"/>
        <w:autoSpaceDN w:val="0"/>
        <w:adjustRightInd w:val="0"/>
        <w:jc w:val="both"/>
        <w:rPr>
          <w:sz w:val="18"/>
        </w:rPr>
      </w:pPr>
    </w:p>
    <w:p w:rsidR="00D065BE" w:rsidRPr="0088577C" w:rsidRDefault="00D065BE" w:rsidP="00D065BE">
      <w:pPr>
        <w:jc w:val="center"/>
        <w:rPr>
          <w:b/>
          <w:sz w:val="22"/>
          <w:lang w:val="es-MX"/>
        </w:rPr>
      </w:pPr>
      <w:r w:rsidRPr="0088577C">
        <w:rPr>
          <w:b/>
          <w:sz w:val="22"/>
          <w:lang w:val="es-MX"/>
        </w:rPr>
        <w:t xml:space="preserve">Cuadro </w:t>
      </w:r>
      <w:r>
        <w:rPr>
          <w:b/>
          <w:sz w:val="22"/>
          <w:lang w:val="es-MX"/>
        </w:rPr>
        <w:t>15</w:t>
      </w:r>
    </w:p>
    <w:p w:rsidR="00D065BE" w:rsidRPr="0088577C" w:rsidRDefault="00D065BE" w:rsidP="00D065BE">
      <w:pPr>
        <w:jc w:val="center"/>
        <w:rPr>
          <w:b/>
          <w:sz w:val="22"/>
          <w:lang w:val="es-MX"/>
        </w:rPr>
      </w:pPr>
      <w:r>
        <w:rPr>
          <w:b/>
          <w:sz w:val="22"/>
          <w:lang w:val="es-MX"/>
        </w:rPr>
        <w:t>Deuda Pública</w:t>
      </w:r>
    </w:p>
    <w:p w:rsidR="00D065BE" w:rsidRPr="0088577C" w:rsidRDefault="00D065BE" w:rsidP="00D065BE">
      <w:pPr>
        <w:jc w:val="center"/>
        <w:rPr>
          <w:b/>
          <w:sz w:val="22"/>
          <w:lang w:val="es-MX"/>
        </w:rPr>
      </w:pPr>
      <w:r>
        <w:rPr>
          <w:b/>
          <w:sz w:val="22"/>
          <w:lang w:val="es-MX"/>
        </w:rPr>
        <w:t>Observado en 2017 y Estimación de Cierre 2018</w:t>
      </w:r>
    </w:p>
    <w:p w:rsidR="00D065BE" w:rsidRDefault="00D065BE" w:rsidP="00D065BE">
      <w:pPr>
        <w:pStyle w:val="Prrafodelista"/>
        <w:jc w:val="center"/>
        <w:rPr>
          <w:sz w:val="16"/>
        </w:rPr>
      </w:pPr>
      <w:r w:rsidRPr="0088577C">
        <w:rPr>
          <w:b/>
          <w:sz w:val="22"/>
          <w:lang w:val="es-MX"/>
        </w:rPr>
        <w:t xml:space="preserve">(Cifras en </w:t>
      </w:r>
      <w:r>
        <w:rPr>
          <w:b/>
          <w:sz w:val="22"/>
          <w:lang w:val="es-MX"/>
        </w:rPr>
        <w:t>Porcentajes</w:t>
      </w:r>
      <w:r w:rsidRPr="0088577C">
        <w:rPr>
          <w:b/>
          <w:sz w:val="22"/>
          <w:lang w:val="es-MX"/>
        </w:rPr>
        <w:t>)</w:t>
      </w:r>
    </w:p>
    <w:tbl>
      <w:tblPr>
        <w:tblW w:w="8804" w:type="dxa"/>
        <w:tblInd w:w="55" w:type="dxa"/>
        <w:tblCellMar>
          <w:left w:w="70" w:type="dxa"/>
          <w:right w:w="70" w:type="dxa"/>
        </w:tblCellMar>
        <w:tblLook w:val="04A0" w:firstRow="1" w:lastRow="0" w:firstColumn="1" w:lastColumn="0" w:noHBand="0" w:noVBand="1"/>
      </w:tblPr>
      <w:tblGrid>
        <w:gridCol w:w="3480"/>
        <w:gridCol w:w="1840"/>
        <w:gridCol w:w="1692"/>
        <w:gridCol w:w="1792"/>
      </w:tblGrid>
      <w:tr w:rsidR="00D065BE" w:rsidRPr="00D065BE" w:rsidTr="00D065BE">
        <w:trPr>
          <w:trHeight w:val="315"/>
        </w:trPr>
        <w:tc>
          <w:tcPr>
            <w:tcW w:w="3480" w:type="dxa"/>
            <w:tcBorders>
              <w:top w:val="nil"/>
              <w:left w:val="nil"/>
              <w:bottom w:val="nil"/>
              <w:right w:val="single" w:sz="8" w:space="0" w:color="auto"/>
            </w:tcBorders>
            <w:shd w:val="clear" w:color="auto" w:fill="auto"/>
            <w:vAlign w:val="center"/>
            <w:hideMark/>
          </w:tcPr>
          <w:p w:rsidR="00D065BE" w:rsidRPr="00D065BE" w:rsidRDefault="00D065BE" w:rsidP="00D065BE">
            <w:pPr>
              <w:rPr>
                <w:b/>
                <w:bCs/>
                <w:color w:val="FFFFFF"/>
                <w:sz w:val="20"/>
                <w:szCs w:val="20"/>
                <w:lang w:val="es-GT" w:eastAsia="es-GT"/>
              </w:rPr>
            </w:pPr>
            <w:r w:rsidRPr="00D065BE">
              <w:rPr>
                <w:b/>
                <w:bCs/>
                <w:color w:val="FFFFFF"/>
                <w:sz w:val="20"/>
                <w:szCs w:val="20"/>
                <w:lang w:val="es-GT" w:eastAsia="es-GT"/>
              </w:rPr>
              <w:t> </w:t>
            </w:r>
          </w:p>
        </w:tc>
        <w:tc>
          <w:tcPr>
            <w:tcW w:w="1840" w:type="dxa"/>
            <w:tcBorders>
              <w:top w:val="single" w:sz="8" w:space="0" w:color="auto"/>
              <w:left w:val="single" w:sz="8" w:space="0" w:color="auto"/>
              <w:bottom w:val="nil"/>
              <w:right w:val="single" w:sz="4" w:space="0" w:color="auto"/>
            </w:tcBorders>
            <w:shd w:val="clear" w:color="000000" w:fill="366092"/>
            <w:noWrap/>
            <w:vAlign w:val="center"/>
            <w:hideMark/>
          </w:tcPr>
          <w:p w:rsidR="00D065BE" w:rsidRPr="00D065BE" w:rsidRDefault="006314D6" w:rsidP="006314D6">
            <w:pPr>
              <w:jc w:val="center"/>
              <w:rPr>
                <w:b/>
                <w:bCs/>
                <w:color w:val="FFFFFF"/>
                <w:sz w:val="20"/>
                <w:szCs w:val="20"/>
                <w:lang w:val="es-GT" w:eastAsia="es-GT"/>
              </w:rPr>
            </w:pPr>
            <w:r>
              <w:rPr>
                <w:b/>
                <w:bCs/>
                <w:color w:val="FFFFFF"/>
                <w:sz w:val="20"/>
                <w:szCs w:val="20"/>
                <w:lang w:val="es-GT" w:eastAsia="es-GT"/>
              </w:rPr>
              <w:t>Observado</w:t>
            </w:r>
          </w:p>
        </w:tc>
        <w:tc>
          <w:tcPr>
            <w:tcW w:w="3484" w:type="dxa"/>
            <w:gridSpan w:val="2"/>
            <w:tcBorders>
              <w:top w:val="single" w:sz="8" w:space="0" w:color="auto"/>
              <w:left w:val="nil"/>
              <w:bottom w:val="single" w:sz="4" w:space="0" w:color="auto"/>
              <w:right w:val="single" w:sz="8" w:space="0" w:color="000000"/>
            </w:tcBorders>
            <w:shd w:val="clear" w:color="000000" w:fill="366092"/>
            <w:noWrap/>
            <w:vAlign w:val="center"/>
            <w:hideMark/>
          </w:tcPr>
          <w:p w:rsidR="00D065BE" w:rsidRPr="00D065BE" w:rsidRDefault="00D065BE" w:rsidP="00D065BE">
            <w:pPr>
              <w:jc w:val="center"/>
              <w:rPr>
                <w:b/>
                <w:bCs/>
                <w:color w:val="FFFFFF"/>
                <w:sz w:val="20"/>
                <w:szCs w:val="20"/>
                <w:lang w:val="es-GT" w:eastAsia="es-GT"/>
              </w:rPr>
            </w:pPr>
            <w:r w:rsidRPr="00D065BE">
              <w:rPr>
                <w:b/>
                <w:bCs/>
                <w:color w:val="FFFFFF"/>
                <w:sz w:val="20"/>
                <w:szCs w:val="20"/>
                <w:lang w:val="es-GT" w:eastAsia="es-GT"/>
              </w:rPr>
              <w:t>2018</w:t>
            </w:r>
          </w:p>
        </w:tc>
      </w:tr>
      <w:tr w:rsidR="00D065BE" w:rsidRPr="00D065BE" w:rsidTr="00D065BE">
        <w:trPr>
          <w:trHeight w:val="330"/>
        </w:trPr>
        <w:tc>
          <w:tcPr>
            <w:tcW w:w="3480" w:type="dxa"/>
            <w:tcBorders>
              <w:top w:val="nil"/>
              <w:left w:val="nil"/>
              <w:bottom w:val="nil"/>
              <w:right w:val="single" w:sz="8" w:space="0" w:color="auto"/>
            </w:tcBorders>
            <w:shd w:val="clear" w:color="auto" w:fill="auto"/>
            <w:vAlign w:val="center"/>
            <w:hideMark/>
          </w:tcPr>
          <w:p w:rsidR="00D065BE" w:rsidRPr="00D065BE" w:rsidRDefault="00D065BE" w:rsidP="00D065BE">
            <w:pPr>
              <w:rPr>
                <w:b/>
                <w:bCs/>
                <w:color w:val="FFFFFF"/>
                <w:sz w:val="20"/>
                <w:szCs w:val="20"/>
                <w:lang w:val="es-GT" w:eastAsia="es-GT"/>
              </w:rPr>
            </w:pPr>
            <w:r w:rsidRPr="00D065BE">
              <w:rPr>
                <w:b/>
                <w:bCs/>
                <w:color w:val="FFFFFF"/>
                <w:sz w:val="20"/>
                <w:szCs w:val="20"/>
                <w:lang w:val="es-GT" w:eastAsia="es-GT"/>
              </w:rPr>
              <w:t> </w:t>
            </w:r>
          </w:p>
        </w:tc>
        <w:tc>
          <w:tcPr>
            <w:tcW w:w="1840" w:type="dxa"/>
            <w:tcBorders>
              <w:top w:val="nil"/>
              <w:left w:val="nil"/>
              <w:bottom w:val="nil"/>
              <w:right w:val="single" w:sz="4" w:space="0" w:color="auto"/>
            </w:tcBorders>
            <w:shd w:val="clear" w:color="000000" w:fill="366092"/>
            <w:noWrap/>
            <w:vAlign w:val="center"/>
            <w:hideMark/>
          </w:tcPr>
          <w:p w:rsidR="00D065BE" w:rsidRPr="00D065BE" w:rsidRDefault="006314D6" w:rsidP="006314D6">
            <w:pPr>
              <w:jc w:val="center"/>
              <w:rPr>
                <w:b/>
                <w:bCs/>
                <w:color w:val="FFFFFF"/>
                <w:sz w:val="20"/>
                <w:szCs w:val="20"/>
                <w:lang w:val="es-GT" w:eastAsia="es-GT"/>
              </w:rPr>
            </w:pPr>
            <w:r>
              <w:rPr>
                <w:b/>
                <w:bCs/>
                <w:color w:val="FFFFFF"/>
                <w:sz w:val="20"/>
                <w:szCs w:val="20"/>
                <w:lang w:val="es-GT" w:eastAsia="es-GT"/>
              </w:rPr>
              <w:t>2017</w:t>
            </w:r>
          </w:p>
        </w:tc>
        <w:tc>
          <w:tcPr>
            <w:tcW w:w="1692" w:type="dxa"/>
            <w:tcBorders>
              <w:top w:val="nil"/>
              <w:left w:val="single" w:sz="4" w:space="0" w:color="auto"/>
              <w:bottom w:val="nil"/>
              <w:right w:val="single" w:sz="4" w:space="0" w:color="auto"/>
            </w:tcBorders>
            <w:shd w:val="clear" w:color="000000" w:fill="366092"/>
            <w:noWrap/>
            <w:vAlign w:val="center"/>
            <w:hideMark/>
          </w:tcPr>
          <w:p w:rsidR="00D065BE" w:rsidRPr="00D065BE" w:rsidRDefault="00D065BE" w:rsidP="00D065BE">
            <w:pPr>
              <w:jc w:val="center"/>
              <w:rPr>
                <w:b/>
                <w:bCs/>
                <w:color w:val="FFFFFF"/>
                <w:sz w:val="20"/>
                <w:szCs w:val="20"/>
                <w:lang w:val="es-GT" w:eastAsia="es-GT"/>
              </w:rPr>
            </w:pPr>
            <w:r w:rsidRPr="00D065BE">
              <w:rPr>
                <w:b/>
                <w:bCs/>
                <w:color w:val="FFFFFF"/>
                <w:sz w:val="20"/>
                <w:szCs w:val="20"/>
                <w:lang w:val="es-GT" w:eastAsia="es-GT"/>
              </w:rPr>
              <w:t xml:space="preserve">Presupuesto </w:t>
            </w:r>
          </w:p>
        </w:tc>
        <w:tc>
          <w:tcPr>
            <w:tcW w:w="1792" w:type="dxa"/>
            <w:tcBorders>
              <w:top w:val="nil"/>
              <w:left w:val="nil"/>
              <w:bottom w:val="nil"/>
              <w:right w:val="single" w:sz="8" w:space="0" w:color="auto"/>
            </w:tcBorders>
            <w:shd w:val="clear" w:color="000000" w:fill="366092"/>
            <w:vAlign w:val="center"/>
            <w:hideMark/>
          </w:tcPr>
          <w:p w:rsidR="00D065BE" w:rsidRPr="00D065BE" w:rsidRDefault="00D065BE" w:rsidP="00D065BE">
            <w:pPr>
              <w:jc w:val="center"/>
              <w:rPr>
                <w:b/>
                <w:bCs/>
                <w:color w:val="FFFFFF"/>
                <w:sz w:val="20"/>
                <w:szCs w:val="20"/>
                <w:lang w:val="es-GT" w:eastAsia="es-GT"/>
              </w:rPr>
            </w:pPr>
            <w:r w:rsidRPr="00D065BE">
              <w:rPr>
                <w:b/>
                <w:bCs/>
                <w:color w:val="FFFFFF"/>
                <w:sz w:val="20"/>
                <w:szCs w:val="20"/>
                <w:lang w:val="es-GT" w:eastAsia="es-GT"/>
              </w:rPr>
              <w:t>Estimación</w:t>
            </w:r>
          </w:p>
        </w:tc>
      </w:tr>
      <w:tr w:rsidR="00D065BE" w:rsidRPr="00D065BE" w:rsidTr="006314D6">
        <w:trPr>
          <w:trHeight w:val="667"/>
        </w:trPr>
        <w:tc>
          <w:tcPr>
            <w:tcW w:w="3480" w:type="dxa"/>
            <w:tcBorders>
              <w:top w:val="single" w:sz="8" w:space="0" w:color="auto"/>
              <w:left w:val="single" w:sz="8" w:space="0" w:color="auto"/>
              <w:bottom w:val="nil"/>
              <w:right w:val="single" w:sz="4" w:space="0" w:color="auto"/>
            </w:tcBorders>
            <w:shd w:val="clear" w:color="auto" w:fill="auto"/>
            <w:vAlign w:val="center"/>
            <w:hideMark/>
          </w:tcPr>
          <w:p w:rsidR="00D065BE" w:rsidRDefault="00D065BE" w:rsidP="00D065BE">
            <w:pPr>
              <w:rPr>
                <w:b/>
                <w:bCs/>
                <w:sz w:val="20"/>
                <w:szCs w:val="20"/>
                <w:lang w:val="es-GT" w:eastAsia="es-GT"/>
              </w:rPr>
            </w:pPr>
            <w:r w:rsidRPr="00D065BE">
              <w:rPr>
                <w:b/>
                <w:bCs/>
                <w:sz w:val="20"/>
                <w:szCs w:val="20"/>
                <w:lang w:val="es-GT" w:eastAsia="es-GT"/>
              </w:rPr>
              <w:t>Saldo de</w:t>
            </w:r>
            <w:r w:rsidR="006314D6">
              <w:rPr>
                <w:b/>
                <w:bCs/>
                <w:sz w:val="20"/>
                <w:szCs w:val="20"/>
                <w:lang w:val="es-GT" w:eastAsia="es-GT"/>
              </w:rPr>
              <w:t xml:space="preserve"> la</w:t>
            </w:r>
            <w:r w:rsidRPr="00D065BE">
              <w:rPr>
                <w:b/>
                <w:bCs/>
                <w:sz w:val="20"/>
                <w:szCs w:val="20"/>
                <w:lang w:val="es-GT" w:eastAsia="es-GT"/>
              </w:rPr>
              <w:t xml:space="preserve"> Deuda Pública</w:t>
            </w:r>
          </w:p>
          <w:p w:rsidR="00D065BE" w:rsidRPr="00D065BE" w:rsidRDefault="00D065BE" w:rsidP="00D065BE">
            <w:pPr>
              <w:rPr>
                <w:b/>
                <w:bCs/>
                <w:sz w:val="20"/>
                <w:szCs w:val="20"/>
                <w:lang w:val="es-GT" w:eastAsia="es-GT"/>
              </w:rPr>
            </w:pPr>
            <w:r>
              <w:rPr>
                <w:b/>
                <w:bCs/>
                <w:sz w:val="20"/>
                <w:szCs w:val="20"/>
                <w:lang w:val="es-GT" w:eastAsia="es-GT"/>
              </w:rPr>
              <w:t>(en Millones de Quetzales)</w:t>
            </w:r>
          </w:p>
        </w:tc>
        <w:tc>
          <w:tcPr>
            <w:tcW w:w="1840" w:type="dxa"/>
            <w:tcBorders>
              <w:top w:val="single" w:sz="8" w:space="0" w:color="auto"/>
              <w:left w:val="nil"/>
              <w:bottom w:val="nil"/>
              <w:right w:val="single" w:sz="4" w:space="0" w:color="auto"/>
            </w:tcBorders>
            <w:shd w:val="clear" w:color="auto" w:fill="auto"/>
            <w:noWrap/>
            <w:vAlign w:val="center"/>
            <w:hideMark/>
          </w:tcPr>
          <w:p w:rsidR="00D065BE" w:rsidRPr="006314D6" w:rsidRDefault="00D065BE" w:rsidP="006314D6">
            <w:pPr>
              <w:jc w:val="center"/>
              <w:rPr>
                <w:b/>
                <w:bCs/>
                <w:color w:val="000000"/>
                <w:sz w:val="22"/>
                <w:szCs w:val="20"/>
                <w:lang w:val="es-GT" w:eastAsia="es-GT"/>
              </w:rPr>
            </w:pPr>
          </w:p>
          <w:p w:rsidR="00D065BE" w:rsidRPr="00D065BE" w:rsidRDefault="00D065BE" w:rsidP="006314D6">
            <w:pPr>
              <w:jc w:val="center"/>
              <w:rPr>
                <w:b/>
                <w:bCs/>
                <w:color w:val="000000"/>
                <w:sz w:val="20"/>
                <w:szCs w:val="20"/>
                <w:lang w:val="es-GT" w:eastAsia="es-GT"/>
              </w:rPr>
            </w:pPr>
            <w:r w:rsidRPr="00D065BE">
              <w:rPr>
                <w:b/>
                <w:bCs/>
                <w:color w:val="000000"/>
                <w:sz w:val="20"/>
                <w:szCs w:val="20"/>
                <w:lang w:val="es-GT" w:eastAsia="es-GT"/>
              </w:rPr>
              <w:t>132,288.80</w:t>
            </w:r>
          </w:p>
        </w:tc>
        <w:tc>
          <w:tcPr>
            <w:tcW w:w="1692" w:type="dxa"/>
            <w:tcBorders>
              <w:top w:val="single" w:sz="8" w:space="0" w:color="auto"/>
              <w:left w:val="nil"/>
              <w:bottom w:val="nil"/>
              <w:right w:val="single" w:sz="4" w:space="0" w:color="auto"/>
            </w:tcBorders>
            <w:shd w:val="clear" w:color="auto" w:fill="auto"/>
            <w:noWrap/>
            <w:vAlign w:val="center"/>
            <w:hideMark/>
          </w:tcPr>
          <w:p w:rsidR="00D065BE" w:rsidRPr="006314D6" w:rsidRDefault="00D065BE" w:rsidP="006314D6">
            <w:pPr>
              <w:jc w:val="center"/>
              <w:rPr>
                <w:b/>
                <w:bCs/>
                <w:color w:val="000000"/>
                <w:sz w:val="22"/>
                <w:szCs w:val="20"/>
                <w:lang w:val="es-GT" w:eastAsia="es-GT"/>
              </w:rPr>
            </w:pPr>
          </w:p>
          <w:p w:rsidR="00D065BE" w:rsidRPr="00D065BE" w:rsidRDefault="00D065BE" w:rsidP="006314D6">
            <w:pPr>
              <w:jc w:val="center"/>
              <w:rPr>
                <w:b/>
                <w:bCs/>
                <w:color w:val="000000"/>
                <w:sz w:val="20"/>
                <w:szCs w:val="20"/>
                <w:lang w:val="es-GT" w:eastAsia="es-GT"/>
              </w:rPr>
            </w:pPr>
            <w:r w:rsidRPr="00D065BE">
              <w:rPr>
                <w:b/>
                <w:bCs/>
                <w:color w:val="000000"/>
                <w:sz w:val="20"/>
                <w:szCs w:val="20"/>
                <w:lang w:val="es-GT" w:eastAsia="es-GT"/>
              </w:rPr>
              <w:t>143,797.10</w:t>
            </w:r>
          </w:p>
        </w:tc>
        <w:tc>
          <w:tcPr>
            <w:tcW w:w="1792" w:type="dxa"/>
            <w:tcBorders>
              <w:top w:val="single" w:sz="8" w:space="0" w:color="auto"/>
              <w:left w:val="nil"/>
              <w:bottom w:val="nil"/>
              <w:right w:val="single" w:sz="8" w:space="0" w:color="auto"/>
            </w:tcBorders>
            <w:shd w:val="clear" w:color="auto" w:fill="auto"/>
            <w:noWrap/>
            <w:vAlign w:val="center"/>
            <w:hideMark/>
          </w:tcPr>
          <w:p w:rsidR="00D065BE" w:rsidRPr="006314D6" w:rsidRDefault="00D065BE" w:rsidP="006314D6">
            <w:pPr>
              <w:jc w:val="center"/>
              <w:rPr>
                <w:b/>
                <w:bCs/>
                <w:color w:val="000000"/>
                <w:sz w:val="22"/>
                <w:szCs w:val="20"/>
                <w:lang w:val="es-GT" w:eastAsia="es-GT"/>
              </w:rPr>
            </w:pPr>
          </w:p>
          <w:p w:rsidR="00D065BE" w:rsidRPr="00D065BE" w:rsidRDefault="00D065BE" w:rsidP="006314D6">
            <w:pPr>
              <w:jc w:val="center"/>
              <w:rPr>
                <w:b/>
                <w:bCs/>
                <w:color w:val="000000"/>
                <w:sz w:val="20"/>
                <w:szCs w:val="20"/>
                <w:lang w:val="es-GT" w:eastAsia="es-GT"/>
              </w:rPr>
            </w:pPr>
            <w:r w:rsidRPr="00D065BE">
              <w:rPr>
                <w:b/>
                <w:bCs/>
                <w:color w:val="000000"/>
                <w:sz w:val="20"/>
                <w:szCs w:val="20"/>
                <w:lang w:val="es-GT" w:eastAsia="es-GT"/>
              </w:rPr>
              <w:t>143,712.10</w:t>
            </w:r>
          </w:p>
        </w:tc>
      </w:tr>
      <w:tr w:rsidR="00D065BE" w:rsidRPr="00D065BE" w:rsidTr="00D065BE">
        <w:trPr>
          <w:trHeight w:val="345"/>
        </w:trPr>
        <w:tc>
          <w:tcPr>
            <w:tcW w:w="3480" w:type="dxa"/>
            <w:tcBorders>
              <w:top w:val="nil"/>
              <w:left w:val="single" w:sz="8" w:space="0" w:color="auto"/>
              <w:bottom w:val="nil"/>
              <w:right w:val="single" w:sz="4" w:space="0" w:color="auto"/>
            </w:tcBorders>
            <w:shd w:val="clear" w:color="auto" w:fill="auto"/>
            <w:noWrap/>
            <w:hideMark/>
          </w:tcPr>
          <w:p w:rsidR="00D065BE" w:rsidRPr="00D065BE" w:rsidRDefault="00D065BE" w:rsidP="00D065BE">
            <w:pPr>
              <w:rPr>
                <w:b/>
                <w:bCs/>
                <w:sz w:val="20"/>
                <w:szCs w:val="20"/>
                <w:lang w:val="es-GT" w:eastAsia="es-GT"/>
              </w:rPr>
            </w:pPr>
            <w:r w:rsidRPr="00D065BE">
              <w:rPr>
                <w:b/>
                <w:bCs/>
                <w:sz w:val="20"/>
                <w:szCs w:val="20"/>
                <w:lang w:val="es-GT" w:eastAsia="es-GT"/>
              </w:rPr>
              <w:t>Relación Deuda PIB (%)</w:t>
            </w:r>
          </w:p>
        </w:tc>
        <w:tc>
          <w:tcPr>
            <w:tcW w:w="1840" w:type="dxa"/>
            <w:tcBorders>
              <w:top w:val="nil"/>
              <w:left w:val="nil"/>
              <w:bottom w:val="nil"/>
              <w:right w:val="single" w:sz="4" w:space="0" w:color="auto"/>
            </w:tcBorders>
            <w:shd w:val="clear" w:color="auto" w:fill="auto"/>
            <w:noWrap/>
            <w:hideMark/>
          </w:tcPr>
          <w:p w:rsidR="00D065BE" w:rsidRPr="00D065BE" w:rsidRDefault="00D065BE" w:rsidP="00D065BE">
            <w:pPr>
              <w:jc w:val="center"/>
              <w:rPr>
                <w:b/>
                <w:bCs/>
                <w:sz w:val="20"/>
                <w:szCs w:val="20"/>
                <w:lang w:val="es-GT" w:eastAsia="es-GT"/>
              </w:rPr>
            </w:pPr>
            <w:r w:rsidRPr="00D065BE">
              <w:rPr>
                <w:b/>
                <w:bCs/>
                <w:sz w:val="20"/>
                <w:szCs w:val="20"/>
                <w:lang w:val="es-GT" w:eastAsia="es-GT"/>
              </w:rPr>
              <w:t>23.8</w:t>
            </w:r>
          </w:p>
        </w:tc>
        <w:tc>
          <w:tcPr>
            <w:tcW w:w="1692" w:type="dxa"/>
            <w:tcBorders>
              <w:top w:val="nil"/>
              <w:left w:val="nil"/>
              <w:bottom w:val="nil"/>
              <w:right w:val="single" w:sz="4" w:space="0" w:color="auto"/>
            </w:tcBorders>
            <w:shd w:val="clear" w:color="auto" w:fill="auto"/>
            <w:noWrap/>
            <w:hideMark/>
          </w:tcPr>
          <w:p w:rsidR="00D065BE" w:rsidRPr="00D065BE" w:rsidRDefault="00D065BE" w:rsidP="00D065BE">
            <w:pPr>
              <w:jc w:val="center"/>
              <w:rPr>
                <w:b/>
                <w:bCs/>
                <w:sz w:val="20"/>
                <w:szCs w:val="20"/>
                <w:lang w:val="es-GT" w:eastAsia="es-GT"/>
              </w:rPr>
            </w:pPr>
            <w:r w:rsidRPr="00D065BE">
              <w:rPr>
                <w:b/>
                <w:bCs/>
                <w:sz w:val="20"/>
                <w:szCs w:val="20"/>
                <w:lang w:val="es-GT" w:eastAsia="es-GT"/>
              </w:rPr>
              <w:t>24.1</w:t>
            </w:r>
          </w:p>
        </w:tc>
        <w:tc>
          <w:tcPr>
            <w:tcW w:w="1792" w:type="dxa"/>
            <w:tcBorders>
              <w:top w:val="nil"/>
              <w:left w:val="nil"/>
              <w:bottom w:val="nil"/>
              <w:right w:val="single" w:sz="8" w:space="0" w:color="auto"/>
            </w:tcBorders>
            <w:shd w:val="clear" w:color="auto" w:fill="auto"/>
            <w:noWrap/>
            <w:hideMark/>
          </w:tcPr>
          <w:p w:rsidR="00D065BE" w:rsidRPr="00D065BE" w:rsidRDefault="00D065BE" w:rsidP="00D065BE">
            <w:pPr>
              <w:jc w:val="center"/>
              <w:rPr>
                <w:b/>
                <w:bCs/>
                <w:sz w:val="20"/>
                <w:szCs w:val="20"/>
                <w:lang w:val="es-GT" w:eastAsia="es-GT"/>
              </w:rPr>
            </w:pPr>
            <w:r w:rsidRPr="00D065BE">
              <w:rPr>
                <w:b/>
                <w:bCs/>
                <w:sz w:val="20"/>
                <w:szCs w:val="20"/>
                <w:lang w:val="es-GT" w:eastAsia="es-GT"/>
              </w:rPr>
              <w:t>24.1</w:t>
            </w:r>
          </w:p>
        </w:tc>
      </w:tr>
      <w:tr w:rsidR="00D065BE" w:rsidRPr="00D065BE" w:rsidTr="00D065BE">
        <w:trPr>
          <w:trHeight w:val="315"/>
        </w:trPr>
        <w:tc>
          <w:tcPr>
            <w:tcW w:w="3480" w:type="dxa"/>
            <w:tcBorders>
              <w:top w:val="nil"/>
              <w:left w:val="single" w:sz="8" w:space="0" w:color="auto"/>
              <w:bottom w:val="nil"/>
              <w:right w:val="single" w:sz="4" w:space="0" w:color="auto"/>
            </w:tcBorders>
            <w:shd w:val="clear" w:color="auto" w:fill="auto"/>
            <w:noWrap/>
            <w:vAlign w:val="center"/>
            <w:hideMark/>
          </w:tcPr>
          <w:p w:rsidR="00D065BE" w:rsidRPr="00D065BE" w:rsidRDefault="00D065BE" w:rsidP="00D065BE">
            <w:pPr>
              <w:rPr>
                <w:color w:val="000000"/>
                <w:sz w:val="20"/>
                <w:szCs w:val="20"/>
                <w:lang w:val="es-GT" w:eastAsia="es-GT"/>
              </w:rPr>
            </w:pPr>
            <w:r w:rsidRPr="00D065BE">
              <w:rPr>
                <w:color w:val="000000"/>
                <w:sz w:val="20"/>
                <w:szCs w:val="20"/>
                <w:lang w:val="es-GT" w:eastAsia="es-GT"/>
              </w:rPr>
              <w:t>Estructura de la Deuda por Origen</w:t>
            </w:r>
          </w:p>
        </w:tc>
        <w:tc>
          <w:tcPr>
            <w:tcW w:w="1840" w:type="dxa"/>
            <w:tcBorders>
              <w:top w:val="nil"/>
              <w:left w:val="nil"/>
              <w:bottom w:val="nil"/>
              <w:right w:val="single" w:sz="4" w:space="0" w:color="auto"/>
            </w:tcBorders>
            <w:shd w:val="clear" w:color="auto" w:fill="auto"/>
            <w:noWrap/>
            <w:hideMark/>
          </w:tcPr>
          <w:p w:rsidR="00D065BE" w:rsidRPr="00D065BE" w:rsidRDefault="00D065BE" w:rsidP="00D065BE">
            <w:pPr>
              <w:jc w:val="center"/>
              <w:rPr>
                <w:sz w:val="20"/>
                <w:szCs w:val="20"/>
                <w:lang w:val="es-GT" w:eastAsia="es-GT"/>
              </w:rPr>
            </w:pPr>
            <w:r w:rsidRPr="00D065BE">
              <w:rPr>
                <w:sz w:val="20"/>
                <w:szCs w:val="20"/>
                <w:lang w:val="es-GT" w:eastAsia="es-GT"/>
              </w:rPr>
              <w:t> </w:t>
            </w:r>
          </w:p>
        </w:tc>
        <w:tc>
          <w:tcPr>
            <w:tcW w:w="1692" w:type="dxa"/>
            <w:tcBorders>
              <w:top w:val="nil"/>
              <w:left w:val="nil"/>
              <w:bottom w:val="nil"/>
              <w:right w:val="single" w:sz="4" w:space="0" w:color="auto"/>
            </w:tcBorders>
            <w:shd w:val="clear" w:color="auto" w:fill="auto"/>
            <w:noWrap/>
            <w:hideMark/>
          </w:tcPr>
          <w:p w:rsidR="00D065BE" w:rsidRPr="00D065BE" w:rsidRDefault="00D065BE" w:rsidP="00D065BE">
            <w:pPr>
              <w:jc w:val="center"/>
              <w:rPr>
                <w:sz w:val="20"/>
                <w:szCs w:val="20"/>
                <w:lang w:val="es-GT" w:eastAsia="es-GT"/>
              </w:rPr>
            </w:pPr>
            <w:r w:rsidRPr="00D065BE">
              <w:rPr>
                <w:sz w:val="20"/>
                <w:szCs w:val="20"/>
                <w:lang w:val="es-GT" w:eastAsia="es-GT"/>
              </w:rPr>
              <w:t> </w:t>
            </w:r>
          </w:p>
        </w:tc>
        <w:tc>
          <w:tcPr>
            <w:tcW w:w="1792" w:type="dxa"/>
            <w:tcBorders>
              <w:top w:val="nil"/>
              <w:left w:val="nil"/>
              <w:bottom w:val="nil"/>
              <w:right w:val="single" w:sz="8" w:space="0" w:color="auto"/>
            </w:tcBorders>
            <w:shd w:val="clear" w:color="auto" w:fill="auto"/>
            <w:noWrap/>
            <w:hideMark/>
          </w:tcPr>
          <w:p w:rsidR="00D065BE" w:rsidRPr="00D065BE" w:rsidRDefault="00D065BE" w:rsidP="00D065BE">
            <w:pPr>
              <w:jc w:val="center"/>
              <w:rPr>
                <w:sz w:val="20"/>
                <w:szCs w:val="20"/>
                <w:lang w:val="es-GT" w:eastAsia="es-GT"/>
              </w:rPr>
            </w:pPr>
            <w:r w:rsidRPr="00D065BE">
              <w:rPr>
                <w:sz w:val="20"/>
                <w:szCs w:val="20"/>
                <w:lang w:val="es-GT" w:eastAsia="es-GT"/>
              </w:rPr>
              <w:t> </w:t>
            </w:r>
          </w:p>
        </w:tc>
      </w:tr>
      <w:tr w:rsidR="00D065BE" w:rsidRPr="00D065BE" w:rsidTr="00D065BE">
        <w:trPr>
          <w:trHeight w:val="300"/>
        </w:trPr>
        <w:tc>
          <w:tcPr>
            <w:tcW w:w="3480" w:type="dxa"/>
            <w:tcBorders>
              <w:top w:val="nil"/>
              <w:left w:val="single" w:sz="8" w:space="0" w:color="auto"/>
              <w:bottom w:val="nil"/>
              <w:right w:val="single" w:sz="4" w:space="0" w:color="auto"/>
            </w:tcBorders>
            <w:shd w:val="clear" w:color="auto" w:fill="auto"/>
            <w:noWrap/>
            <w:hideMark/>
          </w:tcPr>
          <w:p w:rsidR="00D065BE" w:rsidRPr="00D065BE" w:rsidRDefault="00D065BE" w:rsidP="00D065BE">
            <w:pPr>
              <w:ind w:firstLineChars="200" w:firstLine="400"/>
              <w:rPr>
                <w:color w:val="000000"/>
                <w:sz w:val="20"/>
                <w:szCs w:val="20"/>
                <w:lang w:val="es-GT" w:eastAsia="es-GT"/>
              </w:rPr>
            </w:pPr>
            <w:r w:rsidRPr="00D065BE">
              <w:rPr>
                <w:color w:val="000000"/>
                <w:sz w:val="20"/>
                <w:szCs w:val="20"/>
                <w:lang w:val="es-GT" w:eastAsia="es-GT"/>
              </w:rPr>
              <w:t>Interna</w:t>
            </w:r>
          </w:p>
        </w:tc>
        <w:tc>
          <w:tcPr>
            <w:tcW w:w="1840" w:type="dxa"/>
            <w:tcBorders>
              <w:top w:val="nil"/>
              <w:left w:val="nil"/>
              <w:bottom w:val="nil"/>
              <w:right w:val="single" w:sz="4" w:space="0" w:color="auto"/>
            </w:tcBorders>
            <w:shd w:val="clear" w:color="auto" w:fill="auto"/>
            <w:noWrap/>
            <w:vAlign w:val="center"/>
            <w:hideMark/>
          </w:tcPr>
          <w:p w:rsidR="00D065BE" w:rsidRPr="00D065BE" w:rsidRDefault="00D065BE" w:rsidP="00D065BE">
            <w:pPr>
              <w:jc w:val="center"/>
              <w:rPr>
                <w:color w:val="000000"/>
                <w:sz w:val="20"/>
                <w:szCs w:val="20"/>
                <w:lang w:val="es-GT" w:eastAsia="es-GT"/>
              </w:rPr>
            </w:pPr>
            <w:r w:rsidRPr="00D065BE">
              <w:rPr>
                <w:color w:val="000000"/>
                <w:sz w:val="20"/>
                <w:szCs w:val="20"/>
                <w:lang w:val="es-GT" w:eastAsia="es-GT"/>
              </w:rPr>
              <w:t>54.6</w:t>
            </w:r>
          </w:p>
        </w:tc>
        <w:tc>
          <w:tcPr>
            <w:tcW w:w="1692" w:type="dxa"/>
            <w:tcBorders>
              <w:top w:val="nil"/>
              <w:left w:val="nil"/>
              <w:bottom w:val="nil"/>
              <w:right w:val="single" w:sz="4" w:space="0" w:color="auto"/>
            </w:tcBorders>
            <w:shd w:val="clear" w:color="auto" w:fill="auto"/>
            <w:noWrap/>
            <w:vAlign w:val="center"/>
            <w:hideMark/>
          </w:tcPr>
          <w:p w:rsidR="00D065BE" w:rsidRPr="00D065BE" w:rsidRDefault="00D065BE" w:rsidP="00D065BE">
            <w:pPr>
              <w:jc w:val="center"/>
              <w:rPr>
                <w:color w:val="000000"/>
                <w:sz w:val="20"/>
                <w:szCs w:val="20"/>
                <w:lang w:val="es-GT" w:eastAsia="es-GT"/>
              </w:rPr>
            </w:pPr>
            <w:r w:rsidRPr="00D065BE">
              <w:rPr>
                <w:color w:val="000000"/>
                <w:sz w:val="20"/>
                <w:szCs w:val="20"/>
                <w:lang w:val="es-GT" w:eastAsia="es-GT"/>
              </w:rPr>
              <w:t>57.6</w:t>
            </w:r>
          </w:p>
        </w:tc>
        <w:tc>
          <w:tcPr>
            <w:tcW w:w="1792" w:type="dxa"/>
            <w:tcBorders>
              <w:top w:val="nil"/>
              <w:left w:val="nil"/>
              <w:bottom w:val="nil"/>
              <w:right w:val="single" w:sz="8" w:space="0" w:color="auto"/>
            </w:tcBorders>
            <w:shd w:val="clear" w:color="auto" w:fill="auto"/>
            <w:noWrap/>
            <w:vAlign w:val="center"/>
            <w:hideMark/>
          </w:tcPr>
          <w:p w:rsidR="00D065BE" w:rsidRPr="00D065BE" w:rsidRDefault="00D065BE" w:rsidP="00D065BE">
            <w:pPr>
              <w:jc w:val="center"/>
              <w:rPr>
                <w:color w:val="000000"/>
                <w:sz w:val="20"/>
                <w:szCs w:val="20"/>
                <w:lang w:val="es-GT" w:eastAsia="es-GT"/>
              </w:rPr>
            </w:pPr>
            <w:r w:rsidRPr="00D065BE">
              <w:rPr>
                <w:color w:val="000000"/>
                <w:sz w:val="20"/>
                <w:szCs w:val="20"/>
                <w:lang w:val="es-GT" w:eastAsia="es-GT"/>
              </w:rPr>
              <w:t>57.1</w:t>
            </w:r>
          </w:p>
        </w:tc>
      </w:tr>
      <w:tr w:rsidR="00D065BE" w:rsidRPr="00D065BE" w:rsidTr="00D065BE">
        <w:trPr>
          <w:trHeight w:val="300"/>
        </w:trPr>
        <w:tc>
          <w:tcPr>
            <w:tcW w:w="3480" w:type="dxa"/>
            <w:tcBorders>
              <w:top w:val="nil"/>
              <w:left w:val="single" w:sz="8" w:space="0" w:color="auto"/>
              <w:bottom w:val="nil"/>
              <w:right w:val="single" w:sz="4" w:space="0" w:color="auto"/>
            </w:tcBorders>
            <w:shd w:val="clear" w:color="auto" w:fill="auto"/>
            <w:noWrap/>
            <w:hideMark/>
          </w:tcPr>
          <w:p w:rsidR="00D065BE" w:rsidRPr="00D065BE" w:rsidRDefault="00D065BE" w:rsidP="00D065BE">
            <w:pPr>
              <w:ind w:firstLineChars="200" w:firstLine="400"/>
              <w:rPr>
                <w:color w:val="000000"/>
                <w:sz w:val="20"/>
                <w:szCs w:val="20"/>
                <w:lang w:val="es-GT" w:eastAsia="es-GT"/>
              </w:rPr>
            </w:pPr>
            <w:r w:rsidRPr="00D065BE">
              <w:rPr>
                <w:color w:val="000000"/>
                <w:sz w:val="20"/>
                <w:szCs w:val="20"/>
                <w:lang w:val="es-GT" w:eastAsia="es-GT"/>
              </w:rPr>
              <w:t>Externa</w:t>
            </w:r>
          </w:p>
        </w:tc>
        <w:tc>
          <w:tcPr>
            <w:tcW w:w="1840" w:type="dxa"/>
            <w:tcBorders>
              <w:top w:val="nil"/>
              <w:left w:val="nil"/>
              <w:bottom w:val="nil"/>
              <w:right w:val="single" w:sz="4" w:space="0" w:color="auto"/>
            </w:tcBorders>
            <w:shd w:val="clear" w:color="auto" w:fill="auto"/>
            <w:noWrap/>
            <w:vAlign w:val="center"/>
            <w:hideMark/>
          </w:tcPr>
          <w:p w:rsidR="00D065BE" w:rsidRPr="00D065BE" w:rsidRDefault="00D065BE" w:rsidP="00D065BE">
            <w:pPr>
              <w:jc w:val="center"/>
              <w:rPr>
                <w:color w:val="000000"/>
                <w:sz w:val="20"/>
                <w:szCs w:val="20"/>
                <w:lang w:val="es-GT" w:eastAsia="es-GT"/>
              </w:rPr>
            </w:pPr>
            <w:r w:rsidRPr="00D065BE">
              <w:rPr>
                <w:color w:val="000000"/>
                <w:sz w:val="20"/>
                <w:szCs w:val="20"/>
                <w:lang w:val="es-GT" w:eastAsia="es-GT"/>
              </w:rPr>
              <w:t>45.4</w:t>
            </w:r>
          </w:p>
        </w:tc>
        <w:tc>
          <w:tcPr>
            <w:tcW w:w="1692" w:type="dxa"/>
            <w:tcBorders>
              <w:top w:val="nil"/>
              <w:left w:val="nil"/>
              <w:bottom w:val="nil"/>
              <w:right w:val="single" w:sz="4" w:space="0" w:color="auto"/>
            </w:tcBorders>
            <w:shd w:val="clear" w:color="auto" w:fill="auto"/>
            <w:noWrap/>
            <w:vAlign w:val="center"/>
            <w:hideMark/>
          </w:tcPr>
          <w:p w:rsidR="00D065BE" w:rsidRPr="00D065BE" w:rsidRDefault="00D065BE" w:rsidP="00D065BE">
            <w:pPr>
              <w:jc w:val="center"/>
              <w:rPr>
                <w:color w:val="000000"/>
                <w:sz w:val="20"/>
                <w:szCs w:val="20"/>
                <w:lang w:val="es-GT" w:eastAsia="es-GT"/>
              </w:rPr>
            </w:pPr>
            <w:r w:rsidRPr="00D065BE">
              <w:rPr>
                <w:color w:val="000000"/>
                <w:sz w:val="20"/>
                <w:szCs w:val="20"/>
                <w:lang w:val="es-GT" w:eastAsia="es-GT"/>
              </w:rPr>
              <w:t>42.4</w:t>
            </w:r>
          </w:p>
        </w:tc>
        <w:tc>
          <w:tcPr>
            <w:tcW w:w="1792" w:type="dxa"/>
            <w:tcBorders>
              <w:top w:val="nil"/>
              <w:left w:val="nil"/>
              <w:bottom w:val="nil"/>
              <w:right w:val="single" w:sz="8" w:space="0" w:color="auto"/>
            </w:tcBorders>
            <w:shd w:val="clear" w:color="auto" w:fill="auto"/>
            <w:noWrap/>
            <w:vAlign w:val="center"/>
            <w:hideMark/>
          </w:tcPr>
          <w:p w:rsidR="00D065BE" w:rsidRPr="00D065BE" w:rsidRDefault="00D065BE" w:rsidP="00D065BE">
            <w:pPr>
              <w:jc w:val="center"/>
              <w:rPr>
                <w:color w:val="000000"/>
                <w:sz w:val="20"/>
                <w:szCs w:val="20"/>
                <w:lang w:val="es-GT" w:eastAsia="es-GT"/>
              </w:rPr>
            </w:pPr>
            <w:r w:rsidRPr="00D065BE">
              <w:rPr>
                <w:color w:val="000000"/>
                <w:sz w:val="20"/>
                <w:szCs w:val="20"/>
                <w:lang w:val="es-GT" w:eastAsia="es-GT"/>
              </w:rPr>
              <w:t>42.9</w:t>
            </w:r>
          </w:p>
        </w:tc>
      </w:tr>
      <w:tr w:rsidR="00D065BE" w:rsidRPr="00D065BE" w:rsidTr="00D065BE">
        <w:trPr>
          <w:trHeight w:val="315"/>
        </w:trPr>
        <w:tc>
          <w:tcPr>
            <w:tcW w:w="3480" w:type="dxa"/>
            <w:tcBorders>
              <w:top w:val="nil"/>
              <w:left w:val="single" w:sz="8" w:space="0" w:color="auto"/>
              <w:bottom w:val="nil"/>
              <w:right w:val="single" w:sz="4" w:space="0" w:color="auto"/>
            </w:tcBorders>
            <w:shd w:val="clear" w:color="auto" w:fill="auto"/>
            <w:noWrap/>
            <w:vAlign w:val="center"/>
            <w:hideMark/>
          </w:tcPr>
          <w:p w:rsidR="00D065BE" w:rsidRPr="00D065BE" w:rsidRDefault="00D065BE" w:rsidP="00D065BE">
            <w:pPr>
              <w:rPr>
                <w:color w:val="000000"/>
                <w:sz w:val="20"/>
                <w:szCs w:val="20"/>
                <w:lang w:val="es-GT" w:eastAsia="es-GT"/>
              </w:rPr>
            </w:pPr>
            <w:r w:rsidRPr="00D065BE">
              <w:rPr>
                <w:color w:val="000000"/>
                <w:sz w:val="20"/>
                <w:szCs w:val="20"/>
                <w:lang w:val="es-GT" w:eastAsia="es-GT"/>
              </w:rPr>
              <w:t>Estructura de la Deuda por Moneda</w:t>
            </w:r>
          </w:p>
        </w:tc>
        <w:tc>
          <w:tcPr>
            <w:tcW w:w="1840" w:type="dxa"/>
            <w:tcBorders>
              <w:top w:val="nil"/>
              <w:left w:val="nil"/>
              <w:bottom w:val="nil"/>
              <w:right w:val="single" w:sz="4" w:space="0" w:color="auto"/>
            </w:tcBorders>
            <w:shd w:val="clear" w:color="auto" w:fill="auto"/>
            <w:noWrap/>
            <w:hideMark/>
          </w:tcPr>
          <w:p w:rsidR="00D065BE" w:rsidRPr="00D065BE" w:rsidRDefault="00D065BE" w:rsidP="00D065BE">
            <w:pPr>
              <w:jc w:val="center"/>
              <w:rPr>
                <w:sz w:val="20"/>
                <w:szCs w:val="20"/>
                <w:lang w:val="es-GT" w:eastAsia="es-GT"/>
              </w:rPr>
            </w:pPr>
            <w:r w:rsidRPr="00D065BE">
              <w:rPr>
                <w:sz w:val="20"/>
                <w:szCs w:val="20"/>
                <w:lang w:val="es-GT" w:eastAsia="es-GT"/>
              </w:rPr>
              <w:t> </w:t>
            </w:r>
          </w:p>
        </w:tc>
        <w:tc>
          <w:tcPr>
            <w:tcW w:w="1692" w:type="dxa"/>
            <w:tcBorders>
              <w:top w:val="nil"/>
              <w:left w:val="nil"/>
              <w:bottom w:val="nil"/>
              <w:right w:val="single" w:sz="4" w:space="0" w:color="auto"/>
            </w:tcBorders>
            <w:shd w:val="clear" w:color="auto" w:fill="auto"/>
            <w:noWrap/>
            <w:hideMark/>
          </w:tcPr>
          <w:p w:rsidR="00D065BE" w:rsidRPr="00D065BE" w:rsidRDefault="00D065BE" w:rsidP="00D065BE">
            <w:pPr>
              <w:jc w:val="center"/>
              <w:rPr>
                <w:sz w:val="20"/>
                <w:szCs w:val="20"/>
                <w:lang w:val="es-GT" w:eastAsia="es-GT"/>
              </w:rPr>
            </w:pPr>
            <w:r w:rsidRPr="00D065BE">
              <w:rPr>
                <w:sz w:val="20"/>
                <w:szCs w:val="20"/>
                <w:lang w:val="es-GT" w:eastAsia="es-GT"/>
              </w:rPr>
              <w:t> </w:t>
            </w:r>
          </w:p>
        </w:tc>
        <w:tc>
          <w:tcPr>
            <w:tcW w:w="1792" w:type="dxa"/>
            <w:tcBorders>
              <w:top w:val="nil"/>
              <w:left w:val="nil"/>
              <w:bottom w:val="nil"/>
              <w:right w:val="single" w:sz="8" w:space="0" w:color="auto"/>
            </w:tcBorders>
            <w:shd w:val="clear" w:color="auto" w:fill="auto"/>
            <w:noWrap/>
            <w:hideMark/>
          </w:tcPr>
          <w:p w:rsidR="00D065BE" w:rsidRPr="00D065BE" w:rsidRDefault="00D065BE" w:rsidP="00D065BE">
            <w:pPr>
              <w:jc w:val="center"/>
              <w:rPr>
                <w:sz w:val="20"/>
                <w:szCs w:val="20"/>
                <w:lang w:val="es-GT" w:eastAsia="es-GT"/>
              </w:rPr>
            </w:pPr>
            <w:r w:rsidRPr="00D065BE">
              <w:rPr>
                <w:sz w:val="20"/>
                <w:szCs w:val="20"/>
                <w:lang w:val="es-GT" w:eastAsia="es-GT"/>
              </w:rPr>
              <w:t> </w:t>
            </w:r>
          </w:p>
        </w:tc>
      </w:tr>
      <w:tr w:rsidR="00D065BE" w:rsidRPr="00D065BE" w:rsidTr="00D065BE">
        <w:trPr>
          <w:trHeight w:val="300"/>
        </w:trPr>
        <w:tc>
          <w:tcPr>
            <w:tcW w:w="3480" w:type="dxa"/>
            <w:tcBorders>
              <w:top w:val="nil"/>
              <w:left w:val="single" w:sz="8" w:space="0" w:color="auto"/>
              <w:bottom w:val="nil"/>
              <w:right w:val="single" w:sz="4" w:space="0" w:color="auto"/>
            </w:tcBorders>
            <w:shd w:val="clear" w:color="auto" w:fill="auto"/>
            <w:noWrap/>
            <w:vAlign w:val="center"/>
            <w:hideMark/>
          </w:tcPr>
          <w:p w:rsidR="00D065BE" w:rsidRPr="00D065BE" w:rsidRDefault="00D065BE" w:rsidP="00D065BE">
            <w:pPr>
              <w:ind w:firstLineChars="200" w:firstLine="400"/>
              <w:rPr>
                <w:color w:val="000000"/>
                <w:sz w:val="20"/>
                <w:szCs w:val="20"/>
                <w:lang w:val="es-GT" w:eastAsia="es-GT"/>
              </w:rPr>
            </w:pPr>
            <w:r w:rsidRPr="00D065BE">
              <w:rPr>
                <w:color w:val="000000"/>
                <w:sz w:val="20"/>
                <w:szCs w:val="20"/>
                <w:lang w:val="es-GT" w:eastAsia="es-GT"/>
              </w:rPr>
              <w:t>Quetzales</w:t>
            </w:r>
          </w:p>
        </w:tc>
        <w:tc>
          <w:tcPr>
            <w:tcW w:w="1840" w:type="dxa"/>
            <w:tcBorders>
              <w:top w:val="nil"/>
              <w:left w:val="nil"/>
              <w:bottom w:val="nil"/>
              <w:right w:val="single" w:sz="4" w:space="0" w:color="auto"/>
            </w:tcBorders>
            <w:shd w:val="clear" w:color="auto" w:fill="auto"/>
            <w:noWrap/>
            <w:vAlign w:val="center"/>
            <w:hideMark/>
          </w:tcPr>
          <w:p w:rsidR="00D065BE" w:rsidRPr="00D065BE" w:rsidRDefault="00D065BE" w:rsidP="00D065BE">
            <w:pPr>
              <w:jc w:val="center"/>
              <w:rPr>
                <w:color w:val="000000"/>
                <w:sz w:val="20"/>
                <w:szCs w:val="20"/>
                <w:lang w:val="es-GT" w:eastAsia="es-GT"/>
              </w:rPr>
            </w:pPr>
            <w:r w:rsidRPr="00D065BE">
              <w:rPr>
                <w:color w:val="000000"/>
                <w:sz w:val="20"/>
                <w:szCs w:val="20"/>
                <w:lang w:val="es-GT" w:eastAsia="es-GT"/>
              </w:rPr>
              <w:t>50.1</w:t>
            </w:r>
          </w:p>
        </w:tc>
        <w:tc>
          <w:tcPr>
            <w:tcW w:w="1692" w:type="dxa"/>
            <w:tcBorders>
              <w:top w:val="nil"/>
              <w:left w:val="nil"/>
              <w:bottom w:val="nil"/>
              <w:right w:val="single" w:sz="4" w:space="0" w:color="auto"/>
            </w:tcBorders>
            <w:shd w:val="clear" w:color="auto" w:fill="auto"/>
            <w:noWrap/>
            <w:vAlign w:val="center"/>
            <w:hideMark/>
          </w:tcPr>
          <w:p w:rsidR="00D065BE" w:rsidRPr="00D065BE" w:rsidRDefault="00D065BE" w:rsidP="00D065BE">
            <w:pPr>
              <w:jc w:val="center"/>
              <w:rPr>
                <w:color w:val="000000"/>
                <w:sz w:val="20"/>
                <w:szCs w:val="20"/>
                <w:lang w:val="es-GT" w:eastAsia="es-GT"/>
              </w:rPr>
            </w:pPr>
            <w:r w:rsidRPr="00D065BE">
              <w:rPr>
                <w:color w:val="000000"/>
                <w:sz w:val="20"/>
                <w:szCs w:val="20"/>
                <w:lang w:val="es-GT" w:eastAsia="es-GT"/>
              </w:rPr>
              <w:t>53.7</w:t>
            </w:r>
          </w:p>
        </w:tc>
        <w:tc>
          <w:tcPr>
            <w:tcW w:w="1792" w:type="dxa"/>
            <w:tcBorders>
              <w:top w:val="nil"/>
              <w:left w:val="nil"/>
              <w:bottom w:val="nil"/>
              <w:right w:val="single" w:sz="8" w:space="0" w:color="auto"/>
            </w:tcBorders>
            <w:shd w:val="clear" w:color="auto" w:fill="auto"/>
            <w:noWrap/>
            <w:vAlign w:val="center"/>
            <w:hideMark/>
          </w:tcPr>
          <w:p w:rsidR="00D065BE" w:rsidRPr="00D065BE" w:rsidRDefault="00D065BE" w:rsidP="00D065BE">
            <w:pPr>
              <w:jc w:val="center"/>
              <w:rPr>
                <w:color w:val="000000"/>
                <w:sz w:val="20"/>
                <w:szCs w:val="20"/>
                <w:lang w:val="es-GT" w:eastAsia="es-GT"/>
              </w:rPr>
            </w:pPr>
            <w:r w:rsidRPr="00D065BE">
              <w:rPr>
                <w:color w:val="000000"/>
                <w:sz w:val="20"/>
                <w:szCs w:val="20"/>
                <w:lang w:val="es-GT" w:eastAsia="es-GT"/>
              </w:rPr>
              <w:t>53.1</w:t>
            </w:r>
          </w:p>
        </w:tc>
      </w:tr>
      <w:tr w:rsidR="00D065BE" w:rsidRPr="00D065BE" w:rsidTr="00D065BE">
        <w:trPr>
          <w:trHeight w:val="315"/>
        </w:trPr>
        <w:tc>
          <w:tcPr>
            <w:tcW w:w="3480" w:type="dxa"/>
            <w:tcBorders>
              <w:top w:val="nil"/>
              <w:left w:val="single" w:sz="8" w:space="0" w:color="auto"/>
              <w:bottom w:val="single" w:sz="8" w:space="0" w:color="auto"/>
              <w:right w:val="single" w:sz="4" w:space="0" w:color="auto"/>
            </w:tcBorders>
            <w:shd w:val="clear" w:color="auto" w:fill="auto"/>
            <w:noWrap/>
            <w:vAlign w:val="center"/>
            <w:hideMark/>
          </w:tcPr>
          <w:p w:rsidR="00D065BE" w:rsidRPr="00D065BE" w:rsidRDefault="00D065BE" w:rsidP="00D065BE">
            <w:pPr>
              <w:ind w:firstLineChars="200" w:firstLine="400"/>
              <w:rPr>
                <w:color w:val="000000"/>
                <w:sz w:val="20"/>
                <w:szCs w:val="20"/>
                <w:lang w:val="es-GT" w:eastAsia="es-GT"/>
              </w:rPr>
            </w:pPr>
            <w:r w:rsidRPr="00D065BE">
              <w:rPr>
                <w:color w:val="000000"/>
                <w:sz w:val="20"/>
                <w:szCs w:val="20"/>
                <w:lang w:val="es-GT" w:eastAsia="es-GT"/>
              </w:rPr>
              <w:t>Dólares</w:t>
            </w:r>
          </w:p>
        </w:tc>
        <w:tc>
          <w:tcPr>
            <w:tcW w:w="1840" w:type="dxa"/>
            <w:tcBorders>
              <w:top w:val="nil"/>
              <w:left w:val="nil"/>
              <w:bottom w:val="single" w:sz="8" w:space="0" w:color="auto"/>
              <w:right w:val="single" w:sz="4" w:space="0" w:color="auto"/>
            </w:tcBorders>
            <w:shd w:val="clear" w:color="auto" w:fill="auto"/>
            <w:noWrap/>
            <w:vAlign w:val="center"/>
            <w:hideMark/>
          </w:tcPr>
          <w:p w:rsidR="00D065BE" w:rsidRPr="00D065BE" w:rsidRDefault="00D065BE" w:rsidP="00D065BE">
            <w:pPr>
              <w:jc w:val="center"/>
              <w:rPr>
                <w:color w:val="000000"/>
                <w:sz w:val="20"/>
                <w:szCs w:val="20"/>
                <w:lang w:val="es-GT" w:eastAsia="es-GT"/>
              </w:rPr>
            </w:pPr>
            <w:r w:rsidRPr="00D065BE">
              <w:rPr>
                <w:color w:val="000000"/>
                <w:sz w:val="20"/>
                <w:szCs w:val="20"/>
                <w:lang w:val="es-GT" w:eastAsia="es-GT"/>
              </w:rPr>
              <w:t>49.9</w:t>
            </w:r>
          </w:p>
        </w:tc>
        <w:tc>
          <w:tcPr>
            <w:tcW w:w="1692" w:type="dxa"/>
            <w:tcBorders>
              <w:top w:val="nil"/>
              <w:left w:val="nil"/>
              <w:bottom w:val="single" w:sz="8" w:space="0" w:color="auto"/>
              <w:right w:val="single" w:sz="4" w:space="0" w:color="auto"/>
            </w:tcBorders>
            <w:shd w:val="clear" w:color="auto" w:fill="auto"/>
            <w:noWrap/>
            <w:vAlign w:val="center"/>
            <w:hideMark/>
          </w:tcPr>
          <w:p w:rsidR="00D065BE" w:rsidRPr="00D065BE" w:rsidRDefault="00D065BE" w:rsidP="00D065BE">
            <w:pPr>
              <w:jc w:val="center"/>
              <w:rPr>
                <w:color w:val="000000"/>
                <w:sz w:val="20"/>
                <w:szCs w:val="20"/>
                <w:lang w:val="es-GT" w:eastAsia="es-GT"/>
              </w:rPr>
            </w:pPr>
            <w:r w:rsidRPr="00D065BE">
              <w:rPr>
                <w:color w:val="000000"/>
                <w:sz w:val="20"/>
                <w:szCs w:val="20"/>
                <w:lang w:val="es-GT" w:eastAsia="es-GT"/>
              </w:rPr>
              <w:t>46.3</w:t>
            </w:r>
          </w:p>
        </w:tc>
        <w:tc>
          <w:tcPr>
            <w:tcW w:w="1792" w:type="dxa"/>
            <w:tcBorders>
              <w:top w:val="nil"/>
              <w:left w:val="nil"/>
              <w:bottom w:val="single" w:sz="8" w:space="0" w:color="auto"/>
              <w:right w:val="single" w:sz="8" w:space="0" w:color="auto"/>
            </w:tcBorders>
            <w:shd w:val="clear" w:color="auto" w:fill="auto"/>
            <w:noWrap/>
            <w:vAlign w:val="center"/>
            <w:hideMark/>
          </w:tcPr>
          <w:p w:rsidR="00D065BE" w:rsidRPr="00D065BE" w:rsidRDefault="00D065BE" w:rsidP="00D065BE">
            <w:pPr>
              <w:jc w:val="center"/>
              <w:rPr>
                <w:color w:val="000000"/>
                <w:sz w:val="20"/>
                <w:szCs w:val="20"/>
                <w:lang w:val="es-GT" w:eastAsia="es-GT"/>
              </w:rPr>
            </w:pPr>
            <w:r w:rsidRPr="00D065BE">
              <w:rPr>
                <w:color w:val="000000"/>
                <w:sz w:val="20"/>
                <w:szCs w:val="20"/>
                <w:lang w:val="es-GT" w:eastAsia="es-GT"/>
              </w:rPr>
              <w:t>46.9</w:t>
            </w:r>
          </w:p>
        </w:tc>
      </w:tr>
    </w:tbl>
    <w:p w:rsidR="00171991" w:rsidRDefault="00171991" w:rsidP="00171991">
      <w:pPr>
        <w:autoSpaceDE w:val="0"/>
        <w:autoSpaceDN w:val="0"/>
        <w:adjustRightInd w:val="0"/>
        <w:jc w:val="both"/>
        <w:rPr>
          <w:sz w:val="16"/>
        </w:rPr>
      </w:pPr>
      <w:r w:rsidRPr="009D306B">
        <w:rPr>
          <w:sz w:val="16"/>
        </w:rPr>
        <w:t xml:space="preserve">Fuente: </w:t>
      </w:r>
      <w:r w:rsidR="006314D6">
        <w:rPr>
          <w:sz w:val="16"/>
        </w:rPr>
        <w:t>Ministerio de Finanzas Públicas</w:t>
      </w:r>
      <w:r w:rsidR="00D065BE">
        <w:rPr>
          <w:sz w:val="16"/>
        </w:rPr>
        <w:t>.</w:t>
      </w:r>
    </w:p>
    <w:p w:rsidR="00171991" w:rsidRDefault="00171991" w:rsidP="00171991">
      <w:pPr>
        <w:autoSpaceDE w:val="0"/>
        <w:autoSpaceDN w:val="0"/>
        <w:adjustRightInd w:val="0"/>
        <w:jc w:val="both"/>
        <w:rPr>
          <w:sz w:val="16"/>
        </w:rPr>
      </w:pPr>
    </w:p>
    <w:p w:rsidR="00171991" w:rsidRDefault="00171991" w:rsidP="00CC1383">
      <w:pPr>
        <w:jc w:val="both"/>
        <w:rPr>
          <w:noProof/>
          <w:sz w:val="18"/>
          <w:lang w:val="es-MX"/>
        </w:rPr>
      </w:pPr>
    </w:p>
    <w:p w:rsidR="00EE714B" w:rsidRDefault="00EE714B" w:rsidP="00CC1383">
      <w:pPr>
        <w:jc w:val="both"/>
        <w:rPr>
          <w:noProof/>
          <w:sz w:val="18"/>
          <w:lang w:val="es-MX"/>
        </w:rPr>
      </w:pPr>
    </w:p>
    <w:p w:rsidR="004B5DF5" w:rsidRDefault="004B5DF5" w:rsidP="00CC1383">
      <w:pPr>
        <w:jc w:val="both"/>
        <w:rPr>
          <w:noProof/>
          <w:sz w:val="18"/>
          <w:lang w:val="es-MX"/>
        </w:rPr>
      </w:pPr>
    </w:p>
    <w:p w:rsidR="004B5DF5" w:rsidRPr="00CD0AF0" w:rsidRDefault="004B5DF5" w:rsidP="004B5DF5">
      <w:pPr>
        <w:pStyle w:val="Ttulo1"/>
        <w:numPr>
          <w:ilvl w:val="0"/>
          <w:numId w:val="2"/>
        </w:numPr>
        <w:suppressAutoHyphens/>
        <w:ind w:left="709"/>
      </w:pPr>
      <w:bookmarkStart w:id="44" w:name="_Toc494447094"/>
      <w:bookmarkStart w:id="45" w:name="_Toc525824422"/>
      <w:r w:rsidRPr="00CD0AF0">
        <w:lastRenderedPageBreak/>
        <w:t>Aspectos Relevantes de</w:t>
      </w:r>
      <w:r w:rsidR="00B20C2F">
        <w:t>l Primer Semestre</w:t>
      </w:r>
      <w:r w:rsidRPr="00CD0AF0">
        <w:t xml:space="preserve"> de 2018</w:t>
      </w:r>
      <w:bookmarkEnd w:id="44"/>
      <w:bookmarkEnd w:id="45"/>
    </w:p>
    <w:p w:rsidR="004B5DF5" w:rsidRDefault="004B5DF5" w:rsidP="004B5DF5">
      <w:pPr>
        <w:jc w:val="both"/>
        <w:rPr>
          <w:sz w:val="12"/>
          <w:highlight w:val="green"/>
        </w:rPr>
      </w:pPr>
    </w:p>
    <w:p w:rsidR="00EE714B" w:rsidRPr="00255A71" w:rsidRDefault="00EE714B" w:rsidP="004B5DF5">
      <w:pPr>
        <w:jc w:val="both"/>
        <w:rPr>
          <w:sz w:val="12"/>
          <w:highlight w:val="green"/>
        </w:rPr>
      </w:pPr>
    </w:p>
    <w:p w:rsidR="004B5DF5" w:rsidRPr="00D845D9" w:rsidRDefault="004B5DF5" w:rsidP="00D845D9">
      <w:pPr>
        <w:pStyle w:val="Ttulo2"/>
        <w:numPr>
          <w:ilvl w:val="1"/>
          <w:numId w:val="25"/>
        </w:numPr>
        <w:rPr>
          <w:rFonts w:ascii="Times New Roman" w:hAnsi="Times New Roman"/>
          <w:color w:val="auto"/>
          <w:sz w:val="24"/>
        </w:rPr>
      </w:pPr>
      <w:bookmarkStart w:id="46" w:name="_Toc525824423"/>
      <w:r w:rsidRPr="00D845D9">
        <w:rPr>
          <w:rFonts w:ascii="Times New Roman" w:hAnsi="Times New Roman"/>
          <w:color w:val="auto"/>
          <w:sz w:val="24"/>
        </w:rPr>
        <w:t>Logros de Transparencia Fiscal</w:t>
      </w:r>
      <w:bookmarkEnd w:id="46"/>
    </w:p>
    <w:p w:rsidR="004B5DF5" w:rsidRPr="00CD0AF0" w:rsidRDefault="004B5DF5" w:rsidP="004B5DF5">
      <w:pPr>
        <w:pStyle w:val="Prrafodelista"/>
        <w:ind w:left="284"/>
        <w:jc w:val="both"/>
        <w:rPr>
          <w:b/>
        </w:rPr>
      </w:pPr>
    </w:p>
    <w:p w:rsidR="004B5DF5" w:rsidRPr="00CD0AF0" w:rsidRDefault="004B5DF5" w:rsidP="004B5DF5">
      <w:pPr>
        <w:jc w:val="both"/>
        <w:rPr>
          <w:rFonts w:eastAsia="Calibri"/>
          <w:lang w:val="es-MX"/>
        </w:rPr>
      </w:pPr>
      <w:r w:rsidRPr="00CD0AF0">
        <w:rPr>
          <w:rFonts w:eastAsia="Calibri"/>
          <w:lang w:val="es-MX"/>
        </w:rPr>
        <w:t xml:space="preserve">Desde el año 2016 que la Presidencia de la República rescató el tema de Gobierno Abierto a través de la designación de un punto de contacto entre el Gobierno de Guatemala y la Alianza para el Gobierno Abierto (OGP por sus siglas en inglés), se llevó a cabo el proceso de </w:t>
      </w:r>
      <w:proofErr w:type="spellStart"/>
      <w:r w:rsidRPr="00CD0AF0">
        <w:rPr>
          <w:rFonts w:eastAsia="Calibri"/>
          <w:lang w:val="es-MX"/>
        </w:rPr>
        <w:t>co</w:t>
      </w:r>
      <w:proofErr w:type="spellEnd"/>
      <w:r w:rsidRPr="00CD0AF0">
        <w:rPr>
          <w:rFonts w:eastAsia="Calibri"/>
          <w:lang w:val="es-MX"/>
        </w:rPr>
        <w:t>-creación y validación del Tercer Plan de Acción Nacional de Gobierno Abierto 2016-2018, con la participación de varias entidades públicas y organizaciones de sociedad civil. Dicho Plan tuvo una vigencia a partir del 1 de julio de 2016 al 30 de junio de 2018 y estuvo integrado por 22 compromisos que se agruparon en 5 ejes temáticos:</w:t>
      </w:r>
    </w:p>
    <w:p w:rsidR="004B5DF5" w:rsidRPr="00CD0AF0" w:rsidRDefault="004B5DF5" w:rsidP="004B5DF5">
      <w:pPr>
        <w:jc w:val="both"/>
        <w:rPr>
          <w:rFonts w:eastAsia="Calibri"/>
          <w:lang w:val="es-MX"/>
        </w:rPr>
      </w:pPr>
    </w:p>
    <w:p w:rsidR="004B5DF5" w:rsidRPr="00CD0AF0" w:rsidRDefault="004B5DF5" w:rsidP="004B5DF5">
      <w:pPr>
        <w:numPr>
          <w:ilvl w:val="0"/>
          <w:numId w:val="7"/>
        </w:numPr>
        <w:spacing w:after="200"/>
        <w:contextualSpacing/>
        <w:jc w:val="both"/>
        <w:rPr>
          <w:rFonts w:eastAsia="Calibri"/>
          <w:lang w:val="es-MX"/>
        </w:rPr>
      </w:pPr>
      <w:r w:rsidRPr="00CD0AF0">
        <w:rPr>
          <w:rFonts w:eastAsia="Calibri"/>
          <w:lang w:val="es-MX"/>
        </w:rPr>
        <w:t>Acceso a la Información Pública y Archivos Institucionales</w:t>
      </w:r>
      <w:r w:rsidR="0069616A">
        <w:rPr>
          <w:rFonts w:eastAsia="Calibri"/>
          <w:lang w:val="es-MX"/>
        </w:rPr>
        <w:t>.</w:t>
      </w:r>
    </w:p>
    <w:p w:rsidR="004B5DF5" w:rsidRPr="00CD0AF0" w:rsidRDefault="004B5DF5" w:rsidP="004B5DF5">
      <w:pPr>
        <w:numPr>
          <w:ilvl w:val="0"/>
          <w:numId w:val="7"/>
        </w:numPr>
        <w:spacing w:after="200"/>
        <w:contextualSpacing/>
        <w:jc w:val="both"/>
        <w:rPr>
          <w:rFonts w:eastAsia="Calibri"/>
          <w:lang w:val="es-MX"/>
        </w:rPr>
      </w:pPr>
      <w:r w:rsidRPr="00CD0AF0">
        <w:rPr>
          <w:rFonts w:eastAsia="Calibri"/>
          <w:lang w:val="es-MX"/>
        </w:rPr>
        <w:t>Participación Ciudadana</w:t>
      </w:r>
      <w:r w:rsidR="0069616A">
        <w:rPr>
          <w:rFonts w:eastAsia="Calibri"/>
          <w:lang w:val="es-MX"/>
        </w:rPr>
        <w:t>.</w:t>
      </w:r>
    </w:p>
    <w:p w:rsidR="004B5DF5" w:rsidRPr="00CD0AF0" w:rsidRDefault="004B5DF5" w:rsidP="004B5DF5">
      <w:pPr>
        <w:numPr>
          <w:ilvl w:val="0"/>
          <w:numId w:val="7"/>
        </w:numPr>
        <w:spacing w:after="200"/>
        <w:contextualSpacing/>
        <w:jc w:val="both"/>
        <w:rPr>
          <w:rFonts w:eastAsia="Calibri"/>
          <w:lang w:val="es-MX"/>
        </w:rPr>
      </w:pPr>
      <w:r w:rsidRPr="00CD0AF0">
        <w:rPr>
          <w:rFonts w:eastAsia="Calibri"/>
          <w:lang w:val="es-MX"/>
        </w:rPr>
        <w:t>Innovación Tecnológica</w:t>
      </w:r>
      <w:r w:rsidR="0069616A">
        <w:rPr>
          <w:rFonts w:eastAsia="Calibri"/>
          <w:lang w:val="es-MX"/>
        </w:rPr>
        <w:t>.</w:t>
      </w:r>
    </w:p>
    <w:p w:rsidR="004B5DF5" w:rsidRPr="00CD0AF0" w:rsidRDefault="004B5DF5" w:rsidP="004B5DF5">
      <w:pPr>
        <w:numPr>
          <w:ilvl w:val="0"/>
          <w:numId w:val="7"/>
        </w:numPr>
        <w:spacing w:after="200"/>
        <w:contextualSpacing/>
        <w:jc w:val="both"/>
        <w:rPr>
          <w:rFonts w:eastAsia="Calibri"/>
          <w:lang w:val="es-MX"/>
        </w:rPr>
      </w:pPr>
      <w:r w:rsidRPr="00CD0AF0">
        <w:rPr>
          <w:rFonts w:eastAsia="Calibri"/>
          <w:lang w:val="es-MX"/>
        </w:rPr>
        <w:t>Rendición de Cuentas</w:t>
      </w:r>
      <w:r w:rsidR="0069616A">
        <w:rPr>
          <w:rFonts w:eastAsia="Calibri"/>
          <w:lang w:val="es-MX"/>
        </w:rPr>
        <w:t>.</w:t>
      </w:r>
    </w:p>
    <w:p w:rsidR="004B5DF5" w:rsidRPr="00CD0AF0" w:rsidRDefault="004B5DF5" w:rsidP="004B5DF5">
      <w:pPr>
        <w:numPr>
          <w:ilvl w:val="0"/>
          <w:numId w:val="7"/>
        </w:numPr>
        <w:spacing w:after="200"/>
        <w:contextualSpacing/>
        <w:jc w:val="both"/>
        <w:rPr>
          <w:rFonts w:eastAsia="Calibri"/>
          <w:lang w:val="es-MX"/>
        </w:rPr>
      </w:pPr>
      <w:r w:rsidRPr="00CD0AF0">
        <w:rPr>
          <w:rFonts w:eastAsia="Calibri"/>
          <w:lang w:val="es-MX"/>
        </w:rPr>
        <w:t>Transparencia Fiscal</w:t>
      </w:r>
      <w:r w:rsidR="0069616A">
        <w:rPr>
          <w:rFonts w:eastAsia="Calibri"/>
          <w:lang w:val="es-MX"/>
        </w:rPr>
        <w:t>.</w:t>
      </w:r>
    </w:p>
    <w:p w:rsidR="004B5DF5" w:rsidRPr="00CD0AF0" w:rsidRDefault="004B5DF5" w:rsidP="004B5DF5">
      <w:pPr>
        <w:jc w:val="both"/>
        <w:rPr>
          <w:rFonts w:eastAsia="Calibri"/>
          <w:lang w:val="es-MX"/>
        </w:rPr>
      </w:pPr>
    </w:p>
    <w:p w:rsidR="004B5DF5" w:rsidRPr="00CD0AF0" w:rsidRDefault="004B5DF5" w:rsidP="004B5DF5">
      <w:pPr>
        <w:jc w:val="both"/>
        <w:rPr>
          <w:rFonts w:eastAsia="Calibri"/>
          <w:lang w:val="es-MX"/>
        </w:rPr>
      </w:pPr>
      <w:r w:rsidRPr="00CD0AF0">
        <w:rPr>
          <w:rFonts w:eastAsia="Calibri"/>
          <w:lang w:val="es-MX"/>
        </w:rPr>
        <w:t>Al Ministerio de Finanzas Públicas (MINFIN) le correspondió coordinar el eje de Transparencia Fiscal, integrado por siete compromisos (del 16 al 22), siendo la entidad responsable directa de cumplir los primeros cuatro (16 al 19), mientras que la Superintendencia de Administración Tributaria (SAT), el Ministerio de Salud Pública y Asistencia Social y Ministerio de Educación fueron los responsables directos de los otros tres compromisos (20, 21 y 22, respectivamente).</w:t>
      </w:r>
    </w:p>
    <w:p w:rsidR="004B5DF5" w:rsidRDefault="004B5DF5" w:rsidP="004B5DF5">
      <w:pPr>
        <w:jc w:val="both"/>
        <w:rPr>
          <w:rFonts w:eastAsia="Calibri"/>
          <w:lang w:val="es-MX"/>
        </w:rPr>
      </w:pPr>
    </w:p>
    <w:p w:rsidR="00EE714B" w:rsidRPr="00CD0AF0" w:rsidRDefault="00EE714B" w:rsidP="004B5DF5">
      <w:pPr>
        <w:jc w:val="both"/>
        <w:rPr>
          <w:rFonts w:eastAsia="Calibri"/>
          <w:lang w:val="es-MX"/>
        </w:rPr>
      </w:pPr>
    </w:p>
    <w:p w:rsidR="004B5DF5" w:rsidRPr="00D845D9" w:rsidRDefault="004B5DF5" w:rsidP="00D845D9">
      <w:pPr>
        <w:pStyle w:val="Ttulo2"/>
        <w:numPr>
          <w:ilvl w:val="1"/>
          <w:numId w:val="25"/>
        </w:numPr>
        <w:rPr>
          <w:rFonts w:ascii="Times New Roman" w:hAnsi="Times New Roman"/>
          <w:color w:val="auto"/>
          <w:sz w:val="24"/>
        </w:rPr>
      </w:pPr>
      <w:bookmarkStart w:id="47" w:name="_Toc525824424"/>
      <w:r w:rsidRPr="00D845D9">
        <w:rPr>
          <w:rFonts w:ascii="Times New Roman" w:hAnsi="Times New Roman"/>
          <w:color w:val="auto"/>
          <w:sz w:val="24"/>
        </w:rPr>
        <w:t>Compromisos y Metas a cargo del Ministerio de Finanzas Públicas</w:t>
      </w:r>
      <w:bookmarkEnd w:id="47"/>
    </w:p>
    <w:p w:rsidR="004B5DF5" w:rsidRPr="00CD0AF0" w:rsidRDefault="004B5DF5" w:rsidP="004B5DF5">
      <w:pPr>
        <w:jc w:val="both"/>
        <w:rPr>
          <w:rFonts w:eastAsia="Calibri"/>
          <w:b/>
          <w:lang w:val="es-MX"/>
        </w:rPr>
      </w:pPr>
    </w:p>
    <w:p w:rsidR="004B5DF5" w:rsidRPr="0069616A" w:rsidRDefault="004B5DF5" w:rsidP="004B5DF5">
      <w:pPr>
        <w:pStyle w:val="Prrafodelista"/>
        <w:numPr>
          <w:ilvl w:val="0"/>
          <w:numId w:val="8"/>
        </w:numPr>
        <w:ind w:left="851" w:hanging="851"/>
        <w:contextualSpacing/>
        <w:jc w:val="both"/>
        <w:rPr>
          <w:rFonts w:eastAsia="Calibri"/>
          <w:b/>
          <w:lang w:val="es-MX"/>
        </w:rPr>
      </w:pPr>
      <w:r w:rsidRPr="0069616A">
        <w:rPr>
          <w:rFonts w:eastAsia="Calibri"/>
          <w:b/>
          <w:lang w:val="es-MX"/>
        </w:rPr>
        <w:t>Acciones para avanzar hacia un Presupuesto Abierto y Participativo</w:t>
      </w:r>
    </w:p>
    <w:p w:rsidR="004B5DF5" w:rsidRPr="00CD0AF0" w:rsidRDefault="004B5DF5" w:rsidP="004B5DF5">
      <w:pPr>
        <w:numPr>
          <w:ilvl w:val="1"/>
          <w:numId w:val="6"/>
        </w:numPr>
        <w:contextualSpacing/>
        <w:jc w:val="both"/>
        <w:rPr>
          <w:rFonts w:eastAsia="Calibri"/>
          <w:lang w:val="es-MX"/>
        </w:rPr>
      </w:pPr>
      <w:r w:rsidRPr="00CD0AF0">
        <w:rPr>
          <w:rFonts w:eastAsia="Calibri"/>
          <w:lang w:val="es-MX"/>
        </w:rPr>
        <w:t>Foros de presupuesto abierto se institucionalizan</w:t>
      </w:r>
      <w:r w:rsidR="00AA3B13">
        <w:rPr>
          <w:rFonts w:eastAsia="Calibri"/>
          <w:lang w:val="es-MX"/>
        </w:rPr>
        <w:t>.</w:t>
      </w:r>
    </w:p>
    <w:p w:rsidR="004B5DF5" w:rsidRPr="00CD0AF0" w:rsidRDefault="004B5DF5" w:rsidP="004B5DF5">
      <w:pPr>
        <w:numPr>
          <w:ilvl w:val="1"/>
          <w:numId w:val="6"/>
        </w:numPr>
        <w:contextualSpacing/>
        <w:jc w:val="both"/>
        <w:rPr>
          <w:rFonts w:eastAsia="Calibri"/>
          <w:lang w:val="es-MX"/>
        </w:rPr>
      </w:pPr>
      <w:r w:rsidRPr="00CD0AF0">
        <w:rPr>
          <w:rFonts w:eastAsia="Calibri"/>
          <w:lang w:val="es-MX"/>
        </w:rPr>
        <w:t>Normas presupuestarias, incluyen principios de Transparencia Fiscal y Gobierno Abierto</w:t>
      </w:r>
      <w:r w:rsidR="00AA3B13">
        <w:rPr>
          <w:rFonts w:eastAsia="Calibri"/>
          <w:lang w:val="es-MX"/>
        </w:rPr>
        <w:t>.</w:t>
      </w:r>
    </w:p>
    <w:p w:rsidR="004B5DF5" w:rsidRPr="00CD0AF0" w:rsidRDefault="004B5DF5" w:rsidP="004B5DF5">
      <w:pPr>
        <w:numPr>
          <w:ilvl w:val="1"/>
          <w:numId w:val="6"/>
        </w:numPr>
        <w:contextualSpacing/>
        <w:jc w:val="both"/>
        <w:rPr>
          <w:rFonts w:eastAsia="Calibri"/>
          <w:lang w:val="es-MX"/>
        </w:rPr>
      </w:pPr>
      <w:r w:rsidRPr="00CD0AF0">
        <w:rPr>
          <w:rFonts w:eastAsia="Calibri"/>
          <w:lang w:val="es-MX"/>
        </w:rPr>
        <w:t>CONADUR socializa propuesta de inversión para el siguiente presupuesto</w:t>
      </w:r>
      <w:r w:rsidR="00AA3B13">
        <w:rPr>
          <w:rFonts w:eastAsia="Calibri"/>
          <w:lang w:val="es-MX"/>
        </w:rPr>
        <w:t>.</w:t>
      </w:r>
    </w:p>
    <w:p w:rsidR="004B5DF5" w:rsidRPr="00CD0AF0" w:rsidRDefault="004B5DF5" w:rsidP="004B5DF5">
      <w:pPr>
        <w:numPr>
          <w:ilvl w:val="1"/>
          <w:numId w:val="6"/>
        </w:numPr>
        <w:contextualSpacing/>
        <w:jc w:val="both"/>
        <w:rPr>
          <w:rFonts w:eastAsia="Calibri"/>
          <w:lang w:val="es-MX"/>
        </w:rPr>
      </w:pPr>
      <w:r w:rsidRPr="00CD0AF0">
        <w:rPr>
          <w:rFonts w:eastAsia="Calibri"/>
          <w:lang w:val="es-MX"/>
        </w:rPr>
        <w:t>Mesas técnicas con participación de sociedad civil para discutir el proyecto de presupuesto en el Congreso de la República</w:t>
      </w:r>
      <w:r w:rsidR="00AA3B13">
        <w:rPr>
          <w:rFonts w:eastAsia="Calibri"/>
          <w:lang w:val="es-MX"/>
        </w:rPr>
        <w:t>.</w:t>
      </w:r>
    </w:p>
    <w:p w:rsidR="004B5DF5" w:rsidRPr="00CD0AF0" w:rsidRDefault="004B5DF5" w:rsidP="004B5DF5">
      <w:pPr>
        <w:numPr>
          <w:ilvl w:val="1"/>
          <w:numId w:val="6"/>
        </w:numPr>
        <w:contextualSpacing/>
        <w:jc w:val="both"/>
        <w:rPr>
          <w:rFonts w:eastAsia="Calibri"/>
          <w:lang w:val="es-MX"/>
        </w:rPr>
      </w:pPr>
      <w:r w:rsidRPr="00CD0AF0">
        <w:rPr>
          <w:rFonts w:eastAsia="Calibri"/>
          <w:lang w:val="es-MX"/>
        </w:rPr>
        <w:t>Contraloría General de Cuentas publica informe de auditoría a la liquidación del presupuesto bajo principios de gobierno abierto</w:t>
      </w:r>
      <w:r w:rsidR="00AA3B13">
        <w:rPr>
          <w:rFonts w:eastAsia="Calibri"/>
          <w:lang w:val="es-MX"/>
        </w:rPr>
        <w:t>.</w:t>
      </w:r>
    </w:p>
    <w:p w:rsidR="004B5DF5" w:rsidRPr="00CD0AF0" w:rsidRDefault="004B5DF5" w:rsidP="004B5DF5">
      <w:pPr>
        <w:ind w:left="1440"/>
        <w:contextualSpacing/>
        <w:jc w:val="both"/>
        <w:rPr>
          <w:rFonts w:eastAsia="Calibri"/>
          <w:lang w:val="es-MX"/>
        </w:rPr>
      </w:pPr>
    </w:p>
    <w:p w:rsidR="004B5DF5" w:rsidRPr="0069616A" w:rsidRDefault="004B5DF5" w:rsidP="004B5DF5">
      <w:pPr>
        <w:pStyle w:val="Prrafodelista"/>
        <w:numPr>
          <w:ilvl w:val="0"/>
          <w:numId w:val="8"/>
        </w:numPr>
        <w:ind w:left="851" w:hanging="851"/>
        <w:contextualSpacing/>
        <w:jc w:val="both"/>
        <w:rPr>
          <w:rFonts w:eastAsia="Calibri"/>
          <w:b/>
          <w:lang w:val="es-MX"/>
        </w:rPr>
      </w:pPr>
      <w:r w:rsidRPr="0069616A">
        <w:rPr>
          <w:rFonts w:eastAsia="Calibri"/>
          <w:b/>
          <w:lang w:val="es-MX"/>
        </w:rPr>
        <w:t>Acciones para avanzar en el cumplimiento del Código y Manual de Transparencia Fiscal del Fondo Monetario Internacional (FMI)</w:t>
      </w:r>
    </w:p>
    <w:p w:rsidR="004B5DF5" w:rsidRPr="00CD0AF0" w:rsidRDefault="004B5DF5" w:rsidP="004B5DF5">
      <w:pPr>
        <w:numPr>
          <w:ilvl w:val="0"/>
          <w:numId w:val="9"/>
        </w:numPr>
        <w:contextualSpacing/>
        <w:jc w:val="both"/>
        <w:rPr>
          <w:rFonts w:eastAsia="Calibri"/>
          <w:lang w:val="es-MX"/>
        </w:rPr>
      </w:pPr>
      <w:r w:rsidRPr="00CD0AF0">
        <w:rPr>
          <w:rFonts w:eastAsia="Calibri"/>
          <w:lang w:val="es-MX"/>
        </w:rPr>
        <w:t>Divulgar resultados de Evaluación de Transparencia Fiscal del FMI</w:t>
      </w:r>
      <w:r w:rsidR="00AA3B13">
        <w:rPr>
          <w:rFonts w:eastAsia="Calibri"/>
          <w:lang w:val="es-MX"/>
        </w:rPr>
        <w:t>.</w:t>
      </w:r>
    </w:p>
    <w:p w:rsidR="004B5DF5" w:rsidRPr="00CD0AF0" w:rsidRDefault="004B5DF5" w:rsidP="004B5DF5">
      <w:pPr>
        <w:numPr>
          <w:ilvl w:val="0"/>
          <w:numId w:val="9"/>
        </w:numPr>
        <w:contextualSpacing/>
        <w:jc w:val="both"/>
        <w:rPr>
          <w:rFonts w:eastAsia="Calibri"/>
          <w:lang w:val="es-MX"/>
        </w:rPr>
      </w:pPr>
      <w:r w:rsidRPr="00CD0AF0">
        <w:rPr>
          <w:rFonts w:eastAsia="Calibri"/>
          <w:lang w:val="es-MX"/>
        </w:rPr>
        <w:t>Plan de trabajo para avanzar en la implementación del Código y Manual</w:t>
      </w:r>
      <w:r w:rsidR="00AA3B13">
        <w:rPr>
          <w:rFonts w:eastAsia="Calibri"/>
          <w:lang w:val="es-MX"/>
        </w:rPr>
        <w:t>.</w:t>
      </w:r>
    </w:p>
    <w:p w:rsidR="004B5DF5" w:rsidRPr="00CD0AF0" w:rsidRDefault="004B5DF5" w:rsidP="004B5DF5">
      <w:pPr>
        <w:numPr>
          <w:ilvl w:val="0"/>
          <w:numId w:val="9"/>
        </w:numPr>
        <w:contextualSpacing/>
        <w:jc w:val="both"/>
        <w:rPr>
          <w:rFonts w:eastAsia="Calibri"/>
          <w:lang w:val="es-MX"/>
        </w:rPr>
      </w:pPr>
      <w:r w:rsidRPr="00CD0AF0">
        <w:rPr>
          <w:rFonts w:eastAsia="Calibri"/>
          <w:lang w:val="es-MX"/>
        </w:rPr>
        <w:t>Incluir apartado de riesgos fiscales en el proyecto del presupuesto</w:t>
      </w:r>
      <w:r w:rsidR="00AA3B13">
        <w:rPr>
          <w:rFonts w:eastAsia="Calibri"/>
          <w:lang w:val="es-MX"/>
        </w:rPr>
        <w:t>.</w:t>
      </w:r>
    </w:p>
    <w:p w:rsidR="004B5DF5" w:rsidRPr="00CD0AF0" w:rsidRDefault="004B5DF5" w:rsidP="004B5DF5">
      <w:pPr>
        <w:numPr>
          <w:ilvl w:val="0"/>
          <w:numId w:val="9"/>
        </w:numPr>
        <w:contextualSpacing/>
        <w:jc w:val="both"/>
        <w:rPr>
          <w:rFonts w:eastAsia="Calibri"/>
          <w:lang w:val="es-MX"/>
        </w:rPr>
      </w:pPr>
      <w:r w:rsidRPr="00CD0AF0">
        <w:rPr>
          <w:rFonts w:eastAsia="Calibri"/>
          <w:lang w:val="es-MX"/>
        </w:rPr>
        <w:t>Promover el uso de guías elaboradas por MINFIN sobre la Ley Orgánica del Presupuesto, artículos 4, 17 Bis y 17 Ter</w:t>
      </w:r>
      <w:r w:rsidR="00AA3B13">
        <w:rPr>
          <w:rFonts w:eastAsia="Calibri"/>
          <w:lang w:val="es-MX"/>
        </w:rPr>
        <w:t>.</w:t>
      </w:r>
    </w:p>
    <w:p w:rsidR="004B5DF5" w:rsidRPr="00CD0AF0" w:rsidRDefault="004B5DF5" w:rsidP="004B5DF5">
      <w:pPr>
        <w:numPr>
          <w:ilvl w:val="0"/>
          <w:numId w:val="9"/>
        </w:numPr>
        <w:contextualSpacing/>
        <w:jc w:val="both"/>
        <w:rPr>
          <w:rFonts w:eastAsia="Calibri"/>
          <w:lang w:val="es-MX"/>
        </w:rPr>
      </w:pPr>
      <w:r w:rsidRPr="00CD0AF0">
        <w:rPr>
          <w:rFonts w:eastAsia="Calibri"/>
          <w:lang w:val="es-MX"/>
        </w:rPr>
        <w:lastRenderedPageBreak/>
        <w:t>Diagnóstico sobre obstáculos para consolidación de cuentas del Sector Público No Financiero</w:t>
      </w:r>
      <w:r w:rsidR="00AA3B13">
        <w:rPr>
          <w:rFonts w:eastAsia="Calibri"/>
          <w:lang w:val="es-MX"/>
        </w:rPr>
        <w:t>.</w:t>
      </w:r>
    </w:p>
    <w:p w:rsidR="004B5DF5" w:rsidRPr="00CD0AF0" w:rsidRDefault="004B5DF5" w:rsidP="004B5DF5">
      <w:pPr>
        <w:numPr>
          <w:ilvl w:val="0"/>
          <w:numId w:val="9"/>
        </w:numPr>
        <w:contextualSpacing/>
        <w:jc w:val="both"/>
        <w:rPr>
          <w:rFonts w:eastAsia="Calibri"/>
          <w:lang w:val="es-MX"/>
        </w:rPr>
      </w:pPr>
      <w:r w:rsidRPr="00CD0AF0">
        <w:rPr>
          <w:rFonts w:eastAsia="Calibri"/>
          <w:lang w:val="es-MX"/>
        </w:rPr>
        <w:t>Consolidación de transferencias corrientes y de capital del Sector Público No Financiero</w:t>
      </w:r>
      <w:r w:rsidR="00AA3B13">
        <w:rPr>
          <w:rFonts w:eastAsia="Calibri"/>
          <w:lang w:val="es-MX"/>
        </w:rPr>
        <w:t>.</w:t>
      </w:r>
    </w:p>
    <w:p w:rsidR="004B5DF5" w:rsidRPr="00CD0AF0" w:rsidRDefault="004B5DF5" w:rsidP="004B5DF5">
      <w:pPr>
        <w:numPr>
          <w:ilvl w:val="0"/>
          <w:numId w:val="9"/>
        </w:numPr>
        <w:contextualSpacing/>
        <w:jc w:val="both"/>
        <w:rPr>
          <w:rFonts w:eastAsia="Calibri"/>
          <w:lang w:val="es-MX"/>
        </w:rPr>
      </w:pPr>
      <w:r w:rsidRPr="00CD0AF0">
        <w:rPr>
          <w:rFonts w:eastAsia="Calibri"/>
          <w:lang w:val="es-MX"/>
        </w:rPr>
        <w:t>Consolidación de transferencias interinstitucionales que se trasladan por mandato legal del Sector Público No Financiero</w:t>
      </w:r>
      <w:r w:rsidR="00AA3B13">
        <w:rPr>
          <w:rFonts w:eastAsia="Calibri"/>
          <w:lang w:val="es-MX"/>
        </w:rPr>
        <w:t>.</w:t>
      </w:r>
    </w:p>
    <w:p w:rsidR="004B5DF5" w:rsidRPr="00CD0AF0" w:rsidRDefault="004B5DF5" w:rsidP="004B5DF5">
      <w:pPr>
        <w:numPr>
          <w:ilvl w:val="0"/>
          <w:numId w:val="9"/>
        </w:numPr>
        <w:contextualSpacing/>
        <w:jc w:val="both"/>
        <w:rPr>
          <w:rFonts w:eastAsia="Calibri"/>
          <w:lang w:val="es-MX"/>
        </w:rPr>
      </w:pPr>
      <w:r w:rsidRPr="00CD0AF0">
        <w:rPr>
          <w:rFonts w:eastAsia="Calibri"/>
          <w:lang w:val="es-MX"/>
        </w:rPr>
        <w:t>Institucionalización de la agenda de transparencia fiscal del MINFIN (equipo técnico para discutir propuesta, reformas al Reglamento Orgánico Interno del MINFIN y su implementación)</w:t>
      </w:r>
      <w:r w:rsidR="00AA3B13">
        <w:rPr>
          <w:rFonts w:eastAsia="Calibri"/>
          <w:lang w:val="es-MX"/>
        </w:rPr>
        <w:t>.</w:t>
      </w:r>
    </w:p>
    <w:p w:rsidR="004B5DF5" w:rsidRPr="00CD0AF0" w:rsidRDefault="004B5DF5" w:rsidP="004B5DF5">
      <w:pPr>
        <w:ind w:left="1440"/>
        <w:contextualSpacing/>
        <w:jc w:val="both"/>
        <w:rPr>
          <w:rFonts w:eastAsia="Calibri"/>
          <w:lang w:val="es-MX"/>
        </w:rPr>
      </w:pPr>
    </w:p>
    <w:p w:rsidR="004B5DF5" w:rsidRPr="0069616A" w:rsidRDefault="004B5DF5" w:rsidP="004B5DF5">
      <w:pPr>
        <w:pStyle w:val="Prrafodelista"/>
        <w:numPr>
          <w:ilvl w:val="0"/>
          <w:numId w:val="8"/>
        </w:numPr>
        <w:ind w:left="851" w:hanging="851"/>
        <w:contextualSpacing/>
        <w:jc w:val="both"/>
        <w:rPr>
          <w:rFonts w:eastAsia="Calibri"/>
          <w:b/>
          <w:lang w:val="es-MX"/>
        </w:rPr>
      </w:pPr>
      <w:r w:rsidRPr="0069616A">
        <w:rPr>
          <w:rFonts w:eastAsia="Calibri"/>
          <w:b/>
          <w:lang w:val="es-MX"/>
        </w:rPr>
        <w:t>Acciones para mejorar disponibilidad y calidad de la información presupuestaria</w:t>
      </w:r>
    </w:p>
    <w:p w:rsidR="004B5DF5" w:rsidRPr="00CD0AF0" w:rsidRDefault="004B5DF5" w:rsidP="004B5DF5">
      <w:pPr>
        <w:numPr>
          <w:ilvl w:val="0"/>
          <w:numId w:val="10"/>
        </w:numPr>
        <w:contextualSpacing/>
        <w:jc w:val="both"/>
        <w:rPr>
          <w:rFonts w:eastAsia="Calibri"/>
          <w:lang w:val="es-MX"/>
        </w:rPr>
      </w:pPr>
      <w:r w:rsidRPr="00CD0AF0">
        <w:rPr>
          <w:rFonts w:eastAsia="Calibri"/>
          <w:lang w:val="es-MX"/>
        </w:rPr>
        <w:t>Creación del Comité de Usuarios de Datos Abiertos del MINFIN</w:t>
      </w:r>
      <w:r w:rsidR="00AA3B13">
        <w:rPr>
          <w:rFonts w:eastAsia="Calibri"/>
          <w:lang w:val="es-MX"/>
        </w:rPr>
        <w:t>.</w:t>
      </w:r>
    </w:p>
    <w:p w:rsidR="004B5DF5" w:rsidRPr="00CD0AF0" w:rsidRDefault="004B5DF5" w:rsidP="004B5DF5">
      <w:pPr>
        <w:numPr>
          <w:ilvl w:val="0"/>
          <w:numId w:val="10"/>
        </w:numPr>
        <w:contextualSpacing/>
        <w:jc w:val="both"/>
        <w:rPr>
          <w:rFonts w:eastAsia="Calibri"/>
          <w:lang w:val="es-MX"/>
        </w:rPr>
      </w:pPr>
      <w:r w:rsidRPr="00CD0AF0">
        <w:rPr>
          <w:rFonts w:eastAsia="Calibri"/>
          <w:lang w:val="es-MX"/>
        </w:rPr>
        <w:t>Mejoras al portal de transparencia fiscal del MINFIN</w:t>
      </w:r>
      <w:r w:rsidR="00AA3B13">
        <w:rPr>
          <w:rFonts w:eastAsia="Calibri"/>
          <w:lang w:val="es-MX"/>
        </w:rPr>
        <w:t>.</w:t>
      </w:r>
    </w:p>
    <w:p w:rsidR="004B5DF5" w:rsidRPr="00CD0AF0" w:rsidRDefault="004B5DF5" w:rsidP="004B5DF5">
      <w:pPr>
        <w:numPr>
          <w:ilvl w:val="0"/>
          <w:numId w:val="10"/>
        </w:numPr>
        <w:contextualSpacing/>
        <w:jc w:val="both"/>
        <w:rPr>
          <w:rFonts w:eastAsia="Calibri"/>
          <w:lang w:val="es-MX"/>
        </w:rPr>
      </w:pPr>
      <w:r w:rsidRPr="00CD0AF0">
        <w:rPr>
          <w:rFonts w:eastAsia="Calibri"/>
          <w:lang w:val="es-MX"/>
        </w:rPr>
        <w:t>Interacción con sociedad civil para retroalimentar planes de mejoras al SIAF, SICOIN, SIGES, GUATECOMPRAS, GUATENOMINAS y otras plataformas tecnológicas</w:t>
      </w:r>
      <w:r w:rsidR="00AA3B13">
        <w:rPr>
          <w:rFonts w:eastAsia="Calibri"/>
          <w:lang w:val="es-MX"/>
        </w:rPr>
        <w:t>.</w:t>
      </w:r>
    </w:p>
    <w:p w:rsidR="004B5DF5" w:rsidRPr="00CD0AF0" w:rsidRDefault="004B5DF5" w:rsidP="004B5DF5">
      <w:pPr>
        <w:numPr>
          <w:ilvl w:val="0"/>
          <w:numId w:val="10"/>
        </w:numPr>
        <w:contextualSpacing/>
        <w:jc w:val="both"/>
        <w:rPr>
          <w:rFonts w:eastAsia="Calibri"/>
          <w:lang w:val="es-MX"/>
        </w:rPr>
      </w:pPr>
      <w:r w:rsidRPr="00CD0AF0">
        <w:rPr>
          <w:rFonts w:eastAsia="Calibri"/>
          <w:lang w:val="es-MX"/>
        </w:rPr>
        <w:t>Mejoras en la publicación de documentos del presupuesto según buenas prácticas internacionales</w:t>
      </w:r>
      <w:r w:rsidR="00AA3B13">
        <w:rPr>
          <w:rFonts w:eastAsia="Calibri"/>
          <w:lang w:val="es-MX"/>
        </w:rPr>
        <w:t>.</w:t>
      </w:r>
    </w:p>
    <w:p w:rsidR="004B5DF5" w:rsidRPr="00CD0AF0" w:rsidRDefault="004B5DF5" w:rsidP="004B5DF5">
      <w:pPr>
        <w:numPr>
          <w:ilvl w:val="0"/>
          <w:numId w:val="10"/>
        </w:numPr>
        <w:contextualSpacing/>
        <w:jc w:val="both"/>
        <w:rPr>
          <w:rFonts w:eastAsia="Calibri"/>
          <w:lang w:val="es-MX"/>
        </w:rPr>
      </w:pPr>
      <w:r w:rsidRPr="00CD0AF0">
        <w:rPr>
          <w:rFonts w:eastAsia="Calibri"/>
          <w:lang w:val="es-MX"/>
        </w:rPr>
        <w:t>Publicación y difusión de informes para monitorear la ejecución de préstamos y donaciones</w:t>
      </w:r>
      <w:r w:rsidR="00AA3B13">
        <w:rPr>
          <w:rFonts w:eastAsia="Calibri"/>
          <w:lang w:val="es-MX"/>
        </w:rPr>
        <w:t>.</w:t>
      </w:r>
    </w:p>
    <w:p w:rsidR="004B5DF5" w:rsidRPr="00CD0AF0" w:rsidRDefault="004B5DF5" w:rsidP="004B5DF5">
      <w:pPr>
        <w:ind w:left="1440"/>
        <w:contextualSpacing/>
        <w:jc w:val="both"/>
        <w:rPr>
          <w:rFonts w:eastAsia="Calibri"/>
          <w:lang w:val="es-MX"/>
        </w:rPr>
      </w:pPr>
    </w:p>
    <w:p w:rsidR="004B5DF5" w:rsidRPr="0069616A" w:rsidRDefault="004B5DF5" w:rsidP="004B5DF5">
      <w:pPr>
        <w:pStyle w:val="Prrafodelista"/>
        <w:numPr>
          <w:ilvl w:val="0"/>
          <w:numId w:val="8"/>
        </w:numPr>
        <w:ind w:left="851" w:hanging="851"/>
        <w:contextualSpacing/>
        <w:jc w:val="both"/>
        <w:rPr>
          <w:rFonts w:eastAsia="Calibri"/>
          <w:b/>
          <w:lang w:val="es-MX"/>
        </w:rPr>
      </w:pPr>
      <w:r w:rsidRPr="0069616A">
        <w:rPr>
          <w:rFonts w:eastAsia="Calibri"/>
          <w:b/>
          <w:lang w:val="es-MX"/>
        </w:rPr>
        <w:t>Acciones para avanzar hacia un régimen de contrataciones abiertas</w:t>
      </w:r>
    </w:p>
    <w:p w:rsidR="004B5DF5" w:rsidRPr="00CD0AF0" w:rsidRDefault="004B5DF5" w:rsidP="004B5DF5">
      <w:pPr>
        <w:numPr>
          <w:ilvl w:val="0"/>
          <w:numId w:val="11"/>
        </w:numPr>
        <w:contextualSpacing/>
        <w:jc w:val="both"/>
        <w:rPr>
          <w:rFonts w:eastAsia="Calibri"/>
          <w:lang w:val="es-MX"/>
        </w:rPr>
      </w:pPr>
      <w:r w:rsidRPr="00CD0AF0">
        <w:rPr>
          <w:rFonts w:eastAsia="Calibri"/>
          <w:lang w:val="es-MX"/>
        </w:rPr>
        <w:t>Actualización de GUATECOMPRAS según Reformas a la Ley de Contrataciones del Estado</w:t>
      </w:r>
      <w:r w:rsidR="00AA3B13">
        <w:rPr>
          <w:rFonts w:eastAsia="Calibri"/>
          <w:lang w:val="es-MX"/>
        </w:rPr>
        <w:t>.</w:t>
      </w:r>
    </w:p>
    <w:p w:rsidR="004B5DF5" w:rsidRPr="00CD0AF0" w:rsidRDefault="004B5DF5" w:rsidP="004B5DF5">
      <w:pPr>
        <w:numPr>
          <w:ilvl w:val="0"/>
          <w:numId w:val="11"/>
        </w:numPr>
        <w:contextualSpacing/>
        <w:jc w:val="both"/>
        <w:rPr>
          <w:rFonts w:eastAsia="Calibri"/>
          <w:lang w:val="es-MX"/>
        </w:rPr>
      </w:pPr>
      <w:r w:rsidRPr="00CD0AF0">
        <w:rPr>
          <w:rFonts w:eastAsia="Calibri"/>
          <w:lang w:val="es-MX"/>
        </w:rPr>
        <w:t>Estandarización de formatos para adquisiciones</w:t>
      </w:r>
      <w:r w:rsidR="00AA3B13">
        <w:rPr>
          <w:rFonts w:eastAsia="Calibri"/>
          <w:lang w:val="es-MX"/>
        </w:rPr>
        <w:t xml:space="preserve"> por modalidad de compra.</w:t>
      </w:r>
    </w:p>
    <w:p w:rsidR="004B5DF5" w:rsidRPr="00CD0AF0" w:rsidRDefault="004B5DF5" w:rsidP="004B5DF5">
      <w:pPr>
        <w:numPr>
          <w:ilvl w:val="0"/>
          <w:numId w:val="11"/>
        </w:numPr>
        <w:contextualSpacing/>
        <w:jc w:val="both"/>
        <w:rPr>
          <w:rFonts w:eastAsia="Calibri"/>
          <w:lang w:val="es-MX"/>
        </w:rPr>
      </w:pPr>
      <w:r w:rsidRPr="00CD0AF0">
        <w:rPr>
          <w:rFonts w:eastAsia="Calibri"/>
          <w:lang w:val="es-MX"/>
        </w:rPr>
        <w:t xml:space="preserve">Implementación de la </w:t>
      </w:r>
      <w:r w:rsidR="00AA3B13">
        <w:rPr>
          <w:rFonts w:eastAsia="Calibri"/>
          <w:lang w:val="es-MX"/>
        </w:rPr>
        <w:t>S</w:t>
      </w:r>
      <w:r w:rsidRPr="00CD0AF0">
        <w:rPr>
          <w:rFonts w:eastAsia="Calibri"/>
          <w:lang w:val="es-MX"/>
        </w:rPr>
        <w:t xml:space="preserve">ubasta </w:t>
      </w:r>
      <w:r w:rsidR="00AA3B13">
        <w:rPr>
          <w:rFonts w:eastAsia="Calibri"/>
          <w:lang w:val="es-MX"/>
        </w:rPr>
        <w:t>E</w:t>
      </w:r>
      <w:r w:rsidRPr="00CD0AF0">
        <w:rPr>
          <w:rFonts w:eastAsia="Calibri"/>
          <w:lang w:val="es-MX"/>
        </w:rPr>
        <w:t xml:space="preserve">lectrónica </w:t>
      </w:r>
      <w:r w:rsidR="00AA3B13">
        <w:rPr>
          <w:rFonts w:eastAsia="Calibri"/>
          <w:lang w:val="es-MX"/>
        </w:rPr>
        <w:t>I</w:t>
      </w:r>
      <w:r w:rsidRPr="00CD0AF0">
        <w:rPr>
          <w:rFonts w:eastAsia="Calibri"/>
          <w:lang w:val="es-MX"/>
        </w:rPr>
        <w:t>nversa</w:t>
      </w:r>
      <w:r w:rsidR="00AA3B13">
        <w:rPr>
          <w:rFonts w:eastAsia="Calibri"/>
          <w:lang w:val="es-MX"/>
        </w:rPr>
        <w:t xml:space="preserve"> (SEI).</w:t>
      </w:r>
    </w:p>
    <w:p w:rsidR="004B5DF5" w:rsidRPr="00CD0AF0" w:rsidRDefault="004B5DF5" w:rsidP="004B5DF5">
      <w:pPr>
        <w:numPr>
          <w:ilvl w:val="0"/>
          <w:numId w:val="11"/>
        </w:numPr>
        <w:contextualSpacing/>
        <w:jc w:val="both"/>
        <w:rPr>
          <w:rFonts w:eastAsia="Calibri"/>
          <w:lang w:val="es-MX"/>
        </w:rPr>
      </w:pPr>
      <w:r w:rsidRPr="00CD0AF0">
        <w:rPr>
          <w:rFonts w:eastAsia="Calibri"/>
          <w:lang w:val="es-MX"/>
        </w:rPr>
        <w:t>Implementación de plataforma electrónica del Registro General de Adquisiciones</w:t>
      </w:r>
      <w:r w:rsidR="00AA3B13">
        <w:rPr>
          <w:rFonts w:eastAsia="Calibri"/>
          <w:lang w:val="es-MX"/>
        </w:rPr>
        <w:t xml:space="preserve"> del Estado.</w:t>
      </w:r>
    </w:p>
    <w:p w:rsidR="004B5DF5" w:rsidRPr="00CD0AF0" w:rsidRDefault="004B5DF5" w:rsidP="004B5DF5">
      <w:pPr>
        <w:numPr>
          <w:ilvl w:val="0"/>
          <w:numId w:val="11"/>
        </w:numPr>
        <w:contextualSpacing/>
        <w:jc w:val="both"/>
        <w:rPr>
          <w:rFonts w:eastAsia="Calibri"/>
          <w:lang w:val="es-MX"/>
        </w:rPr>
      </w:pPr>
      <w:r w:rsidRPr="00CD0AF0">
        <w:rPr>
          <w:rFonts w:eastAsia="Calibri"/>
          <w:lang w:val="es-MX"/>
        </w:rPr>
        <w:t>Capacitación de funcionarios y sociedad civil sobre el funcionamiento del Registro General de Adquisiciones</w:t>
      </w:r>
      <w:r w:rsidR="00AA3B13">
        <w:rPr>
          <w:rFonts w:eastAsia="Calibri"/>
          <w:lang w:val="es-MX"/>
        </w:rPr>
        <w:t xml:space="preserve"> del Estado.</w:t>
      </w:r>
    </w:p>
    <w:p w:rsidR="004B5DF5" w:rsidRPr="00CD0AF0" w:rsidRDefault="004B5DF5" w:rsidP="004B5DF5">
      <w:pPr>
        <w:numPr>
          <w:ilvl w:val="0"/>
          <w:numId w:val="11"/>
        </w:numPr>
        <w:contextualSpacing/>
        <w:jc w:val="both"/>
        <w:rPr>
          <w:rFonts w:eastAsia="Calibri"/>
          <w:lang w:val="es-MX"/>
        </w:rPr>
      </w:pPr>
      <w:r w:rsidRPr="00CD0AF0">
        <w:rPr>
          <w:rFonts w:eastAsia="Calibri"/>
          <w:lang w:val="es-MX"/>
        </w:rPr>
        <w:t xml:space="preserve">Evaluar posibilidad de adoptar </w:t>
      </w:r>
      <w:r w:rsidR="00AA3B13">
        <w:rPr>
          <w:rFonts w:eastAsia="Calibri"/>
          <w:lang w:val="es-MX"/>
        </w:rPr>
        <w:t>la iniciativa O</w:t>
      </w:r>
      <w:r w:rsidRPr="00CD0AF0">
        <w:rPr>
          <w:rFonts w:eastAsia="Calibri"/>
          <w:i/>
        </w:rPr>
        <w:t xml:space="preserve">pen </w:t>
      </w:r>
      <w:proofErr w:type="spellStart"/>
      <w:r w:rsidR="00AA3B13">
        <w:rPr>
          <w:rFonts w:eastAsia="Calibri"/>
          <w:i/>
        </w:rPr>
        <w:t>C</w:t>
      </w:r>
      <w:r w:rsidRPr="00CD0AF0">
        <w:rPr>
          <w:rFonts w:eastAsia="Calibri"/>
          <w:i/>
        </w:rPr>
        <w:t>ontracting</w:t>
      </w:r>
      <w:proofErr w:type="spellEnd"/>
      <w:r w:rsidR="00AA3B13">
        <w:rPr>
          <w:rFonts w:eastAsia="Calibri"/>
          <w:i/>
        </w:rPr>
        <w:t xml:space="preserve"> </w:t>
      </w:r>
      <w:proofErr w:type="spellStart"/>
      <w:r w:rsidR="00AA3B13">
        <w:rPr>
          <w:rFonts w:eastAsia="Calibri"/>
          <w:i/>
        </w:rPr>
        <w:t>Partnership</w:t>
      </w:r>
      <w:proofErr w:type="spellEnd"/>
      <w:r w:rsidR="00AA3B13">
        <w:rPr>
          <w:rFonts w:eastAsia="Calibri"/>
          <w:i/>
        </w:rPr>
        <w:t>.</w:t>
      </w:r>
    </w:p>
    <w:p w:rsidR="004B5DF5" w:rsidRPr="00CD0AF0" w:rsidRDefault="004B5DF5" w:rsidP="004B5DF5">
      <w:pPr>
        <w:ind w:left="1440"/>
        <w:contextualSpacing/>
        <w:jc w:val="both"/>
        <w:rPr>
          <w:rFonts w:eastAsia="Calibri"/>
          <w:lang w:val="es-MX"/>
        </w:rPr>
      </w:pPr>
    </w:p>
    <w:p w:rsidR="004B5DF5" w:rsidRPr="00CD0AF0" w:rsidRDefault="004B5DF5" w:rsidP="004B5DF5">
      <w:pPr>
        <w:jc w:val="both"/>
        <w:rPr>
          <w:rFonts w:eastAsia="Calibri"/>
          <w:lang w:val="es-MX"/>
        </w:rPr>
      </w:pPr>
      <w:r w:rsidRPr="00CD0AF0">
        <w:rPr>
          <w:rFonts w:eastAsia="Calibri"/>
          <w:lang w:val="es-MX"/>
        </w:rPr>
        <w:t>Durante el primer semestre del presente año se desarrollaron varias acciones que apuntan al cumplimiento de los compromisos y metas del Tercer Plan de Acción Nacional de Gobierno Abierto 2016-2018, cuya vigencia finalizó el 30 de junio de 2018. Vale destacar que de las 20 metas de los 4 compromisos a cargo del MINFIN, se completaron satisfactoriamente 17 y las 3 restantes presentan un nivel “sustancial” de cumplimiento, las cuales se estima concluir entre octubre y diciembre del presente año. Entre las acciones relevantes implementadas, cabe mencionar, entre otras:</w:t>
      </w:r>
    </w:p>
    <w:p w:rsidR="004B5DF5" w:rsidRPr="00CD0AF0" w:rsidRDefault="004B5DF5" w:rsidP="004B5DF5">
      <w:pPr>
        <w:jc w:val="both"/>
        <w:rPr>
          <w:rFonts w:eastAsia="Calibri"/>
          <w:lang w:val="es-MX"/>
        </w:rPr>
      </w:pPr>
    </w:p>
    <w:p w:rsidR="004B5DF5" w:rsidRPr="00CD0AF0" w:rsidRDefault="004B5DF5" w:rsidP="004B5DF5">
      <w:pPr>
        <w:jc w:val="both"/>
        <w:rPr>
          <w:rFonts w:eastAsia="Calibri"/>
          <w:lang w:val="es-MX"/>
        </w:rPr>
      </w:pPr>
      <w:r w:rsidRPr="006D17DE">
        <w:rPr>
          <w:rFonts w:eastAsia="Calibri"/>
          <w:b/>
          <w:i/>
          <w:lang w:val="es-MX"/>
        </w:rPr>
        <w:t>Institucionalización del tema de Gobierno Abierto</w:t>
      </w:r>
      <w:r w:rsidRPr="00CD0AF0">
        <w:rPr>
          <w:rFonts w:eastAsia="Calibri"/>
          <w:lang w:val="es-MX"/>
        </w:rPr>
        <w:t xml:space="preserve">.  Por </w:t>
      </w:r>
      <w:r w:rsidR="006D17DE">
        <w:rPr>
          <w:rFonts w:eastAsia="Calibri"/>
          <w:lang w:val="es-MX"/>
        </w:rPr>
        <w:t xml:space="preserve"> </w:t>
      </w:r>
      <w:r w:rsidRPr="00CD0AF0">
        <w:rPr>
          <w:rFonts w:eastAsia="Calibri"/>
          <w:lang w:val="es-MX"/>
        </w:rPr>
        <w:t xml:space="preserve">medio del </w:t>
      </w:r>
      <w:r w:rsidR="006D17DE">
        <w:rPr>
          <w:rFonts w:eastAsia="Calibri"/>
          <w:lang w:val="es-MX"/>
        </w:rPr>
        <w:t xml:space="preserve"> </w:t>
      </w:r>
      <w:r w:rsidRPr="00CD0AF0">
        <w:rPr>
          <w:rFonts w:eastAsia="Calibri"/>
          <w:lang w:val="es-MX"/>
        </w:rPr>
        <w:t xml:space="preserve">Acuerdo Gubernativo No. 41-2018, de fecha 6 de marzo de 2018, el Presidente de la República creó en forma temporal la Comisión Presidencial de Gestión Pública Abierta y Transparencia, con el propósito de coordinar la aplicación de medidas que se derivan de los instrumentos internacionales en materia de gobierno abierto, mecanismos de transparencia, gobierno electrónico y mecanismos anticorrupción.  Este fue un requerimiento concreto que formularon </w:t>
      </w:r>
      <w:r w:rsidRPr="00CD0AF0">
        <w:rPr>
          <w:rFonts w:eastAsia="Calibri"/>
          <w:lang w:val="es-MX"/>
        </w:rPr>
        <w:lastRenderedPageBreak/>
        <w:t xml:space="preserve">las organizaciones de sociedad civil que participan en la Mesa Técnica de Gobierno Abierto (MTGA), de que existiera un ente que coordine a nivel del Organismo Ejecutivo la agenda de Gobierno Abierto y vele por el monitoreo y cumplimiento de los compromisos que se acuerden en la </w:t>
      </w:r>
      <w:proofErr w:type="spellStart"/>
      <w:r w:rsidRPr="00CD0AF0">
        <w:rPr>
          <w:rFonts w:eastAsia="Calibri"/>
          <w:lang w:val="es-MX"/>
        </w:rPr>
        <w:t>co</w:t>
      </w:r>
      <w:proofErr w:type="spellEnd"/>
      <w:r w:rsidRPr="00CD0AF0">
        <w:rPr>
          <w:rFonts w:eastAsia="Calibri"/>
          <w:lang w:val="es-MX"/>
        </w:rPr>
        <w:t>-creación de los Planes de Acción Nacional de Gobierno Abierto.</w:t>
      </w:r>
    </w:p>
    <w:p w:rsidR="004B5DF5" w:rsidRPr="00CD0AF0" w:rsidRDefault="004B5DF5" w:rsidP="004B5DF5">
      <w:pPr>
        <w:jc w:val="both"/>
        <w:rPr>
          <w:rFonts w:eastAsia="Calibri"/>
          <w:lang w:val="es-MX"/>
        </w:rPr>
      </w:pPr>
    </w:p>
    <w:p w:rsidR="004B5DF5" w:rsidRPr="00CD0AF0" w:rsidRDefault="004B5DF5" w:rsidP="004B5DF5">
      <w:pPr>
        <w:jc w:val="both"/>
        <w:rPr>
          <w:rFonts w:eastAsia="Calibri"/>
          <w:lang w:val="es-MX"/>
        </w:rPr>
      </w:pPr>
      <w:r w:rsidRPr="006D17DE">
        <w:rPr>
          <w:rFonts w:eastAsia="Calibri"/>
          <w:b/>
          <w:i/>
          <w:lang w:val="es-MX"/>
        </w:rPr>
        <w:t>Institucionalización de la agenda de transparencia fiscal dentro del Ministerio de Finanzas Públicas</w:t>
      </w:r>
      <w:r w:rsidRPr="00CD0AF0">
        <w:rPr>
          <w:rFonts w:eastAsia="Calibri"/>
          <w:b/>
          <w:lang w:val="es-MX"/>
        </w:rPr>
        <w:t xml:space="preserve">.  </w:t>
      </w:r>
      <w:r w:rsidRPr="00CD0AF0">
        <w:rPr>
          <w:rFonts w:eastAsia="Calibri"/>
          <w:lang w:val="es-MX"/>
        </w:rPr>
        <w:t>Con la emisión del Acuerdo Gubernativo No. 25-2018 de fecha 12 de febrero de 2018, se crea dentro de la estructura orgánica del Ministerio de Finanzas Públicas, el Viceministerio de Transparencia Fiscal y Adquisiciones del Estado que tendrá dentro de sus principales funciones formular políticas y estrategias, así como dirigir y coordinar los procesos de transparencia fiscal y sistemas de adquisiciones públicas, para promover el continuo desarrollo y aplicación de estándares internacionales y buenas prácticas en materia de transparencia y combate a la corrupción.</w:t>
      </w:r>
    </w:p>
    <w:p w:rsidR="004B5DF5" w:rsidRPr="00CD0AF0" w:rsidRDefault="004B5DF5" w:rsidP="004B5DF5">
      <w:pPr>
        <w:jc w:val="both"/>
        <w:rPr>
          <w:rFonts w:eastAsia="Calibri"/>
          <w:lang w:val="es-MX"/>
        </w:rPr>
      </w:pPr>
    </w:p>
    <w:p w:rsidR="004B5DF5" w:rsidRPr="00CD0AF0" w:rsidRDefault="004B5DF5" w:rsidP="004B5DF5">
      <w:pPr>
        <w:jc w:val="both"/>
        <w:rPr>
          <w:rFonts w:eastAsia="Calibri"/>
          <w:lang w:val="es-MX"/>
        </w:rPr>
      </w:pPr>
      <w:r w:rsidRPr="00CD0AF0">
        <w:rPr>
          <w:rFonts w:eastAsia="Calibri"/>
          <w:lang w:val="es-MX"/>
        </w:rPr>
        <w:t>Además, con la emisión del Acuerdo Gubernativo No. 112-2018, de fecha 27 de junio de 2018, se aprueba el nuevo Reglamento Orgánico Interno del Ministerio de Finanzas Públicas que considera entre otros, la creación de la Dirección de Transparencia Fiscal que deberá velar por la aplicación y cumplimiento de estándares internacionales y compromisos asumidos por el Estado de Guatemala en materia de transparencia fiscal. Asimismo, se amplían las funciones de la Dirección Normativa de Contrataciones y Adquisiciones del Estado (DNCAE) que pasa a la categoría de Dirección General y se crea el Registro General de Adquisiciones del Estado, cuyas funciones principales apuntan a la transparencia en los procesos de compras y contrataciones públicas, adoptando estándares internacionales, como es el caso de la Iniciativa de Contrataciones Abiertas (OCP por sus siglas en inglés). Además, se han emitido otras disposiciones legales internas (Acuerdos Ministeriales Nos. 321-2018 y 323-2018) que permitirán llevar a cabo las gestiones y actividades necesarias para implementar las reformas que contiene el nuevo Reglamento Orgánico Interno.</w:t>
      </w:r>
    </w:p>
    <w:p w:rsidR="004B5DF5" w:rsidRPr="00CD0AF0" w:rsidRDefault="004B5DF5" w:rsidP="004B5DF5">
      <w:pPr>
        <w:jc w:val="both"/>
        <w:rPr>
          <w:rFonts w:eastAsia="Calibri"/>
          <w:lang w:val="es-MX"/>
        </w:rPr>
      </w:pPr>
    </w:p>
    <w:p w:rsidR="004B5DF5" w:rsidRPr="00CD0AF0" w:rsidRDefault="004B5DF5" w:rsidP="004B5DF5">
      <w:pPr>
        <w:jc w:val="both"/>
        <w:rPr>
          <w:lang w:val="es-ES_tradnl"/>
        </w:rPr>
      </w:pPr>
      <w:r w:rsidRPr="006D17DE">
        <w:rPr>
          <w:b/>
          <w:i/>
          <w:lang w:val="es-ES_tradnl"/>
        </w:rPr>
        <w:t>Talleres de Presupuesto Abierto 2019</w:t>
      </w:r>
      <w:r w:rsidRPr="00CD0AF0">
        <w:rPr>
          <w:b/>
          <w:lang w:val="es-ES_tradnl"/>
        </w:rPr>
        <w:t>.</w:t>
      </w:r>
      <w:r w:rsidRPr="00CD0AF0">
        <w:rPr>
          <w:lang w:val="es-ES_tradnl"/>
        </w:rPr>
        <w:t xml:space="preserve">  El proceso de formulación del Proyecto de Presupuesto General de Ingresos y Egresos del Estado para el Ejercicio Fiscal 2019, al igual que la formulación de los 2 años anteriores, fue abierto a la participación de organizaciones de sociedad civil, sector privado, sector académico, tanques de pensamiento, observadores internacionales y ciudadanos en general, para que emitieran comentarios y recomendaciones. De esa cuenta, se inició con la realización de un taller organizado por el Ministerio de Finanzas Públicas, Banco de Guatemala y Superintendencia de Administración Tributaria (SAT) para dar a conocer las proyecciones macroeconómicas y las estimaciones de ingresos tributarios que sirvieron de base para la elaboración de un presupuesto exploratorio y entrega de los techos presupuestarios institucionales. Seguidamente se realizaron 12 talleres de presupuesto abierto y participativo para que los Ministerios de Estado y otras entidades públicas, tales como el Organismo Judicial y el Ministerio Público, dieran a conocer sus programas de trabajo y sus requerimientos presupuestarios. Además, se llevó a cabo la realización de un taller sobre </w:t>
      </w:r>
      <w:r w:rsidR="00BE34C3">
        <w:rPr>
          <w:lang w:val="es-ES_tradnl"/>
        </w:rPr>
        <w:t>A</w:t>
      </w:r>
      <w:r w:rsidR="00BE34C3" w:rsidRPr="00CD0AF0">
        <w:rPr>
          <w:lang w:val="es-ES_tradnl"/>
        </w:rPr>
        <w:t xml:space="preserve">nálisis y </w:t>
      </w:r>
      <w:r w:rsidR="00BE34C3">
        <w:rPr>
          <w:lang w:val="es-ES_tradnl"/>
        </w:rPr>
        <w:t>G</w:t>
      </w:r>
      <w:r w:rsidR="00BE34C3" w:rsidRPr="00CD0AF0">
        <w:rPr>
          <w:lang w:val="es-ES_tradnl"/>
        </w:rPr>
        <w:t xml:space="preserve">estión de </w:t>
      </w:r>
      <w:r w:rsidR="00BE34C3">
        <w:rPr>
          <w:lang w:val="es-ES_tradnl"/>
        </w:rPr>
        <w:t>R</w:t>
      </w:r>
      <w:r w:rsidR="00BE34C3" w:rsidRPr="00CD0AF0">
        <w:rPr>
          <w:lang w:val="es-ES_tradnl"/>
        </w:rPr>
        <w:t xml:space="preserve">iesgos </w:t>
      </w:r>
      <w:r w:rsidR="00BE34C3">
        <w:rPr>
          <w:lang w:val="es-ES_tradnl"/>
        </w:rPr>
        <w:t>F</w:t>
      </w:r>
      <w:r w:rsidR="00BE34C3" w:rsidRPr="00CD0AF0">
        <w:rPr>
          <w:lang w:val="es-ES_tradnl"/>
        </w:rPr>
        <w:t>iscales</w:t>
      </w:r>
      <w:r w:rsidR="003E35B2">
        <w:rPr>
          <w:lang w:val="es-ES_tradnl"/>
        </w:rPr>
        <w:t xml:space="preserve"> que derivó en la inclusión de una separata en </w:t>
      </w:r>
      <w:r w:rsidR="00351989">
        <w:rPr>
          <w:lang w:val="es-ES_tradnl"/>
        </w:rPr>
        <w:t>la formulación d</w:t>
      </w:r>
      <w:r w:rsidR="003E35B2">
        <w:rPr>
          <w:lang w:val="es-ES_tradnl"/>
        </w:rPr>
        <w:t>el Proyecto de Presupuesto General de Ingresos y Egresos del Estado para el Ejercicio Fiscal 2019;</w:t>
      </w:r>
      <w:r w:rsidR="00BE34C3">
        <w:rPr>
          <w:lang w:val="es-ES_tradnl"/>
        </w:rPr>
        <w:t xml:space="preserve"> </w:t>
      </w:r>
      <w:r w:rsidR="00BE34C3" w:rsidRPr="00CD0AF0">
        <w:rPr>
          <w:lang w:val="es-ES_tradnl"/>
        </w:rPr>
        <w:t xml:space="preserve">así como </w:t>
      </w:r>
      <w:r w:rsidR="00351989">
        <w:rPr>
          <w:lang w:val="es-ES_tradnl"/>
        </w:rPr>
        <w:t xml:space="preserve">la realización de </w:t>
      </w:r>
      <w:r w:rsidR="00BE34C3" w:rsidRPr="00CD0AF0">
        <w:rPr>
          <w:lang w:val="es-ES_tradnl"/>
        </w:rPr>
        <w:t xml:space="preserve">un taller sobre </w:t>
      </w:r>
      <w:r w:rsidRPr="00CD0AF0">
        <w:rPr>
          <w:lang w:val="es-ES_tradnl"/>
        </w:rPr>
        <w:t>el Programa de Inversión Pública (Listado Geográfico de Obras) y aportes</w:t>
      </w:r>
      <w:r w:rsidR="003E35B2">
        <w:rPr>
          <w:lang w:val="es-ES_tradnl"/>
        </w:rPr>
        <w:t xml:space="preserve"> que se trasladan</w:t>
      </w:r>
      <w:r w:rsidRPr="00CD0AF0">
        <w:rPr>
          <w:lang w:val="es-ES_tradnl"/>
        </w:rPr>
        <w:t xml:space="preserve"> a Organizaciones No Gubernamentales</w:t>
      </w:r>
      <w:r w:rsidR="003E35B2">
        <w:rPr>
          <w:lang w:val="es-ES_tradnl"/>
        </w:rPr>
        <w:t xml:space="preserve"> (ONG).</w:t>
      </w:r>
    </w:p>
    <w:p w:rsidR="004B5DF5" w:rsidRDefault="004B5DF5" w:rsidP="004B5DF5">
      <w:pPr>
        <w:jc w:val="both"/>
        <w:rPr>
          <w:lang w:val="es-ES_tradnl"/>
        </w:rPr>
      </w:pPr>
    </w:p>
    <w:p w:rsidR="00EE714B" w:rsidRPr="003E35B2" w:rsidRDefault="00EE714B" w:rsidP="004B5DF5">
      <w:pPr>
        <w:jc w:val="both"/>
        <w:rPr>
          <w:sz w:val="12"/>
          <w:lang w:val="es-ES_tradnl"/>
        </w:rPr>
      </w:pPr>
    </w:p>
    <w:p w:rsidR="004B5DF5" w:rsidRPr="00CD0AF0" w:rsidRDefault="004B5DF5" w:rsidP="004B5DF5">
      <w:pPr>
        <w:jc w:val="both"/>
        <w:rPr>
          <w:lang w:val="es-ES_tradnl"/>
        </w:rPr>
      </w:pPr>
      <w:r w:rsidRPr="006D17DE">
        <w:rPr>
          <w:b/>
          <w:i/>
          <w:lang w:val="es-ES_tradnl"/>
        </w:rPr>
        <w:t>Seguimiento a las recomendaciones del Fondo Monetario Internacional (FMI) en su Informe de Evaluación de Transparencia Fiscal</w:t>
      </w:r>
      <w:r w:rsidRPr="00CD0AF0">
        <w:rPr>
          <w:b/>
          <w:lang w:val="es-ES_tradnl"/>
        </w:rPr>
        <w:t>.</w:t>
      </w:r>
      <w:r w:rsidR="006D17DE">
        <w:rPr>
          <w:b/>
          <w:lang w:val="es-ES_tradnl"/>
        </w:rPr>
        <w:t xml:space="preserve"> </w:t>
      </w:r>
      <w:r w:rsidRPr="00CD0AF0">
        <w:rPr>
          <w:lang w:val="es-ES_tradnl"/>
        </w:rPr>
        <w:t xml:space="preserve"> El Fondo Monetario Internacional (FMI), a principios de 2016 practicó en el país la Evaluación de Transparencia Fiscal, habiendo formulado una serie de recomendaciones relacionadas con informes fiscales, estimaciones presupuestarias y gestión de riesgos fiscales. Para el seguimiento de dichas recomendaciones, se conformó un equipo de trabajo y se han realizado una serie de talleres con participación de organizaciones de sociedad civil que han formulado valiosos aportes sobre la forma de implementar gradualmente dichas recomendaciones.</w:t>
      </w:r>
    </w:p>
    <w:p w:rsidR="004B5DF5" w:rsidRPr="00CD0AF0" w:rsidRDefault="004B5DF5" w:rsidP="004B5DF5">
      <w:pPr>
        <w:jc w:val="both"/>
        <w:rPr>
          <w:lang w:val="es-ES_tradnl"/>
        </w:rPr>
      </w:pPr>
    </w:p>
    <w:p w:rsidR="004B5DF5" w:rsidRPr="00CD0AF0" w:rsidRDefault="004B5DF5" w:rsidP="004B5DF5">
      <w:pPr>
        <w:jc w:val="both"/>
        <w:rPr>
          <w:lang w:val="es-ES_tradnl"/>
        </w:rPr>
      </w:pPr>
      <w:r w:rsidRPr="00CD0AF0">
        <w:rPr>
          <w:lang w:val="es-ES_tradnl"/>
        </w:rPr>
        <w:t xml:space="preserve">En la formulación del Proyecto de Presupuesto General de Ingresos y Egresos del Estado, por tercer año consecutivo se ha incorporado una separata o informe ejecutivo sobre el análisis y gestión de riesgos fiscales, para que se conozcan los principales riesgos que pueden afectar las finanzas públicas, su impacto en monto y como porcentaje del PIB y las posibles medidas de mitigación que se pueden adoptar para contrarrestar sus efectos. Asimismo, se trabaja en dos etapas el proceso de consolidación del Sector Público No Financiero a nivel de cuenta económica, habiendo concluido la primera fase (transferencias corrientes y de capital) a finales de 2017 y se estima concluir la segunda fase (operaciones interinstitucionales) en octubre del presente año, ya que durante el transcurso del primer semestre de 2018 se viene trabajando sobre un proyecto de matriz construida en Business </w:t>
      </w:r>
      <w:proofErr w:type="spellStart"/>
      <w:r w:rsidRPr="00CD0AF0">
        <w:rPr>
          <w:lang w:val="es-ES_tradnl"/>
        </w:rPr>
        <w:t>Intelligence</w:t>
      </w:r>
      <w:proofErr w:type="spellEnd"/>
      <w:r w:rsidRPr="00CD0AF0">
        <w:rPr>
          <w:lang w:val="es-ES_tradnl"/>
        </w:rPr>
        <w:t xml:space="preserve"> (BI) que consolide en una sola plataforma, la información presupuestaria de los distintos sistemas de administración financiera:  Sistema de Contabilidad Integrada (SICOIN) de la Administración Central, SICOIN.DES de Entidades Descentralizadas y Autónomas y SICOIN.GL de Gobiernos Locales.</w:t>
      </w:r>
    </w:p>
    <w:p w:rsidR="004B5DF5" w:rsidRPr="00CD0AF0" w:rsidRDefault="004B5DF5" w:rsidP="004B5DF5">
      <w:pPr>
        <w:jc w:val="both"/>
        <w:rPr>
          <w:lang w:val="es-ES_tradnl"/>
        </w:rPr>
      </w:pPr>
    </w:p>
    <w:p w:rsidR="004B5DF5" w:rsidRPr="00CD0AF0" w:rsidRDefault="004B5DF5" w:rsidP="004B5DF5">
      <w:pPr>
        <w:jc w:val="both"/>
        <w:rPr>
          <w:lang w:val="es-ES_tradnl"/>
        </w:rPr>
      </w:pPr>
      <w:r w:rsidRPr="006D17DE">
        <w:rPr>
          <w:b/>
          <w:i/>
          <w:lang w:val="es-ES_tradnl"/>
        </w:rPr>
        <w:t>Lanzamiento del Portal de Datos Abiertos y del Portal de Transparencia Fiscal del MINFIN</w:t>
      </w:r>
      <w:r w:rsidRPr="00CD0AF0">
        <w:rPr>
          <w:lang w:val="es-ES_tradnl"/>
        </w:rPr>
        <w:t>.</w:t>
      </w:r>
      <w:r w:rsidR="006D17DE">
        <w:rPr>
          <w:lang w:val="es-ES_tradnl"/>
        </w:rPr>
        <w:t xml:space="preserve"> </w:t>
      </w:r>
      <w:r w:rsidRPr="00CD0AF0">
        <w:rPr>
          <w:lang w:val="es-ES_tradnl"/>
        </w:rPr>
        <w:t xml:space="preserve"> Se conformó entre varias dependencias del MINFIN y diversas organizaciones de sociedad civil un Comité de Usuarios de Datos Abiertos para diseñar una política interna de presentación de información presupuestaria y financiera en formatos de datos abiertos, situación que permitió llevar a cabo el lanzamiento del Portal de Datos Abiertos a finales de 2017, para usuarios intermedios y avanzados, y durante el primer semestre de 2018 se llevó a cabo el rediseño y lanzamiento del Portal de Transparencia Fiscal para ciudadanos en general, en un ambiente gráfico, con lenguaje sencillo, sin tecnicismos ni jerga presupuestaria, con gráficas, imágenes, mapas, tablas, infografía, entre otros, para una mejor comprensión de la información publicada. Vale indicar que estos procesos fueron institucionalizados dentro del Ministerio de Finanzas Públicas y se dispone de una normativa interna de observancia general para todas las dependencias de la institución.</w:t>
      </w:r>
    </w:p>
    <w:p w:rsidR="004B5DF5" w:rsidRPr="00CD0AF0" w:rsidRDefault="004B5DF5" w:rsidP="004B5DF5">
      <w:pPr>
        <w:jc w:val="both"/>
        <w:rPr>
          <w:lang w:val="es-ES_tradnl"/>
        </w:rPr>
      </w:pPr>
    </w:p>
    <w:p w:rsidR="004B5DF5" w:rsidRPr="00CD0AF0" w:rsidRDefault="004B5DF5" w:rsidP="004B5DF5">
      <w:pPr>
        <w:jc w:val="both"/>
        <w:rPr>
          <w:lang w:val="es-ES_tradnl"/>
        </w:rPr>
      </w:pPr>
      <w:r w:rsidRPr="006D17DE">
        <w:rPr>
          <w:b/>
          <w:i/>
          <w:lang w:val="es-ES_tradnl"/>
        </w:rPr>
        <w:t>Mejora en la calificación del Índice de Presupuesto Abierto (OBI por sus siglas en inglés).</w:t>
      </w:r>
      <w:r w:rsidRPr="00CD0AF0">
        <w:rPr>
          <w:lang w:val="es-ES_tradnl"/>
        </w:rPr>
        <w:t xml:space="preserve">  En la penúltima evaluación de la International Budget </w:t>
      </w:r>
      <w:proofErr w:type="spellStart"/>
      <w:r w:rsidRPr="00CD0AF0">
        <w:rPr>
          <w:lang w:val="es-ES_tradnl"/>
        </w:rPr>
        <w:t>Partnership</w:t>
      </w:r>
      <w:proofErr w:type="spellEnd"/>
      <w:r w:rsidRPr="00CD0AF0">
        <w:rPr>
          <w:lang w:val="es-ES_tradnl"/>
        </w:rPr>
        <w:t xml:space="preserve"> (IBP), Guatemala obtuvo una calificación de 46 puntos en el Índice de Presupuesto Abierto (OBI). </w:t>
      </w:r>
      <w:r w:rsidR="006D17DE">
        <w:rPr>
          <w:lang w:val="es-ES_tradnl"/>
        </w:rPr>
        <w:t xml:space="preserve"> </w:t>
      </w:r>
      <w:r w:rsidRPr="00CD0AF0">
        <w:rPr>
          <w:lang w:val="es-ES_tradnl"/>
        </w:rPr>
        <w:t xml:space="preserve">Luego de haber normado e institucionalizado </w:t>
      </w:r>
      <w:r w:rsidR="006D17DE">
        <w:rPr>
          <w:lang w:val="es-ES_tradnl"/>
        </w:rPr>
        <w:t xml:space="preserve"> </w:t>
      </w:r>
      <w:r w:rsidRPr="00CD0AF0">
        <w:rPr>
          <w:lang w:val="es-ES_tradnl"/>
        </w:rPr>
        <w:t xml:space="preserve">este proceso </w:t>
      </w:r>
      <w:r w:rsidR="006D17DE">
        <w:rPr>
          <w:lang w:val="es-ES_tradnl"/>
        </w:rPr>
        <w:t xml:space="preserve"> </w:t>
      </w:r>
      <w:r w:rsidRPr="00CD0AF0">
        <w:rPr>
          <w:lang w:val="es-ES_tradnl"/>
        </w:rPr>
        <w:t xml:space="preserve">mediante </w:t>
      </w:r>
      <w:r w:rsidR="006D17DE">
        <w:rPr>
          <w:lang w:val="es-ES_tradnl"/>
        </w:rPr>
        <w:t xml:space="preserve"> </w:t>
      </w:r>
      <w:r w:rsidRPr="00CD0AF0">
        <w:rPr>
          <w:lang w:val="es-ES_tradnl"/>
        </w:rPr>
        <w:t xml:space="preserve">la </w:t>
      </w:r>
      <w:r w:rsidR="006D17DE">
        <w:rPr>
          <w:lang w:val="es-ES_tradnl"/>
        </w:rPr>
        <w:t xml:space="preserve"> </w:t>
      </w:r>
      <w:r w:rsidRPr="00CD0AF0">
        <w:rPr>
          <w:lang w:val="es-ES_tradnl"/>
        </w:rPr>
        <w:t xml:space="preserve">emisión </w:t>
      </w:r>
      <w:r w:rsidR="006D17DE">
        <w:rPr>
          <w:lang w:val="es-ES_tradnl"/>
        </w:rPr>
        <w:t xml:space="preserve"> </w:t>
      </w:r>
      <w:r w:rsidRPr="00CD0AF0">
        <w:rPr>
          <w:lang w:val="es-ES_tradnl"/>
        </w:rPr>
        <w:t xml:space="preserve">del </w:t>
      </w:r>
      <w:r w:rsidR="006D17DE">
        <w:rPr>
          <w:lang w:val="es-ES_tradnl"/>
        </w:rPr>
        <w:t xml:space="preserve"> </w:t>
      </w:r>
      <w:r w:rsidRPr="00CD0AF0">
        <w:rPr>
          <w:lang w:val="es-ES_tradnl"/>
        </w:rPr>
        <w:t xml:space="preserve">Acuerdo </w:t>
      </w:r>
      <w:r w:rsidR="006D17DE">
        <w:rPr>
          <w:lang w:val="es-ES_tradnl"/>
        </w:rPr>
        <w:t xml:space="preserve"> </w:t>
      </w:r>
      <w:r w:rsidRPr="00CD0AF0">
        <w:rPr>
          <w:lang w:val="es-ES_tradnl"/>
        </w:rPr>
        <w:t xml:space="preserve">Ministerial No. 194-2017, en la calificación presentada en enero de 2018 por parte del ente evaluador, se obtuvo una calificación de 61 puntos que sitúa a Guatemala en el tercer lugar a nivel de América Latina, después de México y la República Dominicana, permitiendo también mejorar en el ranking mundial. Esta normativa de observancia general para las dependencias del MINFIN a cargo de la elaboración y publicación de los 8 documentos clave del ciclo </w:t>
      </w:r>
      <w:r w:rsidRPr="00CD0AF0">
        <w:rPr>
          <w:lang w:val="es-ES_tradnl"/>
        </w:rPr>
        <w:lastRenderedPageBreak/>
        <w:t xml:space="preserve">presupuestario que evalúa el Índice de Presupuesto Abierto, regula que se tomen en consideración los estándares y lineamientos contenidos en la Guía para la Transparencia en los Documentos Presupuestarios del Gobierno y en la Encuesta de Presupuesto Abierto, ambos emitidos por la International Budget </w:t>
      </w:r>
      <w:proofErr w:type="spellStart"/>
      <w:r w:rsidRPr="00CD0AF0">
        <w:rPr>
          <w:lang w:val="es-ES_tradnl"/>
        </w:rPr>
        <w:t>Partnership</w:t>
      </w:r>
      <w:proofErr w:type="spellEnd"/>
      <w:r w:rsidRPr="00CD0AF0">
        <w:rPr>
          <w:lang w:val="es-ES_tradnl"/>
        </w:rPr>
        <w:t xml:space="preserve"> (IBP).</w:t>
      </w:r>
    </w:p>
    <w:p w:rsidR="004B5DF5" w:rsidRPr="00CD0AF0" w:rsidRDefault="004B5DF5" w:rsidP="004B5DF5">
      <w:pPr>
        <w:jc w:val="both"/>
        <w:rPr>
          <w:lang w:val="es-ES_tradnl"/>
        </w:rPr>
      </w:pPr>
    </w:p>
    <w:p w:rsidR="004B5DF5" w:rsidRPr="00CD0AF0" w:rsidRDefault="004B5DF5" w:rsidP="004B5DF5">
      <w:pPr>
        <w:jc w:val="both"/>
        <w:rPr>
          <w:lang w:val="es-ES_tradnl"/>
        </w:rPr>
      </w:pPr>
      <w:r w:rsidRPr="006D17DE">
        <w:rPr>
          <w:b/>
          <w:i/>
          <w:lang w:val="es-ES_tradnl"/>
        </w:rPr>
        <w:t>Reformas al Sistema de Contrataciones y Adquisiciones del Estado (GUATECOMPRAS</w:t>
      </w:r>
      <w:r w:rsidRPr="006D17DE">
        <w:rPr>
          <w:i/>
          <w:lang w:val="es-ES_tradnl"/>
        </w:rPr>
        <w:t>).</w:t>
      </w:r>
      <w:r w:rsidRPr="00CD0AF0">
        <w:rPr>
          <w:lang w:val="es-ES_tradnl"/>
        </w:rPr>
        <w:t xml:space="preserve">  De conformidad con las dos últimas reformas a la Ley de Contrataciones del Estado, Decretos Nos. 9-2015 y 46-2016 del Congreso de la República de Guatemala, se deben implementar una serie de acciones que apuntan a la transparencia y adopción de un sistema de contrataciones abiertas. En ese sentido, se procedió a la estandarización de formatos por modalidad de compra y tipo de bien o servicio; se implementó el Módulo de Subasta Electrónica Inversa que ya ha representado economías al Gobierno de la República en los procesos de contrataciones; se elaboró un plan de trabajo a mediano plazo para la conceptualización, diseño y desarrollo de las reformas que contendrá el Sistema GUATECOMPRAS, situación que le permitirá pasar de un sistema estadístico que solamente muestra la publicación y adjudicación de los eventos de contrataciones, y pasará a convertirse en un sistema transaccional que registrará todas las etapas del ciclo de las compras y contrataciones públicas, que incluye la planeación, ejecución y evaluación. Adicionalmente, cuando se concluyan estos cambios, Guatemala estará en condiciones de adherirse a la Iniciativa de Contrataciones Abiertas (OCP por sus siglas en inglés), que es una meta del compromiso de contrataciones abiertas contenido en el Tercer Plan de Acción Nacional de Gobierno Abierto 2016-2018. Finalmente, el nuevo Reglamento Orgánico Interno del MINFIN considera la creación del Registro General de Adquisiciones del Estado que también es otra meta del citado Plan de Acción Nacional, acciones que se estima concluir en el mes de diciembre de 2018 y posteriormente de llevará a cabo un programa de capacitación sobre su uso y funcionamiento dirigido a instituciones públicas, contratistas de obras, proveedores, consultores, organizaciones de sociedad civil y cualquier ciudadano interesado en la materia.</w:t>
      </w:r>
    </w:p>
    <w:p w:rsidR="004B5DF5" w:rsidRPr="00CD0AF0" w:rsidRDefault="004B5DF5" w:rsidP="004B5DF5">
      <w:pPr>
        <w:jc w:val="both"/>
        <w:rPr>
          <w:lang w:val="es-ES_tradnl"/>
        </w:rPr>
      </w:pPr>
    </w:p>
    <w:p w:rsidR="004B5DF5" w:rsidRPr="00CD0AF0" w:rsidRDefault="004B5DF5" w:rsidP="004B5DF5">
      <w:pPr>
        <w:jc w:val="both"/>
        <w:rPr>
          <w:lang w:val="es-ES_tradnl"/>
        </w:rPr>
      </w:pPr>
      <w:r w:rsidRPr="006D17DE">
        <w:rPr>
          <w:b/>
          <w:i/>
          <w:lang w:val="es-ES_tradnl"/>
        </w:rPr>
        <w:t xml:space="preserve">Proceso de </w:t>
      </w:r>
      <w:proofErr w:type="spellStart"/>
      <w:r w:rsidRPr="006D17DE">
        <w:rPr>
          <w:b/>
          <w:i/>
          <w:lang w:val="es-ES_tradnl"/>
        </w:rPr>
        <w:t>co</w:t>
      </w:r>
      <w:proofErr w:type="spellEnd"/>
      <w:r w:rsidRPr="006D17DE">
        <w:rPr>
          <w:b/>
          <w:i/>
          <w:lang w:val="es-ES_tradnl"/>
        </w:rPr>
        <w:t>-creación del Cuarto Plan de Acción Nacional de Gobierno Abierto 2018-2020.</w:t>
      </w:r>
      <w:r w:rsidRPr="00CD0AF0">
        <w:rPr>
          <w:b/>
          <w:lang w:val="es-ES_tradnl"/>
        </w:rPr>
        <w:t xml:space="preserve">  </w:t>
      </w:r>
      <w:r w:rsidRPr="00CD0AF0">
        <w:rPr>
          <w:lang w:val="es-ES_tradnl"/>
        </w:rPr>
        <w:t xml:space="preserve">Simultáneamente a la conclusión de la vigencia del Tercer Plan de Acción Nacional de Gobierno Abierto 2016-2018 (30 de junio de 2018), durante el primer semestre del presente año se inició el proceso para la </w:t>
      </w:r>
      <w:proofErr w:type="spellStart"/>
      <w:r w:rsidRPr="00CD0AF0">
        <w:rPr>
          <w:lang w:val="es-ES_tradnl"/>
        </w:rPr>
        <w:t>co</w:t>
      </w:r>
      <w:proofErr w:type="spellEnd"/>
      <w:r w:rsidRPr="00CD0AF0">
        <w:rPr>
          <w:lang w:val="es-ES_tradnl"/>
        </w:rPr>
        <w:t>-creación del Cuarto Plan de Acción Nacional de Gobierno Abierto 2018-2020 con la participación de varias entidades públicas y organizaciones de sociedad civil que discuten y analizan la viabilidad legal, técnica y financiera que permitan acceder y validar los compromisos y metas que se han solicitado cumplir a las instituciones de gobierno. Para el efecto, se llevó a cabo la realización de 6 Foros de Consulta Ciudadana en el interior del país, para conocer los requerimientos de la sociedad civil organizada o no, sobre el tema de Gobierno Abierto. Asimismo, se definieron 12 ejes de trabajo:</w:t>
      </w:r>
    </w:p>
    <w:p w:rsidR="004B5DF5" w:rsidRPr="00CD0AF0" w:rsidRDefault="004B5DF5" w:rsidP="004B5DF5">
      <w:pPr>
        <w:jc w:val="both"/>
        <w:rPr>
          <w:lang w:val="es-ES_tradnl"/>
        </w:rPr>
      </w:pPr>
    </w:p>
    <w:p w:rsidR="004B5DF5" w:rsidRPr="00CD0AF0" w:rsidRDefault="004B5DF5" w:rsidP="004B5DF5">
      <w:pPr>
        <w:pStyle w:val="Prrafodelista"/>
        <w:numPr>
          <w:ilvl w:val="0"/>
          <w:numId w:val="12"/>
        </w:numPr>
        <w:jc w:val="both"/>
        <w:rPr>
          <w:lang w:val="es-ES_tradnl"/>
        </w:rPr>
      </w:pPr>
      <w:r w:rsidRPr="00CD0AF0">
        <w:rPr>
          <w:lang w:val="es-ES_tradnl"/>
        </w:rPr>
        <w:t xml:space="preserve">Mecanismos de </w:t>
      </w:r>
      <w:r w:rsidR="006D17DE">
        <w:rPr>
          <w:lang w:val="es-ES_tradnl"/>
        </w:rPr>
        <w:t>T</w:t>
      </w:r>
      <w:r w:rsidRPr="00CD0AF0">
        <w:rPr>
          <w:lang w:val="es-ES_tradnl"/>
        </w:rPr>
        <w:t xml:space="preserve">ransparencia y </w:t>
      </w:r>
      <w:r w:rsidR="006D17DE">
        <w:rPr>
          <w:lang w:val="es-ES_tradnl"/>
        </w:rPr>
        <w:t>A</w:t>
      </w:r>
      <w:r w:rsidRPr="00CD0AF0">
        <w:rPr>
          <w:lang w:val="es-ES_tradnl"/>
        </w:rPr>
        <w:t>nticorrupción</w:t>
      </w:r>
      <w:r w:rsidR="0069616A">
        <w:rPr>
          <w:lang w:val="es-ES_tradnl"/>
        </w:rPr>
        <w:t>.</w:t>
      </w:r>
    </w:p>
    <w:p w:rsidR="004B5DF5" w:rsidRPr="00CD0AF0" w:rsidRDefault="004B5DF5" w:rsidP="004B5DF5">
      <w:pPr>
        <w:pStyle w:val="Prrafodelista"/>
        <w:numPr>
          <w:ilvl w:val="0"/>
          <w:numId w:val="12"/>
        </w:numPr>
        <w:jc w:val="both"/>
        <w:rPr>
          <w:lang w:val="es-ES_tradnl"/>
        </w:rPr>
      </w:pPr>
      <w:r w:rsidRPr="00CD0AF0">
        <w:rPr>
          <w:lang w:val="es-ES_tradnl"/>
        </w:rPr>
        <w:t>Educación</w:t>
      </w:r>
      <w:r w:rsidR="0069616A">
        <w:rPr>
          <w:lang w:val="es-ES_tradnl"/>
        </w:rPr>
        <w:t>.</w:t>
      </w:r>
    </w:p>
    <w:p w:rsidR="004B5DF5" w:rsidRPr="00CD0AF0" w:rsidRDefault="004B5DF5" w:rsidP="004B5DF5">
      <w:pPr>
        <w:pStyle w:val="Prrafodelista"/>
        <w:numPr>
          <w:ilvl w:val="0"/>
          <w:numId w:val="12"/>
        </w:numPr>
        <w:jc w:val="both"/>
        <w:rPr>
          <w:lang w:val="es-ES_tradnl"/>
        </w:rPr>
      </w:pPr>
      <w:r w:rsidRPr="00CD0AF0">
        <w:rPr>
          <w:lang w:val="es-ES_tradnl"/>
        </w:rPr>
        <w:t xml:space="preserve">Gobiernos </w:t>
      </w:r>
      <w:r w:rsidR="006D17DE">
        <w:rPr>
          <w:lang w:val="es-ES_tradnl"/>
        </w:rPr>
        <w:t>L</w:t>
      </w:r>
      <w:r w:rsidRPr="00CD0AF0">
        <w:rPr>
          <w:lang w:val="es-ES_tradnl"/>
        </w:rPr>
        <w:t>ocales</w:t>
      </w:r>
      <w:r w:rsidR="0069616A">
        <w:rPr>
          <w:lang w:val="es-ES_tradnl"/>
        </w:rPr>
        <w:t>.</w:t>
      </w:r>
    </w:p>
    <w:p w:rsidR="004B5DF5" w:rsidRPr="00CD0AF0" w:rsidRDefault="004B5DF5" w:rsidP="004B5DF5">
      <w:pPr>
        <w:pStyle w:val="Prrafodelista"/>
        <w:numPr>
          <w:ilvl w:val="0"/>
          <w:numId w:val="12"/>
        </w:numPr>
        <w:jc w:val="both"/>
        <w:rPr>
          <w:lang w:val="es-ES_tradnl"/>
        </w:rPr>
      </w:pPr>
      <w:r w:rsidRPr="00CD0AF0">
        <w:rPr>
          <w:lang w:val="es-ES_tradnl"/>
        </w:rPr>
        <w:t xml:space="preserve">Ambiente y </w:t>
      </w:r>
      <w:r w:rsidR="006D17DE">
        <w:rPr>
          <w:lang w:val="es-ES_tradnl"/>
        </w:rPr>
        <w:t>R</w:t>
      </w:r>
      <w:r w:rsidRPr="00CD0AF0">
        <w:rPr>
          <w:lang w:val="es-ES_tradnl"/>
        </w:rPr>
        <w:t xml:space="preserve">ecursos </w:t>
      </w:r>
      <w:r w:rsidR="006D17DE">
        <w:rPr>
          <w:lang w:val="es-ES_tradnl"/>
        </w:rPr>
        <w:t>N</w:t>
      </w:r>
      <w:r w:rsidRPr="00CD0AF0">
        <w:rPr>
          <w:lang w:val="es-ES_tradnl"/>
        </w:rPr>
        <w:t>aturales</w:t>
      </w:r>
      <w:r w:rsidR="0069616A">
        <w:rPr>
          <w:lang w:val="es-ES_tradnl"/>
        </w:rPr>
        <w:t>.</w:t>
      </w:r>
    </w:p>
    <w:p w:rsidR="004B5DF5" w:rsidRPr="00CD0AF0" w:rsidRDefault="004B5DF5" w:rsidP="004B5DF5">
      <w:pPr>
        <w:pStyle w:val="Prrafodelista"/>
        <w:numPr>
          <w:ilvl w:val="0"/>
          <w:numId w:val="12"/>
        </w:numPr>
        <w:jc w:val="both"/>
        <w:rPr>
          <w:lang w:val="es-ES_tradnl"/>
        </w:rPr>
      </w:pPr>
      <w:r w:rsidRPr="00CD0AF0">
        <w:rPr>
          <w:lang w:val="es-ES_tradnl"/>
        </w:rPr>
        <w:t xml:space="preserve">Innovación en la </w:t>
      </w:r>
      <w:r w:rsidR="006D17DE">
        <w:rPr>
          <w:lang w:val="es-ES_tradnl"/>
        </w:rPr>
        <w:t>G</w:t>
      </w:r>
      <w:r w:rsidRPr="00CD0AF0">
        <w:rPr>
          <w:lang w:val="es-ES_tradnl"/>
        </w:rPr>
        <w:t xml:space="preserve">estión </w:t>
      </w:r>
      <w:r w:rsidR="006D17DE">
        <w:rPr>
          <w:lang w:val="es-ES_tradnl"/>
        </w:rPr>
        <w:t>P</w:t>
      </w:r>
      <w:r w:rsidRPr="00CD0AF0">
        <w:rPr>
          <w:lang w:val="es-ES_tradnl"/>
        </w:rPr>
        <w:t>ública</w:t>
      </w:r>
      <w:r w:rsidR="0069616A">
        <w:rPr>
          <w:lang w:val="es-ES_tradnl"/>
        </w:rPr>
        <w:t>.</w:t>
      </w:r>
    </w:p>
    <w:p w:rsidR="004B5DF5" w:rsidRPr="00CD0AF0" w:rsidRDefault="004B5DF5" w:rsidP="004B5DF5">
      <w:pPr>
        <w:pStyle w:val="Prrafodelista"/>
        <w:numPr>
          <w:ilvl w:val="0"/>
          <w:numId w:val="12"/>
        </w:numPr>
        <w:jc w:val="both"/>
        <w:rPr>
          <w:lang w:val="es-ES_tradnl"/>
        </w:rPr>
      </w:pPr>
      <w:r w:rsidRPr="00CD0AF0">
        <w:rPr>
          <w:lang w:val="es-ES_tradnl"/>
        </w:rPr>
        <w:t xml:space="preserve">Transparencia </w:t>
      </w:r>
      <w:r w:rsidR="006D17DE">
        <w:rPr>
          <w:lang w:val="es-ES_tradnl"/>
        </w:rPr>
        <w:t>F</w:t>
      </w:r>
      <w:r w:rsidRPr="00CD0AF0">
        <w:rPr>
          <w:lang w:val="es-ES_tradnl"/>
        </w:rPr>
        <w:t xml:space="preserve">iscal, </w:t>
      </w:r>
      <w:r w:rsidR="006D17DE">
        <w:rPr>
          <w:lang w:val="es-ES_tradnl"/>
        </w:rPr>
        <w:t>C</w:t>
      </w:r>
      <w:r w:rsidRPr="00CD0AF0">
        <w:rPr>
          <w:lang w:val="es-ES_tradnl"/>
        </w:rPr>
        <w:t xml:space="preserve">ompras y </w:t>
      </w:r>
      <w:r w:rsidR="006D17DE">
        <w:rPr>
          <w:lang w:val="es-ES_tradnl"/>
        </w:rPr>
        <w:t>C</w:t>
      </w:r>
      <w:r w:rsidRPr="00CD0AF0">
        <w:rPr>
          <w:lang w:val="es-ES_tradnl"/>
        </w:rPr>
        <w:t xml:space="preserve">ontrataciones </w:t>
      </w:r>
      <w:r w:rsidR="006D17DE">
        <w:rPr>
          <w:lang w:val="es-ES_tradnl"/>
        </w:rPr>
        <w:t>P</w:t>
      </w:r>
      <w:r w:rsidRPr="00CD0AF0">
        <w:rPr>
          <w:lang w:val="es-ES_tradnl"/>
        </w:rPr>
        <w:t>úblicas</w:t>
      </w:r>
      <w:r w:rsidR="0069616A">
        <w:rPr>
          <w:lang w:val="es-ES_tradnl"/>
        </w:rPr>
        <w:t>.</w:t>
      </w:r>
    </w:p>
    <w:p w:rsidR="004B5DF5" w:rsidRPr="00CD0AF0" w:rsidRDefault="004B5DF5" w:rsidP="004B5DF5">
      <w:pPr>
        <w:pStyle w:val="Prrafodelista"/>
        <w:numPr>
          <w:ilvl w:val="0"/>
          <w:numId w:val="12"/>
        </w:numPr>
        <w:jc w:val="both"/>
        <w:rPr>
          <w:lang w:val="es-ES_tradnl"/>
        </w:rPr>
      </w:pPr>
      <w:r w:rsidRPr="00CD0AF0">
        <w:rPr>
          <w:lang w:val="es-ES_tradnl"/>
        </w:rPr>
        <w:t xml:space="preserve">Salud, </w:t>
      </w:r>
      <w:r w:rsidR="006D17DE">
        <w:rPr>
          <w:lang w:val="es-ES_tradnl"/>
        </w:rPr>
        <w:t>S</w:t>
      </w:r>
      <w:r w:rsidRPr="00CD0AF0">
        <w:rPr>
          <w:lang w:val="es-ES_tradnl"/>
        </w:rPr>
        <w:t xml:space="preserve">eguridad </w:t>
      </w:r>
      <w:r w:rsidR="006D17DE">
        <w:rPr>
          <w:lang w:val="es-ES_tradnl"/>
        </w:rPr>
        <w:t>A</w:t>
      </w:r>
      <w:r w:rsidRPr="00CD0AF0">
        <w:rPr>
          <w:lang w:val="es-ES_tradnl"/>
        </w:rPr>
        <w:t xml:space="preserve">limentaria y </w:t>
      </w:r>
      <w:r w:rsidR="006D17DE">
        <w:rPr>
          <w:lang w:val="es-ES_tradnl"/>
        </w:rPr>
        <w:t>N</w:t>
      </w:r>
      <w:r w:rsidRPr="00CD0AF0">
        <w:rPr>
          <w:lang w:val="es-ES_tradnl"/>
        </w:rPr>
        <w:t>utricional</w:t>
      </w:r>
      <w:r w:rsidR="0069616A">
        <w:rPr>
          <w:lang w:val="es-ES_tradnl"/>
        </w:rPr>
        <w:t>.</w:t>
      </w:r>
    </w:p>
    <w:p w:rsidR="004B5DF5" w:rsidRPr="00CD0AF0" w:rsidRDefault="004B5DF5" w:rsidP="004B5DF5">
      <w:pPr>
        <w:pStyle w:val="Prrafodelista"/>
        <w:numPr>
          <w:ilvl w:val="0"/>
          <w:numId w:val="12"/>
        </w:numPr>
        <w:jc w:val="both"/>
        <w:rPr>
          <w:lang w:val="es-ES_tradnl"/>
        </w:rPr>
      </w:pPr>
      <w:r w:rsidRPr="00CD0AF0">
        <w:rPr>
          <w:lang w:val="es-ES_tradnl"/>
        </w:rPr>
        <w:t xml:space="preserve">Protección e </w:t>
      </w:r>
      <w:r w:rsidR="006D17DE">
        <w:rPr>
          <w:lang w:val="es-ES_tradnl"/>
        </w:rPr>
        <w:t>I</w:t>
      </w:r>
      <w:r w:rsidRPr="00CD0AF0">
        <w:rPr>
          <w:lang w:val="es-ES_tradnl"/>
        </w:rPr>
        <w:t xml:space="preserve">nclusión </w:t>
      </w:r>
      <w:r w:rsidR="006D17DE">
        <w:rPr>
          <w:lang w:val="es-ES_tradnl"/>
        </w:rPr>
        <w:t>S</w:t>
      </w:r>
      <w:r w:rsidRPr="00CD0AF0">
        <w:rPr>
          <w:lang w:val="es-ES_tradnl"/>
        </w:rPr>
        <w:t>ocial</w:t>
      </w:r>
      <w:r w:rsidR="0069616A">
        <w:rPr>
          <w:lang w:val="es-ES_tradnl"/>
        </w:rPr>
        <w:t>.</w:t>
      </w:r>
    </w:p>
    <w:p w:rsidR="004B5DF5" w:rsidRPr="00CD0AF0" w:rsidRDefault="004B5DF5" w:rsidP="004B5DF5">
      <w:pPr>
        <w:pStyle w:val="Prrafodelista"/>
        <w:numPr>
          <w:ilvl w:val="0"/>
          <w:numId w:val="12"/>
        </w:numPr>
        <w:jc w:val="both"/>
        <w:rPr>
          <w:lang w:val="es-ES_tradnl"/>
        </w:rPr>
      </w:pPr>
      <w:r w:rsidRPr="00CD0AF0">
        <w:rPr>
          <w:lang w:val="es-ES_tradnl"/>
        </w:rPr>
        <w:lastRenderedPageBreak/>
        <w:t xml:space="preserve">Inversión y </w:t>
      </w:r>
      <w:r w:rsidR="006D17DE">
        <w:rPr>
          <w:lang w:val="es-ES_tradnl"/>
        </w:rPr>
        <w:t>E</w:t>
      </w:r>
      <w:r w:rsidRPr="00CD0AF0">
        <w:rPr>
          <w:lang w:val="es-ES_tradnl"/>
        </w:rPr>
        <w:t>mpleo</w:t>
      </w:r>
      <w:r w:rsidR="0069616A">
        <w:rPr>
          <w:lang w:val="es-ES_tradnl"/>
        </w:rPr>
        <w:t>.</w:t>
      </w:r>
    </w:p>
    <w:p w:rsidR="004B5DF5" w:rsidRPr="00CD0AF0" w:rsidRDefault="004B5DF5" w:rsidP="004B5DF5">
      <w:pPr>
        <w:pStyle w:val="Prrafodelista"/>
        <w:numPr>
          <w:ilvl w:val="0"/>
          <w:numId w:val="12"/>
        </w:numPr>
        <w:jc w:val="both"/>
        <w:rPr>
          <w:lang w:val="es-ES_tradnl"/>
        </w:rPr>
      </w:pPr>
      <w:r w:rsidRPr="00CD0AF0">
        <w:rPr>
          <w:lang w:val="es-ES_tradnl"/>
        </w:rPr>
        <w:t xml:space="preserve">Gobierno </w:t>
      </w:r>
      <w:r w:rsidR="006D17DE">
        <w:rPr>
          <w:lang w:val="es-ES_tradnl"/>
        </w:rPr>
        <w:t>E</w:t>
      </w:r>
      <w:r w:rsidRPr="00CD0AF0">
        <w:rPr>
          <w:lang w:val="es-ES_tradnl"/>
        </w:rPr>
        <w:t xml:space="preserve">lectrónico y </w:t>
      </w:r>
      <w:r w:rsidR="006D17DE">
        <w:rPr>
          <w:lang w:val="es-ES_tradnl"/>
        </w:rPr>
        <w:t>S</w:t>
      </w:r>
      <w:r w:rsidRPr="00CD0AF0">
        <w:rPr>
          <w:lang w:val="es-ES_tradnl"/>
        </w:rPr>
        <w:t xml:space="preserve">ervicios </w:t>
      </w:r>
      <w:r w:rsidR="006D17DE">
        <w:rPr>
          <w:lang w:val="es-ES_tradnl"/>
        </w:rPr>
        <w:t>P</w:t>
      </w:r>
      <w:r w:rsidRPr="00CD0AF0">
        <w:rPr>
          <w:lang w:val="es-ES_tradnl"/>
        </w:rPr>
        <w:t xml:space="preserve">úblicos en </w:t>
      </w:r>
      <w:r w:rsidR="006D17DE">
        <w:rPr>
          <w:lang w:val="es-ES_tradnl"/>
        </w:rPr>
        <w:t>L</w:t>
      </w:r>
      <w:r w:rsidRPr="00CD0AF0">
        <w:rPr>
          <w:lang w:val="es-ES_tradnl"/>
        </w:rPr>
        <w:t>ínea</w:t>
      </w:r>
      <w:r w:rsidR="0069616A">
        <w:rPr>
          <w:lang w:val="es-ES_tradnl"/>
        </w:rPr>
        <w:t>.</w:t>
      </w:r>
    </w:p>
    <w:p w:rsidR="004B5DF5" w:rsidRPr="00CD0AF0" w:rsidRDefault="004B5DF5" w:rsidP="004B5DF5">
      <w:pPr>
        <w:pStyle w:val="Prrafodelista"/>
        <w:numPr>
          <w:ilvl w:val="0"/>
          <w:numId w:val="12"/>
        </w:numPr>
        <w:jc w:val="both"/>
        <w:rPr>
          <w:lang w:val="es-ES_tradnl"/>
        </w:rPr>
      </w:pPr>
      <w:r w:rsidRPr="00CD0AF0">
        <w:rPr>
          <w:lang w:val="es-ES_tradnl"/>
        </w:rPr>
        <w:t xml:space="preserve">Fortalecimiento </w:t>
      </w:r>
      <w:r w:rsidR="006D17DE">
        <w:rPr>
          <w:lang w:val="es-ES_tradnl"/>
        </w:rPr>
        <w:t>I</w:t>
      </w:r>
      <w:r w:rsidRPr="00CD0AF0">
        <w:rPr>
          <w:lang w:val="es-ES_tradnl"/>
        </w:rPr>
        <w:t xml:space="preserve">nstitucional en </w:t>
      </w:r>
      <w:r w:rsidR="006D17DE">
        <w:rPr>
          <w:lang w:val="es-ES_tradnl"/>
        </w:rPr>
        <w:t>S</w:t>
      </w:r>
      <w:r w:rsidRPr="00CD0AF0">
        <w:rPr>
          <w:lang w:val="es-ES_tradnl"/>
        </w:rPr>
        <w:t xml:space="preserve">eguridad y </w:t>
      </w:r>
      <w:r w:rsidR="006D17DE">
        <w:rPr>
          <w:lang w:val="es-ES_tradnl"/>
        </w:rPr>
        <w:t>J</w:t>
      </w:r>
      <w:r w:rsidRPr="00CD0AF0">
        <w:rPr>
          <w:lang w:val="es-ES_tradnl"/>
        </w:rPr>
        <w:t>usticia</w:t>
      </w:r>
      <w:r w:rsidR="0069616A">
        <w:rPr>
          <w:lang w:val="es-ES_tradnl"/>
        </w:rPr>
        <w:t>.</w:t>
      </w:r>
    </w:p>
    <w:p w:rsidR="004B5DF5" w:rsidRDefault="004B5DF5" w:rsidP="004B5DF5">
      <w:pPr>
        <w:pStyle w:val="Prrafodelista"/>
        <w:numPr>
          <w:ilvl w:val="0"/>
          <w:numId w:val="12"/>
        </w:numPr>
        <w:jc w:val="both"/>
        <w:rPr>
          <w:lang w:val="es-ES_tradnl"/>
        </w:rPr>
      </w:pPr>
      <w:r w:rsidRPr="00CD0AF0">
        <w:rPr>
          <w:lang w:val="es-ES_tradnl"/>
        </w:rPr>
        <w:t xml:space="preserve">Transparencia en los </w:t>
      </w:r>
      <w:r w:rsidR="006D17DE">
        <w:rPr>
          <w:lang w:val="es-ES_tradnl"/>
        </w:rPr>
        <w:t>P</w:t>
      </w:r>
      <w:r w:rsidRPr="00CD0AF0">
        <w:rPr>
          <w:lang w:val="es-ES_tradnl"/>
        </w:rPr>
        <w:t xml:space="preserve">rocesos </w:t>
      </w:r>
      <w:r w:rsidR="006D17DE">
        <w:rPr>
          <w:lang w:val="es-ES_tradnl"/>
        </w:rPr>
        <w:t>E</w:t>
      </w:r>
      <w:r w:rsidRPr="00CD0AF0">
        <w:rPr>
          <w:lang w:val="es-ES_tradnl"/>
        </w:rPr>
        <w:t>lectorales</w:t>
      </w:r>
      <w:r w:rsidR="0069616A">
        <w:rPr>
          <w:lang w:val="es-ES_tradnl"/>
        </w:rPr>
        <w:t>.</w:t>
      </w:r>
    </w:p>
    <w:p w:rsidR="006D17DE" w:rsidRPr="006D17DE" w:rsidRDefault="006D17DE" w:rsidP="006D17DE">
      <w:pPr>
        <w:ind w:left="360"/>
        <w:jc w:val="both"/>
        <w:rPr>
          <w:lang w:val="es-ES_tradnl"/>
        </w:rPr>
      </w:pPr>
    </w:p>
    <w:p w:rsidR="004B5DF5" w:rsidRPr="00CD0AF0" w:rsidRDefault="004B5DF5" w:rsidP="004B5DF5">
      <w:pPr>
        <w:jc w:val="both"/>
        <w:rPr>
          <w:lang w:val="es-ES_tradnl"/>
        </w:rPr>
      </w:pPr>
      <w:r w:rsidRPr="00CD0AF0">
        <w:rPr>
          <w:lang w:val="es-ES_tradnl"/>
        </w:rPr>
        <w:t>Para la definición y validación de los compromisos y metas que conformarán el Cuarto Plan de Acción Nacional, se han llevado a cabo varias rondas de mesas de trabajo y reuniones con los equipos técnicos para acordar el alcance y temporalidad de los mismos, situación que permitirá la presentación final de los compromisos que integrarán el citado Plan, conforme los formatos o plantillas definidos por la Alianza para el Gobierno Abierto (OGP por sus siglas en inglés), acorde a la metodología definida para el efecto. Este proceso se estima concluirlo a finales de octubre de 018, para que la vigencia del referido Plan pueda surtir efectos a partir del 5 de noviembre de 2018 al 31 de agosto de 2020.</w:t>
      </w:r>
    </w:p>
    <w:p w:rsidR="0069616A" w:rsidRDefault="0069616A">
      <w:pPr>
        <w:rPr>
          <w:lang w:val="es-ES_tradnl"/>
        </w:rPr>
      </w:pPr>
      <w:r>
        <w:rPr>
          <w:lang w:val="es-ES_tradnl"/>
        </w:rPr>
        <w:br w:type="page"/>
      </w: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0E4F2D" w:rsidRDefault="000E4F2D" w:rsidP="0069616A">
      <w:pPr>
        <w:autoSpaceDE w:val="0"/>
        <w:autoSpaceDN w:val="0"/>
        <w:adjustRightInd w:val="0"/>
        <w:jc w:val="both"/>
        <w:rPr>
          <w:sz w:val="16"/>
        </w:rPr>
      </w:pPr>
    </w:p>
    <w:p w:rsidR="000E4F2D" w:rsidRDefault="000E4F2D"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center"/>
        <w:rPr>
          <w:b/>
          <w:sz w:val="36"/>
        </w:rPr>
      </w:pPr>
      <w:r>
        <w:rPr>
          <w:b/>
          <w:sz w:val="36"/>
        </w:rPr>
        <w:t>Anexo</w:t>
      </w:r>
      <w:r w:rsidRPr="00613CB6">
        <w:rPr>
          <w:b/>
          <w:sz w:val="36"/>
        </w:rPr>
        <w:t>s</w:t>
      </w:r>
    </w:p>
    <w:p w:rsidR="0069616A" w:rsidRDefault="0069616A" w:rsidP="0069616A">
      <w:pPr>
        <w:autoSpaceDE w:val="0"/>
        <w:autoSpaceDN w:val="0"/>
        <w:adjustRightInd w:val="0"/>
        <w:jc w:val="center"/>
        <w:rPr>
          <w:b/>
          <w:sz w:val="36"/>
        </w:rPr>
      </w:pPr>
    </w:p>
    <w:p w:rsidR="0069616A" w:rsidRDefault="0069616A" w:rsidP="0069616A">
      <w:pPr>
        <w:autoSpaceDE w:val="0"/>
        <w:autoSpaceDN w:val="0"/>
        <w:adjustRightInd w:val="0"/>
        <w:jc w:val="center"/>
        <w:rPr>
          <w:b/>
          <w:sz w:val="36"/>
        </w:rPr>
      </w:pPr>
    </w:p>
    <w:p w:rsidR="0069616A" w:rsidRDefault="0069616A" w:rsidP="0069616A">
      <w:pPr>
        <w:autoSpaceDE w:val="0"/>
        <w:autoSpaceDN w:val="0"/>
        <w:adjustRightInd w:val="0"/>
        <w:jc w:val="center"/>
        <w:rPr>
          <w:b/>
          <w:sz w:val="36"/>
        </w:rPr>
      </w:pPr>
    </w:p>
    <w:p w:rsidR="0069616A" w:rsidRDefault="0069616A" w:rsidP="0069616A">
      <w:pPr>
        <w:autoSpaceDE w:val="0"/>
        <w:autoSpaceDN w:val="0"/>
        <w:adjustRightInd w:val="0"/>
        <w:jc w:val="center"/>
        <w:rPr>
          <w:b/>
          <w:sz w:val="36"/>
        </w:rPr>
      </w:pPr>
    </w:p>
    <w:p w:rsidR="0069616A" w:rsidRDefault="0069616A" w:rsidP="0069616A">
      <w:pPr>
        <w:autoSpaceDE w:val="0"/>
        <w:autoSpaceDN w:val="0"/>
        <w:adjustRightInd w:val="0"/>
        <w:jc w:val="center"/>
        <w:rPr>
          <w:b/>
          <w:sz w:val="36"/>
        </w:rPr>
      </w:pPr>
    </w:p>
    <w:p w:rsidR="0069616A" w:rsidRDefault="0069616A" w:rsidP="0069616A">
      <w:pPr>
        <w:autoSpaceDE w:val="0"/>
        <w:autoSpaceDN w:val="0"/>
        <w:adjustRightInd w:val="0"/>
        <w:jc w:val="center"/>
        <w:rPr>
          <w:b/>
          <w:sz w:val="36"/>
        </w:rPr>
      </w:pPr>
    </w:p>
    <w:p w:rsidR="0069616A" w:rsidRDefault="0069616A" w:rsidP="0069616A">
      <w:pPr>
        <w:autoSpaceDE w:val="0"/>
        <w:autoSpaceDN w:val="0"/>
        <w:adjustRightInd w:val="0"/>
        <w:jc w:val="center"/>
        <w:rPr>
          <w:b/>
          <w:sz w:val="36"/>
        </w:rPr>
      </w:pPr>
    </w:p>
    <w:p w:rsidR="0069616A" w:rsidRDefault="0069616A" w:rsidP="0069616A">
      <w:pPr>
        <w:autoSpaceDE w:val="0"/>
        <w:autoSpaceDN w:val="0"/>
        <w:adjustRightInd w:val="0"/>
        <w:jc w:val="center"/>
        <w:rPr>
          <w:b/>
          <w:sz w:val="36"/>
        </w:rPr>
      </w:pPr>
    </w:p>
    <w:p w:rsidR="0069616A" w:rsidRDefault="0069616A" w:rsidP="0069616A">
      <w:pPr>
        <w:autoSpaceDE w:val="0"/>
        <w:autoSpaceDN w:val="0"/>
        <w:adjustRightInd w:val="0"/>
        <w:jc w:val="center"/>
        <w:rPr>
          <w:b/>
          <w:sz w:val="36"/>
        </w:rPr>
      </w:pPr>
    </w:p>
    <w:p w:rsidR="0069616A" w:rsidRDefault="0069616A" w:rsidP="0069616A">
      <w:pPr>
        <w:autoSpaceDE w:val="0"/>
        <w:autoSpaceDN w:val="0"/>
        <w:adjustRightInd w:val="0"/>
        <w:jc w:val="center"/>
        <w:rPr>
          <w:b/>
          <w:sz w:val="36"/>
        </w:rPr>
      </w:pPr>
    </w:p>
    <w:p w:rsidR="0069616A" w:rsidRDefault="0069616A" w:rsidP="0069616A">
      <w:pPr>
        <w:autoSpaceDE w:val="0"/>
        <w:autoSpaceDN w:val="0"/>
        <w:adjustRightInd w:val="0"/>
        <w:jc w:val="center"/>
        <w:rPr>
          <w:b/>
          <w:sz w:val="36"/>
        </w:rPr>
      </w:pPr>
    </w:p>
    <w:p w:rsidR="0069616A" w:rsidRDefault="0069616A" w:rsidP="0069616A">
      <w:pPr>
        <w:autoSpaceDE w:val="0"/>
        <w:autoSpaceDN w:val="0"/>
        <w:adjustRightInd w:val="0"/>
        <w:jc w:val="center"/>
        <w:rPr>
          <w:b/>
          <w:sz w:val="36"/>
        </w:rPr>
      </w:pPr>
    </w:p>
    <w:p w:rsidR="0069616A" w:rsidRDefault="0069616A" w:rsidP="0069616A">
      <w:pPr>
        <w:autoSpaceDE w:val="0"/>
        <w:autoSpaceDN w:val="0"/>
        <w:adjustRightInd w:val="0"/>
        <w:jc w:val="center"/>
        <w:rPr>
          <w:b/>
          <w:sz w:val="36"/>
        </w:rPr>
      </w:pPr>
    </w:p>
    <w:p w:rsidR="0069616A" w:rsidRDefault="0069616A" w:rsidP="0069616A">
      <w:pPr>
        <w:autoSpaceDE w:val="0"/>
        <w:autoSpaceDN w:val="0"/>
        <w:adjustRightInd w:val="0"/>
        <w:jc w:val="center"/>
        <w:rPr>
          <w:b/>
          <w:sz w:val="36"/>
        </w:rPr>
      </w:pPr>
    </w:p>
    <w:p w:rsidR="0069616A" w:rsidRDefault="0069616A" w:rsidP="0069616A">
      <w:pPr>
        <w:autoSpaceDE w:val="0"/>
        <w:autoSpaceDN w:val="0"/>
        <w:adjustRightInd w:val="0"/>
        <w:jc w:val="center"/>
        <w:rPr>
          <w:b/>
          <w:sz w:val="36"/>
        </w:rPr>
      </w:pPr>
    </w:p>
    <w:p w:rsidR="00AD3E0A" w:rsidRDefault="00AD3E0A" w:rsidP="0069616A">
      <w:pPr>
        <w:autoSpaceDE w:val="0"/>
        <w:autoSpaceDN w:val="0"/>
        <w:adjustRightInd w:val="0"/>
        <w:jc w:val="center"/>
        <w:rPr>
          <w:b/>
          <w:sz w:val="36"/>
        </w:rPr>
      </w:pPr>
    </w:p>
    <w:p w:rsidR="003A0FF5" w:rsidRPr="0088577C" w:rsidRDefault="003A0FF5" w:rsidP="003A0FF5">
      <w:pPr>
        <w:jc w:val="center"/>
        <w:rPr>
          <w:b/>
          <w:sz w:val="22"/>
          <w:lang w:val="es-MX"/>
        </w:rPr>
      </w:pPr>
      <w:r w:rsidRPr="0088577C">
        <w:rPr>
          <w:b/>
          <w:sz w:val="22"/>
          <w:lang w:val="es-MX"/>
        </w:rPr>
        <w:t xml:space="preserve">Cuadro </w:t>
      </w:r>
      <w:r>
        <w:rPr>
          <w:b/>
          <w:sz w:val="22"/>
          <w:lang w:val="es-MX"/>
        </w:rPr>
        <w:t>16</w:t>
      </w:r>
    </w:p>
    <w:p w:rsidR="003A0FF5" w:rsidRPr="0088577C" w:rsidRDefault="003A0FF5" w:rsidP="003A0FF5">
      <w:pPr>
        <w:jc w:val="center"/>
        <w:rPr>
          <w:b/>
          <w:sz w:val="22"/>
          <w:lang w:val="es-MX"/>
        </w:rPr>
      </w:pPr>
      <w:r>
        <w:rPr>
          <w:b/>
          <w:sz w:val="22"/>
          <w:lang w:val="es-MX"/>
        </w:rPr>
        <w:t>Ejecución Presupuestaria por Entidad y Programas Institucionales</w:t>
      </w:r>
    </w:p>
    <w:p w:rsidR="003A0FF5" w:rsidRPr="0088577C" w:rsidRDefault="003A0FF5" w:rsidP="003A0FF5">
      <w:pPr>
        <w:jc w:val="center"/>
        <w:rPr>
          <w:b/>
          <w:sz w:val="22"/>
          <w:lang w:val="es-MX"/>
        </w:rPr>
      </w:pPr>
      <w:r>
        <w:rPr>
          <w:b/>
          <w:sz w:val="22"/>
          <w:lang w:val="es-MX"/>
        </w:rPr>
        <w:t>Estimación de Cierre 2018</w:t>
      </w:r>
    </w:p>
    <w:p w:rsidR="003A0FF5" w:rsidRDefault="003A0FF5" w:rsidP="003A0FF5">
      <w:pPr>
        <w:pStyle w:val="Prrafodelista"/>
        <w:jc w:val="center"/>
        <w:rPr>
          <w:sz w:val="16"/>
        </w:rPr>
      </w:pPr>
      <w:r w:rsidRPr="0088577C">
        <w:rPr>
          <w:b/>
          <w:sz w:val="22"/>
          <w:lang w:val="es-MX"/>
        </w:rPr>
        <w:t xml:space="preserve">(Cifras en </w:t>
      </w:r>
      <w:r>
        <w:rPr>
          <w:b/>
          <w:sz w:val="22"/>
          <w:lang w:val="es-MX"/>
        </w:rPr>
        <w:t>Millones de Quetzales</w:t>
      </w:r>
      <w:r w:rsidRPr="0088577C">
        <w:rPr>
          <w:b/>
          <w:sz w:val="22"/>
          <w:lang w:val="es-MX"/>
        </w:rPr>
        <w:t>)</w:t>
      </w:r>
    </w:p>
    <w:p w:rsidR="0069616A" w:rsidRDefault="00AD3E0A" w:rsidP="0069616A">
      <w:pPr>
        <w:autoSpaceDE w:val="0"/>
        <w:autoSpaceDN w:val="0"/>
        <w:adjustRightInd w:val="0"/>
        <w:jc w:val="center"/>
        <w:rPr>
          <w:b/>
          <w:sz w:val="36"/>
        </w:rPr>
      </w:pPr>
      <w:r w:rsidRPr="00AD3E0A">
        <w:rPr>
          <w:noProof/>
          <w:lang w:val="es-GT" w:eastAsia="es-GT"/>
        </w:rPr>
        <w:drawing>
          <wp:inline distT="0" distB="0" distL="0" distR="0" wp14:anchorId="13528F34" wp14:editId="614C8572">
            <wp:extent cx="6086902" cy="7253785"/>
            <wp:effectExtent l="0" t="0" r="9525"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0847" cy="7258486"/>
                    </a:xfrm>
                    <a:prstGeom prst="rect">
                      <a:avLst/>
                    </a:prstGeom>
                    <a:noFill/>
                    <a:ln>
                      <a:noFill/>
                    </a:ln>
                  </pic:spPr>
                </pic:pic>
              </a:graphicData>
            </a:graphic>
          </wp:inline>
        </w:drawing>
      </w:r>
    </w:p>
    <w:p w:rsidR="00AD3E0A" w:rsidRDefault="00AD3E0A" w:rsidP="0069616A">
      <w:pPr>
        <w:autoSpaceDE w:val="0"/>
        <w:autoSpaceDN w:val="0"/>
        <w:adjustRightInd w:val="0"/>
        <w:jc w:val="center"/>
        <w:rPr>
          <w:b/>
          <w:sz w:val="36"/>
        </w:rPr>
      </w:pPr>
    </w:p>
    <w:p w:rsidR="003A0FF5" w:rsidRPr="0088577C" w:rsidRDefault="003A0FF5" w:rsidP="003A0FF5">
      <w:pPr>
        <w:jc w:val="center"/>
        <w:rPr>
          <w:b/>
          <w:sz w:val="22"/>
          <w:lang w:val="es-MX"/>
        </w:rPr>
      </w:pPr>
      <w:r w:rsidRPr="0088577C">
        <w:rPr>
          <w:b/>
          <w:sz w:val="22"/>
          <w:lang w:val="es-MX"/>
        </w:rPr>
        <w:t xml:space="preserve">Cuadro </w:t>
      </w:r>
      <w:r>
        <w:rPr>
          <w:b/>
          <w:sz w:val="22"/>
          <w:lang w:val="es-MX"/>
        </w:rPr>
        <w:t>16 (continúa)</w:t>
      </w:r>
    </w:p>
    <w:p w:rsidR="003A0FF5" w:rsidRPr="0088577C" w:rsidRDefault="003A0FF5" w:rsidP="003A0FF5">
      <w:pPr>
        <w:jc w:val="center"/>
        <w:rPr>
          <w:b/>
          <w:sz w:val="22"/>
          <w:lang w:val="es-MX"/>
        </w:rPr>
      </w:pPr>
      <w:r>
        <w:rPr>
          <w:b/>
          <w:sz w:val="22"/>
          <w:lang w:val="es-MX"/>
        </w:rPr>
        <w:t>Ejecución Presupuestaria por Entidad y Programas Institucionales</w:t>
      </w:r>
    </w:p>
    <w:p w:rsidR="003A0FF5" w:rsidRPr="0088577C" w:rsidRDefault="003A0FF5" w:rsidP="003A0FF5">
      <w:pPr>
        <w:jc w:val="center"/>
        <w:rPr>
          <w:b/>
          <w:sz w:val="22"/>
          <w:lang w:val="es-MX"/>
        </w:rPr>
      </w:pPr>
      <w:r>
        <w:rPr>
          <w:b/>
          <w:sz w:val="22"/>
          <w:lang w:val="es-MX"/>
        </w:rPr>
        <w:t>Estimación de Cierre 2018</w:t>
      </w:r>
    </w:p>
    <w:p w:rsidR="003A0FF5" w:rsidRDefault="003A0FF5" w:rsidP="003A0FF5">
      <w:pPr>
        <w:pStyle w:val="Prrafodelista"/>
        <w:jc w:val="center"/>
        <w:rPr>
          <w:sz w:val="16"/>
        </w:rPr>
      </w:pPr>
      <w:r w:rsidRPr="0088577C">
        <w:rPr>
          <w:b/>
          <w:sz w:val="22"/>
          <w:lang w:val="es-MX"/>
        </w:rPr>
        <w:t xml:space="preserve">(Cifras en </w:t>
      </w:r>
      <w:r>
        <w:rPr>
          <w:b/>
          <w:sz w:val="22"/>
          <w:lang w:val="es-MX"/>
        </w:rPr>
        <w:t>Millones de Quetzales</w:t>
      </w:r>
      <w:r w:rsidRPr="0088577C">
        <w:rPr>
          <w:b/>
          <w:sz w:val="22"/>
          <w:lang w:val="es-MX"/>
        </w:rPr>
        <w:t>)</w:t>
      </w:r>
    </w:p>
    <w:p w:rsidR="00AD3E0A" w:rsidRDefault="00AD3E0A" w:rsidP="0069616A">
      <w:pPr>
        <w:autoSpaceDE w:val="0"/>
        <w:autoSpaceDN w:val="0"/>
        <w:adjustRightInd w:val="0"/>
        <w:jc w:val="center"/>
        <w:rPr>
          <w:b/>
          <w:sz w:val="36"/>
        </w:rPr>
      </w:pPr>
      <w:r w:rsidRPr="00AD3E0A">
        <w:rPr>
          <w:noProof/>
          <w:lang w:val="es-GT" w:eastAsia="es-GT"/>
        </w:rPr>
        <w:drawing>
          <wp:inline distT="0" distB="0" distL="0" distR="0" wp14:anchorId="515B5B93" wp14:editId="38D4FE7A">
            <wp:extent cx="6073254" cy="7206018"/>
            <wp:effectExtent l="0" t="0" r="381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4693" cy="7207725"/>
                    </a:xfrm>
                    <a:prstGeom prst="rect">
                      <a:avLst/>
                    </a:prstGeom>
                    <a:noFill/>
                    <a:ln>
                      <a:noFill/>
                    </a:ln>
                  </pic:spPr>
                </pic:pic>
              </a:graphicData>
            </a:graphic>
          </wp:inline>
        </w:drawing>
      </w:r>
    </w:p>
    <w:p w:rsidR="00AD3E0A" w:rsidRDefault="00AD3E0A" w:rsidP="0069616A">
      <w:pPr>
        <w:autoSpaceDE w:val="0"/>
        <w:autoSpaceDN w:val="0"/>
        <w:adjustRightInd w:val="0"/>
        <w:jc w:val="center"/>
        <w:rPr>
          <w:b/>
          <w:sz w:val="36"/>
        </w:rPr>
      </w:pPr>
    </w:p>
    <w:p w:rsidR="003A0FF5" w:rsidRPr="0088577C" w:rsidRDefault="003A0FF5" w:rsidP="00B32545">
      <w:pPr>
        <w:jc w:val="center"/>
        <w:rPr>
          <w:b/>
          <w:sz w:val="22"/>
          <w:lang w:val="es-MX"/>
        </w:rPr>
      </w:pPr>
      <w:r w:rsidRPr="0088577C">
        <w:rPr>
          <w:b/>
          <w:sz w:val="22"/>
          <w:lang w:val="es-MX"/>
        </w:rPr>
        <w:t xml:space="preserve">Cuadro </w:t>
      </w:r>
      <w:r>
        <w:rPr>
          <w:b/>
          <w:sz w:val="22"/>
          <w:lang w:val="es-MX"/>
        </w:rPr>
        <w:t>16</w:t>
      </w:r>
      <w:r w:rsidR="00B32545">
        <w:rPr>
          <w:b/>
          <w:sz w:val="22"/>
          <w:lang w:val="es-MX"/>
        </w:rPr>
        <w:t xml:space="preserve"> (continúa)</w:t>
      </w:r>
    </w:p>
    <w:p w:rsidR="003A0FF5" w:rsidRPr="0088577C" w:rsidRDefault="003A0FF5" w:rsidP="00B32545">
      <w:pPr>
        <w:jc w:val="center"/>
        <w:rPr>
          <w:b/>
          <w:sz w:val="22"/>
          <w:lang w:val="es-MX"/>
        </w:rPr>
      </w:pPr>
      <w:r>
        <w:rPr>
          <w:b/>
          <w:sz w:val="22"/>
          <w:lang w:val="es-MX"/>
        </w:rPr>
        <w:t>Ejecución Presupuestaria por Entidad y Programas Institucionales</w:t>
      </w:r>
    </w:p>
    <w:p w:rsidR="003A0FF5" w:rsidRPr="0088577C" w:rsidRDefault="003A0FF5" w:rsidP="00B32545">
      <w:pPr>
        <w:jc w:val="center"/>
        <w:rPr>
          <w:b/>
          <w:sz w:val="22"/>
          <w:lang w:val="es-MX"/>
        </w:rPr>
      </w:pPr>
      <w:r>
        <w:rPr>
          <w:b/>
          <w:sz w:val="22"/>
          <w:lang w:val="es-MX"/>
        </w:rPr>
        <w:t>Estimación de Cierre 2018</w:t>
      </w:r>
    </w:p>
    <w:p w:rsidR="003A0FF5" w:rsidRDefault="003A0FF5" w:rsidP="00B32545">
      <w:pPr>
        <w:pStyle w:val="Prrafodelista"/>
        <w:jc w:val="center"/>
        <w:rPr>
          <w:sz w:val="16"/>
        </w:rPr>
      </w:pPr>
      <w:r w:rsidRPr="0088577C">
        <w:rPr>
          <w:b/>
          <w:sz w:val="22"/>
          <w:lang w:val="es-MX"/>
        </w:rPr>
        <w:t xml:space="preserve">(Cifras en </w:t>
      </w:r>
      <w:r>
        <w:rPr>
          <w:b/>
          <w:sz w:val="22"/>
          <w:lang w:val="es-MX"/>
        </w:rPr>
        <w:t>Millones de Quetzales</w:t>
      </w:r>
      <w:r w:rsidRPr="0088577C">
        <w:rPr>
          <w:b/>
          <w:sz w:val="22"/>
          <w:lang w:val="es-MX"/>
        </w:rPr>
        <w:t>)</w:t>
      </w:r>
    </w:p>
    <w:p w:rsidR="00AD3E0A" w:rsidRDefault="00AD3E0A" w:rsidP="0069616A">
      <w:pPr>
        <w:autoSpaceDE w:val="0"/>
        <w:autoSpaceDN w:val="0"/>
        <w:adjustRightInd w:val="0"/>
        <w:jc w:val="center"/>
        <w:rPr>
          <w:b/>
          <w:sz w:val="36"/>
        </w:rPr>
      </w:pPr>
      <w:r w:rsidRPr="00AD3E0A">
        <w:rPr>
          <w:noProof/>
          <w:lang w:val="es-GT" w:eastAsia="es-GT"/>
        </w:rPr>
        <w:drawing>
          <wp:inline distT="0" distB="0" distL="0" distR="0" wp14:anchorId="5AF39D61" wp14:editId="4EE96A5A">
            <wp:extent cx="6127845" cy="7178723"/>
            <wp:effectExtent l="0" t="0" r="6350"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9297" cy="7180424"/>
                    </a:xfrm>
                    <a:prstGeom prst="rect">
                      <a:avLst/>
                    </a:prstGeom>
                    <a:noFill/>
                    <a:ln>
                      <a:noFill/>
                    </a:ln>
                  </pic:spPr>
                </pic:pic>
              </a:graphicData>
            </a:graphic>
          </wp:inline>
        </w:drawing>
      </w:r>
    </w:p>
    <w:p w:rsidR="0069616A" w:rsidRPr="00416F2B" w:rsidRDefault="00416F2B" w:rsidP="00416F2B">
      <w:pPr>
        <w:autoSpaceDE w:val="0"/>
        <w:autoSpaceDN w:val="0"/>
        <w:adjustRightInd w:val="0"/>
        <w:rPr>
          <w:sz w:val="18"/>
        </w:rPr>
      </w:pPr>
      <w:r w:rsidRPr="00416F2B">
        <w:rPr>
          <w:sz w:val="18"/>
        </w:rPr>
        <w:t xml:space="preserve">Fuente: </w:t>
      </w:r>
      <w:r>
        <w:rPr>
          <w:sz w:val="18"/>
        </w:rPr>
        <w:t>Ministerio de Finanzas Públicas.</w:t>
      </w:r>
    </w:p>
    <w:p w:rsidR="0067083C" w:rsidRDefault="0067083C" w:rsidP="0069616A">
      <w:pPr>
        <w:autoSpaceDE w:val="0"/>
        <w:autoSpaceDN w:val="0"/>
        <w:adjustRightInd w:val="0"/>
        <w:jc w:val="center"/>
        <w:rPr>
          <w:b/>
          <w:sz w:val="36"/>
        </w:rPr>
      </w:pPr>
    </w:p>
    <w:p w:rsidR="00A74391" w:rsidRPr="0088577C" w:rsidRDefault="00A74391" w:rsidP="00A74391">
      <w:pPr>
        <w:jc w:val="center"/>
        <w:rPr>
          <w:b/>
          <w:sz w:val="22"/>
          <w:lang w:val="es-MX"/>
        </w:rPr>
      </w:pPr>
      <w:r w:rsidRPr="0088577C">
        <w:rPr>
          <w:b/>
          <w:sz w:val="22"/>
          <w:lang w:val="es-MX"/>
        </w:rPr>
        <w:t xml:space="preserve">Cuadro </w:t>
      </w:r>
      <w:r>
        <w:rPr>
          <w:b/>
          <w:sz w:val="22"/>
          <w:lang w:val="es-MX"/>
        </w:rPr>
        <w:t>17</w:t>
      </w:r>
    </w:p>
    <w:p w:rsidR="00A74391" w:rsidRDefault="00A74391" w:rsidP="00A74391">
      <w:pPr>
        <w:jc w:val="center"/>
        <w:rPr>
          <w:b/>
          <w:sz w:val="22"/>
          <w:lang w:val="es-MX"/>
        </w:rPr>
      </w:pPr>
      <w:r>
        <w:rPr>
          <w:b/>
          <w:sz w:val="22"/>
          <w:lang w:val="es-MX"/>
        </w:rPr>
        <w:t>Situación Financiera</w:t>
      </w:r>
    </w:p>
    <w:p w:rsidR="00A74391" w:rsidRPr="0088577C" w:rsidRDefault="00A74391" w:rsidP="00A74391">
      <w:pPr>
        <w:jc w:val="center"/>
        <w:rPr>
          <w:b/>
          <w:sz w:val="22"/>
          <w:lang w:val="es-MX"/>
        </w:rPr>
      </w:pPr>
      <w:r>
        <w:rPr>
          <w:b/>
          <w:sz w:val="22"/>
          <w:lang w:val="es-MX"/>
        </w:rPr>
        <w:t>Presupuesto Aprobado y Estimación de Cierre 2018</w:t>
      </w:r>
    </w:p>
    <w:p w:rsidR="00A74391" w:rsidRDefault="00A74391" w:rsidP="00A74391">
      <w:pPr>
        <w:pStyle w:val="Prrafodelista"/>
        <w:jc w:val="center"/>
        <w:rPr>
          <w:sz w:val="16"/>
        </w:rPr>
      </w:pPr>
      <w:r w:rsidRPr="0088577C">
        <w:rPr>
          <w:b/>
          <w:sz w:val="22"/>
          <w:lang w:val="es-MX"/>
        </w:rPr>
        <w:t xml:space="preserve">(Cifras en </w:t>
      </w:r>
      <w:r>
        <w:rPr>
          <w:b/>
          <w:sz w:val="22"/>
          <w:lang w:val="es-MX"/>
        </w:rPr>
        <w:t>Millones de Quetzales</w:t>
      </w:r>
      <w:r w:rsidRPr="0088577C">
        <w:rPr>
          <w:b/>
          <w:sz w:val="22"/>
          <w:lang w:val="es-MX"/>
        </w:rPr>
        <w:t>)</w:t>
      </w:r>
    </w:p>
    <w:p w:rsidR="0067083C" w:rsidRDefault="0067083C" w:rsidP="0069616A">
      <w:pPr>
        <w:autoSpaceDE w:val="0"/>
        <w:autoSpaceDN w:val="0"/>
        <w:adjustRightInd w:val="0"/>
        <w:jc w:val="center"/>
        <w:rPr>
          <w:b/>
          <w:sz w:val="36"/>
        </w:rPr>
      </w:pPr>
      <w:r w:rsidRPr="0067083C">
        <w:rPr>
          <w:noProof/>
          <w:lang w:val="es-GT" w:eastAsia="es-GT"/>
        </w:rPr>
        <w:drawing>
          <wp:inline distT="0" distB="0" distL="0" distR="0">
            <wp:extent cx="6121021" cy="7246962"/>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743" cy="7246633"/>
                    </a:xfrm>
                    <a:prstGeom prst="rect">
                      <a:avLst/>
                    </a:prstGeom>
                    <a:noFill/>
                    <a:ln>
                      <a:noFill/>
                    </a:ln>
                  </pic:spPr>
                </pic:pic>
              </a:graphicData>
            </a:graphic>
          </wp:inline>
        </w:drawing>
      </w:r>
    </w:p>
    <w:p w:rsidR="0067083C" w:rsidRDefault="0067083C" w:rsidP="0069616A">
      <w:pPr>
        <w:autoSpaceDE w:val="0"/>
        <w:autoSpaceDN w:val="0"/>
        <w:adjustRightInd w:val="0"/>
        <w:jc w:val="center"/>
        <w:rPr>
          <w:b/>
          <w:sz w:val="36"/>
        </w:rPr>
      </w:pPr>
    </w:p>
    <w:p w:rsidR="00A74391" w:rsidRPr="0088577C" w:rsidRDefault="00A74391" w:rsidP="00A74391">
      <w:pPr>
        <w:jc w:val="center"/>
        <w:rPr>
          <w:b/>
          <w:sz w:val="22"/>
          <w:lang w:val="es-MX"/>
        </w:rPr>
      </w:pPr>
      <w:r w:rsidRPr="0088577C">
        <w:rPr>
          <w:b/>
          <w:sz w:val="22"/>
          <w:lang w:val="es-MX"/>
        </w:rPr>
        <w:t xml:space="preserve">Cuadro </w:t>
      </w:r>
      <w:r>
        <w:rPr>
          <w:b/>
          <w:sz w:val="22"/>
          <w:lang w:val="es-MX"/>
        </w:rPr>
        <w:t>17 (continúa)</w:t>
      </w:r>
    </w:p>
    <w:p w:rsidR="00A74391" w:rsidRDefault="00A74391" w:rsidP="00A74391">
      <w:pPr>
        <w:jc w:val="center"/>
        <w:rPr>
          <w:b/>
          <w:sz w:val="22"/>
          <w:lang w:val="es-MX"/>
        </w:rPr>
      </w:pPr>
      <w:r>
        <w:rPr>
          <w:b/>
          <w:sz w:val="22"/>
          <w:lang w:val="es-MX"/>
        </w:rPr>
        <w:t>Situación Financiera</w:t>
      </w:r>
    </w:p>
    <w:p w:rsidR="00A74391" w:rsidRPr="0088577C" w:rsidRDefault="00A74391" w:rsidP="00A74391">
      <w:pPr>
        <w:jc w:val="center"/>
        <w:rPr>
          <w:b/>
          <w:sz w:val="22"/>
          <w:lang w:val="es-MX"/>
        </w:rPr>
      </w:pPr>
      <w:r>
        <w:rPr>
          <w:b/>
          <w:sz w:val="22"/>
          <w:lang w:val="es-MX"/>
        </w:rPr>
        <w:t>Presupuesto Aprobado y Estimación de Cierre 2018</w:t>
      </w:r>
    </w:p>
    <w:p w:rsidR="00A74391" w:rsidRDefault="00A74391" w:rsidP="00A74391">
      <w:pPr>
        <w:pStyle w:val="Prrafodelista"/>
        <w:jc w:val="center"/>
        <w:rPr>
          <w:sz w:val="16"/>
        </w:rPr>
      </w:pPr>
      <w:r w:rsidRPr="0088577C">
        <w:rPr>
          <w:b/>
          <w:sz w:val="22"/>
          <w:lang w:val="es-MX"/>
        </w:rPr>
        <w:t xml:space="preserve">(Cifras en </w:t>
      </w:r>
      <w:r>
        <w:rPr>
          <w:b/>
          <w:sz w:val="22"/>
          <w:lang w:val="es-MX"/>
        </w:rPr>
        <w:t>Millones de Quetzales</w:t>
      </w:r>
      <w:r w:rsidRPr="0088577C">
        <w:rPr>
          <w:b/>
          <w:sz w:val="22"/>
          <w:lang w:val="es-MX"/>
        </w:rPr>
        <w:t>)</w:t>
      </w:r>
    </w:p>
    <w:p w:rsidR="0067083C" w:rsidRDefault="0067083C" w:rsidP="0069616A">
      <w:pPr>
        <w:autoSpaceDE w:val="0"/>
        <w:autoSpaceDN w:val="0"/>
        <w:adjustRightInd w:val="0"/>
        <w:jc w:val="center"/>
        <w:rPr>
          <w:b/>
          <w:sz w:val="36"/>
        </w:rPr>
      </w:pPr>
      <w:r w:rsidRPr="0067083C">
        <w:rPr>
          <w:noProof/>
          <w:lang w:val="es-GT" w:eastAsia="es-GT"/>
        </w:rPr>
        <w:drawing>
          <wp:inline distT="0" distB="0" distL="0" distR="0">
            <wp:extent cx="6080078" cy="7069483"/>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80054" cy="7069455"/>
                    </a:xfrm>
                    <a:prstGeom prst="rect">
                      <a:avLst/>
                    </a:prstGeom>
                    <a:noFill/>
                    <a:ln>
                      <a:noFill/>
                    </a:ln>
                  </pic:spPr>
                </pic:pic>
              </a:graphicData>
            </a:graphic>
          </wp:inline>
        </w:drawing>
      </w:r>
    </w:p>
    <w:p w:rsidR="0067083C" w:rsidRPr="00416F2B" w:rsidRDefault="00416F2B" w:rsidP="00416F2B">
      <w:pPr>
        <w:autoSpaceDE w:val="0"/>
        <w:autoSpaceDN w:val="0"/>
        <w:adjustRightInd w:val="0"/>
        <w:rPr>
          <w:sz w:val="18"/>
        </w:rPr>
      </w:pPr>
      <w:r>
        <w:rPr>
          <w:sz w:val="18"/>
        </w:rPr>
        <w:t>Fuente: Ministerio de Finanzas Públicas.</w:t>
      </w:r>
    </w:p>
    <w:p w:rsidR="006E3EBC" w:rsidRDefault="006E3EBC" w:rsidP="0069616A">
      <w:pPr>
        <w:autoSpaceDE w:val="0"/>
        <w:autoSpaceDN w:val="0"/>
        <w:adjustRightInd w:val="0"/>
        <w:jc w:val="center"/>
        <w:rPr>
          <w:b/>
          <w:sz w:val="36"/>
        </w:rPr>
      </w:pPr>
    </w:p>
    <w:p w:rsidR="006E3EBC" w:rsidRPr="0088577C" w:rsidRDefault="006E3EBC" w:rsidP="00A36762">
      <w:pPr>
        <w:jc w:val="center"/>
        <w:rPr>
          <w:b/>
          <w:sz w:val="22"/>
          <w:lang w:val="es-MX"/>
        </w:rPr>
      </w:pPr>
      <w:r w:rsidRPr="0088577C">
        <w:rPr>
          <w:b/>
          <w:sz w:val="22"/>
          <w:lang w:val="es-MX"/>
        </w:rPr>
        <w:t xml:space="preserve">Cuadro </w:t>
      </w:r>
      <w:r>
        <w:rPr>
          <w:b/>
          <w:sz w:val="22"/>
          <w:lang w:val="es-MX"/>
        </w:rPr>
        <w:t>18</w:t>
      </w:r>
    </w:p>
    <w:p w:rsidR="006E3EBC" w:rsidRDefault="006E3EBC" w:rsidP="00A36762">
      <w:pPr>
        <w:jc w:val="center"/>
        <w:rPr>
          <w:b/>
          <w:sz w:val="22"/>
          <w:lang w:val="es-MX"/>
        </w:rPr>
      </w:pPr>
      <w:r>
        <w:rPr>
          <w:b/>
          <w:sz w:val="22"/>
          <w:lang w:val="es-MX"/>
        </w:rPr>
        <w:t>Situación Financiera</w:t>
      </w:r>
    </w:p>
    <w:p w:rsidR="006E3EBC" w:rsidRPr="0088577C" w:rsidRDefault="006E3EBC" w:rsidP="00A36762">
      <w:pPr>
        <w:jc w:val="center"/>
        <w:rPr>
          <w:b/>
          <w:sz w:val="22"/>
          <w:lang w:val="es-MX"/>
        </w:rPr>
      </w:pPr>
      <w:r>
        <w:rPr>
          <w:b/>
          <w:sz w:val="22"/>
          <w:lang w:val="es-MX"/>
        </w:rPr>
        <w:t>Presupuesto Aprobado y Estimación de Cierre 2018</w:t>
      </w:r>
    </w:p>
    <w:p w:rsidR="006E3EBC" w:rsidRDefault="006E3EBC" w:rsidP="00A36762">
      <w:pPr>
        <w:pStyle w:val="Prrafodelista"/>
        <w:jc w:val="center"/>
        <w:rPr>
          <w:sz w:val="16"/>
        </w:rPr>
      </w:pPr>
      <w:r w:rsidRPr="0088577C">
        <w:rPr>
          <w:b/>
          <w:sz w:val="22"/>
          <w:lang w:val="es-MX"/>
        </w:rPr>
        <w:t>(</w:t>
      </w:r>
      <w:r>
        <w:rPr>
          <w:b/>
          <w:sz w:val="22"/>
          <w:lang w:val="es-MX"/>
        </w:rPr>
        <w:t xml:space="preserve">En </w:t>
      </w:r>
      <w:r w:rsidR="00A36762">
        <w:rPr>
          <w:b/>
          <w:sz w:val="22"/>
          <w:lang w:val="es-MX"/>
        </w:rPr>
        <w:t>P</w:t>
      </w:r>
      <w:r>
        <w:rPr>
          <w:b/>
          <w:sz w:val="22"/>
          <w:lang w:val="es-MX"/>
        </w:rPr>
        <w:t>orcentajes del PIB</w:t>
      </w:r>
      <w:r w:rsidRPr="0088577C">
        <w:rPr>
          <w:b/>
          <w:sz w:val="22"/>
          <w:lang w:val="es-MX"/>
        </w:rPr>
        <w:t>)</w:t>
      </w:r>
    </w:p>
    <w:p w:rsidR="0069616A" w:rsidRDefault="0067083C" w:rsidP="0069616A">
      <w:pPr>
        <w:autoSpaceDE w:val="0"/>
        <w:autoSpaceDN w:val="0"/>
        <w:adjustRightInd w:val="0"/>
        <w:jc w:val="center"/>
        <w:rPr>
          <w:b/>
          <w:sz w:val="36"/>
        </w:rPr>
      </w:pPr>
      <w:r w:rsidRPr="0067083C">
        <w:rPr>
          <w:noProof/>
          <w:lang w:val="es-GT" w:eastAsia="es-GT"/>
        </w:rPr>
        <w:drawing>
          <wp:inline distT="0" distB="0" distL="0" distR="0">
            <wp:extent cx="6121021" cy="7233314"/>
            <wp:effectExtent l="0" t="0" r="0" b="571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744" cy="7232986"/>
                    </a:xfrm>
                    <a:prstGeom prst="rect">
                      <a:avLst/>
                    </a:prstGeom>
                    <a:noFill/>
                    <a:ln>
                      <a:noFill/>
                    </a:ln>
                  </pic:spPr>
                </pic:pic>
              </a:graphicData>
            </a:graphic>
          </wp:inline>
        </w:drawing>
      </w:r>
    </w:p>
    <w:p w:rsidR="004B5DF5" w:rsidRPr="00716926" w:rsidRDefault="004B5DF5" w:rsidP="004B5DF5">
      <w:pPr>
        <w:jc w:val="both"/>
        <w:rPr>
          <w:b/>
          <w:sz w:val="36"/>
          <w:lang w:val="es-ES_tradnl"/>
        </w:rPr>
      </w:pPr>
    </w:p>
    <w:p w:rsidR="006E3EBC" w:rsidRPr="0088577C" w:rsidRDefault="006E3EBC" w:rsidP="00A36762">
      <w:pPr>
        <w:jc w:val="center"/>
        <w:rPr>
          <w:b/>
          <w:sz w:val="22"/>
          <w:lang w:val="es-MX"/>
        </w:rPr>
      </w:pPr>
      <w:r w:rsidRPr="0088577C">
        <w:rPr>
          <w:b/>
          <w:sz w:val="22"/>
          <w:lang w:val="es-MX"/>
        </w:rPr>
        <w:t xml:space="preserve">Cuadro </w:t>
      </w:r>
      <w:r>
        <w:rPr>
          <w:b/>
          <w:sz w:val="22"/>
          <w:lang w:val="es-MX"/>
        </w:rPr>
        <w:t>1</w:t>
      </w:r>
      <w:r w:rsidR="00416F2B">
        <w:rPr>
          <w:b/>
          <w:sz w:val="22"/>
          <w:lang w:val="es-MX"/>
        </w:rPr>
        <w:t>8</w:t>
      </w:r>
      <w:r>
        <w:rPr>
          <w:b/>
          <w:sz w:val="22"/>
          <w:lang w:val="es-MX"/>
        </w:rPr>
        <w:t xml:space="preserve"> (continúa)</w:t>
      </w:r>
    </w:p>
    <w:p w:rsidR="006E3EBC" w:rsidRDefault="006E3EBC" w:rsidP="00A36762">
      <w:pPr>
        <w:jc w:val="center"/>
        <w:rPr>
          <w:b/>
          <w:sz w:val="22"/>
          <w:lang w:val="es-MX"/>
        </w:rPr>
      </w:pPr>
      <w:r>
        <w:rPr>
          <w:b/>
          <w:sz w:val="22"/>
          <w:lang w:val="es-MX"/>
        </w:rPr>
        <w:t>Situación Financiera</w:t>
      </w:r>
    </w:p>
    <w:p w:rsidR="006E3EBC" w:rsidRPr="0088577C" w:rsidRDefault="006E3EBC" w:rsidP="00A36762">
      <w:pPr>
        <w:jc w:val="center"/>
        <w:rPr>
          <w:b/>
          <w:sz w:val="22"/>
          <w:lang w:val="es-MX"/>
        </w:rPr>
      </w:pPr>
      <w:r>
        <w:rPr>
          <w:b/>
          <w:sz w:val="22"/>
          <w:lang w:val="es-MX"/>
        </w:rPr>
        <w:t>Presupuesto Aprobado y Estimación de Cierre 2018</w:t>
      </w:r>
    </w:p>
    <w:p w:rsidR="006E3EBC" w:rsidRDefault="006E3EBC" w:rsidP="00A36762">
      <w:pPr>
        <w:pStyle w:val="Prrafodelista"/>
        <w:jc w:val="center"/>
        <w:rPr>
          <w:sz w:val="16"/>
        </w:rPr>
      </w:pPr>
      <w:r w:rsidRPr="0088577C">
        <w:rPr>
          <w:b/>
          <w:sz w:val="22"/>
          <w:lang w:val="es-MX"/>
        </w:rPr>
        <w:t>(</w:t>
      </w:r>
      <w:r w:rsidR="00416F2B">
        <w:rPr>
          <w:b/>
          <w:sz w:val="22"/>
          <w:lang w:val="es-MX"/>
        </w:rPr>
        <w:t>En Porcentajes del PIB</w:t>
      </w:r>
      <w:r w:rsidRPr="0088577C">
        <w:rPr>
          <w:b/>
          <w:sz w:val="22"/>
          <w:lang w:val="es-MX"/>
        </w:rPr>
        <w:t>)</w:t>
      </w:r>
    </w:p>
    <w:p w:rsidR="004B5DF5" w:rsidRDefault="00A74391" w:rsidP="00CC1383">
      <w:pPr>
        <w:jc w:val="both"/>
        <w:rPr>
          <w:noProof/>
          <w:sz w:val="18"/>
          <w:lang w:val="es-ES_tradnl"/>
        </w:rPr>
      </w:pPr>
      <w:r w:rsidRPr="00A74391">
        <w:rPr>
          <w:noProof/>
          <w:lang w:val="es-GT" w:eastAsia="es-GT"/>
        </w:rPr>
        <w:drawing>
          <wp:inline distT="0" distB="0" distL="0" distR="0">
            <wp:extent cx="6114197" cy="7069482"/>
            <wp:effectExtent l="0" t="0" r="127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4174" cy="7069455"/>
                    </a:xfrm>
                    <a:prstGeom prst="rect">
                      <a:avLst/>
                    </a:prstGeom>
                    <a:noFill/>
                    <a:ln>
                      <a:noFill/>
                    </a:ln>
                  </pic:spPr>
                </pic:pic>
              </a:graphicData>
            </a:graphic>
          </wp:inline>
        </w:drawing>
      </w:r>
    </w:p>
    <w:p w:rsidR="00716926" w:rsidRPr="004B5DF5" w:rsidRDefault="00716926" w:rsidP="00CC1383">
      <w:pPr>
        <w:jc w:val="both"/>
        <w:rPr>
          <w:noProof/>
          <w:sz w:val="18"/>
          <w:lang w:val="es-ES_tradnl"/>
        </w:rPr>
      </w:pPr>
      <w:r>
        <w:rPr>
          <w:noProof/>
          <w:sz w:val="18"/>
          <w:lang w:val="es-ES_tradnl"/>
        </w:rPr>
        <w:t>Fuente: Ministerio de Finanzas Públicas.</w:t>
      </w:r>
    </w:p>
    <w:sectPr w:rsidR="00716926" w:rsidRPr="004B5DF5" w:rsidSect="00AD3E0A">
      <w:headerReference w:type="even" r:id="rId31"/>
      <w:headerReference w:type="default" r:id="rId32"/>
      <w:footerReference w:type="even" r:id="rId33"/>
      <w:footerReference w:type="default" r:id="rId34"/>
      <w:footerReference w:type="first" r:id="rId3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3433" w:rsidRDefault="00BC3433" w:rsidP="00BF318F">
      <w:r>
        <w:separator/>
      </w:r>
    </w:p>
  </w:endnote>
  <w:endnote w:type="continuationSeparator" w:id="0">
    <w:p w:rsidR="00BC3433" w:rsidRDefault="00BC3433" w:rsidP="00BF31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elix Titling">
    <w:panose1 w:val="04060505060202020A04"/>
    <w:charset w:val="00"/>
    <w:family w:val="decorative"/>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16A" w:rsidRDefault="0069616A">
    <w:r>
      <w:c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16A" w:rsidRDefault="0069616A">
    <w:pPr>
      <w:pStyle w:val="Piedepgina"/>
      <w:jc w:val="right"/>
    </w:pPr>
    <w:r>
      <w:fldChar w:fldCharType="begin"/>
    </w:r>
    <w:r>
      <w:instrText>PAGE   \* MERGEFORMAT</w:instrText>
    </w:r>
    <w:r>
      <w:fldChar w:fldCharType="separate"/>
    </w:r>
    <w:r w:rsidR="00DF7350">
      <w:rPr>
        <w:noProof/>
      </w:rPr>
      <w:t>50</w:t>
    </w:r>
    <w:r>
      <w:fldChar w:fldCharType="end"/>
    </w:r>
  </w:p>
  <w:p w:rsidR="0069616A" w:rsidRDefault="0069616A">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16A" w:rsidRDefault="0069616A" w:rsidP="00EB2FBA">
    <w:pPr>
      <w:pStyle w:val="Piedepgina"/>
    </w:pPr>
  </w:p>
  <w:p w:rsidR="0069616A" w:rsidRDefault="0069616A" w:rsidP="00EB2FB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3433" w:rsidRDefault="00BC3433" w:rsidP="00BF318F">
      <w:r>
        <w:separator/>
      </w:r>
    </w:p>
  </w:footnote>
  <w:footnote w:type="continuationSeparator" w:id="0">
    <w:p w:rsidR="00BC3433" w:rsidRDefault="00BC3433" w:rsidP="00BF318F">
      <w:r>
        <w:continuationSeparator/>
      </w:r>
    </w:p>
  </w:footnote>
  <w:footnote w:id="1">
    <w:p w:rsidR="0069616A" w:rsidRDefault="0069616A" w:rsidP="006C78B0">
      <w:pPr>
        <w:pStyle w:val="Textonotapie"/>
        <w:rPr>
          <w:sz w:val="18"/>
        </w:rPr>
      </w:pPr>
      <w:r>
        <w:rPr>
          <w:rStyle w:val="Refdenotaalpie"/>
        </w:rPr>
        <w:footnoteRef/>
      </w:r>
      <w:r>
        <w:t xml:space="preserve"> </w:t>
      </w:r>
      <w:r w:rsidRPr="00343FF3">
        <w:rPr>
          <w:sz w:val="18"/>
        </w:rPr>
        <w:t>El gasto social está destinado a mejorar las condiciones de vida de las familias guatemaltecas, en el mediano y largo plazo, siendo importante resaltar que los montos detallados en el cuadro siguiente incluyen la función “Edad Avanzada”, dentro de la ejecución del sector Salud y Asistencia Social de cada año</w:t>
      </w:r>
      <w:r>
        <w:rPr>
          <w:sz w:val="18"/>
        </w:rPr>
        <w:t>.</w:t>
      </w:r>
    </w:p>
    <w:p w:rsidR="0069616A" w:rsidRPr="00343FF3" w:rsidRDefault="0069616A" w:rsidP="006C78B0">
      <w:pPr>
        <w:pStyle w:val="Textonotapie"/>
      </w:pPr>
    </w:p>
  </w:footnote>
  <w:footnote w:id="2">
    <w:p w:rsidR="0069616A" w:rsidRDefault="0069616A" w:rsidP="004720E6">
      <w:pPr>
        <w:pStyle w:val="Textonotapie"/>
        <w:jc w:val="both"/>
        <w:rPr>
          <w:sz w:val="18"/>
          <w:szCs w:val="18"/>
          <w:lang w:val="es-MX"/>
        </w:rPr>
      </w:pPr>
      <w:r>
        <w:rPr>
          <w:rStyle w:val="Refdenotaalpie"/>
        </w:rPr>
        <w:footnoteRef/>
      </w:r>
      <w:r>
        <w:t xml:space="preserve"> </w:t>
      </w:r>
      <w:r w:rsidRPr="00CF15B3">
        <w:rPr>
          <w:sz w:val="18"/>
          <w:szCs w:val="18"/>
          <w:lang w:val="es-MX"/>
        </w:rPr>
        <w:t xml:space="preserve">La iniciativa 4462, proyecto de Ley de Fideicomisos Públicos, </w:t>
      </w:r>
      <w:r>
        <w:rPr>
          <w:sz w:val="18"/>
          <w:szCs w:val="18"/>
          <w:lang w:val="es-MX"/>
        </w:rPr>
        <w:t xml:space="preserve">persigue </w:t>
      </w:r>
      <w:r w:rsidRPr="00CF15B3">
        <w:rPr>
          <w:sz w:val="18"/>
          <w:szCs w:val="18"/>
          <w:lang w:val="es-MX"/>
        </w:rPr>
        <w:t>regula</w:t>
      </w:r>
      <w:r>
        <w:rPr>
          <w:sz w:val="18"/>
          <w:szCs w:val="18"/>
          <w:lang w:val="es-MX"/>
        </w:rPr>
        <w:t>r</w:t>
      </w:r>
      <w:r w:rsidRPr="00CF15B3">
        <w:rPr>
          <w:sz w:val="18"/>
          <w:szCs w:val="18"/>
          <w:lang w:val="es-MX"/>
        </w:rPr>
        <w:t xml:space="preserve"> y dispone</w:t>
      </w:r>
      <w:r>
        <w:rPr>
          <w:sz w:val="18"/>
          <w:szCs w:val="18"/>
          <w:lang w:val="es-MX"/>
        </w:rPr>
        <w:t>r</w:t>
      </w:r>
      <w:r w:rsidRPr="00CF15B3">
        <w:rPr>
          <w:sz w:val="18"/>
          <w:szCs w:val="18"/>
          <w:lang w:val="es-MX"/>
        </w:rPr>
        <w:t xml:space="preserve"> las normas y principios que rigen los contratos de fideicomisos públicos, aplicables en la celebración, administración, ejecución, extinción y liquidación de los contratos.  Los recursos que se afecten en dichos contratos preservarán su carácter público y fiscalizable y se observarán los principios de legalidad, economía, eficiencia, eficacia, máxima publicidad, probidad y transparencia en el manejo y ejecución de los recursos públicos, así como los que garanticen que toda actuación pública esté orientada a la consecución del bien común y la debida rendición de cuentas</w:t>
      </w:r>
      <w:r>
        <w:rPr>
          <w:sz w:val="18"/>
          <w:szCs w:val="18"/>
          <w:lang w:val="es-MX"/>
        </w:rPr>
        <w:t>.</w:t>
      </w:r>
    </w:p>
    <w:p w:rsidR="0069616A" w:rsidRDefault="0069616A" w:rsidP="004720E6">
      <w:pPr>
        <w:pStyle w:val="Textonotapie"/>
        <w:jc w:val="both"/>
        <w:rPr>
          <w:sz w:val="18"/>
          <w:szCs w:val="18"/>
          <w:lang w:val="es-MX"/>
        </w:rPr>
      </w:pPr>
    </w:p>
    <w:p w:rsidR="0069616A" w:rsidRPr="00401389" w:rsidRDefault="0069616A" w:rsidP="004720E6">
      <w:pPr>
        <w:pStyle w:val="Textonotapie"/>
        <w:jc w:val="both"/>
        <w:rPr>
          <w:sz w:val="18"/>
        </w:rPr>
      </w:pPr>
      <w:r>
        <w:rPr>
          <w:sz w:val="18"/>
          <w:lang w:val="es-MX"/>
        </w:rPr>
        <w:t>Asimismo, e</w:t>
      </w:r>
      <w:r w:rsidRPr="00401389">
        <w:rPr>
          <w:sz w:val="18"/>
          <w:lang w:val="es-MX"/>
        </w:rPr>
        <w:t>l detalle de los fideicomisos se encuentra en el portal del Ministerio de Finanzas Públicas y contiene una amplia gama de información sobre fideicomisos vigentes, en liquidación y vencidos, tanto de la Administración Central como de las Entidades Descentralizadas y Autónomas. El uso de fideicomisos actualmente está regulado en el Capítulo VI</w:t>
      </w:r>
      <w:r>
        <w:rPr>
          <w:sz w:val="18"/>
          <w:lang w:val="es-MX"/>
        </w:rPr>
        <w:t>II</w:t>
      </w:r>
      <w:r w:rsidRPr="00401389">
        <w:rPr>
          <w:sz w:val="18"/>
          <w:lang w:val="es-MX"/>
        </w:rPr>
        <w:t xml:space="preserve">, artículos del </w:t>
      </w:r>
      <w:r>
        <w:rPr>
          <w:sz w:val="18"/>
          <w:lang w:val="es-MX"/>
        </w:rPr>
        <w:t>84</w:t>
      </w:r>
      <w:r w:rsidRPr="00401389">
        <w:rPr>
          <w:sz w:val="18"/>
          <w:lang w:val="es-MX"/>
        </w:rPr>
        <w:t xml:space="preserve"> al </w:t>
      </w:r>
      <w:r>
        <w:rPr>
          <w:sz w:val="18"/>
          <w:lang w:val="es-MX"/>
        </w:rPr>
        <w:t>90</w:t>
      </w:r>
      <w:r w:rsidRPr="00401389">
        <w:rPr>
          <w:sz w:val="18"/>
          <w:lang w:val="es-MX"/>
        </w:rPr>
        <w:t xml:space="preserve"> de la Ley del Presupuesto General de Ingresos y Egresos del Estado para el Ejercicio Fiscal 201</w:t>
      </w:r>
      <w:r>
        <w:rPr>
          <w:sz w:val="18"/>
          <w:lang w:val="es-MX"/>
        </w:rPr>
        <w:t>7</w:t>
      </w:r>
      <w:r w:rsidRPr="00401389">
        <w:rPr>
          <w:sz w:val="18"/>
          <w:lang w:val="es-MX"/>
        </w:rPr>
        <w:t xml:space="preserve">, Decreto No. </w:t>
      </w:r>
      <w:r>
        <w:rPr>
          <w:sz w:val="18"/>
          <w:lang w:val="es-MX"/>
        </w:rPr>
        <w:t>50</w:t>
      </w:r>
      <w:r w:rsidRPr="00401389">
        <w:rPr>
          <w:sz w:val="18"/>
          <w:lang w:val="es-MX"/>
        </w:rPr>
        <w:t>-201</w:t>
      </w:r>
      <w:r>
        <w:rPr>
          <w:sz w:val="18"/>
          <w:lang w:val="es-MX"/>
        </w:rPr>
        <w:t>6</w:t>
      </w:r>
      <w:r w:rsidRPr="00401389">
        <w:rPr>
          <w:sz w:val="18"/>
          <w:lang w:val="es-MX"/>
        </w:rPr>
        <w:t xml:space="preserve"> del Congre</w:t>
      </w:r>
      <w:r>
        <w:rPr>
          <w:sz w:val="18"/>
          <w:lang w:val="es-MX"/>
        </w:rPr>
        <w:t>so de la República de Guatemala, vigente para el 2018.</w:t>
      </w:r>
    </w:p>
  </w:footnote>
  <w:footnote w:id="3">
    <w:p w:rsidR="0069616A" w:rsidRPr="00AE4E5C" w:rsidRDefault="0069616A" w:rsidP="00AB0496">
      <w:pPr>
        <w:pStyle w:val="Textonotapie"/>
        <w:jc w:val="both"/>
      </w:pPr>
      <w:r>
        <w:rPr>
          <w:rStyle w:val="Refdenotaalpie"/>
        </w:rPr>
        <w:footnoteRef/>
      </w:r>
      <w:r>
        <w:t xml:space="preserve"> </w:t>
      </w:r>
      <w:r w:rsidRPr="00AE4E5C">
        <w:rPr>
          <w:sz w:val="18"/>
          <w:lang w:val="es-MX"/>
        </w:rPr>
        <w:t xml:space="preserve">No obstante el artículo 33 Bis del </w:t>
      </w:r>
      <w:r w:rsidRPr="00AE4E5C">
        <w:rPr>
          <w:sz w:val="18"/>
        </w:rPr>
        <w:t>Decreto</w:t>
      </w:r>
      <w:r w:rsidRPr="00AE4E5C">
        <w:rPr>
          <w:sz w:val="18"/>
          <w:lang w:val="es-MX"/>
        </w:rPr>
        <w:t xml:space="preserve"> No. 101-97 del Congreso de la República de Guatemala, Ley Orgánica del Presupuesto, prohíbe suscribir convenios para ejecutar recursos de programas y proyectos a través de Organizaciones No Gubernamentales, Organismos Internacionales o Asociaciones, exceptuando al Ministerio de Salud Pública y Asistencia Social, algunas entidades trasladan recursos a estas instituciones bajo la modalidad de “</w:t>
      </w:r>
      <w:r>
        <w:rPr>
          <w:sz w:val="18"/>
          <w:lang w:val="es-MX"/>
        </w:rPr>
        <w:t>E</w:t>
      </w:r>
      <w:r w:rsidRPr="00AE4E5C">
        <w:rPr>
          <w:sz w:val="18"/>
          <w:lang w:val="es-MX"/>
        </w:rPr>
        <w:t xml:space="preserve">ntes </w:t>
      </w:r>
      <w:r>
        <w:rPr>
          <w:sz w:val="18"/>
          <w:lang w:val="es-MX"/>
        </w:rPr>
        <w:t>R</w:t>
      </w:r>
      <w:r w:rsidRPr="00AE4E5C">
        <w:rPr>
          <w:sz w:val="18"/>
          <w:lang w:val="es-MX"/>
        </w:rPr>
        <w:t xml:space="preserve">eceptores de </w:t>
      </w:r>
      <w:r>
        <w:rPr>
          <w:sz w:val="18"/>
          <w:lang w:val="es-MX"/>
        </w:rPr>
        <w:t>T</w:t>
      </w:r>
      <w:r w:rsidRPr="00AE4E5C">
        <w:rPr>
          <w:sz w:val="18"/>
          <w:lang w:val="es-MX"/>
        </w:rPr>
        <w:t>ransferencias”, sin contraprestación de servicios, porque el país es miembro de alguna organización y según el convenio de adhesión, es necesario cancelar una membresía anual. Además, varias instituciones trasladan aportes a estas organizaciones por concepto de subsidios y subvenciones cuya ejecución se encuentra normada en el Acuerdo Gubernativo No. 55-2016, “Reglamento de Manejo de Subsidios y Subvenciones”</w:t>
      </w:r>
      <w:r>
        <w:rPr>
          <w:sz w:val="18"/>
          <w:lang w:val="es-MX"/>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16A" w:rsidRDefault="0069616A" w:rsidP="00CE6835">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69616A" w:rsidRDefault="0069616A" w:rsidP="00CE6835">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16A" w:rsidRPr="00801582" w:rsidRDefault="0069616A" w:rsidP="00801582">
    <w:pPr>
      <w:pStyle w:val="Encabezado"/>
      <w:tabs>
        <w:tab w:val="clear" w:pos="8504"/>
      </w:tabs>
      <w:jc w:val="center"/>
      <w:rPr>
        <w:rFonts w:ascii="Arial" w:hAnsi="Arial" w:cs="Arial"/>
        <w:b/>
        <w:sz w:val="22"/>
        <w:szCs w:val="22"/>
        <w:lang w:val="es-GT"/>
      </w:rPr>
    </w:pPr>
    <w:r w:rsidRPr="00801582">
      <w:rPr>
        <w:rFonts w:ascii="Arial" w:hAnsi="Arial" w:cs="Arial"/>
        <w:b/>
        <w:sz w:val="22"/>
        <w:szCs w:val="22"/>
        <w:lang w:val="es-GT"/>
      </w:rPr>
      <w:t>Informe del Des</w:t>
    </w:r>
    <w:r>
      <w:rPr>
        <w:rFonts w:ascii="Arial" w:hAnsi="Arial" w:cs="Arial"/>
        <w:b/>
        <w:sz w:val="22"/>
        <w:szCs w:val="22"/>
        <w:lang w:val="es-GT"/>
      </w:rPr>
      <w:t xml:space="preserve">empeño de la Política Fiscal y </w:t>
    </w:r>
    <w:r w:rsidRPr="00801582">
      <w:rPr>
        <w:rFonts w:ascii="Arial" w:hAnsi="Arial" w:cs="Arial"/>
        <w:b/>
        <w:sz w:val="22"/>
        <w:szCs w:val="22"/>
        <w:lang w:val="es-GT"/>
      </w:rPr>
      <w:t>Actividades del Primer Semestre 201</w:t>
    </w:r>
    <w:r>
      <w:rPr>
        <w:rFonts w:ascii="Arial" w:hAnsi="Arial" w:cs="Arial"/>
        <w:b/>
        <w:sz w:val="22"/>
        <w:szCs w:val="22"/>
        <w:lang w:val="es-GT"/>
      </w:rPr>
      <w:t>8</w:t>
    </w:r>
  </w:p>
  <w:p w:rsidR="0069616A" w:rsidRPr="000705AA" w:rsidRDefault="0069616A" w:rsidP="00CE6835">
    <w:pPr>
      <w:pStyle w:val="Encabezado"/>
      <w:ind w:right="360"/>
      <w:jc w:val="center"/>
      <w:rPr>
        <w:rFonts w:ascii="Arial" w:hAnsi="Arial" w:cs="Arial"/>
        <w:b/>
        <w:color w:val="95B3D7"/>
        <w:u w:val="single"/>
        <w:lang w:val="es-GT"/>
      </w:rPr>
    </w:pPr>
    <w:r>
      <w:rPr>
        <w:noProof/>
        <w:lang w:val="es-GT" w:eastAsia="es-GT"/>
      </w:rPr>
      <mc:AlternateContent>
        <mc:Choice Requires="wps">
          <w:drawing>
            <wp:anchor distT="4294967290" distB="4294967290" distL="114300" distR="114300" simplePos="0" relativeHeight="251657216" behindDoc="0" locked="0" layoutInCell="1" allowOverlap="1" wp14:anchorId="38148E63" wp14:editId="07A7309A">
              <wp:simplePos x="0" y="0"/>
              <wp:positionH relativeFrom="column">
                <wp:posOffset>-118110</wp:posOffset>
              </wp:positionH>
              <wp:positionV relativeFrom="paragraph">
                <wp:posOffset>73659</wp:posOffset>
              </wp:positionV>
              <wp:extent cx="6066155" cy="0"/>
              <wp:effectExtent l="38100" t="95250" r="86995" b="76200"/>
              <wp:wrapNone/>
              <wp:docPr id="15" name="15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66155" cy="0"/>
                      </a:xfrm>
                      <a:prstGeom prst="line">
                        <a:avLst/>
                      </a:prstGeom>
                      <a:noFill/>
                      <a:ln w="31750" cap="rnd" cmpd="dbl" algn="ctr">
                        <a:solidFill>
                          <a:srgbClr val="4F81BD">
                            <a:shade val="95000"/>
                            <a:satMod val="105000"/>
                          </a:srgbClr>
                        </a:solidFill>
                        <a:prstDash val="solid"/>
                      </a:ln>
                      <a:effectLst>
                        <a:outerShdw blurRad="50800" dist="38100" algn="l" rotWithShape="0">
                          <a:prstClr val="black">
                            <a:alpha val="40000"/>
                          </a:prstClr>
                        </a:outerShdw>
                      </a:effectLst>
                      <a:scene3d>
                        <a:camera prst="orthographicFront"/>
                        <a:lightRig rig="soft" dir="t"/>
                      </a:scene3d>
                      <a:sp3d>
                        <a:bevelT/>
                      </a:sp3d>
                    </wps:spPr>
                    <wps:bodyPr/>
                  </wps:wsp>
                </a:graphicData>
              </a:graphic>
              <wp14:sizeRelH relativeFrom="page">
                <wp14:pctWidth>0</wp14:pctWidth>
              </wp14:sizeRelH>
              <wp14:sizeRelV relativeFrom="page">
                <wp14:pctHeight>0</wp14:pctHeight>
              </wp14:sizeRelV>
            </wp:anchor>
          </w:drawing>
        </mc:Choice>
        <mc:Fallback>
          <w:pict>
            <v:line id="15 Conector recto" o:spid="_x0000_s1026" style="position:absolute;z-index:251657216;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from="-9.3pt,5.8pt" to="468.3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" strokecolor="#4a7ebb" strokeweight="2.5pt">
              <v:stroke linestyle="thinThin" endcap="round"/>
              <v:shadow on="t" color="black" opacity="26214f" origin="-.5" offset="3pt,0"/>
              <o:lock v:ext="edit" shapetype="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A"/>
    <w:multiLevelType w:val="singleLevel"/>
    <w:tmpl w:val="0000001A"/>
    <w:name w:val="WW8Num26"/>
    <w:lvl w:ilvl="0">
      <w:start w:val="1"/>
      <w:numFmt w:val="decimal"/>
      <w:lvlText w:val="%1."/>
      <w:lvlJc w:val="left"/>
      <w:pPr>
        <w:tabs>
          <w:tab w:val="num" w:pos="0"/>
        </w:tabs>
        <w:ind w:left="720" w:hanging="360"/>
      </w:pPr>
      <w:rPr>
        <w:b/>
      </w:rPr>
    </w:lvl>
  </w:abstractNum>
  <w:abstractNum w:abstractNumId="1">
    <w:nsid w:val="26A716D7"/>
    <w:multiLevelType w:val="hybridMultilevel"/>
    <w:tmpl w:val="D79E76FC"/>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nsid w:val="33340D77"/>
    <w:multiLevelType w:val="hybridMultilevel"/>
    <w:tmpl w:val="E028106C"/>
    <w:lvl w:ilvl="0" w:tplc="6E005C14">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
    <w:nsid w:val="3B6B3F97"/>
    <w:multiLevelType w:val="multilevel"/>
    <w:tmpl w:val="9D765D90"/>
    <w:lvl w:ilvl="0">
      <w:start w:val="1"/>
      <w:numFmt w:val="upperRoman"/>
      <w:lvlText w:val="%1."/>
      <w:lvlJc w:val="left"/>
      <w:pPr>
        <w:tabs>
          <w:tab w:val="num" w:pos="0"/>
        </w:tabs>
        <w:ind w:left="432" w:hanging="432"/>
      </w:pPr>
      <w:rPr>
        <w:rFonts w:hint="default"/>
      </w:rPr>
    </w:lvl>
    <w:lvl w:ilvl="1">
      <w:start w:val="1"/>
      <w:numFmt w:val="upperLetter"/>
      <w:lvlText w:val="%2."/>
      <w:lvlJc w:val="left"/>
      <w:pPr>
        <w:tabs>
          <w:tab w:val="num" w:pos="0"/>
        </w:tabs>
        <w:ind w:left="576" w:hanging="576"/>
      </w:pPr>
      <w:rPr>
        <w:rFonts w:ascii="Times New Roman" w:hAnsi="Times New Roman" w:cs="Times New Roman" w:hint="default"/>
        <w:b/>
        <w:i w:val="0"/>
        <w:color w:val="auto"/>
      </w:rPr>
    </w:lvl>
    <w:lvl w:ilvl="2">
      <w:start w:val="1"/>
      <w:numFmt w:val="decimal"/>
      <w:lvlText w:val="%3."/>
      <w:lvlJc w:val="left"/>
      <w:pPr>
        <w:tabs>
          <w:tab w:val="num" w:pos="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4">
    <w:nsid w:val="3D8B4D4A"/>
    <w:multiLevelType w:val="hybridMultilevel"/>
    <w:tmpl w:val="1E8C631E"/>
    <w:lvl w:ilvl="0" w:tplc="100A0019">
      <w:start w:val="1"/>
      <w:numFmt w:val="lowerLetter"/>
      <w:lvlText w:val="%1."/>
      <w:lvlJc w:val="left"/>
      <w:pPr>
        <w:ind w:left="144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491279C1"/>
    <w:multiLevelType w:val="hybridMultilevel"/>
    <w:tmpl w:val="1E8C631E"/>
    <w:lvl w:ilvl="0" w:tplc="100A0019">
      <w:start w:val="1"/>
      <w:numFmt w:val="lowerLetter"/>
      <w:lvlText w:val="%1."/>
      <w:lvlJc w:val="left"/>
      <w:pPr>
        <w:ind w:left="144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4B5256E6"/>
    <w:multiLevelType w:val="hybridMultilevel"/>
    <w:tmpl w:val="B582D2AA"/>
    <w:lvl w:ilvl="0" w:tplc="100A0001">
      <w:start w:val="1"/>
      <w:numFmt w:val="bullet"/>
      <w:lvlText w:val=""/>
      <w:lvlJc w:val="left"/>
      <w:pPr>
        <w:ind w:left="1485" w:hanging="360"/>
      </w:pPr>
      <w:rPr>
        <w:rFonts w:ascii="Symbol" w:hAnsi="Symbol" w:hint="default"/>
      </w:rPr>
    </w:lvl>
    <w:lvl w:ilvl="1" w:tplc="100A0003" w:tentative="1">
      <w:start w:val="1"/>
      <w:numFmt w:val="bullet"/>
      <w:lvlText w:val="o"/>
      <w:lvlJc w:val="left"/>
      <w:pPr>
        <w:ind w:left="2205" w:hanging="360"/>
      </w:pPr>
      <w:rPr>
        <w:rFonts w:ascii="Courier New" w:hAnsi="Courier New" w:cs="Courier New" w:hint="default"/>
      </w:rPr>
    </w:lvl>
    <w:lvl w:ilvl="2" w:tplc="100A0005" w:tentative="1">
      <w:start w:val="1"/>
      <w:numFmt w:val="bullet"/>
      <w:lvlText w:val=""/>
      <w:lvlJc w:val="left"/>
      <w:pPr>
        <w:ind w:left="2925" w:hanging="360"/>
      </w:pPr>
      <w:rPr>
        <w:rFonts w:ascii="Wingdings" w:hAnsi="Wingdings" w:hint="default"/>
      </w:rPr>
    </w:lvl>
    <w:lvl w:ilvl="3" w:tplc="100A0001" w:tentative="1">
      <w:start w:val="1"/>
      <w:numFmt w:val="bullet"/>
      <w:lvlText w:val=""/>
      <w:lvlJc w:val="left"/>
      <w:pPr>
        <w:ind w:left="3645" w:hanging="360"/>
      </w:pPr>
      <w:rPr>
        <w:rFonts w:ascii="Symbol" w:hAnsi="Symbol" w:hint="default"/>
      </w:rPr>
    </w:lvl>
    <w:lvl w:ilvl="4" w:tplc="100A0003" w:tentative="1">
      <w:start w:val="1"/>
      <w:numFmt w:val="bullet"/>
      <w:lvlText w:val="o"/>
      <w:lvlJc w:val="left"/>
      <w:pPr>
        <w:ind w:left="4365" w:hanging="360"/>
      </w:pPr>
      <w:rPr>
        <w:rFonts w:ascii="Courier New" w:hAnsi="Courier New" w:cs="Courier New" w:hint="default"/>
      </w:rPr>
    </w:lvl>
    <w:lvl w:ilvl="5" w:tplc="100A0005" w:tentative="1">
      <w:start w:val="1"/>
      <w:numFmt w:val="bullet"/>
      <w:lvlText w:val=""/>
      <w:lvlJc w:val="left"/>
      <w:pPr>
        <w:ind w:left="5085" w:hanging="360"/>
      </w:pPr>
      <w:rPr>
        <w:rFonts w:ascii="Wingdings" w:hAnsi="Wingdings" w:hint="default"/>
      </w:rPr>
    </w:lvl>
    <w:lvl w:ilvl="6" w:tplc="100A0001" w:tentative="1">
      <w:start w:val="1"/>
      <w:numFmt w:val="bullet"/>
      <w:lvlText w:val=""/>
      <w:lvlJc w:val="left"/>
      <w:pPr>
        <w:ind w:left="5805" w:hanging="360"/>
      </w:pPr>
      <w:rPr>
        <w:rFonts w:ascii="Symbol" w:hAnsi="Symbol" w:hint="default"/>
      </w:rPr>
    </w:lvl>
    <w:lvl w:ilvl="7" w:tplc="100A0003" w:tentative="1">
      <w:start w:val="1"/>
      <w:numFmt w:val="bullet"/>
      <w:lvlText w:val="o"/>
      <w:lvlJc w:val="left"/>
      <w:pPr>
        <w:ind w:left="6525" w:hanging="360"/>
      </w:pPr>
      <w:rPr>
        <w:rFonts w:ascii="Courier New" w:hAnsi="Courier New" w:cs="Courier New" w:hint="default"/>
      </w:rPr>
    </w:lvl>
    <w:lvl w:ilvl="8" w:tplc="100A0005" w:tentative="1">
      <w:start w:val="1"/>
      <w:numFmt w:val="bullet"/>
      <w:lvlText w:val=""/>
      <w:lvlJc w:val="left"/>
      <w:pPr>
        <w:ind w:left="7245" w:hanging="360"/>
      </w:pPr>
      <w:rPr>
        <w:rFonts w:ascii="Wingdings" w:hAnsi="Wingdings" w:hint="default"/>
      </w:rPr>
    </w:lvl>
  </w:abstractNum>
  <w:abstractNum w:abstractNumId="7">
    <w:nsid w:val="4D67270B"/>
    <w:multiLevelType w:val="hybridMultilevel"/>
    <w:tmpl w:val="A79EF2D8"/>
    <w:lvl w:ilvl="0" w:tplc="AE5232D8">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nsid w:val="5E164F8D"/>
    <w:multiLevelType w:val="hybridMultilevel"/>
    <w:tmpl w:val="2C2E6BCC"/>
    <w:lvl w:ilvl="0" w:tplc="100A0015">
      <w:start w:val="1"/>
      <w:numFmt w:val="upp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nsid w:val="63394AB9"/>
    <w:multiLevelType w:val="multilevel"/>
    <w:tmpl w:val="9A3093B6"/>
    <w:lvl w:ilvl="0">
      <w:start w:val="1"/>
      <w:numFmt w:val="upperRoman"/>
      <w:pStyle w:val="Ttulo1"/>
      <w:lvlText w:val="%1."/>
      <w:lvlJc w:val="left"/>
      <w:pPr>
        <w:tabs>
          <w:tab w:val="num" w:pos="142"/>
        </w:tabs>
        <w:ind w:left="574" w:hanging="432"/>
      </w:pPr>
      <w:rPr>
        <w:rFonts w:hint="default"/>
      </w:rPr>
    </w:lvl>
    <w:lvl w:ilvl="1">
      <w:start w:val="1"/>
      <w:numFmt w:val="upperLetter"/>
      <w:pStyle w:val="Ttulo2"/>
      <w:lvlText w:val="%2."/>
      <w:lvlJc w:val="left"/>
      <w:pPr>
        <w:tabs>
          <w:tab w:val="num" w:pos="0"/>
        </w:tabs>
        <w:ind w:left="576" w:hanging="576"/>
      </w:pPr>
      <w:rPr>
        <w:rFonts w:ascii="Times New Roman" w:hAnsi="Times New Roman" w:cs="Times New Roman" w:hint="default"/>
        <w:b/>
        <w:i w:val="0"/>
        <w:color w:val="auto"/>
      </w:rPr>
    </w:lvl>
    <w:lvl w:ilvl="2">
      <w:start w:val="1"/>
      <w:numFmt w:val="decimal"/>
      <w:pStyle w:val="Ttulo3"/>
      <w:lvlText w:val="%1.%2.%3"/>
      <w:lvlJc w:val="left"/>
      <w:pPr>
        <w:tabs>
          <w:tab w:val="num" w:pos="0"/>
        </w:tabs>
        <w:ind w:left="720" w:hanging="720"/>
      </w:pPr>
      <w:rPr>
        <w:rFonts w:hint="default"/>
      </w:rPr>
    </w:lvl>
    <w:lvl w:ilvl="3">
      <w:start w:val="1"/>
      <w:numFmt w:val="decimal"/>
      <w:pStyle w:val="Ttulo4"/>
      <w:lvlText w:val="%1.%2.%3.%4"/>
      <w:lvlJc w:val="left"/>
      <w:pPr>
        <w:tabs>
          <w:tab w:val="num" w:pos="0"/>
        </w:tabs>
        <w:ind w:left="864" w:hanging="864"/>
      </w:pPr>
      <w:rPr>
        <w:rFonts w:hint="default"/>
      </w:rPr>
    </w:lvl>
    <w:lvl w:ilvl="4">
      <w:start w:val="1"/>
      <w:numFmt w:val="decimal"/>
      <w:pStyle w:val="Ttulo5"/>
      <w:lvlText w:val="%1.%2.%3.%4.%5"/>
      <w:lvlJc w:val="left"/>
      <w:pPr>
        <w:tabs>
          <w:tab w:val="num" w:pos="0"/>
        </w:tabs>
        <w:ind w:left="1008" w:hanging="1008"/>
      </w:pPr>
      <w:rPr>
        <w:rFonts w:hint="default"/>
      </w:rPr>
    </w:lvl>
    <w:lvl w:ilvl="5">
      <w:start w:val="1"/>
      <w:numFmt w:val="decimal"/>
      <w:pStyle w:val="Ttulo6"/>
      <w:lvlText w:val="%1.%2.%3.%4.%5.%6"/>
      <w:lvlJc w:val="left"/>
      <w:pPr>
        <w:tabs>
          <w:tab w:val="num" w:pos="0"/>
        </w:tabs>
        <w:ind w:left="1152" w:hanging="1152"/>
      </w:pPr>
      <w:rPr>
        <w:rFonts w:hint="default"/>
      </w:rPr>
    </w:lvl>
    <w:lvl w:ilvl="6">
      <w:start w:val="1"/>
      <w:numFmt w:val="decimal"/>
      <w:pStyle w:val="Ttulo7"/>
      <w:lvlText w:val="%1.%2.%3.%4.%5.%6.%7"/>
      <w:lvlJc w:val="left"/>
      <w:pPr>
        <w:tabs>
          <w:tab w:val="num" w:pos="0"/>
        </w:tabs>
        <w:ind w:left="1296" w:hanging="1296"/>
      </w:pPr>
      <w:rPr>
        <w:rFonts w:hint="default"/>
      </w:rPr>
    </w:lvl>
    <w:lvl w:ilvl="7">
      <w:start w:val="1"/>
      <w:numFmt w:val="decimal"/>
      <w:pStyle w:val="Ttulo8"/>
      <w:lvlText w:val="%1.%2.%3.%4.%5.%6.%7.%8"/>
      <w:lvlJc w:val="left"/>
      <w:pPr>
        <w:tabs>
          <w:tab w:val="num" w:pos="0"/>
        </w:tabs>
        <w:ind w:left="1440" w:hanging="1440"/>
      </w:pPr>
      <w:rPr>
        <w:rFonts w:hint="default"/>
      </w:rPr>
    </w:lvl>
    <w:lvl w:ilvl="8">
      <w:start w:val="1"/>
      <w:numFmt w:val="decimal"/>
      <w:pStyle w:val="Ttulo9"/>
      <w:lvlText w:val="%1.%2.%3.%4.%5.%6.%7.%8.%9"/>
      <w:lvlJc w:val="left"/>
      <w:pPr>
        <w:tabs>
          <w:tab w:val="num" w:pos="0"/>
        </w:tabs>
        <w:ind w:left="1584" w:hanging="1584"/>
      </w:pPr>
      <w:rPr>
        <w:rFonts w:hint="default"/>
      </w:rPr>
    </w:lvl>
  </w:abstractNum>
  <w:abstractNum w:abstractNumId="10">
    <w:nsid w:val="64677D39"/>
    <w:multiLevelType w:val="hybridMultilevel"/>
    <w:tmpl w:val="91A292A2"/>
    <w:lvl w:ilvl="0" w:tplc="734499C8">
      <w:start w:val="1"/>
      <w:numFmt w:val="upperRoman"/>
      <w:lvlText w:val="%1."/>
      <w:lvlJc w:val="left"/>
      <w:pPr>
        <w:ind w:left="765" w:hanging="720"/>
      </w:pPr>
      <w:rPr>
        <w:rFonts w:hint="default"/>
      </w:r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nsid w:val="665D41EC"/>
    <w:multiLevelType w:val="multilevel"/>
    <w:tmpl w:val="6EBCB514"/>
    <w:lvl w:ilvl="0">
      <w:start w:val="1"/>
      <w:numFmt w:val="upperRoman"/>
      <w:lvlText w:val="%1."/>
      <w:lvlJc w:val="left"/>
      <w:pPr>
        <w:tabs>
          <w:tab w:val="num" w:pos="142"/>
        </w:tabs>
        <w:ind w:left="574" w:hanging="432"/>
      </w:pPr>
      <w:rPr>
        <w:rFonts w:hint="default"/>
      </w:rPr>
    </w:lvl>
    <w:lvl w:ilvl="1">
      <w:start w:val="1"/>
      <w:numFmt w:val="upperLetter"/>
      <w:lvlText w:val="%2."/>
      <w:lvlJc w:val="left"/>
      <w:pPr>
        <w:tabs>
          <w:tab w:val="num" w:pos="0"/>
        </w:tabs>
        <w:ind w:left="576" w:hanging="576"/>
      </w:pPr>
      <w:rPr>
        <w:rFonts w:hint="default"/>
        <w:b/>
        <w:i w:val="0"/>
        <w:color w:val="auto"/>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2">
    <w:nsid w:val="66D831D0"/>
    <w:multiLevelType w:val="hybridMultilevel"/>
    <w:tmpl w:val="1E8C631E"/>
    <w:lvl w:ilvl="0" w:tplc="100A0019">
      <w:start w:val="1"/>
      <w:numFmt w:val="lowerLetter"/>
      <w:lvlText w:val="%1."/>
      <w:lvlJc w:val="left"/>
      <w:pPr>
        <w:ind w:left="144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C082C89"/>
    <w:multiLevelType w:val="multilevel"/>
    <w:tmpl w:val="6EEA7632"/>
    <w:lvl w:ilvl="0">
      <w:start w:val="1"/>
      <w:numFmt w:val="decimal"/>
      <w:lvlText w:val="%1."/>
      <w:lvlJc w:val="left"/>
      <w:pPr>
        <w:ind w:left="720" w:hanging="360"/>
      </w:pPr>
      <w:rPr>
        <w:rFonts w:hint="default"/>
      </w:rPr>
    </w:lvl>
    <w:lvl w:ilvl="1">
      <w:start w:val="1"/>
      <w:numFmt w:val="decimal"/>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6D594AEC"/>
    <w:multiLevelType w:val="multilevel"/>
    <w:tmpl w:val="05EA2478"/>
    <w:lvl w:ilvl="0">
      <w:start w:val="1"/>
      <w:numFmt w:val="upperRoman"/>
      <w:lvlText w:val="%1."/>
      <w:lvlJc w:val="left"/>
      <w:pPr>
        <w:tabs>
          <w:tab w:val="num" w:pos="142"/>
        </w:tabs>
        <w:ind w:left="574" w:hanging="432"/>
      </w:pPr>
      <w:rPr>
        <w:rFonts w:hint="default"/>
      </w:rPr>
    </w:lvl>
    <w:lvl w:ilvl="1">
      <w:start w:val="1"/>
      <w:numFmt w:val="upperLetter"/>
      <w:lvlText w:val="%2."/>
      <w:lvlJc w:val="left"/>
      <w:pPr>
        <w:tabs>
          <w:tab w:val="num" w:pos="0"/>
        </w:tabs>
        <w:ind w:left="576" w:hanging="576"/>
      </w:pPr>
      <w:rPr>
        <w:rFonts w:hint="default"/>
        <w:b/>
        <w:i w:val="0"/>
        <w:color w:val="auto"/>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5">
    <w:nsid w:val="77F07475"/>
    <w:multiLevelType w:val="hybridMultilevel"/>
    <w:tmpl w:val="19DEB22C"/>
    <w:lvl w:ilvl="0" w:tplc="100A0013">
      <w:start w:val="1"/>
      <w:numFmt w:val="upperRoman"/>
      <w:lvlText w:val="%1."/>
      <w:lvlJc w:val="right"/>
      <w:pPr>
        <w:ind w:left="927" w:hanging="360"/>
      </w:p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9"/>
  </w:num>
  <w:num w:numId="2">
    <w:abstractNumId w:val="7"/>
  </w:num>
  <w:num w:numId="3">
    <w:abstractNumId w:val="8"/>
  </w:num>
  <w:num w:numId="4">
    <w:abstractNumId w:val="3"/>
  </w:num>
  <w:num w:numId="5">
    <w:abstractNumId w:val="13"/>
  </w:num>
  <w:num w:numId="6">
    <w:abstractNumId w:val="10"/>
  </w:num>
  <w:num w:numId="7">
    <w:abstractNumId w:val="2"/>
  </w:num>
  <w:num w:numId="8">
    <w:abstractNumId w:val="6"/>
  </w:num>
  <w:num w:numId="9">
    <w:abstractNumId w:val="5"/>
  </w:num>
  <w:num w:numId="10">
    <w:abstractNumId w:val="12"/>
  </w:num>
  <w:num w:numId="11">
    <w:abstractNumId w:val="4"/>
  </w:num>
  <w:num w:numId="12">
    <w:abstractNumId w:val="1"/>
  </w:num>
  <w:num w:numId="13">
    <w:abstractNumId w:val="15"/>
  </w:num>
  <w:num w:numId="14">
    <w:abstractNumId w:val="9"/>
  </w:num>
  <w:num w:numId="15">
    <w:abstractNumId w:val="9"/>
  </w:num>
  <w:num w:numId="16">
    <w:abstractNumId w:val="9"/>
  </w:num>
  <w:num w:numId="17">
    <w:abstractNumId w:val="9"/>
  </w:num>
  <w:num w:numId="18">
    <w:abstractNumId w:val="11"/>
  </w:num>
  <w:num w:numId="19">
    <w:abstractNumId w:val="9"/>
  </w:num>
  <w:num w:numId="20">
    <w:abstractNumId w:val="9"/>
  </w:num>
  <w:num w:numId="21">
    <w:abstractNumId w:val="9"/>
  </w:num>
  <w:num w:numId="22">
    <w:abstractNumId w:val="9"/>
  </w:num>
  <w:num w:numId="23">
    <w:abstractNumId w:val="9"/>
  </w:num>
  <w:num w:numId="24">
    <w:abstractNumId w:val="9"/>
  </w:num>
  <w:num w:numId="25">
    <w:abstractNumId w:val="14"/>
  </w:num>
  <w:num w:numId="26">
    <w:abstractNumId w:val="9"/>
  </w:num>
  <w:num w:numId="27">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28F6"/>
    <w:rsid w:val="00000271"/>
    <w:rsid w:val="00001501"/>
    <w:rsid w:val="000017DD"/>
    <w:rsid w:val="00001941"/>
    <w:rsid w:val="00001CA7"/>
    <w:rsid w:val="00001D79"/>
    <w:rsid w:val="000026A6"/>
    <w:rsid w:val="00002C71"/>
    <w:rsid w:val="00002F20"/>
    <w:rsid w:val="00005564"/>
    <w:rsid w:val="00006C7E"/>
    <w:rsid w:val="00007971"/>
    <w:rsid w:val="00011C9C"/>
    <w:rsid w:val="000166C1"/>
    <w:rsid w:val="00017B3B"/>
    <w:rsid w:val="00021644"/>
    <w:rsid w:val="000221D5"/>
    <w:rsid w:val="000249ED"/>
    <w:rsid w:val="00025284"/>
    <w:rsid w:val="00025E2C"/>
    <w:rsid w:val="000270F6"/>
    <w:rsid w:val="000335A6"/>
    <w:rsid w:val="000339BE"/>
    <w:rsid w:val="0003552B"/>
    <w:rsid w:val="000355C0"/>
    <w:rsid w:val="00036623"/>
    <w:rsid w:val="0003764E"/>
    <w:rsid w:val="00041492"/>
    <w:rsid w:val="000417AF"/>
    <w:rsid w:val="00047128"/>
    <w:rsid w:val="00047418"/>
    <w:rsid w:val="00050464"/>
    <w:rsid w:val="00050D2F"/>
    <w:rsid w:val="000514DA"/>
    <w:rsid w:val="000520A7"/>
    <w:rsid w:val="000541ED"/>
    <w:rsid w:val="0005699A"/>
    <w:rsid w:val="00057F62"/>
    <w:rsid w:val="000621A0"/>
    <w:rsid w:val="00062367"/>
    <w:rsid w:val="0006319B"/>
    <w:rsid w:val="00065E12"/>
    <w:rsid w:val="00067496"/>
    <w:rsid w:val="00071A03"/>
    <w:rsid w:val="00071D18"/>
    <w:rsid w:val="00073C9A"/>
    <w:rsid w:val="000763E5"/>
    <w:rsid w:val="00076496"/>
    <w:rsid w:val="000775C1"/>
    <w:rsid w:val="00077FDD"/>
    <w:rsid w:val="00080461"/>
    <w:rsid w:val="00080D50"/>
    <w:rsid w:val="00084505"/>
    <w:rsid w:val="00085B6E"/>
    <w:rsid w:val="00085EBA"/>
    <w:rsid w:val="0008753F"/>
    <w:rsid w:val="00087544"/>
    <w:rsid w:val="00087634"/>
    <w:rsid w:val="00093969"/>
    <w:rsid w:val="00095237"/>
    <w:rsid w:val="00095E08"/>
    <w:rsid w:val="000967ED"/>
    <w:rsid w:val="00096966"/>
    <w:rsid w:val="000A0AA2"/>
    <w:rsid w:val="000A2F7E"/>
    <w:rsid w:val="000A36B5"/>
    <w:rsid w:val="000A3EE5"/>
    <w:rsid w:val="000A54A7"/>
    <w:rsid w:val="000A698B"/>
    <w:rsid w:val="000B006C"/>
    <w:rsid w:val="000B0E01"/>
    <w:rsid w:val="000B3701"/>
    <w:rsid w:val="000B4F22"/>
    <w:rsid w:val="000B60B9"/>
    <w:rsid w:val="000B6691"/>
    <w:rsid w:val="000B7AA2"/>
    <w:rsid w:val="000C0344"/>
    <w:rsid w:val="000C1014"/>
    <w:rsid w:val="000C1A25"/>
    <w:rsid w:val="000C1A68"/>
    <w:rsid w:val="000C1D4D"/>
    <w:rsid w:val="000C279B"/>
    <w:rsid w:val="000C29D6"/>
    <w:rsid w:val="000C2A92"/>
    <w:rsid w:val="000C3FEC"/>
    <w:rsid w:val="000C4AD7"/>
    <w:rsid w:val="000C4D67"/>
    <w:rsid w:val="000C53BE"/>
    <w:rsid w:val="000C6E8D"/>
    <w:rsid w:val="000C75FE"/>
    <w:rsid w:val="000D0A1C"/>
    <w:rsid w:val="000D10F4"/>
    <w:rsid w:val="000D3BEF"/>
    <w:rsid w:val="000D4A27"/>
    <w:rsid w:val="000D55A3"/>
    <w:rsid w:val="000D5D6E"/>
    <w:rsid w:val="000D66BE"/>
    <w:rsid w:val="000D7E66"/>
    <w:rsid w:val="000E1F0E"/>
    <w:rsid w:val="000E2190"/>
    <w:rsid w:val="000E34DD"/>
    <w:rsid w:val="000E3F15"/>
    <w:rsid w:val="000E43D0"/>
    <w:rsid w:val="000E448D"/>
    <w:rsid w:val="000E4B70"/>
    <w:rsid w:val="000E4F2D"/>
    <w:rsid w:val="000E6666"/>
    <w:rsid w:val="000E695D"/>
    <w:rsid w:val="000E7D80"/>
    <w:rsid w:val="000F0CC7"/>
    <w:rsid w:val="000F1729"/>
    <w:rsid w:val="000F304B"/>
    <w:rsid w:val="000F31D3"/>
    <w:rsid w:val="000F476E"/>
    <w:rsid w:val="000F61DA"/>
    <w:rsid w:val="000F6870"/>
    <w:rsid w:val="000F7C84"/>
    <w:rsid w:val="00100FA2"/>
    <w:rsid w:val="00102469"/>
    <w:rsid w:val="001038B1"/>
    <w:rsid w:val="00105181"/>
    <w:rsid w:val="00105EE8"/>
    <w:rsid w:val="00106CF0"/>
    <w:rsid w:val="0011418E"/>
    <w:rsid w:val="001156FE"/>
    <w:rsid w:val="0011619F"/>
    <w:rsid w:val="0011651D"/>
    <w:rsid w:val="00117403"/>
    <w:rsid w:val="00123324"/>
    <w:rsid w:val="0012373F"/>
    <w:rsid w:val="00124E70"/>
    <w:rsid w:val="00125647"/>
    <w:rsid w:val="001261B0"/>
    <w:rsid w:val="00126FB8"/>
    <w:rsid w:val="00130D51"/>
    <w:rsid w:val="00131323"/>
    <w:rsid w:val="00131BC0"/>
    <w:rsid w:val="00133286"/>
    <w:rsid w:val="001335CF"/>
    <w:rsid w:val="001339AA"/>
    <w:rsid w:val="00135CD5"/>
    <w:rsid w:val="00136F4B"/>
    <w:rsid w:val="00137200"/>
    <w:rsid w:val="0014061E"/>
    <w:rsid w:val="00142A1E"/>
    <w:rsid w:val="001432F1"/>
    <w:rsid w:val="0014364E"/>
    <w:rsid w:val="0014365E"/>
    <w:rsid w:val="00147391"/>
    <w:rsid w:val="00150099"/>
    <w:rsid w:val="001511EB"/>
    <w:rsid w:val="00152A09"/>
    <w:rsid w:val="00153337"/>
    <w:rsid w:val="00153867"/>
    <w:rsid w:val="00153C4F"/>
    <w:rsid w:val="00160059"/>
    <w:rsid w:val="001601B9"/>
    <w:rsid w:val="00160835"/>
    <w:rsid w:val="00160A89"/>
    <w:rsid w:val="001611FC"/>
    <w:rsid w:val="00163055"/>
    <w:rsid w:val="00164C3E"/>
    <w:rsid w:val="001674D6"/>
    <w:rsid w:val="00167975"/>
    <w:rsid w:val="00170963"/>
    <w:rsid w:val="00170E9E"/>
    <w:rsid w:val="00171991"/>
    <w:rsid w:val="001721E2"/>
    <w:rsid w:val="00172283"/>
    <w:rsid w:val="00173EAE"/>
    <w:rsid w:val="001749CE"/>
    <w:rsid w:val="0017542C"/>
    <w:rsid w:val="001756B5"/>
    <w:rsid w:val="00175C23"/>
    <w:rsid w:val="0018006E"/>
    <w:rsid w:val="00180854"/>
    <w:rsid w:val="00180A0E"/>
    <w:rsid w:val="001829A5"/>
    <w:rsid w:val="00182E50"/>
    <w:rsid w:val="001843DB"/>
    <w:rsid w:val="001879A9"/>
    <w:rsid w:val="00187E1E"/>
    <w:rsid w:val="0019039C"/>
    <w:rsid w:val="00191216"/>
    <w:rsid w:val="0019180E"/>
    <w:rsid w:val="00191AE8"/>
    <w:rsid w:val="0019245D"/>
    <w:rsid w:val="001924AD"/>
    <w:rsid w:val="00194D4C"/>
    <w:rsid w:val="00195D8B"/>
    <w:rsid w:val="001966ED"/>
    <w:rsid w:val="001A137C"/>
    <w:rsid w:val="001A2E58"/>
    <w:rsid w:val="001A50D4"/>
    <w:rsid w:val="001A5C6B"/>
    <w:rsid w:val="001A613A"/>
    <w:rsid w:val="001B07B2"/>
    <w:rsid w:val="001B2234"/>
    <w:rsid w:val="001B4259"/>
    <w:rsid w:val="001B4C14"/>
    <w:rsid w:val="001B4D3D"/>
    <w:rsid w:val="001B5A69"/>
    <w:rsid w:val="001B656E"/>
    <w:rsid w:val="001B69BD"/>
    <w:rsid w:val="001B7DD0"/>
    <w:rsid w:val="001C1168"/>
    <w:rsid w:val="001C2713"/>
    <w:rsid w:val="001C2DAF"/>
    <w:rsid w:val="001C4C02"/>
    <w:rsid w:val="001C5216"/>
    <w:rsid w:val="001C6241"/>
    <w:rsid w:val="001C78D8"/>
    <w:rsid w:val="001C7CA7"/>
    <w:rsid w:val="001C7CDF"/>
    <w:rsid w:val="001D0B5B"/>
    <w:rsid w:val="001D2E72"/>
    <w:rsid w:val="001D5D2B"/>
    <w:rsid w:val="001D7DFC"/>
    <w:rsid w:val="001E02BB"/>
    <w:rsid w:val="001E1597"/>
    <w:rsid w:val="001E1E63"/>
    <w:rsid w:val="001E28A0"/>
    <w:rsid w:val="001E3DB7"/>
    <w:rsid w:val="001E579E"/>
    <w:rsid w:val="001E6DEE"/>
    <w:rsid w:val="001F0BC8"/>
    <w:rsid w:val="001F13DC"/>
    <w:rsid w:val="001F22BB"/>
    <w:rsid w:val="001F2900"/>
    <w:rsid w:val="001F2A2B"/>
    <w:rsid w:val="001F5849"/>
    <w:rsid w:val="001F58C5"/>
    <w:rsid w:val="001F73C3"/>
    <w:rsid w:val="001F74FB"/>
    <w:rsid w:val="002041A8"/>
    <w:rsid w:val="00204263"/>
    <w:rsid w:val="00204CE1"/>
    <w:rsid w:val="00205BBD"/>
    <w:rsid w:val="00206BE7"/>
    <w:rsid w:val="002139A8"/>
    <w:rsid w:val="00215592"/>
    <w:rsid w:val="002155B8"/>
    <w:rsid w:val="0021669B"/>
    <w:rsid w:val="00216E8D"/>
    <w:rsid w:val="00216EFF"/>
    <w:rsid w:val="002213F6"/>
    <w:rsid w:val="002215DA"/>
    <w:rsid w:val="00221D8E"/>
    <w:rsid w:val="00222913"/>
    <w:rsid w:val="002239F6"/>
    <w:rsid w:val="00226155"/>
    <w:rsid w:val="0022647B"/>
    <w:rsid w:val="00226658"/>
    <w:rsid w:val="00226FB9"/>
    <w:rsid w:val="00227905"/>
    <w:rsid w:val="0023230B"/>
    <w:rsid w:val="00235E44"/>
    <w:rsid w:val="002403F9"/>
    <w:rsid w:val="002414D8"/>
    <w:rsid w:val="00241ECD"/>
    <w:rsid w:val="00242C14"/>
    <w:rsid w:val="00242EE2"/>
    <w:rsid w:val="00243EA4"/>
    <w:rsid w:val="00244244"/>
    <w:rsid w:val="00246614"/>
    <w:rsid w:val="00246B8D"/>
    <w:rsid w:val="00250BE9"/>
    <w:rsid w:val="0025124D"/>
    <w:rsid w:val="00251639"/>
    <w:rsid w:val="0025165B"/>
    <w:rsid w:val="00251E1C"/>
    <w:rsid w:val="00253236"/>
    <w:rsid w:val="00255AF8"/>
    <w:rsid w:val="00256FA8"/>
    <w:rsid w:val="00257A94"/>
    <w:rsid w:val="00260546"/>
    <w:rsid w:val="00263435"/>
    <w:rsid w:val="00263C1E"/>
    <w:rsid w:val="00264910"/>
    <w:rsid w:val="00265DA8"/>
    <w:rsid w:val="00267872"/>
    <w:rsid w:val="0027470A"/>
    <w:rsid w:val="00274AF0"/>
    <w:rsid w:val="00274F39"/>
    <w:rsid w:val="00275623"/>
    <w:rsid w:val="00281FCD"/>
    <w:rsid w:val="00284A00"/>
    <w:rsid w:val="0028530C"/>
    <w:rsid w:val="002861B8"/>
    <w:rsid w:val="00286A67"/>
    <w:rsid w:val="00287473"/>
    <w:rsid w:val="00287F49"/>
    <w:rsid w:val="002906B2"/>
    <w:rsid w:val="00292D4F"/>
    <w:rsid w:val="00292F2F"/>
    <w:rsid w:val="0029379A"/>
    <w:rsid w:val="00293C23"/>
    <w:rsid w:val="00294F1B"/>
    <w:rsid w:val="00295F6D"/>
    <w:rsid w:val="0029692B"/>
    <w:rsid w:val="00296BB6"/>
    <w:rsid w:val="00297931"/>
    <w:rsid w:val="002A0B27"/>
    <w:rsid w:val="002A46ED"/>
    <w:rsid w:val="002A5E8F"/>
    <w:rsid w:val="002A6F3B"/>
    <w:rsid w:val="002B1785"/>
    <w:rsid w:val="002B303B"/>
    <w:rsid w:val="002B44C0"/>
    <w:rsid w:val="002B62DF"/>
    <w:rsid w:val="002B7181"/>
    <w:rsid w:val="002B7618"/>
    <w:rsid w:val="002C169B"/>
    <w:rsid w:val="002C3219"/>
    <w:rsid w:val="002C3AB7"/>
    <w:rsid w:val="002C3D99"/>
    <w:rsid w:val="002C49BF"/>
    <w:rsid w:val="002C5E93"/>
    <w:rsid w:val="002C6B76"/>
    <w:rsid w:val="002C7DD6"/>
    <w:rsid w:val="002D2C3A"/>
    <w:rsid w:val="002D76B6"/>
    <w:rsid w:val="002D786C"/>
    <w:rsid w:val="002E073E"/>
    <w:rsid w:val="002E0D7D"/>
    <w:rsid w:val="002E1458"/>
    <w:rsid w:val="002E21A2"/>
    <w:rsid w:val="002E31F9"/>
    <w:rsid w:val="002E3253"/>
    <w:rsid w:val="002E5B6B"/>
    <w:rsid w:val="002F3446"/>
    <w:rsid w:val="002F3B68"/>
    <w:rsid w:val="002F4543"/>
    <w:rsid w:val="002F5528"/>
    <w:rsid w:val="002F747D"/>
    <w:rsid w:val="003007C7"/>
    <w:rsid w:val="00300FD8"/>
    <w:rsid w:val="00302458"/>
    <w:rsid w:val="003031DB"/>
    <w:rsid w:val="00303437"/>
    <w:rsid w:val="003075D1"/>
    <w:rsid w:val="00307AFF"/>
    <w:rsid w:val="00310AC7"/>
    <w:rsid w:val="003115D1"/>
    <w:rsid w:val="003115F3"/>
    <w:rsid w:val="003132DD"/>
    <w:rsid w:val="00315303"/>
    <w:rsid w:val="003162F2"/>
    <w:rsid w:val="003163CB"/>
    <w:rsid w:val="00316541"/>
    <w:rsid w:val="003211CD"/>
    <w:rsid w:val="00321356"/>
    <w:rsid w:val="00321F48"/>
    <w:rsid w:val="00324198"/>
    <w:rsid w:val="00324A91"/>
    <w:rsid w:val="003274F7"/>
    <w:rsid w:val="0033026A"/>
    <w:rsid w:val="00330A02"/>
    <w:rsid w:val="00332708"/>
    <w:rsid w:val="003335DD"/>
    <w:rsid w:val="00333AB5"/>
    <w:rsid w:val="003365B1"/>
    <w:rsid w:val="00337FB4"/>
    <w:rsid w:val="00341E49"/>
    <w:rsid w:val="0034304B"/>
    <w:rsid w:val="00343CFB"/>
    <w:rsid w:val="00343FF3"/>
    <w:rsid w:val="00347C7E"/>
    <w:rsid w:val="00347FB7"/>
    <w:rsid w:val="00350285"/>
    <w:rsid w:val="00350C28"/>
    <w:rsid w:val="00351989"/>
    <w:rsid w:val="00351F24"/>
    <w:rsid w:val="00352B41"/>
    <w:rsid w:val="00352DE7"/>
    <w:rsid w:val="00352FA1"/>
    <w:rsid w:val="0035381E"/>
    <w:rsid w:val="00355326"/>
    <w:rsid w:val="00355A7A"/>
    <w:rsid w:val="00355C28"/>
    <w:rsid w:val="003563D1"/>
    <w:rsid w:val="00356BF7"/>
    <w:rsid w:val="00356E86"/>
    <w:rsid w:val="0035762A"/>
    <w:rsid w:val="00360013"/>
    <w:rsid w:val="00361AE8"/>
    <w:rsid w:val="003637E9"/>
    <w:rsid w:val="00363B6B"/>
    <w:rsid w:val="00363F31"/>
    <w:rsid w:val="00364A3A"/>
    <w:rsid w:val="00364B64"/>
    <w:rsid w:val="0036693C"/>
    <w:rsid w:val="003679D2"/>
    <w:rsid w:val="0037364C"/>
    <w:rsid w:val="00375355"/>
    <w:rsid w:val="00375966"/>
    <w:rsid w:val="00375F88"/>
    <w:rsid w:val="003764D0"/>
    <w:rsid w:val="00377DD9"/>
    <w:rsid w:val="00382593"/>
    <w:rsid w:val="0038332D"/>
    <w:rsid w:val="00383710"/>
    <w:rsid w:val="00383CA7"/>
    <w:rsid w:val="00384199"/>
    <w:rsid w:val="00387CCA"/>
    <w:rsid w:val="00391CED"/>
    <w:rsid w:val="003937AC"/>
    <w:rsid w:val="00395D72"/>
    <w:rsid w:val="00397336"/>
    <w:rsid w:val="003A0258"/>
    <w:rsid w:val="003A0FF5"/>
    <w:rsid w:val="003A3DE7"/>
    <w:rsid w:val="003A5ECB"/>
    <w:rsid w:val="003A7822"/>
    <w:rsid w:val="003B0D27"/>
    <w:rsid w:val="003B0F2C"/>
    <w:rsid w:val="003B1ED3"/>
    <w:rsid w:val="003B2455"/>
    <w:rsid w:val="003B2C58"/>
    <w:rsid w:val="003B2D1B"/>
    <w:rsid w:val="003B2ED8"/>
    <w:rsid w:val="003B3299"/>
    <w:rsid w:val="003B647D"/>
    <w:rsid w:val="003B686B"/>
    <w:rsid w:val="003C033C"/>
    <w:rsid w:val="003C0489"/>
    <w:rsid w:val="003C0613"/>
    <w:rsid w:val="003C0AC8"/>
    <w:rsid w:val="003C1260"/>
    <w:rsid w:val="003C37FA"/>
    <w:rsid w:val="003C4357"/>
    <w:rsid w:val="003C7D41"/>
    <w:rsid w:val="003D2115"/>
    <w:rsid w:val="003D3E10"/>
    <w:rsid w:val="003E1D05"/>
    <w:rsid w:val="003E29A3"/>
    <w:rsid w:val="003E35B2"/>
    <w:rsid w:val="003E5764"/>
    <w:rsid w:val="003E5A4E"/>
    <w:rsid w:val="003E6882"/>
    <w:rsid w:val="003F4BAA"/>
    <w:rsid w:val="003F4D2D"/>
    <w:rsid w:val="003F4E01"/>
    <w:rsid w:val="003F75FE"/>
    <w:rsid w:val="00401389"/>
    <w:rsid w:val="004015E2"/>
    <w:rsid w:val="00404906"/>
    <w:rsid w:val="00404E7B"/>
    <w:rsid w:val="00406C70"/>
    <w:rsid w:val="00410274"/>
    <w:rsid w:val="0041158A"/>
    <w:rsid w:val="004142C9"/>
    <w:rsid w:val="00415127"/>
    <w:rsid w:val="004152EF"/>
    <w:rsid w:val="00416E34"/>
    <w:rsid w:val="00416F2B"/>
    <w:rsid w:val="00422D9F"/>
    <w:rsid w:val="0042309B"/>
    <w:rsid w:val="0042346E"/>
    <w:rsid w:val="004277FE"/>
    <w:rsid w:val="00430CB0"/>
    <w:rsid w:val="004337DE"/>
    <w:rsid w:val="00433ED8"/>
    <w:rsid w:val="004346F1"/>
    <w:rsid w:val="004359F2"/>
    <w:rsid w:val="00435DAF"/>
    <w:rsid w:val="00441836"/>
    <w:rsid w:val="00441F4D"/>
    <w:rsid w:val="00442314"/>
    <w:rsid w:val="0044314A"/>
    <w:rsid w:val="00444FB7"/>
    <w:rsid w:val="004451F6"/>
    <w:rsid w:val="0044702D"/>
    <w:rsid w:val="00450B86"/>
    <w:rsid w:val="00452325"/>
    <w:rsid w:val="00452D65"/>
    <w:rsid w:val="00454B60"/>
    <w:rsid w:val="00455AA7"/>
    <w:rsid w:val="00457A70"/>
    <w:rsid w:val="00457F1E"/>
    <w:rsid w:val="004604F4"/>
    <w:rsid w:val="00460764"/>
    <w:rsid w:val="00460A54"/>
    <w:rsid w:val="00460B46"/>
    <w:rsid w:val="004617E0"/>
    <w:rsid w:val="00461936"/>
    <w:rsid w:val="0046447D"/>
    <w:rsid w:val="004648D4"/>
    <w:rsid w:val="004663C0"/>
    <w:rsid w:val="00467ED3"/>
    <w:rsid w:val="00471408"/>
    <w:rsid w:val="004720E6"/>
    <w:rsid w:val="0047254C"/>
    <w:rsid w:val="00472614"/>
    <w:rsid w:val="00472764"/>
    <w:rsid w:val="004734DA"/>
    <w:rsid w:val="004739DD"/>
    <w:rsid w:val="004740AE"/>
    <w:rsid w:val="00476016"/>
    <w:rsid w:val="00476BC7"/>
    <w:rsid w:val="00477F6F"/>
    <w:rsid w:val="004809DC"/>
    <w:rsid w:val="00481687"/>
    <w:rsid w:val="00482A22"/>
    <w:rsid w:val="00482D7C"/>
    <w:rsid w:val="00483CD5"/>
    <w:rsid w:val="00484063"/>
    <w:rsid w:val="0048768D"/>
    <w:rsid w:val="00487A81"/>
    <w:rsid w:val="004907E9"/>
    <w:rsid w:val="00490B49"/>
    <w:rsid w:val="0049117B"/>
    <w:rsid w:val="0049333C"/>
    <w:rsid w:val="00494EE3"/>
    <w:rsid w:val="00497B54"/>
    <w:rsid w:val="00497C90"/>
    <w:rsid w:val="004A0174"/>
    <w:rsid w:val="004A082F"/>
    <w:rsid w:val="004A0C3C"/>
    <w:rsid w:val="004A13A7"/>
    <w:rsid w:val="004A16D8"/>
    <w:rsid w:val="004A215E"/>
    <w:rsid w:val="004A2E81"/>
    <w:rsid w:val="004A2F11"/>
    <w:rsid w:val="004A47A6"/>
    <w:rsid w:val="004A4980"/>
    <w:rsid w:val="004A679F"/>
    <w:rsid w:val="004B04CC"/>
    <w:rsid w:val="004B1701"/>
    <w:rsid w:val="004B1F3E"/>
    <w:rsid w:val="004B2554"/>
    <w:rsid w:val="004B5DF5"/>
    <w:rsid w:val="004B7C4C"/>
    <w:rsid w:val="004C2E12"/>
    <w:rsid w:val="004C33CC"/>
    <w:rsid w:val="004C59DC"/>
    <w:rsid w:val="004C5F5E"/>
    <w:rsid w:val="004C787C"/>
    <w:rsid w:val="004D036B"/>
    <w:rsid w:val="004D049B"/>
    <w:rsid w:val="004D1735"/>
    <w:rsid w:val="004D2D7F"/>
    <w:rsid w:val="004D3EA5"/>
    <w:rsid w:val="004D4920"/>
    <w:rsid w:val="004D5C4A"/>
    <w:rsid w:val="004D6968"/>
    <w:rsid w:val="004E03B3"/>
    <w:rsid w:val="004E346A"/>
    <w:rsid w:val="004F1701"/>
    <w:rsid w:val="004F4633"/>
    <w:rsid w:val="004F48BD"/>
    <w:rsid w:val="004F52F4"/>
    <w:rsid w:val="004F6DB3"/>
    <w:rsid w:val="005022C9"/>
    <w:rsid w:val="00502E9E"/>
    <w:rsid w:val="00506925"/>
    <w:rsid w:val="00510F8D"/>
    <w:rsid w:val="0051210E"/>
    <w:rsid w:val="00514715"/>
    <w:rsid w:val="00514939"/>
    <w:rsid w:val="00517564"/>
    <w:rsid w:val="005200C4"/>
    <w:rsid w:val="0052219B"/>
    <w:rsid w:val="00522477"/>
    <w:rsid w:val="00522B3D"/>
    <w:rsid w:val="00523005"/>
    <w:rsid w:val="0052348A"/>
    <w:rsid w:val="00523935"/>
    <w:rsid w:val="0052400C"/>
    <w:rsid w:val="0052500A"/>
    <w:rsid w:val="005260F4"/>
    <w:rsid w:val="00526D7F"/>
    <w:rsid w:val="0052784F"/>
    <w:rsid w:val="005314D1"/>
    <w:rsid w:val="005321A7"/>
    <w:rsid w:val="0053246B"/>
    <w:rsid w:val="00532F99"/>
    <w:rsid w:val="005332EC"/>
    <w:rsid w:val="005339DB"/>
    <w:rsid w:val="00533FD2"/>
    <w:rsid w:val="00534E33"/>
    <w:rsid w:val="00535533"/>
    <w:rsid w:val="00536CE7"/>
    <w:rsid w:val="00536D9D"/>
    <w:rsid w:val="0053757E"/>
    <w:rsid w:val="005476F5"/>
    <w:rsid w:val="00547D32"/>
    <w:rsid w:val="00547DC9"/>
    <w:rsid w:val="0055487A"/>
    <w:rsid w:val="00555054"/>
    <w:rsid w:val="00555922"/>
    <w:rsid w:val="00557714"/>
    <w:rsid w:val="005601C9"/>
    <w:rsid w:val="00560D51"/>
    <w:rsid w:val="005623C0"/>
    <w:rsid w:val="00563088"/>
    <w:rsid w:val="005644BD"/>
    <w:rsid w:val="00565679"/>
    <w:rsid w:val="00565E58"/>
    <w:rsid w:val="00571C86"/>
    <w:rsid w:val="00576583"/>
    <w:rsid w:val="00577829"/>
    <w:rsid w:val="0058066B"/>
    <w:rsid w:val="00582B25"/>
    <w:rsid w:val="00583EC1"/>
    <w:rsid w:val="00583FE6"/>
    <w:rsid w:val="00586960"/>
    <w:rsid w:val="0059533F"/>
    <w:rsid w:val="00597B0E"/>
    <w:rsid w:val="005A01B6"/>
    <w:rsid w:val="005A0331"/>
    <w:rsid w:val="005A05F3"/>
    <w:rsid w:val="005A09EA"/>
    <w:rsid w:val="005A3542"/>
    <w:rsid w:val="005A370A"/>
    <w:rsid w:val="005A5F6A"/>
    <w:rsid w:val="005A6477"/>
    <w:rsid w:val="005A7CEF"/>
    <w:rsid w:val="005A7D7C"/>
    <w:rsid w:val="005A7F15"/>
    <w:rsid w:val="005B1AE1"/>
    <w:rsid w:val="005B26F4"/>
    <w:rsid w:val="005B4026"/>
    <w:rsid w:val="005B50BA"/>
    <w:rsid w:val="005B541E"/>
    <w:rsid w:val="005B5FBA"/>
    <w:rsid w:val="005C09BF"/>
    <w:rsid w:val="005C0E74"/>
    <w:rsid w:val="005C0EE0"/>
    <w:rsid w:val="005C351E"/>
    <w:rsid w:val="005C3EEB"/>
    <w:rsid w:val="005D06A8"/>
    <w:rsid w:val="005D13D3"/>
    <w:rsid w:val="005D39D6"/>
    <w:rsid w:val="005D469E"/>
    <w:rsid w:val="005D4DF3"/>
    <w:rsid w:val="005D5407"/>
    <w:rsid w:val="005D5780"/>
    <w:rsid w:val="005D5E94"/>
    <w:rsid w:val="005D60B5"/>
    <w:rsid w:val="005D688B"/>
    <w:rsid w:val="005D6E54"/>
    <w:rsid w:val="005D73C4"/>
    <w:rsid w:val="005E1875"/>
    <w:rsid w:val="005E2B4B"/>
    <w:rsid w:val="005E3C5A"/>
    <w:rsid w:val="005E3EA6"/>
    <w:rsid w:val="005E443A"/>
    <w:rsid w:val="005E4E2A"/>
    <w:rsid w:val="005E5539"/>
    <w:rsid w:val="005E5B9E"/>
    <w:rsid w:val="005E6DF8"/>
    <w:rsid w:val="005E739F"/>
    <w:rsid w:val="005F10FC"/>
    <w:rsid w:val="005F13A0"/>
    <w:rsid w:val="005F1E18"/>
    <w:rsid w:val="005F28C9"/>
    <w:rsid w:val="005F327E"/>
    <w:rsid w:val="005F3662"/>
    <w:rsid w:val="005F62EB"/>
    <w:rsid w:val="00605361"/>
    <w:rsid w:val="006053BC"/>
    <w:rsid w:val="006071AB"/>
    <w:rsid w:val="00610352"/>
    <w:rsid w:val="00610BEC"/>
    <w:rsid w:val="00612210"/>
    <w:rsid w:val="0061313E"/>
    <w:rsid w:val="006132CB"/>
    <w:rsid w:val="00614215"/>
    <w:rsid w:val="00614E1F"/>
    <w:rsid w:val="00615712"/>
    <w:rsid w:val="0061587B"/>
    <w:rsid w:val="0061590C"/>
    <w:rsid w:val="00617AC2"/>
    <w:rsid w:val="00621EAC"/>
    <w:rsid w:val="00623B41"/>
    <w:rsid w:val="00624BD5"/>
    <w:rsid w:val="00624DB0"/>
    <w:rsid w:val="00625BE6"/>
    <w:rsid w:val="00627F81"/>
    <w:rsid w:val="00630029"/>
    <w:rsid w:val="00630446"/>
    <w:rsid w:val="006314D6"/>
    <w:rsid w:val="0063194D"/>
    <w:rsid w:val="00631AAA"/>
    <w:rsid w:val="006349DA"/>
    <w:rsid w:val="006358A6"/>
    <w:rsid w:val="00637588"/>
    <w:rsid w:val="00641AE2"/>
    <w:rsid w:val="00641EB4"/>
    <w:rsid w:val="006424E6"/>
    <w:rsid w:val="00642A60"/>
    <w:rsid w:val="00643DBD"/>
    <w:rsid w:val="00652306"/>
    <w:rsid w:val="00652A97"/>
    <w:rsid w:val="006530E7"/>
    <w:rsid w:val="006540E0"/>
    <w:rsid w:val="006544BD"/>
    <w:rsid w:val="0065480D"/>
    <w:rsid w:val="00655806"/>
    <w:rsid w:val="0066074B"/>
    <w:rsid w:val="00661DD1"/>
    <w:rsid w:val="00661FB2"/>
    <w:rsid w:val="00662800"/>
    <w:rsid w:val="006636C1"/>
    <w:rsid w:val="006675C4"/>
    <w:rsid w:val="00667698"/>
    <w:rsid w:val="0067083C"/>
    <w:rsid w:val="006718F8"/>
    <w:rsid w:val="00672D68"/>
    <w:rsid w:val="00674CAE"/>
    <w:rsid w:val="006758F2"/>
    <w:rsid w:val="006759BB"/>
    <w:rsid w:val="006774A6"/>
    <w:rsid w:val="00677BBD"/>
    <w:rsid w:val="00677DE5"/>
    <w:rsid w:val="00680151"/>
    <w:rsid w:val="00680949"/>
    <w:rsid w:val="00680A2F"/>
    <w:rsid w:val="00680C5C"/>
    <w:rsid w:val="00680F6E"/>
    <w:rsid w:val="006837A4"/>
    <w:rsid w:val="006919BD"/>
    <w:rsid w:val="00692059"/>
    <w:rsid w:val="00692914"/>
    <w:rsid w:val="00694683"/>
    <w:rsid w:val="006946C3"/>
    <w:rsid w:val="00695001"/>
    <w:rsid w:val="0069616A"/>
    <w:rsid w:val="006A013F"/>
    <w:rsid w:val="006A119C"/>
    <w:rsid w:val="006A1AD7"/>
    <w:rsid w:val="006A1D24"/>
    <w:rsid w:val="006A2799"/>
    <w:rsid w:val="006A3A7C"/>
    <w:rsid w:val="006A45F3"/>
    <w:rsid w:val="006A4C2A"/>
    <w:rsid w:val="006A518B"/>
    <w:rsid w:val="006A7F59"/>
    <w:rsid w:val="006B1557"/>
    <w:rsid w:val="006B1D06"/>
    <w:rsid w:val="006B4271"/>
    <w:rsid w:val="006B46E3"/>
    <w:rsid w:val="006B6329"/>
    <w:rsid w:val="006B72C8"/>
    <w:rsid w:val="006B7981"/>
    <w:rsid w:val="006B7D52"/>
    <w:rsid w:val="006C07DB"/>
    <w:rsid w:val="006C0E09"/>
    <w:rsid w:val="006C138E"/>
    <w:rsid w:val="006C1510"/>
    <w:rsid w:val="006C4EC2"/>
    <w:rsid w:val="006C5635"/>
    <w:rsid w:val="006C5677"/>
    <w:rsid w:val="006C5C76"/>
    <w:rsid w:val="006C70CB"/>
    <w:rsid w:val="006C78B0"/>
    <w:rsid w:val="006C7AF9"/>
    <w:rsid w:val="006D0879"/>
    <w:rsid w:val="006D0B41"/>
    <w:rsid w:val="006D17DE"/>
    <w:rsid w:val="006D1AB1"/>
    <w:rsid w:val="006D1C25"/>
    <w:rsid w:val="006D2A33"/>
    <w:rsid w:val="006D2D15"/>
    <w:rsid w:val="006D343C"/>
    <w:rsid w:val="006D45A2"/>
    <w:rsid w:val="006D4681"/>
    <w:rsid w:val="006D54AB"/>
    <w:rsid w:val="006D7949"/>
    <w:rsid w:val="006E0BB8"/>
    <w:rsid w:val="006E0E06"/>
    <w:rsid w:val="006E18DB"/>
    <w:rsid w:val="006E2A25"/>
    <w:rsid w:val="006E2ECF"/>
    <w:rsid w:val="006E3EBC"/>
    <w:rsid w:val="006E5394"/>
    <w:rsid w:val="006E7B50"/>
    <w:rsid w:val="006F0E44"/>
    <w:rsid w:val="006F0E4E"/>
    <w:rsid w:val="006F1C7E"/>
    <w:rsid w:val="006F2F23"/>
    <w:rsid w:val="006F2F40"/>
    <w:rsid w:val="006F3F51"/>
    <w:rsid w:val="006F4D73"/>
    <w:rsid w:val="006F6E6E"/>
    <w:rsid w:val="00700218"/>
    <w:rsid w:val="0070257D"/>
    <w:rsid w:val="00704846"/>
    <w:rsid w:val="00704EFF"/>
    <w:rsid w:val="007060F1"/>
    <w:rsid w:val="007067C0"/>
    <w:rsid w:val="007101C4"/>
    <w:rsid w:val="00712997"/>
    <w:rsid w:val="0071442C"/>
    <w:rsid w:val="00715A35"/>
    <w:rsid w:val="00716926"/>
    <w:rsid w:val="0071706B"/>
    <w:rsid w:val="007178B3"/>
    <w:rsid w:val="00721F8E"/>
    <w:rsid w:val="00722020"/>
    <w:rsid w:val="00722120"/>
    <w:rsid w:val="0072600C"/>
    <w:rsid w:val="00727C35"/>
    <w:rsid w:val="00730DF7"/>
    <w:rsid w:val="007359B3"/>
    <w:rsid w:val="00736D5F"/>
    <w:rsid w:val="00741373"/>
    <w:rsid w:val="007430BE"/>
    <w:rsid w:val="007438B5"/>
    <w:rsid w:val="00743E34"/>
    <w:rsid w:val="00744246"/>
    <w:rsid w:val="0074571E"/>
    <w:rsid w:val="00750655"/>
    <w:rsid w:val="00750D48"/>
    <w:rsid w:val="0075371D"/>
    <w:rsid w:val="00754018"/>
    <w:rsid w:val="00754928"/>
    <w:rsid w:val="00756B96"/>
    <w:rsid w:val="00756E06"/>
    <w:rsid w:val="0076211D"/>
    <w:rsid w:val="00762149"/>
    <w:rsid w:val="0076425B"/>
    <w:rsid w:val="007652B1"/>
    <w:rsid w:val="00765C17"/>
    <w:rsid w:val="00770D1D"/>
    <w:rsid w:val="00771A67"/>
    <w:rsid w:val="00772667"/>
    <w:rsid w:val="00772BCE"/>
    <w:rsid w:val="00772C18"/>
    <w:rsid w:val="00773774"/>
    <w:rsid w:val="007756D9"/>
    <w:rsid w:val="0077729F"/>
    <w:rsid w:val="00777EC0"/>
    <w:rsid w:val="00781BD7"/>
    <w:rsid w:val="00781CD5"/>
    <w:rsid w:val="0078204F"/>
    <w:rsid w:val="00784896"/>
    <w:rsid w:val="00785338"/>
    <w:rsid w:val="007878B4"/>
    <w:rsid w:val="00787BA4"/>
    <w:rsid w:val="00791646"/>
    <w:rsid w:val="007924CE"/>
    <w:rsid w:val="00794082"/>
    <w:rsid w:val="007946C6"/>
    <w:rsid w:val="00794A59"/>
    <w:rsid w:val="00796204"/>
    <w:rsid w:val="00796B20"/>
    <w:rsid w:val="00797573"/>
    <w:rsid w:val="007A0F3F"/>
    <w:rsid w:val="007A10AE"/>
    <w:rsid w:val="007A265A"/>
    <w:rsid w:val="007A66B1"/>
    <w:rsid w:val="007A6CD2"/>
    <w:rsid w:val="007A70E2"/>
    <w:rsid w:val="007B0875"/>
    <w:rsid w:val="007B105F"/>
    <w:rsid w:val="007B1559"/>
    <w:rsid w:val="007B2680"/>
    <w:rsid w:val="007B327B"/>
    <w:rsid w:val="007B7AC2"/>
    <w:rsid w:val="007B7FD9"/>
    <w:rsid w:val="007C0505"/>
    <w:rsid w:val="007C07BC"/>
    <w:rsid w:val="007C26CD"/>
    <w:rsid w:val="007C30F0"/>
    <w:rsid w:val="007C3928"/>
    <w:rsid w:val="007C54A2"/>
    <w:rsid w:val="007C5736"/>
    <w:rsid w:val="007C705E"/>
    <w:rsid w:val="007C7DEE"/>
    <w:rsid w:val="007D05AE"/>
    <w:rsid w:val="007D0A42"/>
    <w:rsid w:val="007D29D1"/>
    <w:rsid w:val="007D343A"/>
    <w:rsid w:val="007D3D70"/>
    <w:rsid w:val="007D4518"/>
    <w:rsid w:val="007D6051"/>
    <w:rsid w:val="007D7130"/>
    <w:rsid w:val="007D7778"/>
    <w:rsid w:val="007D7C0A"/>
    <w:rsid w:val="007E0493"/>
    <w:rsid w:val="007E1193"/>
    <w:rsid w:val="007E5EF9"/>
    <w:rsid w:val="007E6562"/>
    <w:rsid w:val="007E6801"/>
    <w:rsid w:val="007E7F52"/>
    <w:rsid w:val="007F0244"/>
    <w:rsid w:val="007F1344"/>
    <w:rsid w:val="007F3F4E"/>
    <w:rsid w:val="007F5E8C"/>
    <w:rsid w:val="007F6188"/>
    <w:rsid w:val="007F62FE"/>
    <w:rsid w:val="007F6C67"/>
    <w:rsid w:val="007F77D8"/>
    <w:rsid w:val="00801582"/>
    <w:rsid w:val="008039A6"/>
    <w:rsid w:val="00805322"/>
    <w:rsid w:val="00805ECC"/>
    <w:rsid w:val="008063C7"/>
    <w:rsid w:val="008064EB"/>
    <w:rsid w:val="00806DD8"/>
    <w:rsid w:val="0081070D"/>
    <w:rsid w:val="00811E87"/>
    <w:rsid w:val="0081212B"/>
    <w:rsid w:val="00813A60"/>
    <w:rsid w:val="008152B1"/>
    <w:rsid w:val="00817631"/>
    <w:rsid w:val="00817D71"/>
    <w:rsid w:val="008201B9"/>
    <w:rsid w:val="008213FF"/>
    <w:rsid w:val="0082249D"/>
    <w:rsid w:val="0082462B"/>
    <w:rsid w:val="0082510F"/>
    <w:rsid w:val="00825766"/>
    <w:rsid w:val="008279FE"/>
    <w:rsid w:val="0083018E"/>
    <w:rsid w:val="00830795"/>
    <w:rsid w:val="00835314"/>
    <w:rsid w:val="00835DB0"/>
    <w:rsid w:val="00836931"/>
    <w:rsid w:val="00841144"/>
    <w:rsid w:val="00841BE2"/>
    <w:rsid w:val="00842016"/>
    <w:rsid w:val="008438D3"/>
    <w:rsid w:val="00844079"/>
    <w:rsid w:val="00844467"/>
    <w:rsid w:val="00846034"/>
    <w:rsid w:val="00847201"/>
    <w:rsid w:val="008477AB"/>
    <w:rsid w:val="00847EF2"/>
    <w:rsid w:val="00850A28"/>
    <w:rsid w:val="008517A4"/>
    <w:rsid w:val="00851FB9"/>
    <w:rsid w:val="0085243E"/>
    <w:rsid w:val="00852D19"/>
    <w:rsid w:val="00853134"/>
    <w:rsid w:val="008537D0"/>
    <w:rsid w:val="0085525B"/>
    <w:rsid w:val="008565D0"/>
    <w:rsid w:val="0085675F"/>
    <w:rsid w:val="00857076"/>
    <w:rsid w:val="00857F2A"/>
    <w:rsid w:val="0086163E"/>
    <w:rsid w:val="00864D25"/>
    <w:rsid w:val="008672D0"/>
    <w:rsid w:val="00871F30"/>
    <w:rsid w:val="00872165"/>
    <w:rsid w:val="0087390E"/>
    <w:rsid w:val="0087532F"/>
    <w:rsid w:val="008764D5"/>
    <w:rsid w:val="00881465"/>
    <w:rsid w:val="008818FB"/>
    <w:rsid w:val="008819FE"/>
    <w:rsid w:val="00881B57"/>
    <w:rsid w:val="0088202A"/>
    <w:rsid w:val="0088390C"/>
    <w:rsid w:val="008839AF"/>
    <w:rsid w:val="00883F26"/>
    <w:rsid w:val="00884BE1"/>
    <w:rsid w:val="00884F98"/>
    <w:rsid w:val="0088577C"/>
    <w:rsid w:val="008858B7"/>
    <w:rsid w:val="00886701"/>
    <w:rsid w:val="008926E9"/>
    <w:rsid w:val="00893D0E"/>
    <w:rsid w:val="00893F58"/>
    <w:rsid w:val="008943EC"/>
    <w:rsid w:val="008948B0"/>
    <w:rsid w:val="00895451"/>
    <w:rsid w:val="0089563E"/>
    <w:rsid w:val="008A0E22"/>
    <w:rsid w:val="008A3A16"/>
    <w:rsid w:val="008A65B9"/>
    <w:rsid w:val="008A6B22"/>
    <w:rsid w:val="008A6BC1"/>
    <w:rsid w:val="008B0397"/>
    <w:rsid w:val="008B0C2F"/>
    <w:rsid w:val="008B2C6D"/>
    <w:rsid w:val="008B5887"/>
    <w:rsid w:val="008B591D"/>
    <w:rsid w:val="008C13D3"/>
    <w:rsid w:val="008C3001"/>
    <w:rsid w:val="008C6480"/>
    <w:rsid w:val="008C69DA"/>
    <w:rsid w:val="008C7AC4"/>
    <w:rsid w:val="008D0017"/>
    <w:rsid w:val="008D0365"/>
    <w:rsid w:val="008D0D72"/>
    <w:rsid w:val="008D4D2C"/>
    <w:rsid w:val="008D5392"/>
    <w:rsid w:val="008D5FA4"/>
    <w:rsid w:val="008D6CEB"/>
    <w:rsid w:val="008E0A28"/>
    <w:rsid w:val="008E2AE1"/>
    <w:rsid w:val="008E342B"/>
    <w:rsid w:val="008E3B15"/>
    <w:rsid w:val="008E3FA2"/>
    <w:rsid w:val="008E4A27"/>
    <w:rsid w:val="008E4AD8"/>
    <w:rsid w:val="008E4CE4"/>
    <w:rsid w:val="008E70F5"/>
    <w:rsid w:val="008E7684"/>
    <w:rsid w:val="008F08E2"/>
    <w:rsid w:val="008F132F"/>
    <w:rsid w:val="008F1837"/>
    <w:rsid w:val="008F32A9"/>
    <w:rsid w:val="008F465B"/>
    <w:rsid w:val="008F5B82"/>
    <w:rsid w:val="008F5FCE"/>
    <w:rsid w:val="008F6A71"/>
    <w:rsid w:val="008F6A74"/>
    <w:rsid w:val="008F7759"/>
    <w:rsid w:val="008F79FC"/>
    <w:rsid w:val="008F7C78"/>
    <w:rsid w:val="00901F22"/>
    <w:rsid w:val="0090230E"/>
    <w:rsid w:val="00902398"/>
    <w:rsid w:val="009026CF"/>
    <w:rsid w:val="00902E8B"/>
    <w:rsid w:val="0090674B"/>
    <w:rsid w:val="00907816"/>
    <w:rsid w:val="009112B4"/>
    <w:rsid w:val="0091167B"/>
    <w:rsid w:val="009117D7"/>
    <w:rsid w:val="00911913"/>
    <w:rsid w:val="00911D6C"/>
    <w:rsid w:val="00911D79"/>
    <w:rsid w:val="00912DE0"/>
    <w:rsid w:val="00913349"/>
    <w:rsid w:val="009162A3"/>
    <w:rsid w:val="00916F68"/>
    <w:rsid w:val="0092064F"/>
    <w:rsid w:val="00920AFE"/>
    <w:rsid w:val="00922575"/>
    <w:rsid w:val="00924250"/>
    <w:rsid w:val="00924981"/>
    <w:rsid w:val="00925404"/>
    <w:rsid w:val="00926642"/>
    <w:rsid w:val="009276D1"/>
    <w:rsid w:val="00931E44"/>
    <w:rsid w:val="009329AD"/>
    <w:rsid w:val="009335BA"/>
    <w:rsid w:val="009347E8"/>
    <w:rsid w:val="0093487B"/>
    <w:rsid w:val="009364D3"/>
    <w:rsid w:val="00936DB6"/>
    <w:rsid w:val="009370F6"/>
    <w:rsid w:val="009408C3"/>
    <w:rsid w:val="009411FF"/>
    <w:rsid w:val="00942106"/>
    <w:rsid w:val="0094631B"/>
    <w:rsid w:val="009465BE"/>
    <w:rsid w:val="009479BE"/>
    <w:rsid w:val="00955AE0"/>
    <w:rsid w:val="00955D98"/>
    <w:rsid w:val="00960FE5"/>
    <w:rsid w:val="00961245"/>
    <w:rsid w:val="00963F63"/>
    <w:rsid w:val="009643A9"/>
    <w:rsid w:val="00964C17"/>
    <w:rsid w:val="00966986"/>
    <w:rsid w:val="00966DD5"/>
    <w:rsid w:val="00967920"/>
    <w:rsid w:val="0097080E"/>
    <w:rsid w:val="0097399F"/>
    <w:rsid w:val="00974A44"/>
    <w:rsid w:val="0097505C"/>
    <w:rsid w:val="009811B5"/>
    <w:rsid w:val="00984025"/>
    <w:rsid w:val="00984A53"/>
    <w:rsid w:val="00984F5F"/>
    <w:rsid w:val="00991F66"/>
    <w:rsid w:val="00993E91"/>
    <w:rsid w:val="009943B2"/>
    <w:rsid w:val="00995E79"/>
    <w:rsid w:val="009A0C68"/>
    <w:rsid w:val="009A1186"/>
    <w:rsid w:val="009A20B8"/>
    <w:rsid w:val="009A2422"/>
    <w:rsid w:val="009A2E49"/>
    <w:rsid w:val="009A303E"/>
    <w:rsid w:val="009A4903"/>
    <w:rsid w:val="009A4D94"/>
    <w:rsid w:val="009B198F"/>
    <w:rsid w:val="009B1B2D"/>
    <w:rsid w:val="009B1CF6"/>
    <w:rsid w:val="009B23AE"/>
    <w:rsid w:val="009B69AA"/>
    <w:rsid w:val="009C0920"/>
    <w:rsid w:val="009C1A55"/>
    <w:rsid w:val="009C1F9A"/>
    <w:rsid w:val="009C2D46"/>
    <w:rsid w:val="009C33DF"/>
    <w:rsid w:val="009C4BAC"/>
    <w:rsid w:val="009C6A73"/>
    <w:rsid w:val="009C767C"/>
    <w:rsid w:val="009C7B52"/>
    <w:rsid w:val="009C7CBA"/>
    <w:rsid w:val="009C7CEA"/>
    <w:rsid w:val="009D1B6E"/>
    <w:rsid w:val="009D1B7F"/>
    <w:rsid w:val="009D2517"/>
    <w:rsid w:val="009D3C80"/>
    <w:rsid w:val="009D45C1"/>
    <w:rsid w:val="009D4625"/>
    <w:rsid w:val="009D4D2F"/>
    <w:rsid w:val="009D6259"/>
    <w:rsid w:val="009D7DEE"/>
    <w:rsid w:val="009E05C3"/>
    <w:rsid w:val="009E05CC"/>
    <w:rsid w:val="009E08D9"/>
    <w:rsid w:val="009E1FDC"/>
    <w:rsid w:val="009E35DD"/>
    <w:rsid w:val="009E37DB"/>
    <w:rsid w:val="009E3FCA"/>
    <w:rsid w:val="009E5810"/>
    <w:rsid w:val="009E7527"/>
    <w:rsid w:val="009E7A0A"/>
    <w:rsid w:val="009F0557"/>
    <w:rsid w:val="009F07EF"/>
    <w:rsid w:val="009F1469"/>
    <w:rsid w:val="009F2044"/>
    <w:rsid w:val="009F22F8"/>
    <w:rsid w:val="009F26A0"/>
    <w:rsid w:val="009F3162"/>
    <w:rsid w:val="009F465C"/>
    <w:rsid w:val="009F4D3A"/>
    <w:rsid w:val="009F5036"/>
    <w:rsid w:val="009F6567"/>
    <w:rsid w:val="009F7DEF"/>
    <w:rsid w:val="00A017C7"/>
    <w:rsid w:val="00A02716"/>
    <w:rsid w:val="00A030B6"/>
    <w:rsid w:val="00A030D2"/>
    <w:rsid w:val="00A0357E"/>
    <w:rsid w:val="00A0375A"/>
    <w:rsid w:val="00A0386D"/>
    <w:rsid w:val="00A04487"/>
    <w:rsid w:val="00A04565"/>
    <w:rsid w:val="00A06D5A"/>
    <w:rsid w:val="00A0720E"/>
    <w:rsid w:val="00A07512"/>
    <w:rsid w:val="00A07DE3"/>
    <w:rsid w:val="00A10761"/>
    <w:rsid w:val="00A11AE2"/>
    <w:rsid w:val="00A126BB"/>
    <w:rsid w:val="00A13602"/>
    <w:rsid w:val="00A1570F"/>
    <w:rsid w:val="00A16360"/>
    <w:rsid w:val="00A20182"/>
    <w:rsid w:val="00A21BDB"/>
    <w:rsid w:val="00A2274E"/>
    <w:rsid w:val="00A243DE"/>
    <w:rsid w:val="00A25C3B"/>
    <w:rsid w:val="00A26C0A"/>
    <w:rsid w:val="00A33F37"/>
    <w:rsid w:val="00A3467F"/>
    <w:rsid w:val="00A34A28"/>
    <w:rsid w:val="00A36762"/>
    <w:rsid w:val="00A36BF3"/>
    <w:rsid w:val="00A41077"/>
    <w:rsid w:val="00A428B0"/>
    <w:rsid w:val="00A43495"/>
    <w:rsid w:val="00A435F6"/>
    <w:rsid w:val="00A462EC"/>
    <w:rsid w:val="00A507B2"/>
    <w:rsid w:val="00A5164A"/>
    <w:rsid w:val="00A5208E"/>
    <w:rsid w:val="00A532B9"/>
    <w:rsid w:val="00A55394"/>
    <w:rsid w:val="00A561E8"/>
    <w:rsid w:val="00A601D7"/>
    <w:rsid w:val="00A622BE"/>
    <w:rsid w:val="00A635C0"/>
    <w:rsid w:val="00A6415B"/>
    <w:rsid w:val="00A65142"/>
    <w:rsid w:val="00A65493"/>
    <w:rsid w:val="00A71D85"/>
    <w:rsid w:val="00A73CE6"/>
    <w:rsid w:val="00A7422A"/>
    <w:rsid w:val="00A74391"/>
    <w:rsid w:val="00A74BA7"/>
    <w:rsid w:val="00A751BF"/>
    <w:rsid w:val="00A75333"/>
    <w:rsid w:val="00A812F2"/>
    <w:rsid w:val="00A81CC7"/>
    <w:rsid w:val="00A82F99"/>
    <w:rsid w:val="00A831CA"/>
    <w:rsid w:val="00A85E57"/>
    <w:rsid w:val="00A870F6"/>
    <w:rsid w:val="00A91867"/>
    <w:rsid w:val="00A92500"/>
    <w:rsid w:val="00A927FE"/>
    <w:rsid w:val="00A937E5"/>
    <w:rsid w:val="00A9440E"/>
    <w:rsid w:val="00A94F1A"/>
    <w:rsid w:val="00A9518D"/>
    <w:rsid w:val="00A96B2A"/>
    <w:rsid w:val="00A97643"/>
    <w:rsid w:val="00AA3B13"/>
    <w:rsid w:val="00AA3E34"/>
    <w:rsid w:val="00AA4F1F"/>
    <w:rsid w:val="00AA666D"/>
    <w:rsid w:val="00AA798B"/>
    <w:rsid w:val="00AB0496"/>
    <w:rsid w:val="00AB3D81"/>
    <w:rsid w:val="00AB47B1"/>
    <w:rsid w:val="00AB4C9C"/>
    <w:rsid w:val="00AB69C8"/>
    <w:rsid w:val="00AB79ED"/>
    <w:rsid w:val="00AC0A03"/>
    <w:rsid w:val="00AC10E8"/>
    <w:rsid w:val="00AC11A5"/>
    <w:rsid w:val="00AC1428"/>
    <w:rsid w:val="00AC17B7"/>
    <w:rsid w:val="00AC26E8"/>
    <w:rsid w:val="00AC33DC"/>
    <w:rsid w:val="00AC3CC7"/>
    <w:rsid w:val="00AC4875"/>
    <w:rsid w:val="00AC57FF"/>
    <w:rsid w:val="00AC786F"/>
    <w:rsid w:val="00AD0892"/>
    <w:rsid w:val="00AD154B"/>
    <w:rsid w:val="00AD1854"/>
    <w:rsid w:val="00AD28C9"/>
    <w:rsid w:val="00AD2FED"/>
    <w:rsid w:val="00AD3E0A"/>
    <w:rsid w:val="00AD4ECF"/>
    <w:rsid w:val="00AD6356"/>
    <w:rsid w:val="00AD655F"/>
    <w:rsid w:val="00AD6C9D"/>
    <w:rsid w:val="00AD6D6D"/>
    <w:rsid w:val="00AD7555"/>
    <w:rsid w:val="00AE17A4"/>
    <w:rsid w:val="00AE2B75"/>
    <w:rsid w:val="00AE3655"/>
    <w:rsid w:val="00AE428D"/>
    <w:rsid w:val="00AE43F2"/>
    <w:rsid w:val="00AE4E5C"/>
    <w:rsid w:val="00AE5598"/>
    <w:rsid w:val="00AE6611"/>
    <w:rsid w:val="00AE6D04"/>
    <w:rsid w:val="00AE758A"/>
    <w:rsid w:val="00AF08CE"/>
    <w:rsid w:val="00AF2CF8"/>
    <w:rsid w:val="00AF399C"/>
    <w:rsid w:val="00AF5AE7"/>
    <w:rsid w:val="00AF7227"/>
    <w:rsid w:val="00AF7CCF"/>
    <w:rsid w:val="00B007EA"/>
    <w:rsid w:val="00B040C9"/>
    <w:rsid w:val="00B04226"/>
    <w:rsid w:val="00B04559"/>
    <w:rsid w:val="00B046F6"/>
    <w:rsid w:val="00B11569"/>
    <w:rsid w:val="00B11E50"/>
    <w:rsid w:val="00B13B5D"/>
    <w:rsid w:val="00B14218"/>
    <w:rsid w:val="00B15798"/>
    <w:rsid w:val="00B16696"/>
    <w:rsid w:val="00B16B08"/>
    <w:rsid w:val="00B17A29"/>
    <w:rsid w:val="00B20B66"/>
    <w:rsid w:val="00B20C2F"/>
    <w:rsid w:val="00B20F19"/>
    <w:rsid w:val="00B21B47"/>
    <w:rsid w:val="00B22073"/>
    <w:rsid w:val="00B263D7"/>
    <w:rsid w:val="00B27FB7"/>
    <w:rsid w:val="00B303EC"/>
    <w:rsid w:val="00B32545"/>
    <w:rsid w:val="00B3400A"/>
    <w:rsid w:val="00B34F9F"/>
    <w:rsid w:val="00B3539F"/>
    <w:rsid w:val="00B372A0"/>
    <w:rsid w:val="00B37EC2"/>
    <w:rsid w:val="00B40A6C"/>
    <w:rsid w:val="00B41235"/>
    <w:rsid w:val="00B41F6F"/>
    <w:rsid w:val="00B420D5"/>
    <w:rsid w:val="00B4322A"/>
    <w:rsid w:val="00B43576"/>
    <w:rsid w:val="00B45652"/>
    <w:rsid w:val="00B473DD"/>
    <w:rsid w:val="00B47FC3"/>
    <w:rsid w:val="00B5171F"/>
    <w:rsid w:val="00B51CE8"/>
    <w:rsid w:val="00B52919"/>
    <w:rsid w:val="00B53A75"/>
    <w:rsid w:val="00B55C09"/>
    <w:rsid w:val="00B564D1"/>
    <w:rsid w:val="00B56BFA"/>
    <w:rsid w:val="00B5722B"/>
    <w:rsid w:val="00B572E0"/>
    <w:rsid w:val="00B60FA5"/>
    <w:rsid w:val="00B61C7B"/>
    <w:rsid w:val="00B61E21"/>
    <w:rsid w:val="00B64B08"/>
    <w:rsid w:val="00B656A6"/>
    <w:rsid w:val="00B6668D"/>
    <w:rsid w:val="00B72D83"/>
    <w:rsid w:val="00B730AC"/>
    <w:rsid w:val="00B74FBC"/>
    <w:rsid w:val="00B7552C"/>
    <w:rsid w:val="00B80C58"/>
    <w:rsid w:val="00B816DE"/>
    <w:rsid w:val="00B83659"/>
    <w:rsid w:val="00B85BD8"/>
    <w:rsid w:val="00B85E62"/>
    <w:rsid w:val="00B86391"/>
    <w:rsid w:val="00B90428"/>
    <w:rsid w:val="00B916D7"/>
    <w:rsid w:val="00B92195"/>
    <w:rsid w:val="00B93549"/>
    <w:rsid w:val="00B96C59"/>
    <w:rsid w:val="00B975FE"/>
    <w:rsid w:val="00B9793D"/>
    <w:rsid w:val="00B979C5"/>
    <w:rsid w:val="00B97B5A"/>
    <w:rsid w:val="00BA01AE"/>
    <w:rsid w:val="00BA0307"/>
    <w:rsid w:val="00BA3896"/>
    <w:rsid w:val="00BA4516"/>
    <w:rsid w:val="00BA63BB"/>
    <w:rsid w:val="00BA6C8E"/>
    <w:rsid w:val="00BA6EEB"/>
    <w:rsid w:val="00BA7E4C"/>
    <w:rsid w:val="00BB075E"/>
    <w:rsid w:val="00BB08BA"/>
    <w:rsid w:val="00BB1D22"/>
    <w:rsid w:val="00BB28D7"/>
    <w:rsid w:val="00BB3C29"/>
    <w:rsid w:val="00BB5576"/>
    <w:rsid w:val="00BB5D66"/>
    <w:rsid w:val="00BC102C"/>
    <w:rsid w:val="00BC245A"/>
    <w:rsid w:val="00BC3433"/>
    <w:rsid w:val="00BC3ED9"/>
    <w:rsid w:val="00BC6FF6"/>
    <w:rsid w:val="00BD0DE3"/>
    <w:rsid w:val="00BD1962"/>
    <w:rsid w:val="00BD45F1"/>
    <w:rsid w:val="00BD488B"/>
    <w:rsid w:val="00BD6247"/>
    <w:rsid w:val="00BD7D33"/>
    <w:rsid w:val="00BE1F3E"/>
    <w:rsid w:val="00BE1FA9"/>
    <w:rsid w:val="00BE2BD6"/>
    <w:rsid w:val="00BE34C3"/>
    <w:rsid w:val="00BE3523"/>
    <w:rsid w:val="00BE35C7"/>
    <w:rsid w:val="00BE36AE"/>
    <w:rsid w:val="00BE3B73"/>
    <w:rsid w:val="00BF2053"/>
    <w:rsid w:val="00BF2EA9"/>
    <w:rsid w:val="00BF318F"/>
    <w:rsid w:val="00BF3487"/>
    <w:rsid w:val="00BF38C9"/>
    <w:rsid w:val="00BF4FFC"/>
    <w:rsid w:val="00BF615B"/>
    <w:rsid w:val="00BF7822"/>
    <w:rsid w:val="00BF7F9A"/>
    <w:rsid w:val="00C0115A"/>
    <w:rsid w:val="00C047E6"/>
    <w:rsid w:val="00C06424"/>
    <w:rsid w:val="00C07665"/>
    <w:rsid w:val="00C07D77"/>
    <w:rsid w:val="00C14B92"/>
    <w:rsid w:val="00C17BFB"/>
    <w:rsid w:val="00C23496"/>
    <w:rsid w:val="00C23BE4"/>
    <w:rsid w:val="00C25BC3"/>
    <w:rsid w:val="00C25C9A"/>
    <w:rsid w:val="00C2754F"/>
    <w:rsid w:val="00C33C42"/>
    <w:rsid w:val="00C34BC3"/>
    <w:rsid w:val="00C36EFA"/>
    <w:rsid w:val="00C37DAA"/>
    <w:rsid w:val="00C40175"/>
    <w:rsid w:val="00C4419B"/>
    <w:rsid w:val="00C447DF"/>
    <w:rsid w:val="00C44CE1"/>
    <w:rsid w:val="00C46EE7"/>
    <w:rsid w:val="00C479AB"/>
    <w:rsid w:val="00C51959"/>
    <w:rsid w:val="00C51DAD"/>
    <w:rsid w:val="00C531E6"/>
    <w:rsid w:val="00C540CE"/>
    <w:rsid w:val="00C569F2"/>
    <w:rsid w:val="00C572BE"/>
    <w:rsid w:val="00C627AC"/>
    <w:rsid w:val="00C63780"/>
    <w:rsid w:val="00C63AF7"/>
    <w:rsid w:val="00C63F9B"/>
    <w:rsid w:val="00C644AF"/>
    <w:rsid w:val="00C65038"/>
    <w:rsid w:val="00C65B8C"/>
    <w:rsid w:val="00C65F5E"/>
    <w:rsid w:val="00C67097"/>
    <w:rsid w:val="00C71F39"/>
    <w:rsid w:val="00C7413E"/>
    <w:rsid w:val="00C80D6A"/>
    <w:rsid w:val="00C81277"/>
    <w:rsid w:val="00C812A5"/>
    <w:rsid w:val="00C83023"/>
    <w:rsid w:val="00C8352D"/>
    <w:rsid w:val="00C8511F"/>
    <w:rsid w:val="00C87438"/>
    <w:rsid w:val="00C900FB"/>
    <w:rsid w:val="00C905CA"/>
    <w:rsid w:val="00C92FDB"/>
    <w:rsid w:val="00C934DB"/>
    <w:rsid w:val="00C93765"/>
    <w:rsid w:val="00C94F94"/>
    <w:rsid w:val="00C96124"/>
    <w:rsid w:val="00CA01CC"/>
    <w:rsid w:val="00CA3320"/>
    <w:rsid w:val="00CA41A9"/>
    <w:rsid w:val="00CA4619"/>
    <w:rsid w:val="00CA4B29"/>
    <w:rsid w:val="00CA7F05"/>
    <w:rsid w:val="00CB3F8B"/>
    <w:rsid w:val="00CB4664"/>
    <w:rsid w:val="00CC0874"/>
    <w:rsid w:val="00CC1383"/>
    <w:rsid w:val="00CC3F3B"/>
    <w:rsid w:val="00CC795D"/>
    <w:rsid w:val="00CC7E2C"/>
    <w:rsid w:val="00CD0AF0"/>
    <w:rsid w:val="00CD2CCE"/>
    <w:rsid w:val="00CD4A7C"/>
    <w:rsid w:val="00CD4DC7"/>
    <w:rsid w:val="00CD64FC"/>
    <w:rsid w:val="00CD6A45"/>
    <w:rsid w:val="00CE043C"/>
    <w:rsid w:val="00CE1CA9"/>
    <w:rsid w:val="00CE34A9"/>
    <w:rsid w:val="00CE4B0B"/>
    <w:rsid w:val="00CE6835"/>
    <w:rsid w:val="00CE6FC0"/>
    <w:rsid w:val="00CF15B3"/>
    <w:rsid w:val="00CF27BA"/>
    <w:rsid w:val="00CF2AE9"/>
    <w:rsid w:val="00CF56C5"/>
    <w:rsid w:val="00CF68E4"/>
    <w:rsid w:val="00D003E0"/>
    <w:rsid w:val="00D01527"/>
    <w:rsid w:val="00D01D24"/>
    <w:rsid w:val="00D0383D"/>
    <w:rsid w:val="00D04A0B"/>
    <w:rsid w:val="00D04D9F"/>
    <w:rsid w:val="00D065BE"/>
    <w:rsid w:val="00D07100"/>
    <w:rsid w:val="00D108C5"/>
    <w:rsid w:val="00D117E4"/>
    <w:rsid w:val="00D119EA"/>
    <w:rsid w:val="00D1288A"/>
    <w:rsid w:val="00D1409F"/>
    <w:rsid w:val="00D14202"/>
    <w:rsid w:val="00D15DB9"/>
    <w:rsid w:val="00D16254"/>
    <w:rsid w:val="00D16F0D"/>
    <w:rsid w:val="00D179CD"/>
    <w:rsid w:val="00D20002"/>
    <w:rsid w:val="00D20B04"/>
    <w:rsid w:val="00D22F5B"/>
    <w:rsid w:val="00D23B29"/>
    <w:rsid w:val="00D24050"/>
    <w:rsid w:val="00D248A7"/>
    <w:rsid w:val="00D2497B"/>
    <w:rsid w:val="00D260DC"/>
    <w:rsid w:val="00D26AA3"/>
    <w:rsid w:val="00D27931"/>
    <w:rsid w:val="00D301CE"/>
    <w:rsid w:val="00D32E4A"/>
    <w:rsid w:val="00D34C36"/>
    <w:rsid w:val="00D34E18"/>
    <w:rsid w:val="00D3511A"/>
    <w:rsid w:val="00D356C1"/>
    <w:rsid w:val="00D37C58"/>
    <w:rsid w:val="00D37EB6"/>
    <w:rsid w:val="00D4589F"/>
    <w:rsid w:val="00D479B8"/>
    <w:rsid w:val="00D47CD4"/>
    <w:rsid w:val="00D56CB5"/>
    <w:rsid w:val="00D60DED"/>
    <w:rsid w:val="00D61203"/>
    <w:rsid w:val="00D61558"/>
    <w:rsid w:val="00D6165A"/>
    <w:rsid w:val="00D64E6D"/>
    <w:rsid w:val="00D664C1"/>
    <w:rsid w:val="00D67C47"/>
    <w:rsid w:val="00D70B33"/>
    <w:rsid w:val="00D714CF"/>
    <w:rsid w:val="00D719BF"/>
    <w:rsid w:val="00D77387"/>
    <w:rsid w:val="00D8022F"/>
    <w:rsid w:val="00D82626"/>
    <w:rsid w:val="00D836C7"/>
    <w:rsid w:val="00D845D9"/>
    <w:rsid w:val="00D85A7B"/>
    <w:rsid w:val="00D91374"/>
    <w:rsid w:val="00D91CAC"/>
    <w:rsid w:val="00D91CF1"/>
    <w:rsid w:val="00D92836"/>
    <w:rsid w:val="00D9377E"/>
    <w:rsid w:val="00D94E99"/>
    <w:rsid w:val="00D953A9"/>
    <w:rsid w:val="00D95EC1"/>
    <w:rsid w:val="00D97BDD"/>
    <w:rsid w:val="00D97DF9"/>
    <w:rsid w:val="00DA1634"/>
    <w:rsid w:val="00DA2935"/>
    <w:rsid w:val="00DA5C95"/>
    <w:rsid w:val="00DA6F65"/>
    <w:rsid w:val="00DA7A65"/>
    <w:rsid w:val="00DB0F3D"/>
    <w:rsid w:val="00DB1CAE"/>
    <w:rsid w:val="00DB312A"/>
    <w:rsid w:val="00DB33B7"/>
    <w:rsid w:val="00DB349E"/>
    <w:rsid w:val="00DB3F8D"/>
    <w:rsid w:val="00DB4E2E"/>
    <w:rsid w:val="00DB69A8"/>
    <w:rsid w:val="00DB6D1E"/>
    <w:rsid w:val="00DB7BC1"/>
    <w:rsid w:val="00DC0C1E"/>
    <w:rsid w:val="00DC162E"/>
    <w:rsid w:val="00DC20C3"/>
    <w:rsid w:val="00DC28F6"/>
    <w:rsid w:val="00DC4C25"/>
    <w:rsid w:val="00DC59E0"/>
    <w:rsid w:val="00DC6EF8"/>
    <w:rsid w:val="00DC78A8"/>
    <w:rsid w:val="00DD040C"/>
    <w:rsid w:val="00DD0E07"/>
    <w:rsid w:val="00DD214C"/>
    <w:rsid w:val="00DD3DC9"/>
    <w:rsid w:val="00DD7253"/>
    <w:rsid w:val="00DE016D"/>
    <w:rsid w:val="00DE06BC"/>
    <w:rsid w:val="00DE3C13"/>
    <w:rsid w:val="00DE3C71"/>
    <w:rsid w:val="00DE6416"/>
    <w:rsid w:val="00DE6DF5"/>
    <w:rsid w:val="00DE6F50"/>
    <w:rsid w:val="00DE6FDE"/>
    <w:rsid w:val="00DE72AC"/>
    <w:rsid w:val="00DE7D98"/>
    <w:rsid w:val="00DF05AD"/>
    <w:rsid w:val="00DF3E49"/>
    <w:rsid w:val="00DF4C7B"/>
    <w:rsid w:val="00DF5EB4"/>
    <w:rsid w:val="00DF67D2"/>
    <w:rsid w:val="00DF70DD"/>
    <w:rsid w:val="00DF7350"/>
    <w:rsid w:val="00E021FF"/>
    <w:rsid w:val="00E039D3"/>
    <w:rsid w:val="00E04963"/>
    <w:rsid w:val="00E05D4B"/>
    <w:rsid w:val="00E07254"/>
    <w:rsid w:val="00E14C4D"/>
    <w:rsid w:val="00E14D69"/>
    <w:rsid w:val="00E15484"/>
    <w:rsid w:val="00E21254"/>
    <w:rsid w:val="00E21689"/>
    <w:rsid w:val="00E2245D"/>
    <w:rsid w:val="00E246F3"/>
    <w:rsid w:val="00E2479D"/>
    <w:rsid w:val="00E249B3"/>
    <w:rsid w:val="00E277A3"/>
    <w:rsid w:val="00E318FB"/>
    <w:rsid w:val="00E32FF0"/>
    <w:rsid w:val="00E34A9A"/>
    <w:rsid w:val="00E37F35"/>
    <w:rsid w:val="00E4010D"/>
    <w:rsid w:val="00E405A9"/>
    <w:rsid w:val="00E412EF"/>
    <w:rsid w:val="00E42B6B"/>
    <w:rsid w:val="00E4682C"/>
    <w:rsid w:val="00E476D9"/>
    <w:rsid w:val="00E50A3F"/>
    <w:rsid w:val="00E51236"/>
    <w:rsid w:val="00E51F7D"/>
    <w:rsid w:val="00E546CB"/>
    <w:rsid w:val="00E55154"/>
    <w:rsid w:val="00E55710"/>
    <w:rsid w:val="00E56016"/>
    <w:rsid w:val="00E5644C"/>
    <w:rsid w:val="00E6017A"/>
    <w:rsid w:val="00E612FC"/>
    <w:rsid w:val="00E616E4"/>
    <w:rsid w:val="00E62AD5"/>
    <w:rsid w:val="00E63405"/>
    <w:rsid w:val="00E635A3"/>
    <w:rsid w:val="00E63DA1"/>
    <w:rsid w:val="00E6439B"/>
    <w:rsid w:val="00E6477E"/>
    <w:rsid w:val="00E71913"/>
    <w:rsid w:val="00E72ED9"/>
    <w:rsid w:val="00E745D8"/>
    <w:rsid w:val="00E750FD"/>
    <w:rsid w:val="00E76B7D"/>
    <w:rsid w:val="00E80071"/>
    <w:rsid w:val="00E82193"/>
    <w:rsid w:val="00E82910"/>
    <w:rsid w:val="00E82BAD"/>
    <w:rsid w:val="00E8431A"/>
    <w:rsid w:val="00E8583D"/>
    <w:rsid w:val="00E86725"/>
    <w:rsid w:val="00E87931"/>
    <w:rsid w:val="00E90969"/>
    <w:rsid w:val="00E90C70"/>
    <w:rsid w:val="00E92C06"/>
    <w:rsid w:val="00E93A4D"/>
    <w:rsid w:val="00E94998"/>
    <w:rsid w:val="00E950B4"/>
    <w:rsid w:val="00E95F9D"/>
    <w:rsid w:val="00E9756A"/>
    <w:rsid w:val="00EA0323"/>
    <w:rsid w:val="00EA064B"/>
    <w:rsid w:val="00EA09E8"/>
    <w:rsid w:val="00EA0A6E"/>
    <w:rsid w:val="00EA3370"/>
    <w:rsid w:val="00EA39FE"/>
    <w:rsid w:val="00EA5B00"/>
    <w:rsid w:val="00EB05F3"/>
    <w:rsid w:val="00EB181E"/>
    <w:rsid w:val="00EB1F4A"/>
    <w:rsid w:val="00EB2B74"/>
    <w:rsid w:val="00EB2FBA"/>
    <w:rsid w:val="00EB411F"/>
    <w:rsid w:val="00EB50F5"/>
    <w:rsid w:val="00EB5485"/>
    <w:rsid w:val="00EB6680"/>
    <w:rsid w:val="00EB71CC"/>
    <w:rsid w:val="00EB7B92"/>
    <w:rsid w:val="00EB7F24"/>
    <w:rsid w:val="00EC002D"/>
    <w:rsid w:val="00EC0AC7"/>
    <w:rsid w:val="00EC67BE"/>
    <w:rsid w:val="00EC6EDF"/>
    <w:rsid w:val="00EC7E8C"/>
    <w:rsid w:val="00ED1454"/>
    <w:rsid w:val="00ED23C4"/>
    <w:rsid w:val="00ED335C"/>
    <w:rsid w:val="00ED39BD"/>
    <w:rsid w:val="00ED3AA2"/>
    <w:rsid w:val="00ED452E"/>
    <w:rsid w:val="00ED5086"/>
    <w:rsid w:val="00ED57C3"/>
    <w:rsid w:val="00EE5C1B"/>
    <w:rsid w:val="00EE714B"/>
    <w:rsid w:val="00EE71B1"/>
    <w:rsid w:val="00EF167D"/>
    <w:rsid w:val="00EF2AD0"/>
    <w:rsid w:val="00EF3351"/>
    <w:rsid w:val="00EF5DC4"/>
    <w:rsid w:val="00F00600"/>
    <w:rsid w:val="00F00EBF"/>
    <w:rsid w:val="00F01634"/>
    <w:rsid w:val="00F01C60"/>
    <w:rsid w:val="00F028DA"/>
    <w:rsid w:val="00F031DD"/>
    <w:rsid w:val="00F03694"/>
    <w:rsid w:val="00F0384B"/>
    <w:rsid w:val="00F05662"/>
    <w:rsid w:val="00F06232"/>
    <w:rsid w:val="00F108DB"/>
    <w:rsid w:val="00F113DF"/>
    <w:rsid w:val="00F14D52"/>
    <w:rsid w:val="00F15AEF"/>
    <w:rsid w:val="00F16124"/>
    <w:rsid w:val="00F167FB"/>
    <w:rsid w:val="00F172EA"/>
    <w:rsid w:val="00F179B8"/>
    <w:rsid w:val="00F202F1"/>
    <w:rsid w:val="00F20E58"/>
    <w:rsid w:val="00F215EF"/>
    <w:rsid w:val="00F24396"/>
    <w:rsid w:val="00F24479"/>
    <w:rsid w:val="00F24559"/>
    <w:rsid w:val="00F249F2"/>
    <w:rsid w:val="00F27DE1"/>
    <w:rsid w:val="00F30599"/>
    <w:rsid w:val="00F32E94"/>
    <w:rsid w:val="00F34149"/>
    <w:rsid w:val="00F34B8B"/>
    <w:rsid w:val="00F3502B"/>
    <w:rsid w:val="00F374C7"/>
    <w:rsid w:val="00F4074C"/>
    <w:rsid w:val="00F419A3"/>
    <w:rsid w:val="00F449F6"/>
    <w:rsid w:val="00F4538D"/>
    <w:rsid w:val="00F45C0B"/>
    <w:rsid w:val="00F522DA"/>
    <w:rsid w:val="00F5374D"/>
    <w:rsid w:val="00F5520A"/>
    <w:rsid w:val="00F5557E"/>
    <w:rsid w:val="00F5648C"/>
    <w:rsid w:val="00F61342"/>
    <w:rsid w:val="00F650FE"/>
    <w:rsid w:val="00F655F4"/>
    <w:rsid w:val="00F658C2"/>
    <w:rsid w:val="00F71D46"/>
    <w:rsid w:val="00F732FB"/>
    <w:rsid w:val="00F75E4E"/>
    <w:rsid w:val="00F76D28"/>
    <w:rsid w:val="00F776D4"/>
    <w:rsid w:val="00F778CC"/>
    <w:rsid w:val="00F80262"/>
    <w:rsid w:val="00F80755"/>
    <w:rsid w:val="00F80D15"/>
    <w:rsid w:val="00F83244"/>
    <w:rsid w:val="00F83D20"/>
    <w:rsid w:val="00F875FF"/>
    <w:rsid w:val="00F879BF"/>
    <w:rsid w:val="00F87A1A"/>
    <w:rsid w:val="00F87C8B"/>
    <w:rsid w:val="00F87F24"/>
    <w:rsid w:val="00F90A97"/>
    <w:rsid w:val="00F928D6"/>
    <w:rsid w:val="00F93684"/>
    <w:rsid w:val="00F95C09"/>
    <w:rsid w:val="00F95E97"/>
    <w:rsid w:val="00F96FEA"/>
    <w:rsid w:val="00F97217"/>
    <w:rsid w:val="00F97A30"/>
    <w:rsid w:val="00FA0442"/>
    <w:rsid w:val="00FA1046"/>
    <w:rsid w:val="00FA1335"/>
    <w:rsid w:val="00FA17BE"/>
    <w:rsid w:val="00FA31BF"/>
    <w:rsid w:val="00FA42B4"/>
    <w:rsid w:val="00FA433E"/>
    <w:rsid w:val="00FA4883"/>
    <w:rsid w:val="00FA4EF4"/>
    <w:rsid w:val="00FA5589"/>
    <w:rsid w:val="00FA5CB0"/>
    <w:rsid w:val="00FA66FF"/>
    <w:rsid w:val="00FA7993"/>
    <w:rsid w:val="00FB10B1"/>
    <w:rsid w:val="00FB1A76"/>
    <w:rsid w:val="00FB2AF5"/>
    <w:rsid w:val="00FB3294"/>
    <w:rsid w:val="00FB3A81"/>
    <w:rsid w:val="00FB57B4"/>
    <w:rsid w:val="00FB641E"/>
    <w:rsid w:val="00FB785A"/>
    <w:rsid w:val="00FC3420"/>
    <w:rsid w:val="00FC55D9"/>
    <w:rsid w:val="00FC6367"/>
    <w:rsid w:val="00FC69EF"/>
    <w:rsid w:val="00FD0DF5"/>
    <w:rsid w:val="00FD348F"/>
    <w:rsid w:val="00FD4F16"/>
    <w:rsid w:val="00FE031B"/>
    <w:rsid w:val="00FE129A"/>
    <w:rsid w:val="00FE198A"/>
    <w:rsid w:val="00FE311E"/>
    <w:rsid w:val="00FE4910"/>
    <w:rsid w:val="00FE53F7"/>
    <w:rsid w:val="00FE567F"/>
    <w:rsid w:val="00FF18C0"/>
    <w:rsid w:val="00FF21EC"/>
    <w:rsid w:val="00FF51C4"/>
    <w:rsid w:val="00FF781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43DB"/>
    <w:rPr>
      <w:rFonts w:ascii="Times New Roman" w:eastAsia="Times New Roman" w:hAnsi="Times New Roman"/>
      <w:sz w:val="24"/>
      <w:szCs w:val="24"/>
      <w:lang w:val="es-ES" w:eastAsia="es-ES"/>
    </w:rPr>
  </w:style>
  <w:style w:type="paragraph" w:styleId="Ttulo1">
    <w:name w:val="heading 1"/>
    <w:basedOn w:val="Normal"/>
    <w:next w:val="Normal"/>
    <w:link w:val="Ttulo1Car"/>
    <w:qFormat/>
    <w:rsid w:val="009B198F"/>
    <w:pPr>
      <w:keepNext/>
      <w:numPr>
        <w:numId w:val="1"/>
      </w:numPr>
      <w:outlineLvl w:val="0"/>
    </w:pPr>
    <w:rPr>
      <w:b/>
      <w:bCs/>
    </w:rPr>
  </w:style>
  <w:style w:type="paragraph" w:styleId="Ttulo2">
    <w:name w:val="heading 2"/>
    <w:basedOn w:val="Normal"/>
    <w:next w:val="Normal"/>
    <w:link w:val="Ttulo2Car"/>
    <w:qFormat/>
    <w:rsid w:val="009B198F"/>
    <w:pPr>
      <w:keepNext/>
      <w:keepLines/>
      <w:numPr>
        <w:ilvl w:val="1"/>
        <w:numId w:val="1"/>
      </w:numPr>
      <w:spacing w:before="200"/>
      <w:outlineLvl w:val="1"/>
    </w:pPr>
    <w:rPr>
      <w:rFonts w:ascii="Cambria" w:hAnsi="Cambria"/>
      <w:b/>
      <w:bCs/>
      <w:color w:val="4F81BD"/>
      <w:sz w:val="26"/>
      <w:szCs w:val="26"/>
    </w:rPr>
  </w:style>
  <w:style w:type="paragraph" w:styleId="Ttulo3">
    <w:name w:val="heading 3"/>
    <w:basedOn w:val="Normal"/>
    <w:next w:val="Normal"/>
    <w:link w:val="Ttulo3Car"/>
    <w:qFormat/>
    <w:rsid w:val="009B198F"/>
    <w:pPr>
      <w:keepNext/>
      <w:keepLines/>
      <w:numPr>
        <w:ilvl w:val="2"/>
        <w:numId w:val="1"/>
      </w:numPr>
      <w:spacing w:before="200"/>
      <w:outlineLvl w:val="2"/>
    </w:pPr>
    <w:rPr>
      <w:rFonts w:ascii="Cambria" w:hAnsi="Cambria"/>
      <w:b/>
      <w:bCs/>
      <w:color w:val="4F81BD"/>
    </w:rPr>
  </w:style>
  <w:style w:type="paragraph" w:styleId="Ttulo4">
    <w:name w:val="heading 4"/>
    <w:basedOn w:val="Normal"/>
    <w:next w:val="Normal"/>
    <w:link w:val="Ttulo4Car"/>
    <w:qFormat/>
    <w:rsid w:val="009B198F"/>
    <w:pPr>
      <w:keepNext/>
      <w:keepLines/>
      <w:numPr>
        <w:ilvl w:val="3"/>
        <w:numId w:val="1"/>
      </w:numPr>
      <w:spacing w:before="200"/>
      <w:outlineLvl w:val="3"/>
    </w:pPr>
    <w:rPr>
      <w:rFonts w:ascii="Cambria" w:hAnsi="Cambria"/>
      <w:b/>
      <w:bCs/>
      <w:i/>
      <w:iCs/>
      <w:color w:val="4F81BD"/>
    </w:rPr>
  </w:style>
  <w:style w:type="paragraph" w:styleId="Ttulo5">
    <w:name w:val="heading 5"/>
    <w:basedOn w:val="Normal"/>
    <w:next w:val="Normal"/>
    <w:link w:val="Ttulo5Car"/>
    <w:qFormat/>
    <w:rsid w:val="009B198F"/>
    <w:pPr>
      <w:keepNext/>
      <w:keepLines/>
      <w:numPr>
        <w:ilvl w:val="4"/>
        <w:numId w:val="1"/>
      </w:numPr>
      <w:spacing w:before="200"/>
      <w:outlineLvl w:val="4"/>
    </w:pPr>
    <w:rPr>
      <w:rFonts w:ascii="Cambria" w:hAnsi="Cambria"/>
      <w:color w:val="243F60"/>
    </w:rPr>
  </w:style>
  <w:style w:type="paragraph" w:styleId="Ttulo6">
    <w:name w:val="heading 6"/>
    <w:basedOn w:val="Normal"/>
    <w:next w:val="Normal"/>
    <w:link w:val="Ttulo6Car"/>
    <w:qFormat/>
    <w:rsid w:val="009B198F"/>
    <w:pPr>
      <w:keepNext/>
      <w:keepLines/>
      <w:numPr>
        <w:ilvl w:val="5"/>
        <w:numId w:val="1"/>
      </w:numPr>
      <w:spacing w:before="200"/>
      <w:outlineLvl w:val="5"/>
    </w:pPr>
    <w:rPr>
      <w:rFonts w:ascii="Cambria" w:hAnsi="Cambria"/>
      <w:i/>
      <w:iCs/>
      <w:color w:val="243F60"/>
    </w:rPr>
  </w:style>
  <w:style w:type="paragraph" w:styleId="Ttulo7">
    <w:name w:val="heading 7"/>
    <w:basedOn w:val="Normal"/>
    <w:next w:val="Normal"/>
    <w:link w:val="Ttulo7Car"/>
    <w:qFormat/>
    <w:rsid w:val="009B198F"/>
    <w:pPr>
      <w:keepNext/>
      <w:keepLines/>
      <w:numPr>
        <w:ilvl w:val="6"/>
        <w:numId w:val="1"/>
      </w:numPr>
      <w:spacing w:before="200"/>
      <w:outlineLvl w:val="6"/>
    </w:pPr>
    <w:rPr>
      <w:rFonts w:ascii="Cambria" w:hAnsi="Cambria"/>
      <w:i/>
      <w:iCs/>
      <w:color w:val="404040"/>
    </w:rPr>
  </w:style>
  <w:style w:type="paragraph" w:styleId="Ttulo8">
    <w:name w:val="heading 8"/>
    <w:basedOn w:val="Normal"/>
    <w:next w:val="Normal"/>
    <w:link w:val="Ttulo8Car"/>
    <w:qFormat/>
    <w:rsid w:val="009B198F"/>
    <w:pPr>
      <w:keepNext/>
      <w:keepLines/>
      <w:numPr>
        <w:ilvl w:val="7"/>
        <w:numId w:val="1"/>
      </w:numPr>
      <w:spacing w:before="200"/>
      <w:outlineLvl w:val="7"/>
    </w:pPr>
    <w:rPr>
      <w:rFonts w:ascii="Cambria" w:hAnsi="Cambria"/>
      <w:color w:val="404040"/>
      <w:sz w:val="20"/>
      <w:szCs w:val="20"/>
    </w:rPr>
  </w:style>
  <w:style w:type="paragraph" w:styleId="Ttulo9">
    <w:name w:val="heading 9"/>
    <w:basedOn w:val="Normal"/>
    <w:next w:val="Normal"/>
    <w:link w:val="Ttulo9Car"/>
    <w:qFormat/>
    <w:rsid w:val="009B198F"/>
    <w:pPr>
      <w:keepNext/>
      <w:keepLines/>
      <w:numPr>
        <w:ilvl w:val="8"/>
        <w:numId w:val="1"/>
      </w:numPr>
      <w:spacing w:before="200"/>
      <w:outlineLvl w:val="8"/>
    </w:pPr>
    <w:rPr>
      <w:rFonts w:ascii="Cambria"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B198F"/>
    <w:rPr>
      <w:rFonts w:ascii="Times New Roman" w:eastAsia="Times New Roman" w:hAnsi="Times New Roman"/>
      <w:b/>
      <w:bCs/>
      <w:sz w:val="24"/>
      <w:szCs w:val="24"/>
      <w:lang w:val="es-ES" w:eastAsia="es-ES"/>
    </w:rPr>
  </w:style>
  <w:style w:type="character" w:customStyle="1" w:styleId="Ttulo2Car">
    <w:name w:val="Título 2 Car"/>
    <w:link w:val="Ttulo2"/>
    <w:rsid w:val="009B198F"/>
    <w:rPr>
      <w:rFonts w:ascii="Cambria" w:eastAsia="Times New Roman" w:hAnsi="Cambria"/>
      <w:b/>
      <w:bCs/>
      <w:color w:val="4F81BD"/>
      <w:sz w:val="26"/>
      <w:szCs w:val="26"/>
      <w:lang w:val="es-ES" w:eastAsia="es-ES"/>
    </w:rPr>
  </w:style>
  <w:style w:type="character" w:customStyle="1" w:styleId="Ttulo3Car">
    <w:name w:val="Título 3 Car"/>
    <w:link w:val="Ttulo3"/>
    <w:rsid w:val="009B198F"/>
    <w:rPr>
      <w:rFonts w:ascii="Cambria" w:eastAsia="Times New Roman" w:hAnsi="Cambria"/>
      <w:b/>
      <w:bCs/>
      <w:color w:val="4F81BD"/>
      <w:sz w:val="24"/>
      <w:szCs w:val="24"/>
      <w:lang w:val="es-ES" w:eastAsia="es-ES"/>
    </w:rPr>
  </w:style>
  <w:style w:type="character" w:customStyle="1" w:styleId="Ttulo4Car">
    <w:name w:val="Título 4 Car"/>
    <w:link w:val="Ttulo4"/>
    <w:rsid w:val="009B198F"/>
    <w:rPr>
      <w:rFonts w:ascii="Cambria" w:eastAsia="Times New Roman" w:hAnsi="Cambria"/>
      <w:b/>
      <w:bCs/>
      <w:i/>
      <w:iCs/>
      <w:color w:val="4F81BD"/>
      <w:sz w:val="24"/>
      <w:szCs w:val="24"/>
      <w:lang w:val="es-ES" w:eastAsia="es-ES"/>
    </w:rPr>
  </w:style>
  <w:style w:type="character" w:customStyle="1" w:styleId="Ttulo5Car">
    <w:name w:val="Título 5 Car"/>
    <w:link w:val="Ttulo5"/>
    <w:rsid w:val="009B198F"/>
    <w:rPr>
      <w:rFonts w:ascii="Cambria" w:eastAsia="Times New Roman" w:hAnsi="Cambria"/>
      <w:color w:val="243F60"/>
      <w:sz w:val="24"/>
      <w:szCs w:val="24"/>
      <w:lang w:val="es-ES" w:eastAsia="es-ES"/>
    </w:rPr>
  </w:style>
  <w:style w:type="character" w:customStyle="1" w:styleId="Ttulo6Car">
    <w:name w:val="Título 6 Car"/>
    <w:link w:val="Ttulo6"/>
    <w:rsid w:val="009B198F"/>
    <w:rPr>
      <w:rFonts w:ascii="Cambria" w:eastAsia="Times New Roman" w:hAnsi="Cambria"/>
      <w:i/>
      <w:iCs/>
      <w:color w:val="243F60"/>
      <w:sz w:val="24"/>
      <w:szCs w:val="24"/>
      <w:lang w:val="es-ES" w:eastAsia="es-ES"/>
    </w:rPr>
  </w:style>
  <w:style w:type="character" w:customStyle="1" w:styleId="Ttulo7Car">
    <w:name w:val="Título 7 Car"/>
    <w:link w:val="Ttulo7"/>
    <w:rsid w:val="009B198F"/>
    <w:rPr>
      <w:rFonts w:ascii="Cambria" w:eastAsia="Times New Roman" w:hAnsi="Cambria"/>
      <w:i/>
      <w:iCs/>
      <w:color w:val="404040"/>
      <w:sz w:val="24"/>
      <w:szCs w:val="24"/>
      <w:lang w:val="es-ES" w:eastAsia="es-ES"/>
    </w:rPr>
  </w:style>
  <w:style w:type="character" w:customStyle="1" w:styleId="Ttulo8Car">
    <w:name w:val="Título 8 Car"/>
    <w:link w:val="Ttulo8"/>
    <w:rsid w:val="009B198F"/>
    <w:rPr>
      <w:rFonts w:ascii="Cambria" w:eastAsia="Times New Roman" w:hAnsi="Cambria"/>
      <w:color w:val="404040"/>
      <w:lang w:val="es-ES" w:eastAsia="es-ES"/>
    </w:rPr>
  </w:style>
  <w:style w:type="character" w:customStyle="1" w:styleId="Ttulo9Car">
    <w:name w:val="Título 9 Car"/>
    <w:link w:val="Ttulo9"/>
    <w:rsid w:val="009B198F"/>
    <w:rPr>
      <w:rFonts w:ascii="Cambria" w:eastAsia="Times New Roman" w:hAnsi="Cambria"/>
      <w:i/>
      <w:iCs/>
      <w:color w:val="404040"/>
      <w:lang w:val="es-ES" w:eastAsia="es-ES"/>
    </w:rPr>
  </w:style>
  <w:style w:type="paragraph" w:styleId="Encabezado">
    <w:name w:val="header"/>
    <w:basedOn w:val="Normal"/>
    <w:link w:val="EncabezadoCar"/>
    <w:uiPriority w:val="99"/>
    <w:rsid w:val="009B198F"/>
    <w:pPr>
      <w:tabs>
        <w:tab w:val="center" w:pos="4252"/>
        <w:tab w:val="right" w:pos="8504"/>
      </w:tabs>
    </w:pPr>
  </w:style>
  <w:style w:type="character" w:customStyle="1" w:styleId="EncabezadoCar">
    <w:name w:val="Encabezado Car"/>
    <w:link w:val="Encabezado"/>
    <w:uiPriority w:val="99"/>
    <w:rsid w:val="009B198F"/>
    <w:rPr>
      <w:rFonts w:ascii="Times New Roman" w:eastAsia="Times New Roman" w:hAnsi="Times New Roman" w:cs="Times New Roman"/>
      <w:sz w:val="24"/>
      <w:szCs w:val="24"/>
    </w:rPr>
  </w:style>
  <w:style w:type="character" w:styleId="Nmerodepgina">
    <w:name w:val="page number"/>
    <w:basedOn w:val="Fuentedeprrafopredeter"/>
    <w:rsid w:val="009B198F"/>
  </w:style>
  <w:style w:type="paragraph" w:customStyle="1" w:styleId="ListParagraph1">
    <w:name w:val="List Paragraph1"/>
    <w:basedOn w:val="Normal"/>
    <w:rsid w:val="009B198F"/>
    <w:pPr>
      <w:ind w:left="720"/>
    </w:pPr>
  </w:style>
  <w:style w:type="paragraph" w:customStyle="1" w:styleId="Prrafodelista1">
    <w:name w:val="Párrafo de lista1"/>
    <w:basedOn w:val="Normal"/>
    <w:uiPriority w:val="34"/>
    <w:qFormat/>
    <w:rsid w:val="009B198F"/>
    <w:pPr>
      <w:ind w:left="708"/>
    </w:pPr>
    <w:rPr>
      <w:rFonts w:eastAsia="Calibri"/>
    </w:rPr>
  </w:style>
  <w:style w:type="paragraph" w:styleId="Prrafodelista">
    <w:name w:val="List Paragraph"/>
    <w:aliases w:val="Párrafo de lista 2"/>
    <w:basedOn w:val="Normal"/>
    <w:link w:val="PrrafodelistaCar"/>
    <w:uiPriority w:val="34"/>
    <w:qFormat/>
    <w:rsid w:val="009B198F"/>
    <w:pPr>
      <w:ind w:left="708"/>
    </w:pPr>
  </w:style>
  <w:style w:type="character" w:customStyle="1" w:styleId="PrrafodelistaCar">
    <w:name w:val="Párrafo de lista Car"/>
    <w:aliases w:val="Párrafo de lista 2 Car"/>
    <w:link w:val="Prrafodelista"/>
    <w:uiPriority w:val="34"/>
    <w:rsid w:val="005A6477"/>
    <w:rPr>
      <w:rFonts w:ascii="Times New Roman" w:eastAsia="Times New Roman" w:hAnsi="Times New Roman"/>
      <w:sz w:val="24"/>
      <w:szCs w:val="24"/>
      <w:lang w:val="es-ES" w:eastAsia="es-ES"/>
    </w:rPr>
  </w:style>
  <w:style w:type="paragraph" w:styleId="Textodeglobo">
    <w:name w:val="Balloon Text"/>
    <w:basedOn w:val="Normal"/>
    <w:link w:val="TextodegloboCar"/>
    <w:uiPriority w:val="99"/>
    <w:unhideWhenUsed/>
    <w:rsid w:val="00BF318F"/>
    <w:rPr>
      <w:rFonts w:ascii="Tahoma" w:hAnsi="Tahoma" w:cs="Tahoma"/>
      <w:sz w:val="16"/>
      <w:szCs w:val="16"/>
    </w:rPr>
  </w:style>
  <w:style w:type="character" w:customStyle="1" w:styleId="TextodegloboCar">
    <w:name w:val="Texto de globo Car"/>
    <w:link w:val="Textodeglobo"/>
    <w:uiPriority w:val="99"/>
    <w:rsid w:val="00BF318F"/>
    <w:rPr>
      <w:rFonts w:ascii="Tahoma" w:eastAsia="Times New Roman" w:hAnsi="Tahoma" w:cs="Tahoma"/>
      <w:sz w:val="16"/>
      <w:szCs w:val="16"/>
      <w:lang w:val="es-ES" w:eastAsia="es-ES"/>
    </w:rPr>
  </w:style>
  <w:style w:type="paragraph" w:styleId="Textonotapie">
    <w:name w:val="footnote text"/>
    <w:aliases w:val="Texto nota pie Car Car Car Car Car Car,Texto nota pie Car Car Car Car Car Car Car,Texto nota pie Car Car Car Car Car Car Ca,ft,ft Car,ft Car Car,Texto nota pie2,ft1,ft Car Car Car1,Texto nota pie Car2,ft Car Car2,ft Car Car Car,fn"/>
    <w:basedOn w:val="Normal"/>
    <w:link w:val="TextonotapieCar"/>
    <w:uiPriority w:val="99"/>
    <w:rsid w:val="00BF318F"/>
    <w:rPr>
      <w:sz w:val="20"/>
      <w:szCs w:val="20"/>
    </w:rPr>
  </w:style>
  <w:style w:type="character" w:customStyle="1" w:styleId="TextonotapieCar">
    <w:name w:val="Texto nota pie Car"/>
    <w:aliases w:val="Texto nota pie Car Car Car Car Car Car Car1,Texto nota pie Car Car Car Car Car Car Car Car,Texto nota pie Car Car Car Car Car Car Ca Car,ft Car1,ft Car Car1,ft Car Car Car2,Texto nota pie2 Car,ft1 Car,ft Car Car Car1 Car,fn Car"/>
    <w:link w:val="Textonotapie"/>
    <w:uiPriority w:val="99"/>
    <w:rsid w:val="00BF318F"/>
    <w:rPr>
      <w:rFonts w:ascii="Times New Roman" w:eastAsia="Times New Roman" w:hAnsi="Times New Roman" w:cs="Times New Roman"/>
      <w:sz w:val="20"/>
      <w:szCs w:val="20"/>
      <w:lang w:val="es-ES" w:eastAsia="es-ES"/>
    </w:rPr>
  </w:style>
  <w:style w:type="character" w:styleId="Refdenotaalpie">
    <w:name w:val="footnote reference"/>
    <w:uiPriority w:val="99"/>
    <w:rsid w:val="00BF318F"/>
    <w:rPr>
      <w:vertAlign w:val="superscript"/>
    </w:rPr>
  </w:style>
  <w:style w:type="paragraph" w:customStyle="1" w:styleId="Default">
    <w:name w:val="Default"/>
    <w:rsid w:val="00BF318F"/>
    <w:pPr>
      <w:widowControl w:val="0"/>
      <w:autoSpaceDE w:val="0"/>
      <w:autoSpaceDN w:val="0"/>
      <w:adjustRightInd w:val="0"/>
    </w:pPr>
    <w:rPr>
      <w:rFonts w:ascii="Felix Titling" w:eastAsia="Times New Roman" w:hAnsi="Felix Titling" w:cs="Felix Titling"/>
      <w:color w:val="000000"/>
      <w:sz w:val="24"/>
      <w:szCs w:val="24"/>
      <w:lang w:val="es-ES" w:eastAsia="es-ES"/>
    </w:rPr>
  </w:style>
  <w:style w:type="paragraph" w:customStyle="1" w:styleId="CM49">
    <w:name w:val="CM49"/>
    <w:basedOn w:val="Default"/>
    <w:next w:val="Default"/>
    <w:uiPriority w:val="99"/>
    <w:rsid w:val="006C7AF9"/>
    <w:pPr>
      <w:spacing w:after="105"/>
    </w:pPr>
    <w:rPr>
      <w:rFonts w:cs="Times New Roman"/>
      <w:color w:val="auto"/>
    </w:rPr>
  </w:style>
  <w:style w:type="table" w:styleId="Tablaconcuadrcula">
    <w:name w:val="Table Grid"/>
    <w:basedOn w:val="Tablanormal"/>
    <w:uiPriority w:val="59"/>
    <w:rsid w:val="001B07B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link w:val="PiedepginaCar"/>
    <w:uiPriority w:val="99"/>
    <w:unhideWhenUsed/>
    <w:rsid w:val="00EB2FBA"/>
    <w:pPr>
      <w:pBdr>
        <w:top w:val="thinThickSmallGap" w:sz="24" w:space="1" w:color="585858"/>
      </w:pBdr>
      <w:tabs>
        <w:tab w:val="center" w:pos="4419"/>
        <w:tab w:val="right" w:pos="8838"/>
      </w:tabs>
    </w:pPr>
    <w:rPr>
      <w:rFonts w:ascii="Constantia" w:hAnsi="Constantia"/>
    </w:rPr>
  </w:style>
  <w:style w:type="character" w:customStyle="1" w:styleId="PiedepginaCar">
    <w:name w:val="Pie de página Car"/>
    <w:link w:val="Piedepgina"/>
    <w:uiPriority w:val="99"/>
    <w:rsid w:val="00EB2FBA"/>
    <w:rPr>
      <w:rFonts w:ascii="Constantia" w:eastAsia="Times New Roman" w:hAnsi="Constantia" w:cs="Times New Roman"/>
      <w:sz w:val="24"/>
      <w:szCs w:val="24"/>
      <w:lang w:val="es-ES" w:eastAsia="es-ES"/>
    </w:rPr>
  </w:style>
  <w:style w:type="character" w:styleId="Textoennegrita">
    <w:name w:val="Strong"/>
    <w:uiPriority w:val="22"/>
    <w:qFormat/>
    <w:rsid w:val="00534E33"/>
    <w:rPr>
      <w:b/>
      <w:bCs/>
    </w:rPr>
  </w:style>
  <w:style w:type="character" w:styleId="Hipervnculo">
    <w:name w:val="Hyperlink"/>
    <w:uiPriority w:val="99"/>
    <w:unhideWhenUsed/>
    <w:rsid w:val="00A34A28"/>
    <w:rPr>
      <w:color w:val="0000FF"/>
      <w:u w:val="single"/>
    </w:rPr>
  </w:style>
  <w:style w:type="character" w:styleId="Hipervnculovisitado">
    <w:name w:val="FollowedHyperlink"/>
    <w:uiPriority w:val="99"/>
    <w:semiHidden/>
    <w:unhideWhenUsed/>
    <w:rsid w:val="009F7DEF"/>
    <w:rPr>
      <w:color w:val="800080"/>
      <w:u w:val="single"/>
    </w:rPr>
  </w:style>
  <w:style w:type="paragraph" w:styleId="NormalWeb">
    <w:name w:val="Normal (Web)"/>
    <w:basedOn w:val="Normal"/>
    <w:uiPriority w:val="99"/>
    <w:semiHidden/>
    <w:unhideWhenUsed/>
    <w:rsid w:val="000520A7"/>
    <w:pPr>
      <w:spacing w:before="100" w:beforeAutospacing="1" w:after="100" w:afterAutospacing="1"/>
    </w:pPr>
    <w:rPr>
      <w:lang w:val="es-GT" w:eastAsia="es-GT"/>
    </w:rPr>
  </w:style>
  <w:style w:type="paragraph" w:styleId="Sinespaciado">
    <w:name w:val="No Spacing"/>
    <w:link w:val="SinespaciadoCar"/>
    <w:uiPriority w:val="1"/>
    <w:qFormat/>
    <w:rsid w:val="00C7413E"/>
    <w:rPr>
      <w:rFonts w:ascii="Constantia" w:eastAsia="Times New Roman" w:hAnsi="Constantia"/>
      <w:sz w:val="24"/>
      <w:szCs w:val="24"/>
      <w:lang w:val="es-ES_tradnl" w:eastAsia="ja-JP"/>
    </w:rPr>
  </w:style>
  <w:style w:type="character" w:customStyle="1" w:styleId="SinespaciadoCar">
    <w:name w:val="Sin espaciado Car"/>
    <w:basedOn w:val="Fuentedeprrafopredeter"/>
    <w:link w:val="Sinespaciado"/>
    <w:uiPriority w:val="1"/>
    <w:locked/>
    <w:rsid w:val="005B1AE1"/>
    <w:rPr>
      <w:rFonts w:ascii="Constantia" w:eastAsia="Times New Roman" w:hAnsi="Constantia"/>
      <w:sz w:val="24"/>
      <w:szCs w:val="24"/>
      <w:lang w:val="es-ES_tradnl" w:eastAsia="ja-JP"/>
    </w:rPr>
  </w:style>
  <w:style w:type="paragraph" w:styleId="TtulodeTDC">
    <w:name w:val="TOC Heading"/>
    <w:basedOn w:val="Ttulo1"/>
    <w:next w:val="Normal"/>
    <w:uiPriority w:val="39"/>
    <w:unhideWhenUsed/>
    <w:qFormat/>
    <w:rsid w:val="00D61558"/>
    <w:pPr>
      <w:keepLines/>
      <w:numPr>
        <w:numId w:val="0"/>
      </w:numPr>
      <w:spacing w:before="480" w:line="276" w:lineRule="auto"/>
      <w:outlineLvl w:val="9"/>
    </w:pPr>
    <w:rPr>
      <w:rFonts w:ascii="Constantia" w:hAnsi="Constantia"/>
      <w:color w:val="A5A5A5"/>
      <w:sz w:val="28"/>
      <w:szCs w:val="28"/>
      <w:lang w:val="es-GT" w:eastAsia="es-GT"/>
    </w:rPr>
  </w:style>
  <w:style w:type="paragraph" w:styleId="TDC1">
    <w:name w:val="toc 1"/>
    <w:basedOn w:val="Normal"/>
    <w:next w:val="Normal"/>
    <w:autoRedefine/>
    <w:uiPriority w:val="39"/>
    <w:unhideWhenUsed/>
    <w:rsid w:val="00383CA7"/>
    <w:pPr>
      <w:tabs>
        <w:tab w:val="left" w:pos="480"/>
        <w:tab w:val="right" w:leader="dot" w:pos="9062"/>
      </w:tabs>
      <w:spacing w:after="100"/>
      <w:jc w:val="both"/>
    </w:pPr>
  </w:style>
  <w:style w:type="paragraph" w:styleId="TDC2">
    <w:name w:val="toc 2"/>
    <w:basedOn w:val="Normal"/>
    <w:next w:val="Normal"/>
    <w:autoRedefine/>
    <w:uiPriority w:val="39"/>
    <w:unhideWhenUsed/>
    <w:rsid w:val="00AB0496"/>
    <w:pPr>
      <w:tabs>
        <w:tab w:val="left" w:pos="880"/>
        <w:tab w:val="right" w:leader="dot" w:pos="9072"/>
      </w:tabs>
      <w:spacing w:after="100"/>
      <w:ind w:left="240"/>
      <w:jc w:val="both"/>
    </w:pPr>
  </w:style>
  <w:style w:type="paragraph" w:styleId="TDC3">
    <w:name w:val="toc 3"/>
    <w:basedOn w:val="Normal"/>
    <w:next w:val="Normal"/>
    <w:autoRedefine/>
    <w:uiPriority w:val="39"/>
    <w:unhideWhenUsed/>
    <w:rsid w:val="004F48BD"/>
    <w:pPr>
      <w:tabs>
        <w:tab w:val="left" w:pos="1100"/>
        <w:tab w:val="right" w:leader="dot" w:pos="9062"/>
      </w:tabs>
      <w:spacing w:after="100"/>
      <w:ind w:left="480"/>
      <w:jc w:val="both"/>
    </w:pPr>
  </w:style>
  <w:style w:type="character" w:styleId="Refdecomentario">
    <w:name w:val="annotation reference"/>
    <w:uiPriority w:val="99"/>
    <w:semiHidden/>
    <w:unhideWhenUsed/>
    <w:rsid w:val="00B372A0"/>
    <w:rPr>
      <w:sz w:val="16"/>
      <w:szCs w:val="16"/>
    </w:rPr>
  </w:style>
  <w:style w:type="paragraph" w:styleId="Textocomentario">
    <w:name w:val="annotation text"/>
    <w:basedOn w:val="Normal"/>
    <w:link w:val="TextocomentarioCar"/>
    <w:uiPriority w:val="99"/>
    <w:semiHidden/>
    <w:unhideWhenUsed/>
    <w:rsid w:val="00B372A0"/>
    <w:rPr>
      <w:sz w:val="20"/>
      <w:szCs w:val="20"/>
    </w:rPr>
  </w:style>
  <w:style w:type="character" w:customStyle="1" w:styleId="TextocomentarioCar">
    <w:name w:val="Texto comentario Car"/>
    <w:link w:val="Textocomentario"/>
    <w:uiPriority w:val="99"/>
    <w:semiHidden/>
    <w:rsid w:val="00B372A0"/>
    <w:rPr>
      <w:rFonts w:ascii="Times New Roman" w:eastAsia="Times New Roman" w:hAnsi="Times New Roman"/>
      <w:lang w:val="es-ES" w:eastAsia="es-ES"/>
    </w:rPr>
  </w:style>
  <w:style w:type="paragraph" w:styleId="Asuntodelcomentario">
    <w:name w:val="annotation subject"/>
    <w:basedOn w:val="Textocomentario"/>
    <w:next w:val="Textocomentario"/>
    <w:link w:val="AsuntodelcomentarioCar"/>
    <w:uiPriority w:val="99"/>
    <w:semiHidden/>
    <w:unhideWhenUsed/>
    <w:rsid w:val="00B372A0"/>
    <w:rPr>
      <w:b/>
      <w:bCs/>
    </w:rPr>
  </w:style>
  <w:style w:type="character" w:customStyle="1" w:styleId="AsuntodelcomentarioCar">
    <w:name w:val="Asunto del comentario Car"/>
    <w:link w:val="Asuntodelcomentario"/>
    <w:uiPriority w:val="99"/>
    <w:semiHidden/>
    <w:rsid w:val="00B372A0"/>
    <w:rPr>
      <w:rFonts w:ascii="Times New Roman" w:eastAsia="Times New Roman" w:hAnsi="Times New Roman"/>
      <w:b/>
      <w:bCs/>
      <w:lang w:val="es-ES" w:eastAsia="es-ES"/>
    </w:rPr>
  </w:style>
  <w:style w:type="table" w:customStyle="1" w:styleId="Listamedia2-nfasis11">
    <w:name w:val="Lista media 2 - Énfasis 11"/>
    <w:basedOn w:val="Tablanormal"/>
    <w:uiPriority w:val="66"/>
    <w:rsid w:val="0085525B"/>
    <w:rPr>
      <w:rFonts w:ascii="Cambria" w:eastAsia="Times New Roman" w:hAnsi="Cambria"/>
      <w:color w:val="000000"/>
      <w:sz w:val="22"/>
      <w:szCs w:val="22"/>
      <w:lang w:val="es-E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Listamedia2-nfasis1">
    <w:name w:val="Medium List 2 Accent 1"/>
    <w:basedOn w:val="Tablanormal"/>
    <w:uiPriority w:val="66"/>
    <w:rsid w:val="0085525B"/>
    <w:rPr>
      <w:rFonts w:ascii="Constantia" w:eastAsia="Times New Roman" w:hAnsi="Constantia"/>
      <w:color w:val="000000"/>
    </w:rPr>
    <w:tblPr>
      <w:tblStyleRowBandSize w:val="1"/>
      <w:tblStyleColBandSize w:val="1"/>
      <w:tblInd w:w="0" w:type="dxa"/>
      <w:tblBorders>
        <w:top w:val="single" w:sz="8" w:space="0" w:color="DDDDDD"/>
        <w:left w:val="single" w:sz="8" w:space="0" w:color="DDDDDD"/>
        <w:bottom w:val="single" w:sz="8" w:space="0" w:color="DDDDDD"/>
        <w:right w:val="single" w:sz="8" w:space="0" w:color="DDDDDD"/>
      </w:tblBorders>
      <w:tblCellMar>
        <w:top w:w="0" w:type="dxa"/>
        <w:left w:w="108" w:type="dxa"/>
        <w:bottom w:w="0" w:type="dxa"/>
        <w:right w:w="108" w:type="dxa"/>
      </w:tblCellMar>
    </w:tblPr>
    <w:tblStylePr w:type="firstRow">
      <w:rPr>
        <w:sz w:val="24"/>
        <w:szCs w:val="24"/>
      </w:rPr>
      <w:tblPr/>
      <w:tcPr>
        <w:tcBorders>
          <w:top w:val="nil"/>
          <w:left w:val="nil"/>
          <w:bottom w:val="single" w:sz="24" w:space="0" w:color="DDDDDD"/>
          <w:right w:val="nil"/>
          <w:insideH w:val="nil"/>
          <w:insideV w:val="nil"/>
        </w:tcBorders>
        <w:shd w:val="clear" w:color="auto" w:fill="FFFFFF"/>
      </w:tcPr>
    </w:tblStylePr>
    <w:tblStylePr w:type="lastRow">
      <w:tblPr/>
      <w:tcPr>
        <w:tcBorders>
          <w:top w:val="single" w:sz="8" w:space="0" w:color="DDDDDD"/>
          <w:left w:val="nil"/>
          <w:bottom w:val="nil"/>
          <w:right w:val="nil"/>
          <w:insideH w:val="nil"/>
          <w:insideV w:val="nil"/>
        </w:tcBorders>
        <w:shd w:val="clear" w:color="auto" w:fill="FFFFFF"/>
      </w:tcPr>
    </w:tblStylePr>
    <w:tblStylePr w:type="firstCol">
      <w:tblPr/>
      <w:tcPr>
        <w:tcBorders>
          <w:top w:val="nil"/>
          <w:left w:val="nil"/>
          <w:bottom w:val="nil"/>
          <w:right w:val="single" w:sz="8" w:space="0" w:color="DDDDDD"/>
          <w:insideH w:val="nil"/>
          <w:insideV w:val="nil"/>
        </w:tcBorders>
        <w:shd w:val="clear" w:color="auto" w:fill="FFFFFF"/>
      </w:tcPr>
    </w:tblStylePr>
    <w:tblStylePr w:type="lastCol">
      <w:tblPr/>
      <w:tcPr>
        <w:tcBorders>
          <w:top w:val="nil"/>
          <w:left w:val="single" w:sz="8" w:space="0" w:color="DDDDD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6F6F6"/>
      </w:tcPr>
    </w:tblStylePr>
    <w:tblStylePr w:type="band1Horz">
      <w:tblPr/>
      <w:tcPr>
        <w:tcBorders>
          <w:top w:val="nil"/>
          <w:bottom w:val="nil"/>
          <w:insideH w:val="nil"/>
          <w:insideV w:val="nil"/>
        </w:tcBorders>
        <w:shd w:val="clear" w:color="auto" w:fill="F6F6F6"/>
      </w:tcPr>
    </w:tblStylePr>
    <w:tblStylePr w:type="nwCell">
      <w:tblPr/>
      <w:tcPr>
        <w:shd w:val="clear" w:color="auto" w:fill="FFFFFF"/>
      </w:tcPr>
    </w:tblStylePr>
    <w:tblStylePr w:type="swCell">
      <w:tblPr/>
      <w:tcPr>
        <w:tcBorders>
          <w:top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43DB"/>
    <w:rPr>
      <w:rFonts w:ascii="Times New Roman" w:eastAsia="Times New Roman" w:hAnsi="Times New Roman"/>
      <w:sz w:val="24"/>
      <w:szCs w:val="24"/>
      <w:lang w:val="es-ES" w:eastAsia="es-ES"/>
    </w:rPr>
  </w:style>
  <w:style w:type="paragraph" w:styleId="Ttulo1">
    <w:name w:val="heading 1"/>
    <w:basedOn w:val="Normal"/>
    <w:next w:val="Normal"/>
    <w:link w:val="Ttulo1Car"/>
    <w:qFormat/>
    <w:rsid w:val="009B198F"/>
    <w:pPr>
      <w:keepNext/>
      <w:numPr>
        <w:numId w:val="1"/>
      </w:numPr>
      <w:outlineLvl w:val="0"/>
    </w:pPr>
    <w:rPr>
      <w:b/>
      <w:bCs/>
    </w:rPr>
  </w:style>
  <w:style w:type="paragraph" w:styleId="Ttulo2">
    <w:name w:val="heading 2"/>
    <w:basedOn w:val="Normal"/>
    <w:next w:val="Normal"/>
    <w:link w:val="Ttulo2Car"/>
    <w:qFormat/>
    <w:rsid w:val="009B198F"/>
    <w:pPr>
      <w:keepNext/>
      <w:keepLines/>
      <w:numPr>
        <w:ilvl w:val="1"/>
        <w:numId w:val="1"/>
      </w:numPr>
      <w:spacing w:before="200"/>
      <w:outlineLvl w:val="1"/>
    </w:pPr>
    <w:rPr>
      <w:rFonts w:ascii="Cambria" w:hAnsi="Cambria"/>
      <w:b/>
      <w:bCs/>
      <w:color w:val="4F81BD"/>
      <w:sz w:val="26"/>
      <w:szCs w:val="26"/>
    </w:rPr>
  </w:style>
  <w:style w:type="paragraph" w:styleId="Ttulo3">
    <w:name w:val="heading 3"/>
    <w:basedOn w:val="Normal"/>
    <w:next w:val="Normal"/>
    <w:link w:val="Ttulo3Car"/>
    <w:qFormat/>
    <w:rsid w:val="009B198F"/>
    <w:pPr>
      <w:keepNext/>
      <w:keepLines/>
      <w:numPr>
        <w:ilvl w:val="2"/>
        <w:numId w:val="1"/>
      </w:numPr>
      <w:spacing w:before="200"/>
      <w:outlineLvl w:val="2"/>
    </w:pPr>
    <w:rPr>
      <w:rFonts w:ascii="Cambria" w:hAnsi="Cambria"/>
      <w:b/>
      <w:bCs/>
      <w:color w:val="4F81BD"/>
    </w:rPr>
  </w:style>
  <w:style w:type="paragraph" w:styleId="Ttulo4">
    <w:name w:val="heading 4"/>
    <w:basedOn w:val="Normal"/>
    <w:next w:val="Normal"/>
    <w:link w:val="Ttulo4Car"/>
    <w:qFormat/>
    <w:rsid w:val="009B198F"/>
    <w:pPr>
      <w:keepNext/>
      <w:keepLines/>
      <w:numPr>
        <w:ilvl w:val="3"/>
        <w:numId w:val="1"/>
      </w:numPr>
      <w:spacing w:before="200"/>
      <w:outlineLvl w:val="3"/>
    </w:pPr>
    <w:rPr>
      <w:rFonts w:ascii="Cambria" w:hAnsi="Cambria"/>
      <w:b/>
      <w:bCs/>
      <w:i/>
      <w:iCs/>
      <w:color w:val="4F81BD"/>
    </w:rPr>
  </w:style>
  <w:style w:type="paragraph" w:styleId="Ttulo5">
    <w:name w:val="heading 5"/>
    <w:basedOn w:val="Normal"/>
    <w:next w:val="Normal"/>
    <w:link w:val="Ttulo5Car"/>
    <w:qFormat/>
    <w:rsid w:val="009B198F"/>
    <w:pPr>
      <w:keepNext/>
      <w:keepLines/>
      <w:numPr>
        <w:ilvl w:val="4"/>
        <w:numId w:val="1"/>
      </w:numPr>
      <w:spacing w:before="200"/>
      <w:outlineLvl w:val="4"/>
    </w:pPr>
    <w:rPr>
      <w:rFonts w:ascii="Cambria" w:hAnsi="Cambria"/>
      <w:color w:val="243F60"/>
    </w:rPr>
  </w:style>
  <w:style w:type="paragraph" w:styleId="Ttulo6">
    <w:name w:val="heading 6"/>
    <w:basedOn w:val="Normal"/>
    <w:next w:val="Normal"/>
    <w:link w:val="Ttulo6Car"/>
    <w:qFormat/>
    <w:rsid w:val="009B198F"/>
    <w:pPr>
      <w:keepNext/>
      <w:keepLines/>
      <w:numPr>
        <w:ilvl w:val="5"/>
        <w:numId w:val="1"/>
      </w:numPr>
      <w:spacing w:before="200"/>
      <w:outlineLvl w:val="5"/>
    </w:pPr>
    <w:rPr>
      <w:rFonts w:ascii="Cambria" w:hAnsi="Cambria"/>
      <w:i/>
      <w:iCs/>
      <w:color w:val="243F60"/>
    </w:rPr>
  </w:style>
  <w:style w:type="paragraph" w:styleId="Ttulo7">
    <w:name w:val="heading 7"/>
    <w:basedOn w:val="Normal"/>
    <w:next w:val="Normal"/>
    <w:link w:val="Ttulo7Car"/>
    <w:qFormat/>
    <w:rsid w:val="009B198F"/>
    <w:pPr>
      <w:keepNext/>
      <w:keepLines/>
      <w:numPr>
        <w:ilvl w:val="6"/>
        <w:numId w:val="1"/>
      </w:numPr>
      <w:spacing w:before="200"/>
      <w:outlineLvl w:val="6"/>
    </w:pPr>
    <w:rPr>
      <w:rFonts w:ascii="Cambria" w:hAnsi="Cambria"/>
      <w:i/>
      <w:iCs/>
      <w:color w:val="404040"/>
    </w:rPr>
  </w:style>
  <w:style w:type="paragraph" w:styleId="Ttulo8">
    <w:name w:val="heading 8"/>
    <w:basedOn w:val="Normal"/>
    <w:next w:val="Normal"/>
    <w:link w:val="Ttulo8Car"/>
    <w:qFormat/>
    <w:rsid w:val="009B198F"/>
    <w:pPr>
      <w:keepNext/>
      <w:keepLines/>
      <w:numPr>
        <w:ilvl w:val="7"/>
        <w:numId w:val="1"/>
      </w:numPr>
      <w:spacing w:before="200"/>
      <w:outlineLvl w:val="7"/>
    </w:pPr>
    <w:rPr>
      <w:rFonts w:ascii="Cambria" w:hAnsi="Cambria"/>
      <w:color w:val="404040"/>
      <w:sz w:val="20"/>
      <w:szCs w:val="20"/>
    </w:rPr>
  </w:style>
  <w:style w:type="paragraph" w:styleId="Ttulo9">
    <w:name w:val="heading 9"/>
    <w:basedOn w:val="Normal"/>
    <w:next w:val="Normal"/>
    <w:link w:val="Ttulo9Car"/>
    <w:qFormat/>
    <w:rsid w:val="009B198F"/>
    <w:pPr>
      <w:keepNext/>
      <w:keepLines/>
      <w:numPr>
        <w:ilvl w:val="8"/>
        <w:numId w:val="1"/>
      </w:numPr>
      <w:spacing w:before="200"/>
      <w:outlineLvl w:val="8"/>
    </w:pPr>
    <w:rPr>
      <w:rFonts w:ascii="Cambria"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B198F"/>
    <w:rPr>
      <w:rFonts w:ascii="Times New Roman" w:eastAsia="Times New Roman" w:hAnsi="Times New Roman"/>
      <w:b/>
      <w:bCs/>
      <w:sz w:val="24"/>
      <w:szCs w:val="24"/>
      <w:lang w:val="es-ES" w:eastAsia="es-ES"/>
    </w:rPr>
  </w:style>
  <w:style w:type="character" w:customStyle="1" w:styleId="Ttulo2Car">
    <w:name w:val="Título 2 Car"/>
    <w:link w:val="Ttulo2"/>
    <w:rsid w:val="009B198F"/>
    <w:rPr>
      <w:rFonts w:ascii="Cambria" w:eastAsia="Times New Roman" w:hAnsi="Cambria"/>
      <w:b/>
      <w:bCs/>
      <w:color w:val="4F81BD"/>
      <w:sz w:val="26"/>
      <w:szCs w:val="26"/>
      <w:lang w:val="es-ES" w:eastAsia="es-ES"/>
    </w:rPr>
  </w:style>
  <w:style w:type="character" w:customStyle="1" w:styleId="Ttulo3Car">
    <w:name w:val="Título 3 Car"/>
    <w:link w:val="Ttulo3"/>
    <w:rsid w:val="009B198F"/>
    <w:rPr>
      <w:rFonts w:ascii="Cambria" w:eastAsia="Times New Roman" w:hAnsi="Cambria"/>
      <w:b/>
      <w:bCs/>
      <w:color w:val="4F81BD"/>
      <w:sz w:val="24"/>
      <w:szCs w:val="24"/>
      <w:lang w:val="es-ES" w:eastAsia="es-ES"/>
    </w:rPr>
  </w:style>
  <w:style w:type="character" w:customStyle="1" w:styleId="Ttulo4Car">
    <w:name w:val="Título 4 Car"/>
    <w:link w:val="Ttulo4"/>
    <w:rsid w:val="009B198F"/>
    <w:rPr>
      <w:rFonts w:ascii="Cambria" w:eastAsia="Times New Roman" w:hAnsi="Cambria"/>
      <w:b/>
      <w:bCs/>
      <w:i/>
      <w:iCs/>
      <w:color w:val="4F81BD"/>
      <w:sz w:val="24"/>
      <w:szCs w:val="24"/>
      <w:lang w:val="es-ES" w:eastAsia="es-ES"/>
    </w:rPr>
  </w:style>
  <w:style w:type="character" w:customStyle="1" w:styleId="Ttulo5Car">
    <w:name w:val="Título 5 Car"/>
    <w:link w:val="Ttulo5"/>
    <w:rsid w:val="009B198F"/>
    <w:rPr>
      <w:rFonts w:ascii="Cambria" w:eastAsia="Times New Roman" w:hAnsi="Cambria"/>
      <w:color w:val="243F60"/>
      <w:sz w:val="24"/>
      <w:szCs w:val="24"/>
      <w:lang w:val="es-ES" w:eastAsia="es-ES"/>
    </w:rPr>
  </w:style>
  <w:style w:type="character" w:customStyle="1" w:styleId="Ttulo6Car">
    <w:name w:val="Título 6 Car"/>
    <w:link w:val="Ttulo6"/>
    <w:rsid w:val="009B198F"/>
    <w:rPr>
      <w:rFonts w:ascii="Cambria" w:eastAsia="Times New Roman" w:hAnsi="Cambria"/>
      <w:i/>
      <w:iCs/>
      <w:color w:val="243F60"/>
      <w:sz w:val="24"/>
      <w:szCs w:val="24"/>
      <w:lang w:val="es-ES" w:eastAsia="es-ES"/>
    </w:rPr>
  </w:style>
  <w:style w:type="character" w:customStyle="1" w:styleId="Ttulo7Car">
    <w:name w:val="Título 7 Car"/>
    <w:link w:val="Ttulo7"/>
    <w:rsid w:val="009B198F"/>
    <w:rPr>
      <w:rFonts w:ascii="Cambria" w:eastAsia="Times New Roman" w:hAnsi="Cambria"/>
      <w:i/>
      <w:iCs/>
      <w:color w:val="404040"/>
      <w:sz w:val="24"/>
      <w:szCs w:val="24"/>
      <w:lang w:val="es-ES" w:eastAsia="es-ES"/>
    </w:rPr>
  </w:style>
  <w:style w:type="character" w:customStyle="1" w:styleId="Ttulo8Car">
    <w:name w:val="Título 8 Car"/>
    <w:link w:val="Ttulo8"/>
    <w:rsid w:val="009B198F"/>
    <w:rPr>
      <w:rFonts w:ascii="Cambria" w:eastAsia="Times New Roman" w:hAnsi="Cambria"/>
      <w:color w:val="404040"/>
      <w:lang w:val="es-ES" w:eastAsia="es-ES"/>
    </w:rPr>
  </w:style>
  <w:style w:type="character" w:customStyle="1" w:styleId="Ttulo9Car">
    <w:name w:val="Título 9 Car"/>
    <w:link w:val="Ttulo9"/>
    <w:rsid w:val="009B198F"/>
    <w:rPr>
      <w:rFonts w:ascii="Cambria" w:eastAsia="Times New Roman" w:hAnsi="Cambria"/>
      <w:i/>
      <w:iCs/>
      <w:color w:val="404040"/>
      <w:lang w:val="es-ES" w:eastAsia="es-ES"/>
    </w:rPr>
  </w:style>
  <w:style w:type="paragraph" w:styleId="Encabezado">
    <w:name w:val="header"/>
    <w:basedOn w:val="Normal"/>
    <w:link w:val="EncabezadoCar"/>
    <w:uiPriority w:val="99"/>
    <w:rsid w:val="009B198F"/>
    <w:pPr>
      <w:tabs>
        <w:tab w:val="center" w:pos="4252"/>
        <w:tab w:val="right" w:pos="8504"/>
      </w:tabs>
    </w:pPr>
  </w:style>
  <w:style w:type="character" w:customStyle="1" w:styleId="EncabezadoCar">
    <w:name w:val="Encabezado Car"/>
    <w:link w:val="Encabezado"/>
    <w:uiPriority w:val="99"/>
    <w:rsid w:val="009B198F"/>
    <w:rPr>
      <w:rFonts w:ascii="Times New Roman" w:eastAsia="Times New Roman" w:hAnsi="Times New Roman" w:cs="Times New Roman"/>
      <w:sz w:val="24"/>
      <w:szCs w:val="24"/>
    </w:rPr>
  </w:style>
  <w:style w:type="character" w:styleId="Nmerodepgina">
    <w:name w:val="page number"/>
    <w:basedOn w:val="Fuentedeprrafopredeter"/>
    <w:rsid w:val="009B198F"/>
  </w:style>
  <w:style w:type="paragraph" w:customStyle="1" w:styleId="ListParagraph1">
    <w:name w:val="List Paragraph1"/>
    <w:basedOn w:val="Normal"/>
    <w:rsid w:val="009B198F"/>
    <w:pPr>
      <w:ind w:left="720"/>
    </w:pPr>
  </w:style>
  <w:style w:type="paragraph" w:customStyle="1" w:styleId="Prrafodelista1">
    <w:name w:val="Párrafo de lista1"/>
    <w:basedOn w:val="Normal"/>
    <w:uiPriority w:val="34"/>
    <w:qFormat/>
    <w:rsid w:val="009B198F"/>
    <w:pPr>
      <w:ind w:left="708"/>
    </w:pPr>
    <w:rPr>
      <w:rFonts w:eastAsia="Calibri"/>
    </w:rPr>
  </w:style>
  <w:style w:type="paragraph" w:styleId="Prrafodelista">
    <w:name w:val="List Paragraph"/>
    <w:aliases w:val="Párrafo de lista 2"/>
    <w:basedOn w:val="Normal"/>
    <w:link w:val="PrrafodelistaCar"/>
    <w:uiPriority w:val="34"/>
    <w:qFormat/>
    <w:rsid w:val="009B198F"/>
    <w:pPr>
      <w:ind w:left="708"/>
    </w:pPr>
  </w:style>
  <w:style w:type="character" w:customStyle="1" w:styleId="PrrafodelistaCar">
    <w:name w:val="Párrafo de lista Car"/>
    <w:aliases w:val="Párrafo de lista 2 Car"/>
    <w:link w:val="Prrafodelista"/>
    <w:uiPriority w:val="34"/>
    <w:rsid w:val="005A6477"/>
    <w:rPr>
      <w:rFonts w:ascii="Times New Roman" w:eastAsia="Times New Roman" w:hAnsi="Times New Roman"/>
      <w:sz w:val="24"/>
      <w:szCs w:val="24"/>
      <w:lang w:val="es-ES" w:eastAsia="es-ES"/>
    </w:rPr>
  </w:style>
  <w:style w:type="paragraph" w:styleId="Textodeglobo">
    <w:name w:val="Balloon Text"/>
    <w:basedOn w:val="Normal"/>
    <w:link w:val="TextodegloboCar"/>
    <w:uiPriority w:val="99"/>
    <w:unhideWhenUsed/>
    <w:rsid w:val="00BF318F"/>
    <w:rPr>
      <w:rFonts w:ascii="Tahoma" w:hAnsi="Tahoma" w:cs="Tahoma"/>
      <w:sz w:val="16"/>
      <w:szCs w:val="16"/>
    </w:rPr>
  </w:style>
  <w:style w:type="character" w:customStyle="1" w:styleId="TextodegloboCar">
    <w:name w:val="Texto de globo Car"/>
    <w:link w:val="Textodeglobo"/>
    <w:uiPriority w:val="99"/>
    <w:rsid w:val="00BF318F"/>
    <w:rPr>
      <w:rFonts w:ascii="Tahoma" w:eastAsia="Times New Roman" w:hAnsi="Tahoma" w:cs="Tahoma"/>
      <w:sz w:val="16"/>
      <w:szCs w:val="16"/>
      <w:lang w:val="es-ES" w:eastAsia="es-ES"/>
    </w:rPr>
  </w:style>
  <w:style w:type="paragraph" w:styleId="Textonotapie">
    <w:name w:val="footnote text"/>
    <w:aliases w:val="Texto nota pie Car Car Car Car Car Car,Texto nota pie Car Car Car Car Car Car Car,Texto nota pie Car Car Car Car Car Car Ca,ft,ft Car,ft Car Car,Texto nota pie2,ft1,ft Car Car Car1,Texto nota pie Car2,ft Car Car2,ft Car Car Car,fn"/>
    <w:basedOn w:val="Normal"/>
    <w:link w:val="TextonotapieCar"/>
    <w:uiPriority w:val="99"/>
    <w:rsid w:val="00BF318F"/>
    <w:rPr>
      <w:sz w:val="20"/>
      <w:szCs w:val="20"/>
    </w:rPr>
  </w:style>
  <w:style w:type="character" w:customStyle="1" w:styleId="TextonotapieCar">
    <w:name w:val="Texto nota pie Car"/>
    <w:aliases w:val="Texto nota pie Car Car Car Car Car Car Car1,Texto nota pie Car Car Car Car Car Car Car Car,Texto nota pie Car Car Car Car Car Car Ca Car,ft Car1,ft Car Car1,ft Car Car Car2,Texto nota pie2 Car,ft1 Car,ft Car Car Car1 Car,fn Car"/>
    <w:link w:val="Textonotapie"/>
    <w:uiPriority w:val="99"/>
    <w:rsid w:val="00BF318F"/>
    <w:rPr>
      <w:rFonts w:ascii="Times New Roman" w:eastAsia="Times New Roman" w:hAnsi="Times New Roman" w:cs="Times New Roman"/>
      <w:sz w:val="20"/>
      <w:szCs w:val="20"/>
      <w:lang w:val="es-ES" w:eastAsia="es-ES"/>
    </w:rPr>
  </w:style>
  <w:style w:type="character" w:styleId="Refdenotaalpie">
    <w:name w:val="footnote reference"/>
    <w:uiPriority w:val="99"/>
    <w:rsid w:val="00BF318F"/>
    <w:rPr>
      <w:vertAlign w:val="superscript"/>
    </w:rPr>
  </w:style>
  <w:style w:type="paragraph" w:customStyle="1" w:styleId="Default">
    <w:name w:val="Default"/>
    <w:rsid w:val="00BF318F"/>
    <w:pPr>
      <w:widowControl w:val="0"/>
      <w:autoSpaceDE w:val="0"/>
      <w:autoSpaceDN w:val="0"/>
      <w:adjustRightInd w:val="0"/>
    </w:pPr>
    <w:rPr>
      <w:rFonts w:ascii="Felix Titling" w:eastAsia="Times New Roman" w:hAnsi="Felix Titling" w:cs="Felix Titling"/>
      <w:color w:val="000000"/>
      <w:sz w:val="24"/>
      <w:szCs w:val="24"/>
      <w:lang w:val="es-ES" w:eastAsia="es-ES"/>
    </w:rPr>
  </w:style>
  <w:style w:type="paragraph" w:customStyle="1" w:styleId="CM49">
    <w:name w:val="CM49"/>
    <w:basedOn w:val="Default"/>
    <w:next w:val="Default"/>
    <w:uiPriority w:val="99"/>
    <w:rsid w:val="006C7AF9"/>
    <w:pPr>
      <w:spacing w:after="105"/>
    </w:pPr>
    <w:rPr>
      <w:rFonts w:cs="Times New Roman"/>
      <w:color w:val="auto"/>
    </w:rPr>
  </w:style>
  <w:style w:type="table" w:styleId="Tablaconcuadrcula">
    <w:name w:val="Table Grid"/>
    <w:basedOn w:val="Tablanormal"/>
    <w:uiPriority w:val="59"/>
    <w:rsid w:val="001B07B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link w:val="PiedepginaCar"/>
    <w:uiPriority w:val="99"/>
    <w:unhideWhenUsed/>
    <w:rsid w:val="00EB2FBA"/>
    <w:pPr>
      <w:pBdr>
        <w:top w:val="thinThickSmallGap" w:sz="24" w:space="1" w:color="585858"/>
      </w:pBdr>
      <w:tabs>
        <w:tab w:val="center" w:pos="4419"/>
        <w:tab w:val="right" w:pos="8838"/>
      </w:tabs>
    </w:pPr>
    <w:rPr>
      <w:rFonts w:ascii="Constantia" w:hAnsi="Constantia"/>
    </w:rPr>
  </w:style>
  <w:style w:type="character" w:customStyle="1" w:styleId="PiedepginaCar">
    <w:name w:val="Pie de página Car"/>
    <w:link w:val="Piedepgina"/>
    <w:uiPriority w:val="99"/>
    <w:rsid w:val="00EB2FBA"/>
    <w:rPr>
      <w:rFonts w:ascii="Constantia" w:eastAsia="Times New Roman" w:hAnsi="Constantia" w:cs="Times New Roman"/>
      <w:sz w:val="24"/>
      <w:szCs w:val="24"/>
      <w:lang w:val="es-ES" w:eastAsia="es-ES"/>
    </w:rPr>
  </w:style>
  <w:style w:type="character" w:styleId="Textoennegrita">
    <w:name w:val="Strong"/>
    <w:uiPriority w:val="22"/>
    <w:qFormat/>
    <w:rsid w:val="00534E33"/>
    <w:rPr>
      <w:b/>
      <w:bCs/>
    </w:rPr>
  </w:style>
  <w:style w:type="character" w:styleId="Hipervnculo">
    <w:name w:val="Hyperlink"/>
    <w:uiPriority w:val="99"/>
    <w:unhideWhenUsed/>
    <w:rsid w:val="00A34A28"/>
    <w:rPr>
      <w:color w:val="0000FF"/>
      <w:u w:val="single"/>
    </w:rPr>
  </w:style>
  <w:style w:type="character" w:styleId="Hipervnculovisitado">
    <w:name w:val="FollowedHyperlink"/>
    <w:uiPriority w:val="99"/>
    <w:semiHidden/>
    <w:unhideWhenUsed/>
    <w:rsid w:val="009F7DEF"/>
    <w:rPr>
      <w:color w:val="800080"/>
      <w:u w:val="single"/>
    </w:rPr>
  </w:style>
  <w:style w:type="paragraph" w:styleId="NormalWeb">
    <w:name w:val="Normal (Web)"/>
    <w:basedOn w:val="Normal"/>
    <w:uiPriority w:val="99"/>
    <w:semiHidden/>
    <w:unhideWhenUsed/>
    <w:rsid w:val="000520A7"/>
    <w:pPr>
      <w:spacing w:before="100" w:beforeAutospacing="1" w:after="100" w:afterAutospacing="1"/>
    </w:pPr>
    <w:rPr>
      <w:lang w:val="es-GT" w:eastAsia="es-GT"/>
    </w:rPr>
  </w:style>
  <w:style w:type="paragraph" w:styleId="Sinespaciado">
    <w:name w:val="No Spacing"/>
    <w:link w:val="SinespaciadoCar"/>
    <w:uiPriority w:val="1"/>
    <w:qFormat/>
    <w:rsid w:val="00C7413E"/>
    <w:rPr>
      <w:rFonts w:ascii="Constantia" w:eastAsia="Times New Roman" w:hAnsi="Constantia"/>
      <w:sz w:val="24"/>
      <w:szCs w:val="24"/>
      <w:lang w:val="es-ES_tradnl" w:eastAsia="ja-JP"/>
    </w:rPr>
  </w:style>
  <w:style w:type="character" w:customStyle="1" w:styleId="SinespaciadoCar">
    <w:name w:val="Sin espaciado Car"/>
    <w:basedOn w:val="Fuentedeprrafopredeter"/>
    <w:link w:val="Sinespaciado"/>
    <w:uiPriority w:val="1"/>
    <w:locked/>
    <w:rsid w:val="005B1AE1"/>
    <w:rPr>
      <w:rFonts w:ascii="Constantia" w:eastAsia="Times New Roman" w:hAnsi="Constantia"/>
      <w:sz w:val="24"/>
      <w:szCs w:val="24"/>
      <w:lang w:val="es-ES_tradnl" w:eastAsia="ja-JP"/>
    </w:rPr>
  </w:style>
  <w:style w:type="paragraph" w:styleId="TtulodeTDC">
    <w:name w:val="TOC Heading"/>
    <w:basedOn w:val="Ttulo1"/>
    <w:next w:val="Normal"/>
    <w:uiPriority w:val="39"/>
    <w:unhideWhenUsed/>
    <w:qFormat/>
    <w:rsid w:val="00D61558"/>
    <w:pPr>
      <w:keepLines/>
      <w:numPr>
        <w:numId w:val="0"/>
      </w:numPr>
      <w:spacing w:before="480" w:line="276" w:lineRule="auto"/>
      <w:outlineLvl w:val="9"/>
    </w:pPr>
    <w:rPr>
      <w:rFonts w:ascii="Constantia" w:hAnsi="Constantia"/>
      <w:color w:val="A5A5A5"/>
      <w:sz w:val="28"/>
      <w:szCs w:val="28"/>
      <w:lang w:val="es-GT" w:eastAsia="es-GT"/>
    </w:rPr>
  </w:style>
  <w:style w:type="paragraph" w:styleId="TDC1">
    <w:name w:val="toc 1"/>
    <w:basedOn w:val="Normal"/>
    <w:next w:val="Normal"/>
    <w:autoRedefine/>
    <w:uiPriority w:val="39"/>
    <w:unhideWhenUsed/>
    <w:rsid w:val="00383CA7"/>
    <w:pPr>
      <w:tabs>
        <w:tab w:val="left" w:pos="480"/>
        <w:tab w:val="right" w:leader="dot" w:pos="9062"/>
      </w:tabs>
      <w:spacing w:after="100"/>
      <w:jc w:val="both"/>
    </w:pPr>
  </w:style>
  <w:style w:type="paragraph" w:styleId="TDC2">
    <w:name w:val="toc 2"/>
    <w:basedOn w:val="Normal"/>
    <w:next w:val="Normal"/>
    <w:autoRedefine/>
    <w:uiPriority w:val="39"/>
    <w:unhideWhenUsed/>
    <w:rsid w:val="00AB0496"/>
    <w:pPr>
      <w:tabs>
        <w:tab w:val="left" w:pos="880"/>
        <w:tab w:val="right" w:leader="dot" w:pos="9072"/>
      </w:tabs>
      <w:spacing w:after="100"/>
      <w:ind w:left="240"/>
      <w:jc w:val="both"/>
    </w:pPr>
  </w:style>
  <w:style w:type="paragraph" w:styleId="TDC3">
    <w:name w:val="toc 3"/>
    <w:basedOn w:val="Normal"/>
    <w:next w:val="Normal"/>
    <w:autoRedefine/>
    <w:uiPriority w:val="39"/>
    <w:unhideWhenUsed/>
    <w:rsid w:val="004F48BD"/>
    <w:pPr>
      <w:tabs>
        <w:tab w:val="left" w:pos="1100"/>
        <w:tab w:val="right" w:leader="dot" w:pos="9062"/>
      </w:tabs>
      <w:spacing w:after="100"/>
      <w:ind w:left="480"/>
      <w:jc w:val="both"/>
    </w:pPr>
  </w:style>
  <w:style w:type="character" w:styleId="Refdecomentario">
    <w:name w:val="annotation reference"/>
    <w:uiPriority w:val="99"/>
    <w:semiHidden/>
    <w:unhideWhenUsed/>
    <w:rsid w:val="00B372A0"/>
    <w:rPr>
      <w:sz w:val="16"/>
      <w:szCs w:val="16"/>
    </w:rPr>
  </w:style>
  <w:style w:type="paragraph" w:styleId="Textocomentario">
    <w:name w:val="annotation text"/>
    <w:basedOn w:val="Normal"/>
    <w:link w:val="TextocomentarioCar"/>
    <w:uiPriority w:val="99"/>
    <w:semiHidden/>
    <w:unhideWhenUsed/>
    <w:rsid w:val="00B372A0"/>
    <w:rPr>
      <w:sz w:val="20"/>
      <w:szCs w:val="20"/>
    </w:rPr>
  </w:style>
  <w:style w:type="character" w:customStyle="1" w:styleId="TextocomentarioCar">
    <w:name w:val="Texto comentario Car"/>
    <w:link w:val="Textocomentario"/>
    <w:uiPriority w:val="99"/>
    <w:semiHidden/>
    <w:rsid w:val="00B372A0"/>
    <w:rPr>
      <w:rFonts w:ascii="Times New Roman" w:eastAsia="Times New Roman" w:hAnsi="Times New Roman"/>
      <w:lang w:val="es-ES" w:eastAsia="es-ES"/>
    </w:rPr>
  </w:style>
  <w:style w:type="paragraph" w:styleId="Asuntodelcomentario">
    <w:name w:val="annotation subject"/>
    <w:basedOn w:val="Textocomentario"/>
    <w:next w:val="Textocomentario"/>
    <w:link w:val="AsuntodelcomentarioCar"/>
    <w:uiPriority w:val="99"/>
    <w:semiHidden/>
    <w:unhideWhenUsed/>
    <w:rsid w:val="00B372A0"/>
    <w:rPr>
      <w:b/>
      <w:bCs/>
    </w:rPr>
  </w:style>
  <w:style w:type="character" w:customStyle="1" w:styleId="AsuntodelcomentarioCar">
    <w:name w:val="Asunto del comentario Car"/>
    <w:link w:val="Asuntodelcomentario"/>
    <w:uiPriority w:val="99"/>
    <w:semiHidden/>
    <w:rsid w:val="00B372A0"/>
    <w:rPr>
      <w:rFonts w:ascii="Times New Roman" w:eastAsia="Times New Roman" w:hAnsi="Times New Roman"/>
      <w:b/>
      <w:bCs/>
      <w:lang w:val="es-ES" w:eastAsia="es-ES"/>
    </w:rPr>
  </w:style>
  <w:style w:type="table" w:customStyle="1" w:styleId="Listamedia2-nfasis11">
    <w:name w:val="Lista media 2 - Énfasis 11"/>
    <w:basedOn w:val="Tablanormal"/>
    <w:uiPriority w:val="66"/>
    <w:rsid w:val="0085525B"/>
    <w:rPr>
      <w:rFonts w:ascii="Cambria" w:eastAsia="Times New Roman" w:hAnsi="Cambria"/>
      <w:color w:val="000000"/>
      <w:sz w:val="22"/>
      <w:szCs w:val="22"/>
      <w:lang w:val="es-E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Listamedia2-nfasis1">
    <w:name w:val="Medium List 2 Accent 1"/>
    <w:basedOn w:val="Tablanormal"/>
    <w:uiPriority w:val="66"/>
    <w:rsid w:val="0085525B"/>
    <w:rPr>
      <w:rFonts w:ascii="Constantia" w:eastAsia="Times New Roman" w:hAnsi="Constantia"/>
      <w:color w:val="000000"/>
    </w:rPr>
    <w:tblPr>
      <w:tblStyleRowBandSize w:val="1"/>
      <w:tblStyleColBandSize w:val="1"/>
      <w:tblInd w:w="0" w:type="dxa"/>
      <w:tblBorders>
        <w:top w:val="single" w:sz="8" w:space="0" w:color="DDDDDD"/>
        <w:left w:val="single" w:sz="8" w:space="0" w:color="DDDDDD"/>
        <w:bottom w:val="single" w:sz="8" w:space="0" w:color="DDDDDD"/>
        <w:right w:val="single" w:sz="8" w:space="0" w:color="DDDDDD"/>
      </w:tblBorders>
      <w:tblCellMar>
        <w:top w:w="0" w:type="dxa"/>
        <w:left w:w="108" w:type="dxa"/>
        <w:bottom w:w="0" w:type="dxa"/>
        <w:right w:w="108" w:type="dxa"/>
      </w:tblCellMar>
    </w:tblPr>
    <w:tblStylePr w:type="firstRow">
      <w:rPr>
        <w:sz w:val="24"/>
        <w:szCs w:val="24"/>
      </w:rPr>
      <w:tblPr/>
      <w:tcPr>
        <w:tcBorders>
          <w:top w:val="nil"/>
          <w:left w:val="nil"/>
          <w:bottom w:val="single" w:sz="24" w:space="0" w:color="DDDDDD"/>
          <w:right w:val="nil"/>
          <w:insideH w:val="nil"/>
          <w:insideV w:val="nil"/>
        </w:tcBorders>
        <w:shd w:val="clear" w:color="auto" w:fill="FFFFFF"/>
      </w:tcPr>
    </w:tblStylePr>
    <w:tblStylePr w:type="lastRow">
      <w:tblPr/>
      <w:tcPr>
        <w:tcBorders>
          <w:top w:val="single" w:sz="8" w:space="0" w:color="DDDDDD"/>
          <w:left w:val="nil"/>
          <w:bottom w:val="nil"/>
          <w:right w:val="nil"/>
          <w:insideH w:val="nil"/>
          <w:insideV w:val="nil"/>
        </w:tcBorders>
        <w:shd w:val="clear" w:color="auto" w:fill="FFFFFF"/>
      </w:tcPr>
    </w:tblStylePr>
    <w:tblStylePr w:type="firstCol">
      <w:tblPr/>
      <w:tcPr>
        <w:tcBorders>
          <w:top w:val="nil"/>
          <w:left w:val="nil"/>
          <w:bottom w:val="nil"/>
          <w:right w:val="single" w:sz="8" w:space="0" w:color="DDDDDD"/>
          <w:insideH w:val="nil"/>
          <w:insideV w:val="nil"/>
        </w:tcBorders>
        <w:shd w:val="clear" w:color="auto" w:fill="FFFFFF"/>
      </w:tcPr>
    </w:tblStylePr>
    <w:tblStylePr w:type="lastCol">
      <w:tblPr/>
      <w:tcPr>
        <w:tcBorders>
          <w:top w:val="nil"/>
          <w:left w:val="single" w:sz="8" w:space="0" w:color="DDDDD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6F6F6"/>
      </w:tcPr>
    </w:tblStylePr>
    <w:tblStylePr w:type="band1Horz">
      <w:tblPr/>
      <w:tcPr>
        <w:tcBorders>
          <w:top w:val="nil"/>
          <w:bottom w:val="nil"/>
          <w:insideH w:val="nil"/>
          <w:insideV w:val="nil"/>
        </w:tcBorders>
        <w:shd w:val="clear" w:color="auto" w:fill="F6F6F6"/>
      </w:tcPr>
    </w:tblStylePr>
    <w:tblStylePr w:type="nwCell">
      <w:tblPr/>
      <w:tcPr>
        <w:shd w:val="clear" w:color="auto" w:fill="FFFFFF"/>
      </w:tcPr>
    </w:tblStylePr>
    <w:tblStylePr w:type="swCell">
      <w:tblPr/>
      <w:tcPr>
        <w:tcBorders>
          <w:top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7564">
      <w:bodyDiv w:val="1"/>
      <w:marLeft w:val="0"/>
      <w:marRight w:val="0"/>
      <w:marTop w:val="0"/>
      <w:marBottom w:val="0"/>
      <w:divBdr>
        <w:top w:val="none" w:sz="0" w:space="0" w:color="auto"/>
        <w:left w:val="none" w:sz="0" w:space="0" w:color="auto"/>
        <w:bottom w:val="none" w:sz="0" w:space="0" w:color="auto"/>
        <w:right w:val="none" w:sz="0" w:space="0" w:color="auto"/>
      </w:divBdr>
      <w:divsChild>
        <w:div w:id="1464498466">
          <w:marLeft w:val="274"/>
          <w:marRight w:val="0"/>
          <w:marTop w:val="0"/>
          <w:marBottom w:val="240"/>
          <w:divBdr>
            <w:top w:val="none" w:sz="0" w:space="0" w:color="auto"/>
            <w:left w:val="none" w:sz="0" w:space="0" w:color="auto"/>
            <w:bottom w:val="none" w:sz="0" w:space="0" w:color="auto"/>
            <w:right w:val="none" w:sz="0" w:space="0" w:color="auto"/>
          </w:divBdr>
        </w:div>
        <w:div w:id="1479304816">
          <w:marLeft w:val="274"/>
          <w:marRight w:val="0"/>
          <w:marTop w:val="0"/>
          <w:marBottom w:val="240"/>
          <w:divBdr>
            <w:top w:val="none" w:sz="0" w:space="0" w:color="auto"/>
            <w:left w:val="none" w:sz="0" w:space="0" w:color="auto"/>
            <w:bottom w:val="none" w:sz="0" w:space="0" w:color="auto"/>
            <w:right w:val="none" w:sz="0" w:space="0" w:color="auto"/>
          </w:divBdr>
        </w:div>
        <w:div w:id="1884439074">
          <w:marLeft w:val="274"/>
          <w:marRight w:val="0"/>
          <w:marTop w:val="0"/>
          <w:marBottom w:val="240"/>
          <w:divBdr>
            <w:top w:val="none" w:sz="0" w:space="0" w:color="auto"/>
            <w:left w:val="none" w:sz="0" w:space="0" w:color="auto"/>
            <w:bottom w:val="none" w:sz="0" w:space="0" w:color="auto"/>
            <w:right w:val="none" w:sz="0" w:space="0" w:color="auto"/>
          </w:divBdr>
        </w:div>
      </w:divsChild>
    </w:div>
    <w:div w:id="12615010">
      <w:bodyDiv w:val="1"/>
      <w:marLeft w:val="0"/>
      <w:marRight w:val="0"/>
      <w:marTop w:val="0"/>
      <w:marBottom w:val="0"/>
      <w:divBdr>
        <w:top w:val="none" w:sz="0" w:space="0" w:color="auto"/>
        <w:left w:val="none" w:sz="0" w:space="0" w:color="auto"/>
        <w:bottom w:val="none" w:sz="0" w:space="0" w:color="auto"/>
        <w:right w:val="none" w:sz="0" w:space="0" w:color="auto"/>
      </w:divBdr>
      <w:divsChild>
        <w:div w:id="874804913">
          <w:marLeft w:val="576"/>
          <w:marRight w:val="0"/>
          <w:marTop w:val="120"/>
          <w:marBottom w:val="0"/>
          <w:divBdr>
            <w:top w:val="none" w:sz="0" w:space="0" w:color="auto"/>
            <w:left w:val="none" w:sz="0" w:space="0" w:color="auto"/>
            <w:bottom w:val="none" w:sz="0" w:space="0" w:color="auto"/>
            <w:right w:val="none" w:sz="0" w:space="0" w:color="auto"/>
          </w:divBdr>
        </w:div>
      </w:divsChild>
    </w:div>
    <w:div w:id="19479179">
      <w:bodyDiv w:val="1"/>
      <w:marLeft w:val="0"/>
      <w:marRight w:val="0"/>
      <w:marTop w:val="0"/>
      <w:marBottom w:val="0"/>
      <w:divBdr>
        <w:top w:val="none" w:sz="0" w:space="0" w:color="auto"/>
        <w:left w:val="none" w:sz="0" w:space="0" w:color="auto"/>
        <w:bottom w:val="none" w:sz="0" w:space="0" w:color="auto"/>
        <w:right w:val="none" w:sz="0" w:space="0" w:color="auto"/>
      </w:divBdr>
    </w:div>
    <w:div w:id="74597903">
      <w:bodyDiv w:val="1"/>
      <w:marLeft w:val="0"/>
      <w:marRight w:val="0"/>
      <w:marTop w:val="0"/>
      <w:marBottom w:val="0"/>
      <w:divBdr>
        <w:top w:val="none" w:sz="0" w:space="0" w:color="auto"/>
        <w:left w:val="none" w:sz="0" w:space="0" w:color="auto"/>
        <w:bottom w:val="none" w:sz="0" w:space="0" w:color="auto"/>
        <w:right w:val="none" w:sz="0" w:space="0" w:color="auto"/>
      </w:divBdr>
    </w:div>
    <w:div w:id="102068754">
      <w:bodyDiv w:val="1"/>
      <w:marLeft w:val="0"/>
      <w:marRight w:val="0"/>
      <w:marTop w:val="0"/>
      <w:marBottom w:val="0"/>
      <w:divBdr>
        <w:top w:val="none" w:sz="0" w:space="0" w:color="auto"/>
        <w:left w:val="none" w:sz="0" w:space="0" w:color="auto"/>
        <w:bottom w:val="none" w:sz="0" w:space="0" w:color="auto"/>
        <w:right w:val="none" w:sz="0" w:space="0" w:color="auto"/>
      </w:divBdr>
    </w:div>
    <w:div w:id="124812311">
      <w:bodyDiv w:val="1"/>
      <w:marLeft w:val="0"/>
      <w:marRight w:val="0"/>
      <w:marTop w:val="0"/>
      <w:marBottom w:val="0"/>
      <w:divBdr>
        <w:top w:val="none" w:sz="0" w:space="0" w:color="auto"/>
        <w:left w:val="none" w:sz="0" w:space="0" w:color="auto"/>
        <w:bottom w:val="none" w:sz="0" w:space="0" w:color="auto"/>
        <w:right w:val="none" w:sz="0" w:space="0" w:color="auto"/>
      </w:divBdr>
    </w:div>
    <w:div w:id="224731212">
      <w:bodyDiv w:val="1"/>
      <w:marLeft w:val="0"/>
      <w:marRight w:val="0"/>
      <w:marTop w:val="0"/>
      <w:marBottom w:val="0"/>
      <w:divBdr>
        <w:top w:val="none" w:sz="0" w:space="0" w:color="auto"/>
        <w:left w:val="none" w:sz="0" w:space="0" w:color="auto"/>
        <w:bottom w:val="none" w:sz="0" w:space="0" w:color="auto"/>
        <w:right w:val="none" w:sz="0" w:space="0" w:color="auto"/>
      </w:divBdr>
      <w:divsChild>
        <w:div w:id="791099228">
          <w:marLeft w:val="562"/>
          <w:marRight w:val="0"/>
          <w:marTop w:val="0"/>
          <w:marBottom w:val="0"/>
          <w:divBdr>
            <w:top w:val="none" w:sz="0" w:space="0" w:color="auto"/>
            <w:left w:val="none" w:sz="0" w:space="0" w:color="auto"/>
            <w:bottom w:val="none" w:sz="0" w:space="0" w:color="auto"/>
            <w:right w:val="none" w:sz="0" w:space="0" w:color="auto"/>
          </w:divBdr>
        </w:div>
        <w:div w:id="1126898492">
          <w:marLeft w:val="562"/>
          <w:marRight w:val="0"/>
          <w:marTop w:val="0"/>
          <w:marBottom w:val="0"/>
          <w:divBdr>
            <w:top w:val="none" w:sz="0" w:space="0" w:color="auto"/>
            <w:left w:val="none" w:sz="0" w:space="0" w:color="auto"/>
            <w:bottom w:val="none" w:sz="0" w:space="0" w:color="auto"/>
            <w:right w:val="none" w:sz="0" w:space="0" w:color="auto"/>
          </w:divBdr>
        </w:div>
        <w:div w:id="1718116599">
          <w:marLeft w:val="562"/>
          <w:marRight w:val="0"/>
          <w:marTop w:val="0"/>
          <w:marBottom w:val="0"/>
          <w:divBdr>
            <w:top w:val="none" w:sz="0" w:space="0" w:color="auto"/>
            <w:left w:val="none" w:sz="0" w:space="0" w:color="auto"/>
            <w:bottom w:val="none" w:sz="0" w:space="0" w:color="auto"/>
            <w:right w:val="none" w:sz="0" w:space="0" w:color="auto"/>
          </w:divBdr>
        </w:div>
      </w:divsChild>
    </w:div>
    <w:div w:id="277689072">
      <w:bodyDiv w:val="1"/>
      <w:marLeft w:val="0"/>
      <w:marRight w:val="0"/>
      <w:marTop w:val="0"/>
      <w:marBottom w:val="0"/>
      <w:divBdr>
        <w:top w:val="none" w:sz="0" w:space="0" w:color="auto"/>
        <w:left w:val="none" w:sz="0" w:space="0" w:color="auto"/>
        <w:bottom w:val="none" w:sz="0" w:space="0" w:color="auto"/>
        <w:right w:val="none" w:sz="0" w:space="0" w:color="auto"/>
      </w:divBdr>
    </w:div>
    <w:div w:id="302665719">
      <w:bodyDiv w:val="1"/>
      <w:marLeft w:val="0"/>
      <w:marRight w:val="0"/>
      <w:marTop w:val="0"/>
      <w:marBottom w:val="0"/>
      <w:divBdr>
        <w:top w:val="none" w:sz="0" w:space="0" w:color="auto"/>
        <w:left w:val="none" w:sz="0" w:space="0" w:color="auto"/>
        <w:bottom w:val="none" w:sz="0" w:space="0" w:color="auto"/>
        <w:right w:val="none" w:sz="0" w:space="0" w:color="auto"/>
      </w:divBdr>
    </w:div>
    <w:div w:id="317077505">
      <w:bodyDiv w:val="1"/>
      <w:marLeft w:val="0"/>
      <w:marRight w:val="0"/>
      <w:marTop w:val="0"/>
      <w:marBottom w:val="0"/>
      <w:divBdr>
        <w:top w:val="none" w:sz="0" w:space="0" w:color="auto"/>
        <w:left w:val="none" w:sz="0" w:space="0" w:color="auto"/>
        <w:bottom w:val="none" w:sz="0" w:space="0" w:color="auto"/>
        <w:right w:val="none" w:sz="0" w:space="0" w:color="auto"/>
      </w:divBdr>
    </w:div>
    <w:div w:id="381290258">
      <w:bodyDiv w:val="1"/>
      <w:marLeft w:val="0"/>
      <w:marRight w:val="0"/>
      <w:marTop w:val="0"/>
      <w:marBottom w:val="0"/>
      <w:divBdr>
        <w:top w:val="none" w:sz="0" w:space="0" w:color="auto"/>
        <w:left w:val="none" w:sz="0" w:space="0" w:color="auto"/>
        <w:bottom w:val="none" w:sz="0" w:space="0" w:color="auto"/>
        <w:right w:val="none" w:sz="0" w:space="0" w:color="auto"/>
      </w:divBdr>
    </w:div>
    <w:div w:id="438334676">
      <w:bodyDiv w:val="1"/>
      <w:marLeft w:val="0"/>
      <w:marRight w:val="0"/>
      <w:marTop w:val="0"/>
      <w:marBottom w:val="0"/>
      <w:divBdr>
        <w:top w:val="none" w:sz="0" w:space="0" w:color="auto"/>
        <w:left w:val="none" w:sz="0" w:space="0" w:color="auto"/>
        <w:bottom w:val="none" w:sz="0" w:space="0" w:color="auto"/>
        <w:right w:val="none" w:sz="0" w:space="0" w:color="auto"/>
      </w:divBdr>
    </w:div>
    <w:div w:id="440341959">
      <w:bodyDiv w:val="1"/>
      <w:marLeft w:val="0"/>
      <w:marRight w:val="0"/>
      <w:marTop w:val="0"/>
      <w:marBottom w:val="0"/>
      <w:divBdr>
        <w:top w:val="none" w:sz="0" w:space="0" w:color="auto"/>
        <w:left w:val="none" w:sz="0" w:space="0" w:color="auto"/>
        <w:bottom w:val="none" w:sz="0" w:space="0" w:color="auto"/>
        <w:right w:val="none" w:sz="0" w:space="0" w:color="auto"/>
      </w:divBdr>
    </w:div>
    <w:div w:id="453980856">
      <w:bodyDiv w:val="1"/>
      <w:marLeft w:val="0"/>
      <w:marRight w:val="0"/>
      <w:marTop w:val="0"/>
      <w:marBottom w:val="0"/>
      <w:divBdr>
        <w:top w:val="none" w:sz="0" w:space="0" w:color="auto"/>
        <w:left w:val="none" w:sz="0" w:space="0" w:color="auto"/>
        <w:bottom w:val="none" w:sz="0" w:space="0" w:color="auto"/>
        <w:right w:val="none" w:sz="0" w:space="0" w:color="auto"/>
      </w:divBdr>
    </w:div>
    <w:div w:id="481119587">
      <w:bodyDiv w:val="1"/>
      <w:marLeft w:val="0"/>
      <w:marRight w:val="0"/>
      <w:marTop w:val="0"/>
      <w:marBottom w:val="0"/>
      <w:divBdr>
        <w:top w:val="none" w:sz="0" w:space="0" w:color="auto"/>
        <w:left w:val="none" w:sz="0" w:space="0" w:color="auto"/>
        <w:bottom w:val="none" w:sz="0" w:space="0" w:color="auto"/>
        <w:right w:val="none" w:sz="0" w:space="0" w:color="auto"/>
      </w:divBdr>
    </w:div>
    <w:div w:id="494607275">
      <w:bodyDiv w:val="1"/>
      <w:marLeft w:val="0"/>
      <w:marRight w:val="0"/>
      <w:marTop w:val="0"/>
      <w:marBottom w:val="0"/>
      <w:divBdr>
        <w:top w:val="none" w:sz="0" w:space="0" w:color="auto"/>
        <w:left w:val="none" w:sz="0" w:space="0" w:color="auto"/>
        <w:bottom w:val="none" w:sz="0" w:space="0" w:color="auto"/>
        <w:right w:val="none" w:sz="0" w:space="0" w:color="auto"/>
      </w:divBdr>
    </w:div>
    <w:div w:id="524638195">
      <w:bodyDiv w:val="1"/>
      <w:marLeft w:val="0"/>
      <w:marRight w:val="0"/>
      <w:marTop w:val="0"/>
      <w:marBottom w:val="0"/>
      <w:divBdr>
        <w:top w:val="none" w:sz="0" w:space="0" w:color="auto"/>
        <w:left w:val="none" w:sz="0" w:space="0" w:color="auto"/>
        <w:bottom w:val="none" w:sz="0" w:space="0" w:color="auto"/>
        <w:right w:val="none" w:sz="0" w:space="0" w:color="auto"/>
      </w:divBdr>
    </w:div>
    <w:div w:id="532572793">
      <w:bodyDiv w:val="1"/>
      <w:marLeft w:val="0"/>
      <w:marRight w:val="0"/>
      <w:marTop w:val="0"/>
      <w:marBottom w:val="0"/>
      <w:divBdr>
        <w:top w:val="none" w:sz="0" w:space="0" w:color="auto"/>
        <w:left w:val="none" w:sz="0" w:space="0" w:color="auto"/>
        <w:bottom w:val="none" w:sz="0" w:space="0" w:color="auto"/>
        <w:right w:val="none" w:sz="0" w:space="0" w:color="auto"/>
      </w:divBdr>
    </w:div>
    <w:div w:id="537472027">
      <w:bodyDiv w:val="1"/>
      <w:marLeft w:val="0"/>
      <w:marRight w:val="0"/>
      <w:marTop w:val="0"/>
      <w:marBottom w:val="0"/>
      <w:divBdr>
        <w:top w:val="none" w:sz="0" w:space="0" w:color="auto"/>
        <w:left w:val="none" w:sz="0" w:space="0" w:color="auto"/>
        <w:bottom w:val="none" w:sz="0" w:space="0" w:color="auto"/>
        <w:right w:val="none" w:sz="0" w:space="0" w:color="auto"/>
      </w:divBdr>
      <w:divsChild>
        <w:div w:id="1166701297">
          <w:marLeft w:val="0"/>
          <w:marRight w:val="0"/>
          <w:marTop w:val="0"/>
          <w:marBottom w:val="0"/>
          <w:divBdr>
            <w:top w:val="none" w:sz="0" w:space="0" w:color="auto"/>
            <w:left w:val="none" w:sz="0" w:space="0" w:color="auto"/>
            <w:bottom w:val="none" w:sz="0" w:space="0" w:color="auto"/>
            <w:right w:val="none" w:sz="0" w:space="0" w:color="auto"/>
          </w:divBdr>
          <w:divsChild>
            <w:div w:id="319886466">
              <w:marLeft w:val="0"/>
              <w:marRight w:val="0"/>
              <w:marTop w:val="0"/>
              <w:marBottom w:val="0"/>
              <w:divBdr>
                <w:top w:val="single" w:sz="24" w:space="0" w:color="FB4C1C"/>
                <w:left w:val="none" w:sz="0" w:space="0" w:color="auto"/>
                <w:bottom w:val="none" w:sz="0" w:space="0" w:color="auto"/>
                <w:right w:val="none" w:sz="0" w:space="0" w:color="auto"/>
              </w:divBdr>
              <w:divsChild>
                <w:div w:id="1064136762">
                  <w:marLeft w:val="0"/>
                  <w:marRight w:val="0"/>
                  <w:marTop w:val="100"/>
                  <w:marBottom w:val="100"/>
                  <w:divBdr>
                    <w:top w:val="none" w:sz="0" w:space="0" w:color="auto"/>
                    <w:left w:val="none" w:sz="0" w:space="0" w:color="auto"/>
                    <w:bottom w:val="none" w:sz="0" w:space="0" w:color="auto"/>
                    <w:right w:val="none" w:sz="0" w:space="0" w:color="auto"/>
                  </w:divBdr>
                  <w:divsChild>
                    <w:div w:id="1058013946">
                      <w:marLeft w:val="0"/>
                      <w:marRight w:val="0"/>
                      <w:marTop w:val="0"/>
                      <w:marBottom w:val="0"/>
                      <w:divBdr>
                        <w:top w:val="none" w:sz="0" w:space="0" w:color="auto"/>
                        <w:left w:val="none" w:sz="0" w:space="0" w:color="auto"/>
                        <w:bottom w:val="none" w:sz="0" w:space="0" w:color="auto"/>
                        <w:right w:val="none" w:sz="0" w:space="0" w:color="auto"/>
                      </w:divBdr>
                      <w:divsChild>
                        <w:div w:id="734008506">
                          <w:marLeft w:val="0"/>
                          <w:marRight w:val="0"/>
                          <w:marTop w:val="0"/>
                          <w:marBottom w:val="0"/>
                          <w:divBdr>
                            <w:top w:val="none" w:sz="0" w:space="0" w:color="auto"/>
                            <w:left w:val="none" w:sz="0" w:space="0" w:color="auto"/>
                            <w:bottom w:val="none" w:sz="0" w:space="0" w:color="auto"/>
                            <w:right w:val="none" w:sz="0" w:space="0" w:color="auto"/>
                          </w:divBdr>
                          <w:divsChild>
                            <w:div w:id="1487088080">
                              <w:marLeft w:val="0"/>
                              <w:marRight w:val="0"/>
                              <w:marTop w:val="0"/>
                              <w:marBottom w:val="0"/>
                              <w:divBdr>
                                <w:top w:val="none" w:sz="0" w:space="0" w:color="auto"/>
                                <w:left w:val="none" w:sz="0" w:space="0" w:color="auto"/>
                                <w:bottom w:val="none" w:sz="0" w:space="0" w:color="auto"/>
                                <w:right w:val="none" w:sz="0" w:space="0" w:color="auto"/>
                              </w:divBdr>
                              <w:divsChild>
                                <w:div w:id="1872643750">
                                  <w:marLeft w:val="0"/>
                                  <w:marRight w:val="0"/>
                                  <w:marTop w:val="0"/>
                                  <w:marBottom w:val="0"/>
                                  <w:divBdr>
                                    <w:top w:val="none" w:sz="0" w:space="0" w:color="auto"/>
                                    <w:left w:val="none" w:sz="0" w:space="0" w:color="auto"/>
                                    <w:bottom w:val="none" w:sz="0" w:space="0" w:color="auto"/>
                                    <w:right w:val="none" w:sz="0" w:space="0" w:color="auto"/>
                                  </w:divBdr>
                                  <w:divsChild>
                                    <w:div w:id="1102651247">
                                      <w:marLeft w:val="0"/>
                                      <w:marRight w:val="0"/>
                                      <w:marTop w:val="0"/>
                                      <w:marBottom w:val="0"/>
                                      <w:divBdr>
                                        <w:top w:val="none" w:sz="0" w:space="0" w:color="auto"/>
                                        <w:left w:val="none" w:sz="0" w:space="0" w:color="auto"/>
                                        <w:bottom w:val="none" w:sz="0" w:space="0" w:color="auto"/>
                                        <w:right w:val="none" w:sz="0" w:space="0" w:color="auto"/>
                                      </w:divBdr>
                                      <w:divsChild>
                                        <w:div w:id="1233126812">
                                          <w:marLeft w:val="0"/>
                                          <w:marRight w:val="0"/>
                                          <w:marTop w:val="0"/>
                                          <w:marBottom w:val="0"/>
                                          <w:divBdr>
                                            <w:top w:val="none" w:sz="0" w:space="0" w:color="auto"/>
                                            <w:left w:val="none" w:sz="0" w:space="0" w:color="auto"/>
                                            <w:bottom w:val="none" w:sz="0" w:space="0" w:color="auto"/>
                                            <w:right w:val="none" w:sz="0" w:space="0" w:color="auto"/>
                                          </w:divBdr>
                                          <w:divsChild>
                                            <w:div w:id="1857187229">
                                              <w:marLeft w:val="0"/>
                                              <w:marRight w:val="0"/>
                                              <w:marTop w:val="0"/>
                                              <w:marBottom w:val="0"/>
                                              <w:divBdr>
                                                <w:top w:val="none" w:sz="0" w:space="0" w:color="auto"/>
                                                <w:left w:val="none" w:sz="0" w:space="0" w:color="auto"/>
                                                <w:bottom w:val="none" w:sz="0" w:space="0" w:color="auto"/>
                                                <w:right w:val="none" w:sz="0" w:space="0" w:color="auto"/>
                                              </w:divBdr>
                                              <w:divsChild>
                                                <w:div w:id="188390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50306928">
      <w:bodyDiv w:val="1"/>
      <w:marLeft w:val="0"/>
      <w:marRight w:val="0"/>
      <w:marTop w:val="0"/>
      <w:marBottom w:val="0"/>
      <w:divBdr>
        <w:top w:val="none" w:sz="0" w:space="0" w:color="auto"/>
        <w:left w:val="none" w:sz="0" w:space="0" w:color="auto"/>
        <w:bottom w:val="none" w:sz="0" w:space="0" w:color="auto"/>
        <w:right w:val="none" w:sz="0" w:space="0" w:color="auto"/>
      </w:divBdr>
    </w:div>
    <w:div w:id="622032882">
      <w:bodyDiv w:val="1"/>
      <w:marLeft w:val="0"/>
      <w:marRight w:val="0"/>
      <w:marTop w:val="0"/>
      <w:marBottom w:val="0"/>
      <w:divBdr>
        <w:top w:val="none" w:sz="0" w:space="0" w:color="auto"/>
        <w:left w:val="none" w:sz="0" w:space="0" w:color="auto"/>
        <w:bottom w:val="none" w:sz="0" w:space="0" w:color="auto"/>
        <w:right w:val="none" w:sz="0" w:space="0" w:color="auto"/>
      </w:divBdr>
    </w:div>
    <w:div w:id="662779522">
      <w:bodyDiv w:val="1"/>
      <w:marLeft w:val="0"/>
      <w:marRight w:val="0"/>
      <w:marTop w:val="0"/>
      <w:marBottom w:val="0"/>
      <w:divBdr>
        <w:top w:val="none" w:sz="0" w:space="0" w:color="auto"/>
        <w:left w:val="none" w:sz="0" w:space="0" w:color="auto"/>
        <w:bottom w:val="none" w:sz="0" w:space="0" w:color="auto"/>
        <w:right w:val="none" w:sz="0" w:space="0" w:color="auto"/>
      </w:divBdr>
    </w:div>
    <w:div w:id="694162026">
      <w:bodyDiv w:val="1"/>
      <w:marLeft w:val="0"/>
      <w:marRight w:val="0"/>
      <w:marTop w:val="0"/>
      <w:marBottom w:val="0"/>
      <w:divBdr>
        <w:top w:val="none" w:sz="0" w:space="0" w:color="auto"/>
        <w:left w:val="none" w:sz="0" w:space="0" w:color="auto"/>
        <w:bottom w:val="none" w:sz="0" w:space="0" w:color="auto"/>
        <w:right w:val="none" w:sz="0" w:space="0" w:color="auto"/>
      </w:divBdr>
    </w:div>
    <w:div w:id="698821098">
      <w:bodyDiv w:val="1"/>
      <w:marLeft w:val="0"/>
      <w:marRight w:val="0"/>
      <w:marTop w:val="0"/>
      <w:marBottom w:val="0"/>
      <w:divBdr>
        <w:top w:val="none" w:sz="0" w:space="0" w:color="auto"/>
        <w:left w:val="none" w:sz="0" w:space="0" w:color="auto"/>
        <w:bottom w:val="none" w:sz="0" w:space="0" w:color="auto"/>
        <w:right w:val="none" w:sz="0" w:space="0" w:color="auto"/>
      </w:divBdr>
    </w:div>
    <w:div w:id="711076320">
      <w:bodyDiv w:val="1"/>
      <w:marLeft w:val="0"/>
      <w:marRight w:val="0"/>
      <w:marTop w:val="0"/>
      <w:marBottom w:val="0"/>
      <w:divBdr>
        <w:top w:val="none" w:sz="0" w:space="0" w:color="auto"/>
        <w:left w:val="none" w:sz="0" w:space="0" w:color="auto"/>
        <w:bottom w:val="none" w:sz="0" w:space="0" w:color="auto"/>
        <w:right w:val="none" w:sz="0" w:space="0" w:color="auto"/>
      </w:divBdr>
    </w:div>
    <w:div w:id="782462308">
      <w:bodyDiv w:val="1"/>
      <w:marLeft w:val="0"/>
      <w:marRight w:val="0"/>
      <w:marTop w:val="0"/>
      <w:marBottom w:val="0"/>
      <w:divBdr>
        <w:top w:val="none" w:sz="0" w:space="0" w:color="auto"/>
        <w:left w:val="none" w:sz="0" w:space="0" w:color="auto"/>
        <w:bottom w:val="none" w:sz="0" w:space="0" w:color="auto"/>
        <w:right w:val="none" w:sz="0" w:space="0" w:color="auto"/>
      </w:divBdr>
    </w:div>
    <w:div w:id="797065889">
      <w:bodyDiv w:val="1"/>
      <w:marLeft w:val="0"/>
      <w:marRight w:val="0"/>
      <w:marTop w:val="0"/>
      <w:marBottom w:val="0"/>
      <w:divBdr>
        <w:top w:val="none" w:sz="0" w:space="0" w:color="auto"/>
        <w:left w:val="none" w:sz="0" w:space="0" w:color="auto"/>
        <w:bottom w:val="none" w:sz="0" w:space="0" w:color="auto"/>
        <w:right w:val="none" w:sz="0" w:space="0" w:color="auto"/>
      </w:divBdr>
    </w:div>
    <w:div w:id="830758260">
      <w:bodyDiv w:val="1"/>
      <w:marLeft w:val="0"/>
      <w:marRight w:val="0"/>
      <w:marTop w:val="0"/>
      <w:marBottom w:val="0"/>
      <w:divBdr>
        <w:top w:val="none" w:sz="0" w:space="0" w:color="auto"/>
        <w:left w:val="none" w:sz="0" w:space="0" w:color="auto"/>
        <w:bottom w:val="none" w:sz="0" w:space="0" w:color="auto"/>
        <w:right w:val="none" w:sz="0" w:space="0" w:color="auto"/>
      </w:divBdr>
    </w:div>
    <w:div w:id="841549736">
      <w:bodyDiv w:val="1"/>
      <w:marLeft w:val="0"/>
      <w:marRight w:val="0"/>
      <w:marTop w:val="0"/>
      <w:marBottom w:val="0"/>
      <w:divBdr>
        <w:top w:val="none" w:sz="0" w:space="0" w:color="auto"/>
        <w:left w:val="none" w:sz="0" w:space="0" w:color="auto"/>
        <w:bottom w:val="none" w:sz="0" w:space="0" w:color="auto"/>
        <w:right w:val="none" w:sz="0" w:space="0" w:color="auto"/>
      </w:divBdr>
    </w:div>
    <w:div w:id="870071512">
      <w:bodyDiv w:val="1"/>
      <w:marLeft w:val="0"/>
      <w:marRight w:val="0"/>
      <w:marTop w:val="0"/>
      <w:marBottom w:val="0"/>
      <w:divBdr>
        <w:top w:val="none" w:sz="0" w:space="0" w:color="auto"/>
        <w:left w:val="none" w:sz="0" w:space="0" w:color="auto"/>
        <w:bottom w:val="none" w:sz="0" w:space="0" w:color="auto"/>
        <w:right w:val="none" w:sz="0" w:space="0" w:color="auto"/>
      </w:divBdr>
    </w:div>
    <w:div w:id="901255323">
      <w:bodyDiv w:val="1"/>
      <w:marLeft w:val="0"/>
      <w:marRight w:val="0"/>
      <w:marTop w:val="0"/>
      <w:marBottom w:val="0"/>
      <w:divBdr>
        <w:top w:val="none" w:sz="0" w:space="0" w:color="auto"/>
        <w:left w:val="none" w:sz="0" w:space="0" w:color="auto"/>
        <w:bottom w:val="none" w:sz="0" w:space="0" w:color="auto"/>
        <w:right w:val="none" w:sz="0" w:space="0" w:color="auto"/>
      </w:divBdr>
    </w:div>
    <w:div w:id="911886592">
      <w:bodyDiv w:val="1"/>
      <w:marLeft w:val="0"/>
      <w:marRight w:val="0"/>
      <w:marTop w:val="0"/>
      <w:marBottom w:val="0"/>
      <w:divBdr>
        <w:top w:val="none" w:sz="0" w:space="0" w:color="auto"/>
        <w:left w:val="none" w:sz="0" w:space="0" w:color="auto"/>
        <w:bottom w:val="none" w:sz="0" w:space="0" w:color="auto"/>
        <w:right w:val="none" w:sz="0" w:space="0" w:color="auto"/>
      </w:divBdr>
    </w:div>
    <w:div w:id="912349316">
      <w:bodyDiv w:val="1"/>
      <w:marLeft w:val="0"/>
      <w:marRight w:val="0"/>
      <w:marTop w:val="0"/>
      <w:marBottom w:val="0"/>
      <w:divBdr>
        <w:top w:val="none" w:sz="0" w:space="0" w:color="auto"/>
        <w:left w:val="none" w:sz="0" w:space="0" w:color="auto"/>
        <w:bottom w:val="none" w:sz="0" w:space="0" w:color="auto"/>
        <w:right w:val="none" w:sz="0" w:space="0" w:color="auto"/>
      </w:divBdr>
    </w:div>
    <w:div w:id="915894681">
      <w:bodyDiv w:val="1"/>
      <w:marLeft w:val="0"/>
      <w:marRight w:val="0"/>
      <w:marTop w:val="0"/>
      <w:marBottom w:val="0"/>
      <w:divBdr>
        <w:top w:val="none" w:sz="0" w:space="0" w:color="auto"/>
        <w:left w:val="none" w:sz="0" w:space="0" w:color="auto"/>
        <w:bottom w:val="none" w:sz="0" w:space="0" w:color="auto"/>
        <w:right w:val="none" w:sz="0" w:space="0" w:color="auto"/>
      </w:divBdr>
    </w:div>
    <w:div w:id="998920021">
      <w:bodyDiv w:val="1"/>
      <w:marLeft w:val="0"/>
      <w:marRight w:val="0"/>
      <w:marTop w:val="0"/>
      <w:marBottom w:val="0"/>
      <w:divBdr>
        <w:top w:val="none" w:sz="0" w:space="0" w:color="auto"/>
        <w:left w:val="none" w:sz="0" w:space="0" w:color="auto"/>
        <w:bottom w:val="none" w:sz="0" w:space="0" w:color="auto"/>
        <w:right w:val="none" w:sz="0" w:space="0" w:color="auto"/>
      </w:divBdr>
    </w:div>
    <w:div w:id="1033732043">
      <w:bodyDiv w:val="1"/>
      <w:marLeft w:val="0"/>
      <w:marRight w:val="0"/>
      <w:marTop w:val="0"/>
      <w:marBottom w:val="0"/>
      <w:divBdr>
        <w:top w:val="none" w:sz="0" w:space="0" w:color="auto"/>
        <w:left w:val="none" w:sz="0" w:space="0" w:color="auto"/>
        <w:bottom w:val="none" w:sz="0" w:space="0" w:color="auto"/>
        <w:right w:val="none" w:sz="0" w:space="0" w:color="auto"/>
      </w:divBdr>
    </w:div>
    <w:div w:id="1044598226">
      <w:bodyDiv w:val="1"/>
      <w:marLeft w:val="0"/>
      <w:marRight w:val="0"/>
      <w:marTop w:val="0"/>
      <w:marBottom w:val="0"/>
      <w:divBdr>
        <w:top w:val="none" w:sz="0" w:space="0" w:color="auto"/>
        <w:left w:val="none" w:sz="0" w:space="0" w:color="auto"/>
        <w:bottom w:val="none" w:sz="0" w:space="0" w:color="auto"/>
        <w:right w:val="none" w:sz="0" w:space="0" w:color="auto"/>
      </w:divBdr>
    </w:div>
    <w:div w:id="1072898059">
      <w:bodyDiv w:val="1"/>
      <w:marLeft w:val="0"/>
      <w:marRight w:val="0"/>
      <w:marTop w:val="0"/>
      <w:marBottom w:val="0"/>
      <w:divBdr>
        <w:top w:val="none" w:sz="0" w:space="0" w:color="auto"/>
        <w:left w:val="none" w:sz="0" w:space="0" w:color="auto"/>
        <w:bottom w:val="none" w:sz="0" w:space="0" w:color="auto"/>
        <w:right w:val="none" w:sz="0" w:space="0" w:color="auto"/>
      </w:divBdr>
    </w:div>
    <w:div w:id="1092168563">
      <w:bodyDiv w:val="1"/>
      <w:marLeft w:val="0"/>
      <w:marRight w:val="0"/>
      <w:marTop w:val="0"/>
      <w:marBottom w:val="0"/>
      <w:divBdr>
        <w:top w:val="none" w:sz="0" w:space="0" w:color="auto"/>
        <w:left w:val="none" w:sz="0" w:space="0" w:color="auto"/>
        <w:bottom w:val="none" w:sz="0" w:space="0" w:color="auto"/>
        <w:right w:val="none" w:sz="0" w:space="0" w:color="auto"/>
      </w:divBdr>
    </w:div>
    <w:div w:id="1109423471">
      <w:bodyDiv w:val="1"/>
      <w:marLeft w:val="0"/>
      <w:marRight w:val="0"/>
      <w:marTop w:val="0"/>
      <w:marBottom w:val="0"/>
      <w:divBdr>
        <w:top w:val="none" w:sz="0" w:space="0" w:color="auto"/>
        <w:left w:val="none" w:sz="0" w:space="0" w:color="auto"/>
        <w:bottom w:val="none" w:sz="0" w:space="0" w:color="auto"/>
        <w:right w:val="none" w:sz="0" w:space="0" w:color="auto"/>
      </w:divBdr>
    </w:div>
    <w:div w:id="1126579288">
      <w:bodyDiv w:val="1"/>
      <w:marLeft w:val="0"/>
      <w:marRight w:val="0"/>
      <w:marTop w:val="0"/>
      <w:marBottom w:val="0"/>
      <w:divBdr>
        <w:top w:val="none" w:sz="0" w:space="0" w:color="auto"/>
        <w:left w:val="none" w:sz="0" w:space="0" w:color="auto"/>
        <w:bottom w:val="none" w:sz="0" w:space="0" w:color="auto"/>
        <w:right w:val="none" w:sz="0" w:space="0" w:color="auto"/>
      </w:divBdr>
    </w:div>
    <w:div w:id="1148279644">
      <w:bodyDiv w:val="1"/>
      <w:marLeft w:val="0"/>
      <w:marRight w:val="0"/>
      <w:marTop w:val="0"/>
      <w:marBottom w:val="0"/>
      <w:divBdr>
        <w:top w:val="none" w:sz="0" w:space="0" w:color="auto"/>
        <w:left w:val="none" w:sz="0" w:space="0" w:color="auto"/>
        <w:bottom w:val="none" w:sz="0" w:space="0" w:color="auto"/>
        <w:right w:val="none" w:sz="0" w:space="0" w:color="auto"/>
      </w:divBdr>
    </w:div>
    <w:div w:id="1215048107">
      <w:bodyDiv w:val="1"/>
      <w:marLeft w:val="0"/>
      <w:marRight w:val="0"/>
      <w:marTop w:val="0"/>
      <w:marBottom w:val="0"/>
      <w:divBdr>
        <w:top w:val="none" w:sz="0" w:space="0" w:color="auto"/>
        <w:left w:val="none" w:sz="0" w:space="0" w:color="auto"/>
        <w:bottom w:val="none" w:sz="0" w:space="0" w:color="auto"/>
        <w:right w:val="none" w:sz="0" w:space="0" w:color="auto"/>
      </w:divBdr>
    </w:div>
    <w:div w:id="1232231737">
      <w:bodyDiv w:val="1"/>
      <w:marLeft w:val="0"/>
      <w:marRight w:val="0"/>
      <w:marTop w:val="0"/>
      <w:marBottom w:val="0"/>
      <w:divBdr>
        <w:top w:val="none" w:sz="0" w:space="0" w:color="auto"/>
        <w:left w:val="none" w:sz="0" w:space="0" w:color="auto"/>
        <w:bottom w:val="none" w:sz="0" w:space="0" w:color="auto"/>
        <w:right w:val="none" w:sz="0" w:space="0" w:color="auto"/>
      </w:divBdr>
    </w:div>
    <w:div w:id="1237477259">
      <w:bodyDiv w:val="1"/>
      <w:marLeft w:val="0"/>
      <w:marRight w:val="0"/>
      <w:marTop w:val="0"/>
      <w:marBottom w:val="0"/>
      <w:divBdr>
        <w:top w:val="none" w:sz="0" w:space="0" w:color="auto"/>
        <w:left w:val="none" w:sz="0" w:space="0" w:color="auto"/>
        <w:bottom w:val="none" w:sz="0" w:space="0" w:color="auto"/>
        <w:right w:val="none" w:sz="0" w:space="0" w:color="auto"/>
      </w:divBdr>
    </w:div>
    <w:div w:id="1257471863">
      <w:bodyDiv w:val="1"/>
      <w:marLeft w:val="0"/>
      <w:marRight w:val="0"/>
      <w:marTop w:val="0"/>
      <w:marBottom w:val="0"/>
      <w:divBdr>
        <w:top w:val="none" w:sz="0" w:space="0" w:color="auto"/>
        <w:left w:val="none" w:sz="0" w:space="0" w:color="auto"/>
        <w:bottom w:val="none" w:sz="0" w:space="0" w:color="auto"/>
        <w:right w:val="none" w:sz="0" w:space="0" w:color="auto"/>
      </w:divBdr>
    </w:div>
    <w:div w:id="1377464446">
      <w:bodyDiv w:val="1"/>
      <w:marLeft w:val="0"/>
      <w:marRight w:val="0"/>
      <w:marTop w:val="0"/>
      <w:marBottom w:val="0"/>
      <w:divBdr>
        <w:top w:val="none" w:sz="0" w:space="0" w:color="auto"/>
        <w:left w:val="none" w:sz="0" w:space="0" w:color="auto"/>
        <w:bottom w:val="none" w:sz="0" w:space="0" w:color="auto"/>
        <w:right w:val="none" w:sz="0" w:space="0" w:color="auto"/>
      </w:divBdr>
      <w:divsChild>
        <w:div w:id="427625279">
          <w:marLeft w:val="1411"/>
          <w:marRight w:val="0"/>
          <w:marTop w:val="0"/>
          <w:marBottom w:val="0"/>
          <w:divBdr>
            <w:top w:val="none" w:sz="0" w:space="0" w:color="auto"/>
            <w:left w:val="none" w:sz="0" w:space="0" w:color="auto"/>
            <w:bottom w:val="none" w:sz="0" w:space="0" w:color="auto"/>
            <w:right w:val="none" w:sz="0" w:space="0" w:color="auto"/>
          </w:divBdr>
        </w:div>
        <w:div w:id="568031031">
          <w:marLeft w:val="1411"/>
          <w:marRight w:val="0"/>
          <w:marTop w:val="0"/>
          <w:marBottom w:val="0"/>
          <w:divBdr>
            <w:top w:val="none" w:sz="0" w:space="0" w:color="auto"/>
            <w:left w:val="none" w:sz="0" w:space="0" w:color="auto"/>
            <w:bottom w:val="none" w:sz="0" w:space="0" w:color="auto"/>
            <w:right w:val="none" w:sz="0" w:space="0" w:color="auto"/>
          </w:divBdr>
        </w:div>
        <w:div w:id="1324119449">
          <w:marLeft w:val="1411"/>
          <w:marRight w:val="0"/>
          <w:marTop w:val="0"/>
          <w:marBottom w:val="0"/>
          <w:divBdr>
            <w:top w:val="none" w:sz="0" w:space="0" w:color="auto"/>
            <w:left w:val="none" w:sz="0" w:space="0" w:color="auto"/>
            <w:bottom w:val="none" w:sz="0" w:space="0" w:color="auto"/>
            <w:right w:val="none" w:sz="0" w:space="0" w:color="auto"/>
          </w:divBdr>
        </w:div>
        <w:div w:id="1373193343">
          <w:marLeft w:val="562"/>
          <w:marRight w:val="0"/>
          <w:marTop w:val="0"/>
          <w:marBottom w:val="0"/>
          <w:divBdr>
            <w:top w:val="none" w:sz="0" w:space="0" w:color="auto"/>
            <w:left w:val="none" w:sz="0" w:space="0" w:color="auto"/>
            <w:bottom w:val="none" w:sz="0" w:space="0" w:color="auto"/>
            <w:right w:val="none" w:sz="0" w:space="0" w:color="auto"/>
          </w:divBdr>
        </w:div>
        <w:div w:id="1684472485">
          <w:marLeft w:val="1411"/>
          <w:marRight w:val="0"/>
          <w:marTop w:val="0"/>
          <w:marBottom w:val="0"/>
          <w:divBdr>
            <w:top w:val="none" w:sz="0" w:space="0" w:color="auto"/>
            <w:left w:val="none" w:sz="0" w:space="0" w:color="auto"/>
            <w:bottom w:val="none" w:sz="0" w:space="0" w:color="auto"/>
            <w:right w:val="none" w:sz="0" w:space="0" w:color="auto"/>
          </w:divBdr>
        </w:div>
        <w:div w:id="1732801658">
          <w:marLeft w:val="1411"/>
          <w:marRight w:val="0"/>
          <w:marTop w:val="0"/>
          <w:marBottom w:val="0"/>
          <w:divBdr>
            <w:top w:val="none" w:sz="0" w:space="0" w:color="auto"/>
            <w:left w:val="none" w:sz="0" w:space="0" w:color="auto"/>
            <w:bottom w:val="none" w:sz="0" w:space="0" w:color="auto"/>
            <w:right w:val="none" w:sz="0" w:space="0" w:color="auto"/>
          </w:divBdr>
        </w:div>
        <w:div w:id="1783454252">
          <w:marLeft w:val="1411"/>
          <w:marRight w:val="0"/>
          <w:marTop w:val="0"/>
          <w:marBottom w:val="0"/>
          <w:divBdr>
            <w:top w:val="none" w:sz="0" w:space="0" w:color="auto"/>
            <w:left w:val="none" w:sz="0" w:space="0" w:color="auto"/>
            <w:bottom w:val="none" w:sz="0" w:space="0" w:color="auto"/>
            <w:right w:val="none" w:sz="0" w:space="0" w:color="auto"/>
          </w:divBdr>
        </w:div>
        <w:div w:id="2022313867">
          <w:marLeft w:val="562"/>
          <w:marRight w:val="0"/>
          <w:marTop w:val="0"/>
          <w:marBottom w:val="0"/>
          <w:divBdr>
            <w:top w:val="none" w:sz="0" w:space="0" w:color="auto"/>
            <w:left w:val="none" w:sz="0" w:space="0" w:color="auto"/>
            <w:bottom w:val="none" w:sz="0" w:space="0" w:color="auto"/>
            <w:right w:val="none" w:sz="0" w:space="0" w:color="auto"/>
          </w:divBdr>
        </w:div>
      </w:divsChild>
    </w:div>
    <w:div w:id="1378160490">
      <w:bodyDiv w:val="1"/>
      <w:marLeft w:val="0"/>
      <w:marRight w:val="0"/>
      <w:marTop w:val="0"/>
      <w:marBottom w:val="0"/>
      <w:divBdr>
        <w:top w:val="none" w:sz="0" w:space="0" w:color="auto"/>
        <w:left w:val="none" w:sz="0" w:space="0" w:color="auto"/>
        <w:bottom w:val="none" w:sz="0" w:space="0" w:color="auto"/>
        <w:right w:val="none" w:sz="0" w:space="0" w:color="auto"/>
      </w:divBdr>
    </w:div>
    <w:div w:id="1392388646">
      <w:bodyDiv w:val="1"/>
      <w:marLeft w:val="0"/>
      <w:marRight w:val="0"/>
      <w:marTop w:val="0"/>
      <w:marBottom w:val="0"/>
      <w:divBdr>
        <w:top w:val="none" w:sz="0" w:space="0" w:color="auto"/>
        <w:left w:val="none" w:sz="0" w:space="0" w:color="auto"/>
        <w:bottom w:val="none" w:sz="0" w:space="0" w:color="auto"/>
        <w:right w:val="none" w:sz="0" w:space="0" w:color="auto"/>
      </w:divBdr>
    </w:div>
    <w:div w:id="1394700840">
      <w:bodyDiv w:val="1"/>
      <w:marLeft w:val="0"/>
      <w:marRight w:val="0"/>
      <w:marTop w:val="0"/>
      <w:marBottom w:val="0"/>
      <w:divBdr>
        <w:top w:val="none" w:sz="0" w:space="0" w:color="auto"/>
        <w:left w:val="none" w:sz="0" w:space="0" w:color="auto"/>
        <w:bottom w:val="none" w:sz="0" w:space="0" w:color="auto"/>
        <w:right w:val="none" w:sz="0" w:space="0" w:color="auto"/>
      </w:divBdr>
    </w:div>
    <w:div w:id="1443498282">
      <w:bodyDiv w:val="1"/>
      <w:marLeft w:val="0"/>
      <w:marRight w:val="0"/>
      <w:marTop w:val="0"/>
      <w:marBottom w:val="0"/>
      <w:divBdr>
        <w:top w:val="none" w:sz="0" w:space="0" w:color="auto"/>
        <w:left w:val="none" w:sz="0" w:space="0" w:color="auto"/>
        <w:bottom w:val="none" w:sz="0" w:space="0" w:color="auto"/>
        <w:right w:val="none" w:sz="0" w:space="0" w:color="auto"/>
      </w:divBdr>
    </w:div>
    <w:div w:id="1453094426">
      <w:bodyDiv w:val="1"/>
      <w:marLeft w:val="0"/>
      <w:marRight w:val="0"/>
      <w:marTop w:val="0"/>
      <w:marBottom w:val="0"/>
      <w:divBdr>
        <w:top w:val="none" w:sz="0" w:space="0" w:color="auto"/>
        <w:left w:val="none" w:sz="0" w:space="0" w:color="auto"/>
        <w:bottom w:val="none" w:sz="0" w:space="0" w:color="auto"/>
        <w:right w:val="none" w:sz="0" w:space="0" w:color="auto"/>
      </w:divBdr>
    </w:div>
    <w:div w:id="1462914901">
      <w:bodyDiv w:val="1"/>
      <w:marLeft w:val="0"/>
      <w:marRight w:val="0"/>
      <w:marTop w:val="0"/>
      <w:marBottom w:val="0"/>
      <w:divBdr>
        <w:top w:val="none" w:sz="0" w:space="0" w:color="auto"/>
        <w:left w:val="none" w:sz="0" w:space="0" w:color="auto"/>
        <w:bottom w:val="none" w:sz="0" w:space="0" w:color="auto"/>
        <w:right w:val="none" w:sz="0" w:space="0" w:color="auto"/>
      </w:divBdr>
    </w:div>
    <w:div w:id="1562866229">
      <w:bodyDiv w:val="1"/>
      <w:marLeft w:val="0"/>
      <w:marRight w:val="0"/>
      <w:marTop w:val="0"/>
      <w:marBottom w:val="0"/>
      <w:divBdr>
        <w:top w:val="none" w:sz="0" w:space="0" w:color="auto"/>
        <w:left w:val="none" w:sz="0" w:space="0" w:color="auto"/>
        <w:bottom w:val="none" w:sz="0" w:space="0" w:color="auto"/>
        <w:right w:val="none" w:sz="0" w:space="0" w:color="auto"/>
      </w:divBdr>
      <w:divsChild>
        <w:div w:id="842008112">
          <w:marLeft w:val="432"/>
          <w:marRight w:val="0"/>
          <w:marTop w:val="0"/>
          <w:marBottom w:val="0"/>
          <w:divBdr>
            <w:top w:val="none" w:sz="0" w:space="0" w:color="auto"/>
            <w:left w:val="none" w:sz="0" w:space="0" w:color="auto"/>
            <w:bottom w:val="none" w:sz="0" w:space="0" w:color="auto"/>
            <w:right w:val="none" w:sz="0" w:space="0" w:color="auto"/>
          </w:divBdr>
        </w:div>
        <w:div w:id="960261310">
          <w:marLeft w:val="432"/>
          <w:marRight w:val="0"/>
          <w:marTop w:val="0"/>
          <w:marBottom w:val="0"/>
          <w:divBdr>
            <w:top w:val="none" w:sz="0" w:space="0" w:color="auto"/>
            <w:left w:val="none" w:sz="0" w:space="0" w:color="auto"/>
            <w:bottom w:val="none" w:sz="0" w:space="0" w:color="auto"/>
            <w:right w:val="none" w:sz="0" w:space="0" w:color="auto"/>
          </w:divBdr>
        </w:div>
        <w:div w:id="1004744843">
          <w:marLeft w:val="432"/>
          <w:marRight w:val="0"/>
          <w:marTop w:val="0"/>
          <w:marBottom w:val="0"/>
          <w:divBdr>
            <w:top w:val="none" w:sz="0" w:space="0" w:color="auto"/>
            <w:left w:val="none" w:sz="0" w:space="0" w:color="auto"/>
            <w:bottom w:val="none" w:sz="0" w:space="0" w:color="auto"/>
            <w:right w:val="none" w:sz="0" w:space="0" w:color="auto"/>
          </w:divBdr>
        </w:div>
        <w:div w:id="1449617494">
          <w:marLeft w:val="432"/>
          <w:marRight w:val="0"/>
          <w:marTop w:val="0"/>
          <w:marBottom w:val="0"/>
          <w:divBdr>
            <w:top w:val="none" w:sz="0" w:space="0" w:color="auto"/>
            <w:left w:val="none" w:sz="0" w:space="0" w:color="auto"/>
            <w:bottom w:val="none" w:sz="0" w:space="0" w:color="auto"/>
            <w:right w:val="none" w:sz="0" w:space="0" w:color="auto"/>
          </w:divBdr>
        </w:div>
        <w:div w:id="1642155400">
          <w:marLeft w:val="432"/>
          <w:marRight w:val="0"/>
          <w:marTop w:val="0"/>
          <w:marBottom w:val="0"/>
          <w:divBdr>
            <w:top w:val="none" w:sz="0" w:space="0" w:color="auto"/>
            <w:left w:val="none" w:sz="0" w:space="0" w:color="auto"/>
            <w:bottom w:val="none" w:sz="0" w:space="0" w:color="auto"/>
            <w:right w:val="none" w:sz="0" w:space="0" w:color="auto"/>
          </w:divBdr>
        </w:div>
      </w:divsChild>
    </w:div>
    <w:div w:id="1582059570">
      <w:bodyDiv w:val="1"/>
      <w:marLeft w:val="0"/>
      <w:marRight w:val="0"/>
      <w:marTop w:val="0"/>
      <w:marBottom w:val="0"/>
      <w:divBdr>
        <w:top w:val="none" w:sz="0" w:space="0" w:color="auto"/>
        <w:left w:val="none" w:sz="0" w:space="0" w:color="auto"/>
        <w:bottom w:val="none" w:sz="0" w:space="0" w:color="auto"/>
        <w:right w:val="none" w:sz="0" w:space="0" w:color="auto"/>
      </w:divBdr>
    </w:div>
    <w:div w:id="1585410920">
      <w:bodyDiv w:val="1"/>
      <w:marLeft w:val="0"/>
      <w:marRight w:val="0"/>
      <w:marTop w:val="0"/>
      <w:marBottom w:val="0"/>
      <w:divBdr>
        <w:top w:val="none" w:sz="0" w:space="0" w:color="auto"/>
        <w:left w:val="none" w:sz="0" w:space="0" w:color="auto"/>
        <w:bottom w:val="none" w:sz="0" w:space="0" w:color="auto"/>
        <w:right w:val="none" w:sz="0" w:space="0" w:color="auto"/>
      </w:divBdr>
    </w:div>
    <w:div w:id="1616406584">
      <w:bodyDiv w:val="1"/>
      <w:marLeft w:val="0"/>
      <w:marRight w:val="0"/>
      <w:marTop w:val="0"/>
      <w:marBottom w:val="0"/>
      <w:divBdr>
        <w:top w:val="none" w:sz="0" w:space="0" w:color="auto"/>
        <w:left w:val="none" w:sz="0" w:space="0" w:color="auto"/>
        <w:bottom w:val="none" w:sz="0" w:space="0" w:color="auto"/>
        <w:right w:val="none" w:sz="0" w:space="0" w:color="auto"/>
      </w:divBdr>
    </w:div>
    <w:div w:id="1625191141">
      <w:bodyDiv w:val="1"/>
      <w:marLeft w:val="0"/>
      <w:marRight w:val="0"/>
      <w:marTop w:val="0"/>
      <w:marBottom w:val="0"/>
      <w:divBdr>
        <w:top w:val="none" w:sz="0" w:space="0" w:color="auto"/>
        <w:left w:val="none" w:sz="0" w:space="0" w:color="auto"/>
        <w:bottom w:val="none" w:sz="0" w:space="0" w:color="auto"/>
        <w:right w:val="none" w:sz="0" w:space="0" w:color="auto"/>
      </w:divBdr>
    </w:div>
    <w:div w:id="1680155601">
      <w:bodyDiv w:val="1"/>
      <w:marLeft w:val="0"/>
      <w:marRight w:val="0"/>
      <w:marTop w:val="0"/>
      <w:marBottom w:val="0"/>
      <w:divBdr>
        <w:top w:val="none" w:sz="0" w:space="0" w:color="auto"/>
        <w:left w:val="none" w:sz="0" w:space="0" w:color="auto"/>
        <w:bottom w:val="none" w:sz="0" w:space="0" w:color="auto"/>
        <w:right w:val="none" w:sz="0" w:space="0" w:color="auto"/>
      </w:divBdr>
    </w:div>
    <w:div w:id="1750349545">
      <w:bodyDiv w:val="1"/>
      <w:marLeft w:val="0"/>
      <w:marRight w:val="0"/>
      <w:marTop w:val="0"/>
      <w:marBottom w:val="0"/>
      <w:divBdr>
        <w:top w:val="none" w:sz="0" w:space="0" w:color="auto"/>
        <w:left w:val="none" w:sz="0" w:space="0" w:color="auto"/>
        <w:bottom w:val="none" w:sz="0" w:space="0" w:color="auto"/>
        <w:right w:val="none" w:sz="0" w:space="0" w:color="auto"/>
      </w:divBdr>
    </w:div>
    <w:div w:id="1793595793">
      <w:bodyDiv w:val="1"/>
      <w:marLeft w:val="0"/>
      <w:marRight w:val="0"/>
      <w:marTop w:val="0"/>
      <w:marBottom w:val="0"/>
      <w:divBdr>
        <w:top w:val="none" w:sz="0" w:space="0" w:color="auto"/>
        <w:left w:val="none" w:sz="0" w:space="0" w:color="auto"/>
        <w:bottom w:val="none" w:sz="0" w:space="0" w:color="auto"/>
        <w:right w:val="none" w:sz="0" w:space="0" w:color="auto"/>
      </w:divBdr>
    </w:div>
    <w:div w:id="1926306342">
      <w:bodyDiv w:val="1"/>
      <w:marLeft w:val="0"/>
      <w:marRight w:val="0"/>
      <w:marTop w:val="0"/>
      <w:marBottom w:val="0"/>
      <w:divBdr>
        <w:top w:val="none" w:sz="0" w:space="0" w:color="auto"/>
        <w:left w:val="none" w:sz="0" w:space="0" w:color="auto"/>
        <w:bottom w:val="none" w:sz="0" w:space="0" w:color="auto"/>
        <w:right w:val="none" w:sz="0" w:space="0" w:color="auto"/>
      </w:divBdr>
      <w:divsChild>
        <w:div w:id="706683369">
          <w:marLeft w:val="446"/>
          <w:marRight w:val="0"/>
          <w:marTop w:val="0"/>
          <w:marBottom w:val="0"/>
          <w:divBdr>
            <w:top w:val="none" w:sz="0" w:space="0" w:color="auto"/>
            <w:left w:val="none" w:sz="0" w:space="0" w:color="auto"/>
            <w:bottom w:val="none" w:sz="0" w:space="0" w:color="auto"/>
            <w:right w:val="none" w:sz="0" w:space="0" w:color="auto"/>
          </w:divBdr>
        </w:div>
        <w:div w:id="1413968053">
          <w:marLeft w:val="446"/>
          <w:marRight w:val="0"/>
          <w:marTop w:val="0"/>
          <w:marBottom w:val="0"/>
          <w:divBdr>
            <w:top w:val="none" w:sz="0" w:space="0" w:color="auto"/>
            <w:left w:val="none" w:sz="0" w:space="0" w:color="auto"/>
            <w:bottom w:val="none" w:sz="0" w:space="0" w:color="auto"/>
            <w:right w:val="none" w:sz="0" w:space="0" w:color="auto"/>
          </w:divBdr>
        </w:div>
        <w:div w:id="1800881046">
          <w:marLeft w:val="446"/>
          <w:marRight w:val="0"/>
          <w:marTop w:val="0"/>
          <w:marBottom w:val="0"/>
          <w:divBdr>
            <w:top w:val="none" w:sz="0" w:space="0" w:color="auto"/>
            <w:left w:val="none" w:sz="0" w:space="0" w:color="auto"/>
            <w:bottom w:val="none" w:sz="0" w:space="0" w:color="auto"/>
            <w:right w:val="none" w:sz="0" w:space="0" w:color="auto"/>
          </w:divBdr>
        </w:div>
      </w:divsChild>
    </w:div>
    <w:div w:id="1926647794">
      <w:bodyDiv w:val="1"/>
      <w:marLeft w:val="0"/>
      <w:marRight w:val="0"/>
      <w:marTop w:val="0"/>
      <w:marBottom w:val="0"/>
      <w:divBdr>
        <w:top w:val="none" w:sz="0" w:space="0" w:color="auto"/>
        <w:left w:val="none" w:sz="0" w:space="0" w:color="auto"/>
        <w:bottom w:val="none" w:sz="0" w:space="0" w:color="auto"/>
        <w:right w:val="none" w:sz="0" w:space="0" w:color="auto"/>
      </w:divBdr>
    </w:div>
    <w:div w:id="1927500358">
      <w:bodyDiv w:val="1"/>
      <w:marLeft w:val="0"/>
      <w:marRight w:val="0"/>
      <w:marTop w:val="0"/>
      <w:marBottom w:val="0"/>
      <w:divBdr>
        <w:top w:val="none" w:sz="0" w:space="0" w:color="auto"/>
        <w:left w:val="none" w:sz="0" w:space="0" w:color="auto"/>
        <w:bottom w:val="none" w:sz="0" w:space="0" w:color="auto"/>
        <w:right w:val="none" w:sz="0" w:space="0" w:color="auto"/>
      </w:divBdr>
      <w:divsChild>
        <w:div w:id="111636357">
          <w:marLeft w:val="446"/>
          <w:marRight w:val="0"/>
          <w:marTop w:val="0"/>
          <w:marBottom w:val="0"/>
          <w:divBdr>
            <w:top w:val="none" w:sz="0" w:space="0" w:color="auto"/>
            <w:left w:val="none" w:sz="0" w:space="0" w:color="auto"/>
            <w:bottom w:val="none" w:sz="0" w:space="0" w:color="auto"/>
            <w:right w:val="none" w:sz="0" w:space="0" w:color="auto"/>
          </w:divBdr>
        </w:div>
        <w:div w:id="265116485">
          <w:marLeft w:val="446"/>
          <w:marRight w:val="0"/>
          <w:marTop w:val="0"/>
          <w:marBottom w:val="0"/>
          <w:divBdr>
            <w:top w:val="none" w:sz="0" w:space="0" w:color="auto"/>
            <w:left w:val="none" w:sz="0" w:space="0" w:color="auto"/>
            <w:bottom w:val="none" w:sz="0" w:space="0" w:color="auto"/>
            <w:right w:val="none" w:sz="0" w:space="0" w:color="auto"/>
          </w:divBdr>
        </w:div>
        <w:div w:id="1220169965">
          <w:marLeft w:val="446"/>
          <w:marRight w:val="0"/>
          <w:marTop w:val="0"/>
          <w:marBottom w:val="0"/>
          <w:divBdr>
            <w:top w:val="none" w:sz="0" w:space="0" w:color="auto"/>
            <w:left w:val="none" w:sz="0" w:space="0" w:color="auto"/>
            <w:bottom w:val="none" w:sz="0" w:space="0" w:color="auto"/>
            <w:right w:val="none" w:sz="0" w:space="0" w:color="auto"/>
          </w:divBdr>
        </w:div>
        <w:div w:id="1231111033">
          <w:marLeft w:val="446"/>
          <w:marRight w:val="0"/>
          <w:marTop w:val="0"/>
          <w:marBottom w:val="0"/>
          <w:divBdr>
            <w:top w:val="none" w:sz="0" w:space="0" w:color="auto"/>
            <w:left w:val="none" w:sz="0" w:space="0" w:color="auto"/>
            <w:bottom w:val="none" w:sz="0" w:space="0" w:color="auto"/>
            <w:right w:val="none" w:sz="0" w:space="0" w:color="auto"/>
          </w:divBdr>
        </w:div>
        <w:div w:id="1743327666">
          <w:marLeft w:val="446"/>
          <w:marRight w:val="0"/>
          <w:marTop w:val="0"/>
          <w:marBottom w:val="0"/>
          <w:divBdr>
            <w:top w:val="none" w:sz="0" w:space="0" w:color="auto"/>
            <w:left w:val="none" w:sz="0" w:space="0" w:color="auto"/>
            <w:bottom w:val="none" w:sz="0" w:space="0" w:color="auto"/>
            <w:right w:val="none" w:sz="0" w:space="0" w:color="auto"/>
          </w:divBdr>
        </w:div>
      </w:divsChild>
    </w:div>
    <w:div w:id="1935819426">
      <w:bodyDiv w:val="1"/>
      <w:marLeft w:val="0"/>
      <w:marRight w:val="0"/>
      <w:marTop w:val="0"/>
      <w:marBottom w:val="0"/>
      <w:divBdr>
        <w:top w:val="none" w:sz="0" w:space="0" w:color="auto"/>
        <w:left w:val="none" w:sz="0" w:space="0" w:color="auto"/>
        <w:bottom w:val="none" w:sz="0" w:space="0" w:color="auto"/>
        <w:right w:val="none" w:sz="0" w:space="0" w:color="auto"/>
      </w:divBdr>
    </w:div>
    <w:div w:id="1940601479">
      <w:bodyDiv w:val="1"/>
      <w:marLeft w:val="0"/>
      <w:marRight w:val="0"/>
      <w:marTop w:val="0"/>
      <w:marBottom w:val="0"/>
      <w:divBdr>
        <w:top w:val="none" w:sz="0" w:space="0" w:color="auto"/>
        <w:left w:val="none" w:sz="0" w:space="0" w:color="auto"/>
        <w:bottom w:val="none" w:sz="0" w:space="0" w:color="auto"/>
        <w:right w:val="none" w:sz="0" w:space="0" w:color="auto"/>
      </w:divBdr>
      <w:divsChild>
        <w:div w:id="393697833">
          <w:marLeft w:val="850"/>
          <w:marRight w:val="0"/>
          <w:marTop w:val="96"/>
          <w:marBottom w:val="0"/>
          <w:divBdr>
            <w:top w:val="none" w:sz="0" w:space="0" w:color="auto"/>
            <w:left w:val="none" w:sz="0" w:space="0" w:color="auto"/>
            <w:bottom w:val="none" w:sz="0" w:space="0" w:color="auto"/>
            <w:right w:val="none" w:sz="0" w:space="0" w:color="auto"/>
          </w:divBdr>
        </w:div>
        <w:div w:id="996568741">
          <w:marLeft w:val="850"/>
          <w:marRight w:val="0"/>
          <w:marTop w:val="96"/>
          <w:marBottom w:val="0"/>
          <w:divBdr>
            <w:top w:val="none" w:sz="0" w:space="0" w:color="auto"/>
            <w:left w:val="none" w:sz="0" w:space="0" w:color="auto"/>
            <w:bottom w:val="none" w:sz="0" w:space="0" w:color="auto"/>
            <w:right w:val="none" w:sz="0" w:space="0" w:color="auto"/>
          </w:divBdr>
        </w:div>
        <w:div w:id="1347247584">
          <w:marLeft w:val="850"/>
          <w:marRight w:val="0"/>
          <w:marTop w:val="96"/>
          <w:marBottom w:val="0"/>
          <w:divBdr>
            <w:top w:val="none" w:sz="0" w:space="0" w:color="auto"/>
            <w:left w:val="none" w:sz="0" w:space="0" w:color="auto"/>
            <w:bottom w:val="none" w:sz="0" w:space="0" w:color="auto"/>
            <w:right w:val="none" w:sz="0" w:space="0" w:color="auto"/>
          </w:divBdr>
        </w:div>
        <w:div w:id="1514804994">
          <w:marLeft w:val="850"/>
          <w:marRight w:val="0"/>
          <w:marTop w:val="96"/>
          <w:marBottom w:val="0"/>
          <w:divBdr>
            <w:top w:val="none" w:sz="0" w:space="0" w:color="auto"/>
            <w:left w:val="none" w:sz="0" w:space="0" w:color="auto"/>
            <w:bottom w:val="none" w:sz="0" w:space="0" w:color="auto"/>
            <w:right w:val="none" w:sz="0" w:space="0" w:color="auto"/>
          </w:divBdr>
        </w:div>
        <w:div w:id="2027633872">
          <w:marLeft w:val="850"/>
          <w:marRight w:val="0"/>
          <w:marTop w:val="96"/>
          <w:marBottom w:val="0"/>
          <w:divBdr>
            <w:top w:val="none" w:sz="0" w:space="0" w:color="auto"/>
            <w:left w:val="none" w:sz="0" w:space="0" w:color="auto"/>
            <w:bottom w:val="none" w:sz="0" w:space="0" w:color="auto"/>
            <w:right w:val="none" w:sz="0" w:space="0" w:color="auto"/>
          </w:divBdr>
        </w:div>
      </w:divsChild>
    </w:div>
    <w:div w:id="1942107982">
      <w:bodyDiv w:val="1"/>
      <w:marLeft w:val="0"/>
      <w:marRight w:val="0"/>
      <w:marTop w:val="0"/>
      <w:marBottom w:val="0"/>
      <w:divBdr>
        <w:top w:val="none" w:sz="0" w:space="0" w:color="auto"/>
        <w:left w:val="none" w:sz="0" w:space="0" w:color="auto"/>
        <w:bottom w:val="none" w:sz="0" w:space="0" w:color="auto"/>
        <w:right w:val="none" w:sz="0" w:space="0" w:color="auto"/>
      </w:divBdr>
    </w:div>
    <w:div w:id="1969160249">
      <w:bodyDiv w:val="1"/>
      <w:marLeft w:val="0"/>
      <w:marRight w:val="0"/>
      <w:marTop w:val="0"/>
      <w:marBottom w:val="0"/>
      <w:divBdr>
        <w:top w:val="none" w:sz="0" w:space="0" w:color="auto"/>
        <w:left w:val="none" w:sz="0" w:space="0" w:color="auto"/>
        <w:bottom w:val="none" w:sz="0" w:space="0" w:color="auto"/>
        <w:right w:val="none" w:sz="0" w:space="0" w:color="auto"/>
      </w:divBdr>
    </w:div>
    <w:div w:id="2000037407">
      <w:bodyDiv w:val="1"/>
      <w:marLeft w:val="0"/>
      <w:marRight w:val="0"/>
      <w:marTop w:val="0"/>
      <w:marBottom w:val="0"/>
      <w:divBdr>
        <w:top w:val="none" w:sz="0" w:space="0" w:color="auto"/>
        <w:left w:val="none" w:sz="0" w:space="0" w:color="auto"/>
        <w:bottom w:val="none" w:sz="0" w:space="0" w:color="auto"/>
        <w:right w:val="none" w:sz="0" w:space="0" w:color="auto"/>
      </w:divBdr>
    </w:div>
    <w:div w:id="2037193323">
      <w:bodyDiv w:val="1"/>
      <w:marLeft w:val="0"/>
      <w:marRight w:val="0"/>
      <w:marTop w:val="0"/>
      <w:marBottom w:val="0"/>
      <w:divBdr>
        <w:top w:val="none" w:sz="0" w:space="0" w:color="auto"/>
        <w:left w:val="none" w:sz="0" w:space="0" w:color="auto"/>
        <w:bottom w:val="none" w:sz="0" w:space="0" w:color="auto"/>
        <w:right w:val="none" w:sz="0" w:space="0" w:color="auto"/>
      </w:divBdr>
    </w:div>
    <w:div w:id="2052849951">
      <w:bodyDiv w:val="1"/>
      <w:marLeft w:val="0"/>
      <w:marRight w:val="0"/>
      <w:marTop w:val="0"/>
      <w:marBottom w:val="0"/>
      <w:divBdr>
        <w:top w:val="none" w:sz="0" w:space="0" w:color="auto"/>
        <w:left w:val="none" w:sz="0" w:space="0" w:color="auto"/>
        <w:bottom w:val="none" w:sz="0" w:space="0" w:color="auto"/>
        <w:right w:val="none" w:sz="0" w:space="0" w:color="auto"/>
      </w:divBdr>
    </w:div>
    <w:div w:id="2073304315">
      <w:bodyDiv w:val="1"/>
      <w:marLeft w:val="0"/>
      <w:marRight w:val="0"/>
      <w:marTop w:val="0"/>
      <w:marBottom w:val="0"/>
      <w:divBdr>
        <w:top w:val="none" w:sz="0" w:space="0" w:color="auto"/>
        <w:left w:val="none" w:sz="0" w:space="0" w:color="auto"/>
        <w:bottom w:val="none" w:sz="0" w:space="0" w:color="auto"/>
        <w:right w:val="none" w:sz="0" w:space="0" w:color="auto"/>
      </w:divBdr>
    </w:div>
    <w:div w:id="2106610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image" Target="media/image3.emf"/><Relationship Id="rId3" Type="http://schemas.openxmlformats.org/officeDocument/2006/relationships/styles" Target="styles.xml"/><Relationship Id="rId21" Type="http://schemas.openxmlformats.org/officeDocument/2006/relationships/chart" Target="charts/chart13.xml"/><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image" Target="media/image2.em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image" Target="media/image1.emf"/><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image" Target="media/image5.emf"/><Relationship Id="rId36"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image" Target="media/image4.emf"/><Relationship Id="rId30" Type="http://schemas.openxmlformats.org/officeDocument/2006/relationships/image" Target="media/image7.emf"/><Relationship Id="rId35" Type="http://schemas.openxmlformats.org/officeDocument/2006/relationships/footer" Target="footer3.xml"/></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Hoja_de_c_lculo_de_Microsoft_Excel8.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Hoja_de_c_lculo_de_Microsoft_Excel9.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package" Target="../embeddings/Hoja_de_c_lculo_de_Microsoft_Excel10.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Hoja_de_c_lculo_de_Microsoft_Excel11.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package" Target="../embeddings/Hoja_de_c_lculo_de_Microsoft_Excel12.xlsx"/><Relationship Id="rId1" Type="http://schemas.openxmlformats.org/officeDocument/2006/relationships/themeOverride" Target="../theme/themeOverride14.xml"/></Relationships>
</file>

<file path=word/charts/_rels/chart2.xml.rels><?xml version="1.0" encoding="UTF-8" standalone="yes"?>
<Relationships xmlns="http://schemas.openxmlformats.org/package/2006/relationships"><Relationship Id="rId2" Type="http://schemas.openxmlformats.org/officeDocument/2006/relationships/package" Target="../embeddings/Hoja_de_c_lculo_de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deefoper18.DC-DI01\Desktop\Gr&#225;ficas%20informe%20de%20medio%20a&#241;o%202018%20parte%20macro%20al%20260918.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C:\Users\deefoper18.DC-DI01\AppData\Roaming\Microsoft\Excel\Libro1%20(version%201).xlsb"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Hoja_de_c_lculo_de_Microsoft_Excel3.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Hoja_de_c_lculo_de_Microsoft_Excel4.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Hoja_de_c_lculo_de_Microsoft_Excel5.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Hoja_de_c_lculo_de_Microsoft_Excel6.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Hoja_de_c_lculo_de_Microsoft_Excel7.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'Crecimiento economico mundial '!$C$27</c:f>
              <c:strCache>
                <c:ptCount val="1"/>
                <c:pt idx="0">
                  <c:v>2016</c:v>
                </c:pt>
              </c:strCache>
            </c:strRef>
          </c:tx>
          <c:invertIfNegative val="0"/>
          <c:dLbls>
            <c:txPr>
              <a:bodyPr/>
              <a:lstStyle/>
              <a:p>
                <a:pPr>
                  <a:defRPr sz="800" b="1">
                    <a:latin typeface="Times New Roman" pitchFamily="18" charset="0"/>
                    <a:cs typeface="Times New Roman" pitchFamily="18" charset="0"/>
                  </a:defRPr>
                </a:pPr>
                <a:endParaRPr lang="es-GT"/>
              </a:p>
            </c:txPr>
            <c:showLegendKey val="0"/>
            <c:showVal val="1"/>
            <c:showCatName val="0"/>
            <c:showSerName val="0"/>
            <c:showPercent val="0"/>
            <c:showBubbleSize val="0"/>
            <c:showLeaderLines val="0"/>
          </c:dLbls>
          <c:cat>
            <c:strRef>
              <c:f>'Crecimiento economico mundial '!$B$28:$B$31</c:f>
              <c:strCache>
                <c:ptCount val="4"/>
                <c:pt idx="0">
                  <c:v>Economía Mundial </c:v>
                </c:pt>
                <c:pt idx="1">
                  <c:v>Economías Avanzadas</c:v>
                </c:pt>
                <c:pt idx="2">
                  <c:v>Mercados Emergentes</c:v>
                </c:pt>
                <c:pt idx="3">
                  <c:v>América Latina y el Caribe</c:v>
                </c:pt>
              </c:strCache>
            </c:strRef>
          </c:cat>
          <c:val>
            <c:numRef>
              <c:f>'Crecimiento economico mundial '!$C$28:$C$31</c:f>
              <c:numCache>
                <c:formatCode>0.0</c:formatCode>
                <c:ptCount val="4"/>
                <c:pt idx="0">
                  <c:v>3.2</c:v>
                </c:pt>
                <c:pt idx="1">
                  <c:v>1.7</c:v>
                </c:pt>
                <c:pt idx="2">
                  <c:v>4.3</c:v>
                </c:pt>
                <c:pt idx="3">
                  <c:v>-1</c:v>
                </c:pt>
              </c:numCache>
            </c:numRef>
          </c:val>
        </c:ser>
        <c:ser>
          <c:idx val="1"/>
          <c:order val="1"/>
          <c:tx>
            <c:strRef>
              <c:f>'Crecimiento economico mundial '!$D$27</c:f>
              <c:strCache>
                <c:ptCount val="1"/>
                <c:pt idx="0">
                  <c:v>2017</c:v>
                </c:pt>
              </c:strCache>
            </c:strRef>
          </c:tx>
          <c:invertIfNegative val="0"/>
          <c:dLbls>
            <c:txPr>
              <a:bodyPr/>
              <a:lstStyle/>
              <a:p>
                <a:pPr>
                  <a:defRPr sz="800" b="1">
                    <a:latin typeface="Times New Roman" pitchFamily="18" charset="0"/>
                    <a:cs typeface="Times New Roman" pitchFamily="18" charset="0"/>
                  </a:defRPr>
                </a:pPr>
                <a:endParaRPr lang="es-GT"/>
              </a:p>
            </c:txPr>
            <c:showLegendKey val="0"/>
            <c:showVal val="1"/>
            <c:showCatName val="0"/>
            <c:showSerName val="0"/>
            <c:showPercent val="0"/>
            <c:showBubbleSize val="0"/>
            <c:showLeaderLines val="0"/>
          </c:dLbls>
          <c:cat>
            <c:strRef>
              <c:f>'Crecimiento economico mundial '!$B$28:$B$31</c:f>
              <c:strCache>
                <c:ptCount val="4"/>
                <c:pt idx="0">
                  <c:v>Economía Mundial </c:v>
                </c:pt>
                <c:pt idx="1">
                  <c:v>Economías Avanzadas</c:v>
                </c:pt>
                <c:pt idx="2">
                  <c:v>Mercados Emergentes</c:v>
                </c:pt>
                <c:pt idx="3">
                  <c:v>América Latina y el Caribe</c:v>
                </c:pt>
              </c:strCache>
            </c:strRef>
          </c:cat>
          <c:val>
            <c:numRef>
              <c:f>'Crecimiento economico mundial '!$D$28:$D$31</c:f>
              <c:numCache>
                <c:formatCode>0.0</c:formatCode>
                <c:ptCount val="4"/>
                <c:pt idx="0">
                  <c:v>3.5</c:v>
                </c:pt>
                <c:pt idx="1">
                  <c:v>2</c:v>
                </c:pt>
                <c:pt idx="2">
                  <c:v>4.5999999999999996</c:v>
                </c:pt>
                <c:pt idx="3">
                  <c:v>1</c:v>
                </c:pt>
              </c:numCache>
            </c:numRef>
          </c:val>
        </c:ser>
        <c:ser>
          <c:idx val="2"/>
          <c:order val="2"/>
          <c:tx>
            <c:strRef>
              <c:f>'Crecimiento economico mundial '!$E$27</c:f>
              <c:strCache>
                <c:ptCount val="1"/>
                <c:pt idx="0">
                  <c:v>2018</c:v>
                </c:pt>
              </c:strCache>
            </c:strRef>
          </c:tx>
          <c:invertIfNegative val="0"/>
          <c:dLbls>
            <c:txPr>
              <a:bodyPr/>
              <a:lstStyle/>
              <a:p>
                <a:pPr>
                  <a:defRPr sz="800" b="1">
                    <a:latin typeface="Times New Roman" pitchFamily="18" charset="0"/>
                    <a:cs typeface="Times New Roman" pitchFamily="18" charset="0"/>
                  </a:defRPr>
                </a:pPr>
                <a:endParaRPr lang="es-GT"/>
              </a:p>
            </c:txPr>
            <c:showLegendKey val="0"/>
            <c:showVal val="1"/>
            <c:showCatName val="0"/>
            <c:showSerName val="0"/>
            <c:showPercent val="0"/>
            <c:showBubbleSize val="0"/>
            <c:showLeaderLines val="0"/>
          </c:dLbls>
          <c:cat>
            <c:strRef>
              <c:f>'Crecimiento economico mundial '!$B$28:$B$31</c:f>
              <c:strCache>
                <c:ptCount val="4"/>
                <c:pt idx="0">
                  <c:v>Economía Mundial </c:v>
                </c:pt>
                <c:pt idx="1">
                  <c:v>Economías Avanzadas</c:v>
                </c:pt>
                <c:pt idx="2">
                  <c:v>Mercados Emergentes</c:v>
                </c:pt>
                <c:pt idx="3">
                  <c:v>América Latina y el Caribe</c:v>
                </c:pt>
              </c:strCache>
            </c:strRef>
          </c:cat>
          <c:val>
            <c:numRef>
              <c:f>'Crecimiento economico mundial '!$E$28:$E$31</c:f>
              <c:numCache>
                <c:formatCode>0.0</c:formatCode>
                <c:ptCount val="4"/>
                <c:pt idx="0">
                  <c:v>3.6</c:v>
                </c:pt>
                <c:pt idx="1">
                  <c:v>1.9</c:v>
                </c:pt>
                <c:pt idx="2">
                  <c:v>4.8</c:v>
                </c:pt>
                <c:pt idx="3">
                  <c:v>1.9</c:v>
                </c:pt>
              </c:numCache>
            </c:numRef>
          </c:val>
        </c:ser>
        <c:dLbls>
          <c:showLegendKey val="0"/>
          <c:showVal val="0"/>
          <c:showCatName val="0"/>
          <c:showSerName val="0"/>
          <c:showPercent val="0"/>
          <c:showBubbleSize val="0"/>
        </c:dLbls>
        <c:gapWidth val="150"/>
        <c:axId val="30696576"/>
        <c:axId val="30698112"/>
      </c:barChart>
      <c:catAx>
        <c:axId val="30696576"/>
        <c:scaling>
          <c:orientation val="minMax"/>
        </c:scaling>
        <c:delete val="0"/>
        <c:axPos val="b"/>
        <c:majorTickMark val="out"/>
        <c:minorTickMark val="none"/>
        <c:tickLblPos val="low"/>
        <c:txPr>
          <a:bodyPr/>
          <a:lstStyle/>
          <a:p>
            <a:pPr>
              <a:defRPr sz="1000" b="1">
                <a:latin typeface="Times New Roman" pitchFamily="18" charset="0"/>
                <a:cs typeface="Times New Roman" pitchFamily="18" charset="0"/>
              </a:defRPr>
            </a:pPr>
            <a:endParaRPr lang="es-GT"/>
          </a:p>
        </c:txPr>
        <c:crossAx val="30698112"/>
        <c:crosses val="autoZero"/>
        <c:auto val="1"/>
        <c:lblAlgn val="ctr"/>
        <c:lblOffset val="100"/>
        <c:noMultiLvlLbl val="0"/>
      </c:catAx>
      <c:valAx>
        <c:axId val="30698112"/>
        <c:scaling>
          <c:orientation val="minMax"/>
        </c:scaling>
        <c:delete val="0"/>
        <c:axPos val="l"/>
        <c:numFmt formatCode="0.0" sourceLinked="1"/>
        <c:majorTickMark val="out"/>
        <c:minorTickMark val="none"/>
        <c:tickLblPos val="nextTo"/>
        <c:txPr>
          <a:bodyPr/>
          <a:lstStyle/>
          <a:p>
            <a:pPr>
              <a:defRPr sz="900" b="1">
                <a:latin typeface="Times New Roman" pitchFamily="18" charset="0"/>
                <a:cs typeface="Times New Roman" pitchFamily="18" charset="0"/>
              </a:defRPr>
            </a:pPr>
            <a:endParaRPr lang="es-GT"/>
          </a:p>
        </c:txPr>
        <c:crossAx val="30696576"/>
        <c:crosses val="autoZero"/>
        <c:crossBetween val="between"/>
      </c:valAx>
    </c:plotArea>
    <c:legend>
      <c:legendPos val="r"/>
      <c:layout>
        <c:manualLayout>
          <c:xMode val="edge"/>
          <c:yMode val="edge"/>
          <c:x val="9.3990575621147154E-2"/>
          <c:y val="4.8592133703875287E-2"/>
          <c:w val="0.26811199171066097"/>
          <c:h val="7.6158860965115038E-2"/>
        </c:manualLayout>
      </c:layout>
      <c:overlay val="0"/>
      <c:txPr>
        <a:bodyPr/>
        <a:lstStyle/>
        <a:p>
          <a:pPr>
            <a:defRPr sz="800" b="1">
              <a:latin typeface="Times New Roman" pitchFamily="18" charset="0"/>
              <a:cs typeface="Times New Roman" pitchFamily="18" charset="0"/>
            </a:defRPr>
          </a:pPr>
          <a:endParaRPr lang="es-GT"/>
        </a:p>
      </c:txPr>
    </c:legend>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a:pPr>
            <a:r>
              <a:rPr lang="en-US" sz="900"/>
              <a:t>2018*</a:t>
            </a:r>
          </a:p>
        </c:rich>
      </c:tx>
      <c:overlay val="0"/>
    </c:title>
    <c:autoTitleDeleted val="0"/>
    <c:view3D>
      <c:rotX val="30"/>
      <c:rotY val="217"/>
      <c:rAngAx val="0"/>
      <c:perspective val="30"/>
    </c:view3D>
    <c:floor>
      <c:thickness val="0"/>
    </c:floor>
    <c:sideWall>
      <c:thickness val="0"/>
    </c:sideWall>
    <c:backWall>
      <c:thickness val="0"/>
    </c:backWall>
    <c:plotArea>
      <c:layout>
        <c:manualLayout>
          <c:layoutTarget val="inner"/>
          <c:xMode val="edge"/>
          <c:yMode val="edge"/>
          <c:x val="0"/>
          <c:y val="0.24786599591717701"/>
          <c:w val="1"/>
          <c:h val="0.75213400408282294"/>
        </c:manualLayout>
      </c:layout>
      <c:pie3DChart>
        <c:varyColors val="1"/>
        <c:ser>
          <c:idx val="0"/>
          <c:order val="0"/>
          <c:explosion val="25"/>
          <c:dLbls>
            <c:dLbl>
              <c:idx val="0"/>
              <c:layout>
                <c:manualLayout>
                  <c:x val="0.18279133321176141"/>
                  <c:y val="4.5064543256887989E-2"/>
                </c:manualLayout>
              </c:layout>
              <c:showLegendKey val="0"/>
              <c:showVal val="1"/>
              <c:showCatName val="1"/>
              <c:showSerName val="0"/>
              <c:showPercent val="1"/>
              <c:showBubbleSize val="0"/>
            </c:dLbl>
            <c:dLbl>
              <c:idx val="1"/>
              <c:layout>
                <c:manualLayout>
                  <c:x val="-0.22856715481822829"/>
                  <c:y val="-0.16462283815708023"/>
                </c:manualLayout>
              </c:layout>
              <c:tx>
                <c:rich>
                  <a:bodyPr/>
                  <a:lstStyle/>
                  <a:p>
                    <a:r>
                      <a:rPr lang="en-US"/>
                      <a:t>Indirectos 17,438.5, 62.1%</a:t>
                    </a:r>
                  </a:p>
                </c:rich>
              </c:tx>
              <c:showLegendKey val="0"/>
              <c:showVal val="1"/>
              <c:showCatName val="1"/>
              <c:showSerName val="0"/>
              <c:showPercent val="1"/>
              <c:showBubbleSize val="0"/>
            </c:dLbl>
            <c:numFmt formatCode="0.0%" sourceLinked="0"/>
            <c:txPr>
              <a:bodyPr/>
              <a:lstStyle/>
              <a:p>
                <a:pPr>
                  <a:defRPr sz="600" b="1"/>
                </a:pPr>
                <a:endParaRPr lang="es-GT"/>
              </a:p>
            </c:txPr>
            <c:showLegendKey val="0"/>
            <c:showVal val="1"/>
            <c:showCatName val="1"/>
            <c:showSerName val="0"/>
            <c:showPercent val="1"/>
            <c:showBubbleSize val="0"/>
            <c:showLeaderLines val="1"/>
          </c:dLbls>
          <c:cat>
            <c:strRef>
              <c:f>Hoja1!$S$62:$S$63</c:f>
              <c:strCache>
                <c:ptCount val="2"/>
                <c:pt idx="0">
                  <c:v>Directos</c:v>
                </c:pt>
                <c:pt idx="1">
                  <c:v>Indirectos</c:v>
                </c:pt>
              </c:strCache>
            </c:strRef>
          </c:cat>
          <c:val>
            <c:numRef>
              <c:f>Hoja1!$U$62:$U$63</c:f>
              <c:numCache>
                <c:formatCode>#,##0.0</c:formatCode>
                <c:ptCount val="2"/>
                <c:pt idx="0">
                  <c:v>10661.12195742</c:v>
                </c:pt>
                <c:pt idx="1">
                  <c:v>17438.474031239999</c:v>
                </c:pt>
              </c:numCache>
            </c:numRef>
          </c:val>
        </c:ser>
        <c:dLbls>
          <c:showLegendKey val="0"/>
          <c:showVal val="0"/>
          <c:showCatName val="1"/>
          <c:showSerName val="0"/>
          <c:showPercent val="1"/>
          <c:showBubbleSize val="0"/>
          <c:showLeaderLines val="1"/>
        </c:dLbls>
      </c:pie3DChart>
    </c:plotArea>
    <c:plotVisOnly val="1"/>
    <c:dispBlanksAs val="gap"/>
    <c:showDLblsOverMax val="0"/>
  </c:chart>
  <c:spPr>
    <a:noFill/>
    <a:ln>
      <a:noFill/>
    </a:ln>
  </c:spPr>
  <c:txPr>
    <a:bodyPr/>
    <a:lstStyle/>
    <a:p>
      <a:pPr>
        <a:defRPr sz="700">
          <a:latin typeface="Times New Roman" panose="02020603050405020304" pitchFamily="18" charset="0"/>
          <a:cs typeface="Times New Roman" panose="02020603050405020304" pitchFamily="18" charset="0"/>
        </a:defRPr>
      </a:pPr>
      <a:endParaRPr lang="es-GT"/>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502624671916"/>
          <c:y val="5.1284995625546795E-2"/>
          <c:w val="0.85694181977252848"/>
          <c:h val="0.83273512685914264"/>
        </c:manualLayout>
      </c:layout>
      <c:barChart>
        <c:barDir val="col"/>
        <c:grouping val="clustered"/>
        <c:varyColors val="0"/>
        <c:ser>
          <c:idx val="0"/>
          <c:order val="0"/>
          <c:tx>
            <c:strRef>
              <c:f>Hoja1!$T$110</c:f>
              <c:strCache>
                <c:ptCount val="1"/>
                <c:pt idx="0">
                  <c:v>Tributarios</c:v>
                </c:pt>
              </c:strCache>
            </c:strRef>
          </c:tx>
          <c:spPr>
            <a:scene3d>
              <a:camera prst="orthographicFront"/>
              <a:lightRig rig="threePt" dir="t"/>
            </a:scene3d>
            <a:sp3d>
              <a:bevelT/>
            </a:sp3d>
          </c:spPr>
          <c:invertIfNegative val="0"/>
          <c:dPt>
            <c:idx val="8"/>
            <c:invertIfNegative val="0"/>
            <c:bubble3D val="0"/>
            <c:spPr>
              <a:solidFill>
                <a:schemeClr val="tx2"/>
              </a:solidFill>
              <a:scene3d>
                <a:camera prst="orthographicFront"/>
                <a:lightRig rig="threePt" dir="t"/>
              </a:scene3d>
              <a:sp3d>
                <a:bevelT/>
              </a:sp3d>
            </c:spPr>
          </c:dPt>
          <c:dLbls>
            <c:dLbl>
              <c:idx val="8"/>
              <c:layout>
                <c:manualLayout>
                  <c:x val="0"/>
                  <c:y val="0"/>
                </c:manualLayout>
              </c:layout>
              <c:showLegendKey val="0"/>
              <c:showVal val="1"/>
              <c:showCatName val="0"/>
              <c:showSerName val="0"/>
              <c:showPercent val="0"/>
              <c:showBubbleSize val="0"/>
            </c:dLbl>
            <c:txPr>
              <a:bodyPr/>
              <a:lstStyle/>
              <a:p>
                <a:pPr>
                  <a:defRPr sz="600"/>
                </a:pPr>
                <a:endParaRPr lang="es-GT"/>
              </a:p>
            </c:txPr>
            <c:showLegendKey val="0"/>
            <c:showVal val="1"/>
            <c:showCatName val="0"/>
            <c:showSerName val="0"/>
            <c:showPercent val="0"/>
            <c:showBubbleSize val="0"/>
            <c:showLeaderLines val="0"/>
          </c:dLbls>
          <c:cat>
            <c:numRef>
              <c:f>Hoja1!$S$111:$S$119</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Hoja1!$T$111:$T$119</c:f>
              <c:numCache>
                <c:formatCode>_(* #,##0.0_);_(* \(#,##0.0\);_(* "-"??_);_(@_)</c:formatCode>
                <c:ptCount val="9"/>
                <c:pt idx="0">
                  <c:v>16710.348476880001</c:v>
                </c:pt>
                <c:pt idx="1">
                  <c:v>19928.128004149996</c:v>
                </c:pt>
                <c:pt idx="2">
                  <c:v>21126.831012910003</c:v>
                </c:pt>
                <c:pt idx="3">
                  <c:v>22925.634540209991</c:v>
                </c:pt>
                <c:pt idx="4" formatCode="#,##0.0">
                  <c:v>23962.010832309996</c:v>
                </c:pt>
                <c:pt idx="5" formatCode="#,##0.0">
                  <c:v>24494.55701004</c:v>
                </c:pt>
                <c:pt idx="6" formatCode="#,##0.0">
                  <c:v>26112.501618939998</c:v>
                </c:pt>
                <c:pt idx="7">
                  <c:v>28099.595988659996</c:v>
                </c:pt>
                <c:pt idx="8">
                  <c:v>28909.418401349998</c:v>
                </c:pt>
              </c:numCache>
            </c:numRef>
          </c:val>
        </c:ser>
        <c:dLbls>
          <c:showLegendKey val="0"/>
          <c:showVal val="0"/>
          <c:showCatName val="0"/>
          <c:showSerName val="0"/>
          <c:showPercent val="0"/>
          <c:showBubbleSize val="0"/>
        </c:dLbls>
        <c:gapWidth val="15"/>
        <c:axId val="108807680"/>
        <c:axId val="108809216"/>
      </c:barChart>
      <c:catAx>
        <c:axId val="108807680"/>
        <c:scaling>
          <c:orientation val="minMax"/>
        </c:scaling>
        <c:delete val="0"/>
        <c:axPos val="b"/>
        <c:numFmt formatCode="General" sourceLinked="1"/>
        <c:majorTickMark val="none"/>
        <c:minorTickMark val="none"/>
        <c:tickLblPos val="nextTo"/>
        <c:crossAx val="108809216"/>
        <c:crosses val="autoZero"/>
        <c:auto val="1"/>
        <c:lblAlgn val="ctr"/>
        <c:lblOffset val="100"/>
        <c:noMultiLvlLbl val="0"/>
      </c:catAx>
      <c:valAx>
        <c:axId val="108809216"/>
        <c:scaling>
          <c:orientation val="minMax"/>
        </c:scaling>
        <c:delete val="0"/>
        <c:axPos val="l"/>
        <c:title>
          <c:tx>
            <c:rich>
              <a:bodyPr/>
              <a:lstStyle/>
              <a:p>
                <a:pPr>
                  <a:defRPr b="0"/>
                </a:pPr>
                <a:r>
                  <a:rPr lang="es-GT" b="0"/>
                  <a:t>Millones de Quetzales</a:t>
                </a:r>
              </a:p>
            </c:rich>
          </c:tx>
          <c:overlay val="0"/>
        </c:title>
        <c:numFmt formatCode="_(* #,##0.0_);_(* \(#,##0.0\);_(* &quot;-&quot;??_);_(@_)" sourceLinked="1"/>
        <c:majorTickMark val="none"/>
        <c:minorTickMark val="none"/>
        <c:tickLblPos val="nextTo"/>
        <c:txPr>
          <a:bodyPr/>
          <a:lstStyle/>
          <a:p>
            <a:pPr>
              <a:defRPr sz="600"/>
            </a:pPr>
            <a:endParaRPr lang="es-GT"/>
          </a:p>
        </c:txPr>
        <c:crossAx val="108807680"/>
        <c:crosses val="autoZero"/>
        <c:crossBetween val="between"/>
      </c:valAx>
    </c:plotArea>
    <c:plotVisOnly val="1"/>
    <c:dispBlanksAs val="gap"/>
    <c:showDLblsOverMax val="0"/>
  </c:chart>
  <c:spPr>
    <a:noFill/>
    <a:ln>
      <a:noFill/>
    </a:ln>
  </c:spPr>
  <c:txPr>
    <a:bodyPr/>
    <a:lstStyle/>
    <a:p>
      <a:pPr>
        <a:defRPr sz="800"/>
      </a:pPr>
      <a:endParaRPr lang="es-GT"/>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42927125034960467"/>
          <c:y val="1.824817518248175E-2"/>
        </c:manualLayout>
      </c:layout>
      <c:overlay val="0"/>
      <c:txPr>
        <a:bodyPr/>
        <a:lstStyle/>
        <a:p>
          <a:pPr>
            <a:defRPr sz="1050"/>
          </a:pPr>
          <a:endParaRPr lang="es-GT"/>
        </a:p>
      </c:txPr>
    </c:title>
    <c:autoTitleDeleted val="0"/>
    <c:view3D>
      <c:rotX val="40"/>
      <c:rotY val="0"/>
      <c:rAngAx val="1"/>
    </c:view3D>
    <c:floor>
      <c:thickness val="0"/>
    </c:floor>
    <c:sideWall>
      <c:thickness val="0"/>
      <c:spPr>
        <a:scene3d>
          <a:camera prst="orthographicFront"/>
          <a:lightRig rig="threePt" dir="t"/>
        </a:scene3d>
        <a:sp3d prstMaterial="dkEdge"/>
      </c:spPr>
    </c:sideWall>
    <c:backWall>
      <c:thickness val="0"/>
      <c:spPr>
        <a:scene3d>
          <a:camera prst="orthographicFront"/>
          <a:lightRig rig="threePt" dir="t"/>
        </a:scene3d>
        <a:sp3d prstMaterial="dkEdge"/>
      </c:spPr>
    </c:backWall>
    <c:plotArea>
      <c:layout>
        <c:manualLayout>
          <c:layoutTarget val="inner"/>
          <c:xMode val="edge"/>
          <c:yMode val="edge"/>
          <c:x val="3.3375047763109693E-3"/>
          <c:y val="0.19214607743410067"/>
          <c:w val="0.99666236604353686"/>
          <c:h val="0.7907053962752264"/>
        </c:manualLayout>
      </c:layout>
      <c:pie3DChart>
        <c:varyColors val="1"/>
        <c:ser>
          <c:idx val="0"/>
          <c:order val="0"/>
          <c:tx>
            <c:strRef>
              <c:f>'X Entidad'!$D$67</c:f>
              <c:strCache>
                <c:ptCount val="1"/>
                <c:pt idx="0">
                  <c:v>2017</c:v>
                </c:pt>
              </c:strCache>
            </c:strRef>
          </c:tx>
          <c:spPr>
            <a:scene3d>
              <a:camera prst="orthographicFront"/>
              <a:lightRig rig="threePt" dir="t"/>
            </a:scene3d>
            <a:sp3d>
              <a:bevelT/>
            </a:sp3d>
          </c:spPr>
          <c:explosion val="25"/>
          <c:dLbls>
            <c:dLbl>
              <c:idx val="0"/>
              <c:layout>
                <c:manualLayout>
                  <c:x val="-0.1372423837281711"/>
                  <c:y val="7.0816294375719249E-2"/>
                </c:manualLayout>
              </c:layout>
              <c:spPr/>
              <c:txPr>
                <a:bodyPr/>
                <a:lstStyle/>
                <a:p>
                  <a:pPr>
                    <a:defRPr sz="600">
                      <a:latin typeface="Times New Roman" pitchFamily="18" charset="0"/>
                      <a:cs typeface="Times New Roman" pitchFamily="18" charset="0"/>
                    </a:defRPr>
                  </a:pPr>
                  <a:endParaRPr lang="es-GT"/>
                </a:p>
              </c:txPr>
              <c:showLegendKey val="0"/>
              <c:showVal val="1"/>
              <c:showCatName val="1"/>
              <c:showSerName val="0"/>
              <c:showPercent val="0"/>
              <c:showBubbleSize val="0"/>
              <c:separator>
</c:separator>
            </c:dLbl>
            <c:dLbl>
              <c:idx val="1"/>
              <c:layout>
                <c:manualLayout>
                  <c:x val="0.2090262589149364"/>
                  <c:y val="-0.24190618584200904"/>
                </c:manualLayout>
              </c:layout>
              <c:showLegendKey val="0"/>
              <c:showVal val="1"/>
              <c:showCatName val="1"/>
              <c:showSerName val="0"/>
              <c:showPercent val="0"/>
              <c:showBubbleSize val="0"/>
              <c:separator>
</c:separator>
            </c:dLbl>
            <c:dLbl>
              <c:idx val="2"/>
              <c:layout>
                <c:manualLayout>
                  <c:x val="0.10354232318537607"/>
                  <c:y val="0.12615206021530503"/>
                </c:manualLayout>
              </c:layout>
              <c:spPr/>
              <c:txPr>
                <a:bodyPr/>
                <a:lstStyle/>
                <a:p>
                  <a:pPr>
                    <a:defRPr sz="600">
                      <a:latin typeface="Times New Roman" pitchFamily="18" charset="0"/>
                      <a:cs typeface="Times New Roman" pitchFamily="18" charset="0"/>
                    </a:defRPr>
                  </a:pPr>
                  <a:endParaRPr lang="es-GT"/>
                </a:p>
              </c:txPr>
              <c:showLegendKey val="0"/>
              <c:showVal val="1"/>
              <c:showCatName val="1"/>
              <c:showSerName val="0"/>
              <c:showPercent val="0"/>
              <c:showBubbleSize val="0"/>
              <c:separator>
</c:separator>
            </c:dLbl>
            <c:txPr>
              <a:bodyPr/>
              <a:lstStyle/>
              <a:p>
                <a:pPr>
                  <a:defRPr sz="550">
                    <a:latin typeface="Times New Roman" pitchFamily="18" charset="0"/>
                    <a:cs typeface="Times New Roman" pitchFamily="18" charset="0"/>
                  </a:defRPr>
                </a:pPr>
                <a:endParaRPr lang="es-GT"/>
              </a:p>
            </c:txPr>
            <c:showLegendKey val="0"/>
            <c:showVal val="1"/>
            <c:showCatName val="1"/>
            <c:showSerName val="0"/>
            <c:showPercent val="0"/>
            <c:showBubbleSize val="0"/>
            <c:separator>
</c:separator>
            <c:showLeaderLines val="1"/>
          </c:dLbls>
          <c:cat>
            <c:strRef>
              <c:f>'X Entidad'!$C$68:$C$70</c:f>
              <c:strCache>
                <c:ptCount val="3"/>
                <c:pt idx="0">
                  <c:v>Obligaciones</c:v>
                </c:pt>
                <c:pt idx="1">
                  <c:v>Educación, Deuda, Salud y Gobernación</c:v>
                </c:pt>
                <c:pt idx="2">
                  <c:v>Otros</c:v>
                </c:pt>
              </c:strCache>
            </c:strRef>
          </c:cat>
          <c:val>
            <c:numRef>
              <c:f>'X Entidad'!$D$68:$D$70</c:f>
              <c:numCache>
                <c:formatCode>0.0%</c:formatCode>
                <c:ptCount val="3"/>
                <c:pt idx="0">
                  <c:v>0.37422310691967564</c:v>
                </c:pt>
                <c:pt idx="1">
                  <c:v>0.50363099414250534</c:v>
                </c:pt>
                <c:pt idx="2">
                  <c:v>0.1221458989378192</c:v>
                </c:pt>
              </c:numCache>
            </c:numRef>
          </c:val>
        </c:ser>
        <c:dLbls>
          <c:showLegendKey val="0"/>
          <c:showVal val="0"/>
          <c:showCatName val="0"/>
          <c:showSerName val="0"/>
          <c:showPercent val="0"/>
          <c:showBubbleSize val="0"/>
          <c:showLeaderLines val="1"/>
        </c:dLbls>
      </c:pie3DChart>
    </c:plotArea>
    <c:plotVisOnly val="1"/>
    <c:dispBlanksAs val="gap"/>
    <c:showDLblsOverMax val="0"/>
  </c:chart>
  <c:spPr>
    <a:noFill/>
    <a:ln>
      <a:noFill/>
    </a:ln>
    <a:scene3d>
      <a:camera prst="orthographicFront"/>
      <a:lightRig rig="threePt" dir="t"/>
    </a:scene3d>
    <a:sp3d>
      <a:bevelT/>
    </a:sp3d>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s-GT"/>
              <a:t>2018*</a:t>
            </a:r>
          </a:p>
        </c:rich>
      </c:tx>
      <c:layout>
        <c:manualLayout>
          <c:xMode val="edge"/>
          <c:yMode val="edge"/>
          <c:x val="0.44476064035439994"/>
          <c:y val="0.11296395911780527"/>
        </c:manualLayout>
      </c:layout>
      <c:overlay val="0"/>
    </c:title>
    <c:autoTitleDeleted val="0"/>
    <c:view3D>
      <c:rotX val="40"/>
      <c:rotY val="0"/>
      <c:rAngAx val="0"/>
      <c:perspective val="30"/>
    </c:view3D>
    <c:floor>
      <c:thickness val="0"/>
    </c:floor>
    <c:sideWall>
      <c:thickness val="0"/>
    </c:sideWall>
    <c:backWall>
      <c:thickness val="0"/>
    </c:backWall>
    <c:plotArea>
      <c:layout>
        <c:manualLayout>
          <c:layoutTarget val="inner"/>
          <c:xMode val="edge"/>
          <c:yMode val="edge"/>
          <c:x val="1.9313135889224724E-2"/>
          <c:y val="0.29523173598988234"/>
          <c:w val="0.98055555555555551"/>
          <c:h val="0.66122411781860602"/>
        </c:manualLayout>
      </c:layout>
      <c:pie3DChart>
        <c:varyColors val="1"/>
        <c:ser>
          <c:idx val="0"/>
          <c:order val="0"/>
          <c:tx>
            <c:strRef>
              <c:f>'X Entidad'!$D$75</c:f>
              <c:strCache>
                <c:ptCount val="1"/>
                <c:pt idx="0">
                  <c:v>2018</c:v>
                </c:pt>
              </c:strCache>
            </c:strRef>
          </c:tx>
          <c:spPr>
            <a:scene3d>
              <a:camera prst="orthographicFront"/>
              <a:lightRig rig="threePt" dir="t"/>
            </a:scene3d>
            <a:sp3d>
              <a:bevelT/>
            </a:sp3d>
          </c:spPr>
          <c:explosion val="25"/>
          <c:dLbls>
            <c:dLbl>
              <c:idx val="0"/>
              <c:layout>
                <c:manualLayout>
                  <c:x val="-0.18155202131188841"/>
                  <c:y val="5.6413996576965546E-2"/>
                </c:manualLayout>
              </c:layout>
              <c:showLegendKey val="0"/>
              <c:showVal val="1"/>
              <c:showCatName val="1"/>
              <c:showSerName val="0"/>
              <c:showPercent val="0"/>
              <c:showBubbleSize val="0"/>
              <c:separator>
</c:separator>
            </c:dLbl>
            <c:dLbl>
              <c:idx val="1"/>
              <c:layout>
                <c:manualLayout>
                  <c:x val="0.1986587154498719"/>
                  <c:y val="-0.19899130179923197"/>
                </c:manualLayout>
              </c:layout>
              <c:showLegendKey val="0"/>
              <c:showVal val="1"/>
              <c:showCatName val="1"/>
              <c:showSerName val="0"/>
              <c:showPercent val="0"/>
              <c:showBubbleSize val="0"/>
              <c:separator>
</c:separator>
            </c:dLbl>
            <c:dLbl>
              <c:idx val="2"/>
              <c:layout>
                <c:manualLayout>
                  <c:x val="9.0453925263717164E-2"/>
                  <c:y val="0.10942994744316437"/>
                </c:manualLayout>
              </c:layout>
              <c:showLegendKey val="0"/>
              <c:showVal val="1"/>
              <c:showCatName val="1"/>
              <c:showSerName val="0"/>
              <c:showPercent val="0"/>
              <c:showBubbleSize val="0"/>
              <c:separator>
</c:separator>
            </c:dLbl>
            <c:txPr>
              <a:bodyPr/>
              <a:lstStyle/>
              <a:p>
                <a:pPr>
                  <a:defRPr sz="600">
                    <a:latin typeface="Times New Roman" pitchFamily="18" charset="0"/>
                    <a:cs typeface="Times New Roman" pitchFamily="18" charset="0"/>
                  </a:defRPr>
                </a:pPr>
                <a:endParaRPr lang="es-GT"/>
              </a:p>
            </c:txPr>
            <c:showLegendKey val="0"/>
            <c:showVal val="1"/>
            <c:showCatName val="1"/>
            <c:showSerName val="0"/>
            <c:showPercent val="0"/>
            <c:showBubbleSize val="0"/>
            <c:separator>
</c:separator>
            <c:showLeaderLines val="1"/>
          </c:dLbls>
          <c:cat>
            <c:strRef>
              <c:f>'X Entidad'!$C$76:$C$78</c:f>
              <c:strCache>
                <c:ptCount val="3"/>
                <c:pt idx="0">
                  <c:v>Obligaciones</c:v>
                </c:pt>
                <c:pt idx="1">
                  <c:v>Educación, Deuda, Salud y Gobernación</c:v>
                </c:pt>
                <c:pt idx="2">
                  <c:v>Otros</c:v>
                </c:pt>
              </c:strCache>
            </c:strRef>
          </c:cat>
          <c:val>
            <c:numRef>
              <c:f>'X Entidad'!$D$76:$D$78</c:f>
              <c:numCache>
                <c:formatCode>0.0%</c:formatCode>
                <c:ptCount val="3"/>
                <c:pt idx="0">
                  <c:v>0.35462388497035097</c:v>
                </c:pt>
                <c:pt idx="1">
                  <c:v>0.49774978910041406</c:v>
                </c:pt>
                <c:pt idx="2">
                  <c:v>0.14762632592923494</c:v>
                </c:pt>
              </c:numCache>
            </c:numRef>
          </c:val>
        </c:ser>
        <c:dLbls>
          <c:showLegendKey val="0"/>
          <c:showVal val="0"/>
          <c:showCatName val="0"/>
          <c:showSerName val="0"/>
          <c:showPercent val="0"/>
          <c:showBubbleSize val="0"/>
          <c:showLeaderLines val="1"/>
        </c:dLbls>
      </c:pie3DChart>
    </c:plotArea>
    <c:plotVisOnly val="1"/>
    <c:dispBlanksAs val="gap"/>
    <c:showDLblsOverMax val="0"/>
  </c:chart>
  <c:spPr>
    <a:noFill/>
    <a:ln>
      <a:noFill/>
    </a:ln>
    <a:scene3d>
      <a:camera prst="orthographicFront"/>
      <a:lightRig rig="threePt" dir="t"/>
    </a:scene3d>
    <a:sp3d>
      <a:bevelT/>
    </a:sp3d>
  </c:spPr>
  <c:txPr>
    <a:bodyPr/>
    <a:lstStyle/>
    <a:p>
      <a:pPr>
        <a:defRPr sz="900"/>
      </a:pPr>
      <a:endParaRPr lang="es-GT"/>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'[Cuadros para Informe de Medio año 2018.xlsx]Resultado Presupuestario'!$K$22</c:f>
              <c:strCache>
                <c:ptCount val="1"/>
                <c:pt idx="0">
                  <c:v>Resultado Presupuestario</c:v>
                </c:pt>
              </c:strCache>
            </c:strRef>
          </c:tx>
          <c:spPr>
            <a:solidFill>
              <a:srgbClr val="00B050"/>
            </a:solidFill>
            <a:scene3d>
              <a:camera prst="orthographicFront"/>
              <a:lightRig rig="threePt" dir="t"/>
            </a:scene3d>
            <a:sp3d>
              <a:bevelT/>
            </a:sp3d>
          </c:spPr>
          <c:invertIfNegative val="0"/>
          <c:dPt>
            <c:idx val="4"/>
            <c:invertIfNegative val="0"/>
            <c:bubble3D val="0"/>
            <c:spPr>
              <a:solidFill>
                <a:schemeClr val="accent6">
                  <a:lumMod val="75000"/>
                </a:schemeClr>
              </a:solidFill>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0-8601-4E2B-845A-8558A57A2EE8}"/>
              </c:ext>
            </c:extLst>
          </c:dPt>
          <c:dPt>
            <c:idx val="5"/>
            <c:invertIfNegative val="0"/>
            <c:bubble3D val="0"/>
            <c:spPr>
              <a:solidFill>
                <a:schemeClr val="accent6">
                  <a:lumMod val="75000"/>
                </a:schemeClr>
              </a:solidFill>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1-8601-4E2B-845A-8558A57A2EE8}"/>
              </c:ext>
            </c:extLst>
          </c:dPt>
          <c:dPt>
            <c:idx val="6"/>
            <c:invertIfNegative val="0"/>
            <c:bubble3D val="0"/>
            <c:spPr>
              <a:solidFill>
                <a:schemeClr val="accent6">
                  <a:lumMod val="75000"/>
                </a:schemeClr>
              </a:solidFill>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2-8601-4E2B-845A-8558A57A2EE8}"/>
              </c:ext>
            </c:extLst>
          </c:dPt>
          <c:dPt>
            <c:idx val="7"/>
            <c:invertIfNegative val="0"/>
            <c:bubble3D val="0"/>
            <c:spPr>
              <a:solidFill>
                <a:schemeClr val="accent6">
                  <a:lumMod val="75000"/>
                </a:schemeClr>
              </a:solidFill>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3-8601-4E2B-845A-8558A57A2EE8}"/>
              </c:ext>
            </c:extLst>
          </c:dPt>
          <c:dPt>
            <c:idx val="8"/>
            <c:invertIfNegative val="0"/>
            <c:bubble3D val="0"/>
            <c:spPr>
              <a:solidFill>
                <a:schemeClr val="tx2"/>
              </a:solidFill>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4-8601-4E2B-845A-8558A57A2EE8}"/>
              </c:ext>
            </c:extLst>
          </c:dPt>
          <c:dPt>
            <c:idx val="9"/>
            <c:invertIfNegative val="0"/>
            <c:bubble3D val="0"/>
            <c:spPr>
              <a:solidFill>
                <a:schemeClr val="tx2"/>
              </a:solidFill>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5-8601-4E2B-845A-8558A57A2EE8}"/>
              </c:ext>
            </c:extLst>
          </c:dPt>
          <c:dPt>
            <c:idx val="10"/>
            <c:invertIfNegative val="0"/>
            <c:bubble3D val="0"/>
            <c:spPr>
              <a:solidFill>
                <a:schemeClr val="tx2"/>
              </a:solidFill>
              <a:scene3d>
                <a:camera prst="orthographicFront"/>
                <a:lightRig rig="threePt" dir="t"/>
              </a:scene3d>
              <a:sp3d>
                <a:bevelT/>
              </a:sp3d>
            </c:spPr>
          </c:dPt>
          <c:dLbls>
            <c:dLbl>
              <c:idx val="1"/>
              <c:delete val="1"/>
            </c:dLbl>
            <c:dLbl>
              <c:idx val="3"/>
              <c:delete val="1"/>
            </c:dLbl>
            <c:dLbl>
              <c:idx val="4"/>
              <c:spPr/>
              <c:txPr>
                <a:bodyPr/>
                <a:lstStyle/>
                <a:p>
                  <a:pPr>
                    <a:defRPr sz="800">
                      <a:solidFill>
                        <a:sysClr val="windowText" lastClr="000000"/>
                      </a:solidFill>
                    </a:defRPr>
                  </a:pPr>
                  <a:endParaRPr lang="es-GT"/>
                </a:p>
              </c:txPr>
              <c:dLblPos val="inEnd"/>
              <c:showLegendKey val="0"/>
              <c:showVal val="1"/>
              <c:showCatName val="0"/>
              <c:showSerName val="0"/>
              <c:showPercent val="0"/>
              <c:showBubbleSize val="0"/>
            </c:dLbl>
            <c:dLbl>
              <c:idx val="6"/>
              <c:delete val="1"/>
            </c:dLbl>
            <c:txPr>
              <a:bodyPr/>
              <a:lstStyle/>
              <a:p>
                <a:pPr>
                  <a:defRPr sz="800">
                    <a:solidFill>
                      <a:schemeClr val="bg1"/>
                    </a:solidFill>
                  </a:defRPr>
                </a:pPr>
                <a:endParaRPr lang="es-GT"/>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'[Cuadros para Informe de Medio año 2018.xlsx]Resultado Presupuestario'!$J$23:$J$33</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'[Cuadros para Informe de Medio año 2018.xlsx]Resultado Presupuestario'!$K$23:$K$33</c:f>
              <c:numCache>
                <c:formatCode>#,##0.0</c:formatCode>
                <c:ptCount val="11"/>
                <c:pt idx="0">
                  <c:v>1344.6844330900058</c:v>
                </c:pt>
                <c:pt idx="1">
                  <c:v>-1903.1</c:v>
                </c:pt>
                <c:pt idx="2">
                  <c:v>-3089.5</c:v>
                </c:pt>
                <c:pt idx="3">
                  <c:v>-2856.2</c:v>
                </c:pt>
                <c:pt idx="4">
                  <c:v>209.2</c:v>
                </c:pt>
                <c:pt idx="5">
                  <c:v>-2090.4</c:v>
                </c:pt>
                <c:pt idx="6">
                  <c:v>-2438.1</c:v>
                </c:pt>
                <c:pt idx="7">
                  <c:v>-3679.4</c:v>
                </c:pt>
                <c:pt idx="8">
                  <c:v>515.20000000000005</c:v>
                </c:pt>
                <c:pt idx="9">
                  <c:v>471.7</c:v>
                </c:pt>
                <c:pt idx="10">
                  <c:v>-1323.5</c:v>
                </c:pt>
              </c:numCache>
            </c:numRef>
          </c:val>
          <c:extLst xmlns:c16r2="http://schemas.microsoft.com/office/drawing/2015/06/chart">
            <c:ext xmlns:c16="http://schemas.microsoft.com/office/drawing/2014/chart" uri="{C3380CC4-5D6E-409C-BE32-E72D297353CC}">
              <c16:uniqueId val="{00000006-8601-4E2B-845A-8558A57A2EE8}"/>
            </c:ext>
          </c:extLst>
        </c:ser>
        <c:dLbls>
          <c:showLegendKey val="0"/>
          <c:showVal val="0"/>
          <c:showCatName val="0"/>
          <c:showSerName val="0"/>
          <c:showPercent val="0"/>
          <c:showBubbleSize val="0"/>
        </c:dLbls>
        <c:gapWidth val="12"/>
        <c:axId val="31806976"/>
        <c:axId val="31808512"/>
      </c:barChart>
      <c:lineChart>
        <c:grouping val="standard"/>
        <c:varyColors val="0"/>
        <c:ser>
          <c:idx val="1"/>
          <c:order val="1"/>
          <c:tx>
            <c:strRef>
              <c:f>'[Cuadros para Informe de Medio año 2018.xlsx]Resultado Presupuestario'!$L$22</c:f>
              <c:strCache>
                <c:ptCount val="1"/>
                <c:pt idx="0">
                  <c:v>%PIB</c:v>
                </c:pt>
              </c:strCache>
            </c:strRef>
          </c:tx>
          <c:spPr>
            <a:ln>
              <a:solidFill>
                <a:srgbClr val="FF0000"/>
              </a:solidFill>
            </a:ln>
          </c:spPr>
          <c:marker>
            <c:symbol val="none"/>
          </c:marker>
          <c:dLbls>
            <c:dLbl>
              <c:idx val="0"/>
              <c:layout>
                <c:manualLayout>
                  <c:x val="-3.8443362546015429E-2"/>
                  <c:y val="-2.1938442802420105E-2"/>
                </c:manualLayout>
              </c:layout>
              <c:showLegendKey val="0"/>
              <c:showVal val="1"/>
              <c:showCatName val="0"/>
              <c:showSerName val="0"/>
              <c:showPercent val="0"/>
              <c:showBubbleSize val="0"/>
            </c:dLbl>
            <c:dLbl>
              <c:idx val="1"/>
              <c:layout>
                <c:manualLayout>
                  <c:x val="-9.1666666666666646E-2"/>
                  <c:y val="1.3888888888888888E-2"/>
                </c:manualLayout>
              </c:layout>
              <c:showLegendKey val="0"/>
              <c:showVal val="1"/>
              <c:showCatName val="0"/>
              <c:showSerName val="0"/>
              <c:showPercent val="0"/>
              <c:showBubbleSize val="0"/>
            </c:dLbl>
            <c:dLbl>
              <c:idx val="2"/>
              <c:layout>
                <c:manualLayout>
                  <c:x val="-6.6666666666666666E-2"/>
                  <c:y val="1.3888888888888888E-2"/>
                </c:manualLayout>
              </c:layout>
              <c:showLegendKey val="0"/>
              <c:showVal val="1"/>
              <c:showCatName val="0"/>
              <c:showSerName val="0"/>
              <c:showPercent val="0"/>
              <c:showBubbleSize val="0"/>
            </c:dLbl>
            <c:dLbl>
              <c:idx val="3"/>
              <c:layout>
                <c:manualLayout>
                  <c:x val="-4.4444444444444446E-2"/>
                  <c:y val="3.2407407407407406E-2"/>
                </c:manualLayout>
              </c:layout>
              <c:showLegendKey val="0"/>
              <c:showVal val="1"/>
              <c:showCatName val="0"/>
              <c:showSerName val="0"/>
              <c:showPercent val="0"/>
              <c:showBubbleSize val="0"/>
            </c:dLbl>
            <c:dLbl>
              <c:idx val="4"/>
              <c:layout>
                <c:manualLayout>
                  <c:x val="-4.42486842184922E-2"/>
                  <c:y val="-9.4539141550460573E-2"/>
                </c:manualLayout>
              </c:layout>
              <c:showLegendKey val="0"/>
              <c:showVal val="1"/>
              <c:showCatName val="0"/>
              <c:showSerName val="0"/>
              <c:showPercent val="0"/>
              <c:showBubbleSize val="0"/>
            </c:dLbl>
            <c:dLbl>
              <c:idx val="5"/>
              <c:layout>
                <c:manualLayout>
                  <c:x val="-4.7222222222222221E-2"/>
                  <c:y val="6.4814814814814811E-2"/>
                </c:manualLayout>
              </c:layout>
              <c:showLegendKey val="0"/>
              <c:showVal val="1"/>
              <c:showCatName val="0"/>
              <c:showSerName val="0"/>
              <c:showPercent val="0"/>
              <c:showBubbleSize val="0"/>
            </c:dLbl>
            <c:dLbl>
              <c:idx val="6"/>
              <c:layout>
                <c:manualLayout>
                  <c:x val="-0.05"/>
                  <c:y val="0.17592592592592593"/>
                </c:manualLayout>
              </c:layout>
              <c:showLegendKey val="0"/>
              <c:showVal val="1"/>
              <c:showCatName val="0"/>
              <c:showSerName val="0"/>
              <c:showPercent val="0"/>
              <c:showBubbleSize val="0"/>
            </c:dLbl>
            <c:dLbl>
              <c:idx val="7"/>
              <c:layout>
                <c:manualLayout>
                  <c:x val="-2.2222222222222223E-2"/>
                  <c:y val="0.1111111111111111"/>
                </c:manualLayout>
              </c:layout>
              <c:showLegendKey val="0"/>
              <c:showVal val="1"/>
              <c:showCatName val="0"/>
              <c:showSerName val="0"/>
              <c:showPercent val="0"/>
              <c:showBubbleSize val="0"/>
            </c:dLbl>
            <c:dLbl>
              <c:idx val="8"/>
              <c:layout>
                <c:manualLayout>
                  <c:x val="-4.1791799010479601E-2"/>
                  <c:y val="-8.0149883901875857E-2"/>
                </c:manualLayout>
              </c:layout>
              <c:showLegendKey val="0"/>
              <c:showVal val="1"/>
              <c:showCatName val="0"/>
              <c:showSerName val="0"/>
              <c:showPercent val="0"/>
              <c:showBubbleSize val="0"/>
            </c:dLbl>
            <c:dLbl>
              <c:idx val="9"/>
              <c:layout>
                <c:manualLayout>
                  <c:x val="-4.9804186355757972E-2"/>
                  <c:y val="-8.9172572339999798E-2"/>
                </c:manualLayout>
              </c:layout>
              <c:showLegendKey val="0"/>
              <c:showVal val="1"/>
              <c:showCatName val="0"/>
              <c:showSerName val="0"/>
              <c:showPercent val="0"/>
              <c:showBubbleSize val="0"/>
            </c:dLbl>
            <c:dLbl>
              <c:idx val="10"/>
              <c:layout>
                <c:manualLayout>
                  <c:x val="-4.4765061019712414E-2"/>
                  <c:y val="6.0421696025888517E-2"/>
                </c:manualLayout>
              </c:layout>
              <c:showLegendKey val="0"/>
              <c:showVal val="1"/>
              <c:showCatName val="0"/>
              <c:showSerName val="0"/>
              <c:showPercent val="0"/>
              <c:showBubbleSize val="0"/>
            </c:dLbl>
            <c:txPr>
              <a:bodyPr/>
              <a:lstStyle/>
              <a:p>
                <a:pPr>
                  <a:defRPr sz="700"/>
                </a:pPr>
                <a:endParaRPr lang="es-GT"/>
              </a:p>
            </c:txPr>
            <c:showLegendKey val="0"/>
            <c:showVal val="1"/>
            <c:showCatName val="0"/>
            <c:showSerName val="0"/>
            <c:showPercent val="0"/>
            <c:showBubbleSize val="0"/>
            <c:showLeaderLines val="0"/>
          </c:dLbls>
          <c:cat>
            <c:numRef>
              <c:f>'[Cuadros para Informe de Medio año 2018.xlsx]Resultado Presupuestario'!$J$23:$J$33</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'[Cuadros para Informe de Medio año 2018.xlsx]Resultado Presupuestario'!$L$23:$L$33</c:f>
              <c:numCache>
                <c:formatCode>0.0%</c:formatCode>
                <c:ptCount val="11"/>
                <c:pt idx="0">
                  <c:v>4.5448258216489448E-3</c:v>
                </c:pt>
                <c:pt idx="1">
                  <c:v>-6.1795662256881106E-3</c:v>
                </c:pt>
                <c:pt idx="2">
                  <c:v>-9.2751762718804986E-3</c:v>
                </c:pt>
                <c:pt idx="3">
                  <c:v>-7.6984115860528352E-3</c:v>
                </c:pt>
                <c:pt idx="4">
                  <c:v>5.2999191838327129E-4</c:v>
                </c:pt>
                <c:pt idx="5">
                  <c:v>-4.9407028211214572E-3</c:v>
                </c:pt>
                <c:pt idx="6">
                  <c:v>-5.369639830433817E-3</c:v>
                </c:pt>
                <c:pt idx="7">
                  <c:v>-7.5346126516127321E-3</c:v>
                </c:pt>
                <c:pt idx="8">
                  <c:v>9.8681154715080208E-4</c:v>
                </c:pt>
                <c:pt idx="9">
                  <c:v>8.4264825571632419E-4</c:v>
                </c:pt>
                <c:pt idx="10">
                  <c:v>-2.3658799884807473E-3</c:v>
                </c:pt>
              </c:numCache>
            </c:numRef>
          </c:val>
          <c:smooth val="0"/>
          <c:extLst xmlns:c16r2="http://schemas.microsoft.com/office/drawing/2015/06/chart">
            <c:ext xmlns:c16="http://schemas.microsoft.com/office/drawing/2014/chart" uri="{C3380CC4-5D6E-409C-BE32-E72D297353CC}">
              <c16:uniqueId val="{00000007-8601-4E2B-845A-8558A57A2EE8}"/>
            </c:ext>
          </c:extLst>
        </c:ser>
        <c:dLbls>
          <c:showLegendKey val="0"/>
          <c:showVal val="0"/>
          <c:showCatName val="0"/>
          <c:showSerName val="0"/>
          <c:showPercent val="0"/>
          <c:showBubbleSize val="0"/>
        </c:dLbls>
        <c:marker val="1"/>
        <c:smooth val="0"/>
        <c:axId val="31830784"/>
        <c:axId val="31832320"/>
      </c:lineChart>
      <c:catAx>
        <c:axId val="31806976"/>
        <c:scaling>
          <c:orientation val="minMax"/>
        </c:scaling>
        <c:delete val="0"/>
        <c:axPos val="b"/>
        <c:numFmt formatCode="General" sourceLinked="1"/>
        <c:majorTickMark val="out"/>
        <c:minorTickMark val="none"/>
        <c:tickLblPos val="low"/>
        <c:crossAx val="31808512"/>
        <c:crosses val="autoZero"/>
        <c:auto val="1"/>
        <c:lblAlgn val="ctr"/>
        <c:lblOffset val="100"/>
        <c:noMultiLvlLbl val="0"/>
      </c:catAx>
      <c:valAx>
        <c:axId val="31808512"/>
        <c:scaling>
          <c:orientation val="minMax"/>
        </c:scaling>
        <c:delete val="0"/>
        <c:axPos val="l"/>
        <c:numFmt formatCode="#,##0.0" sourceLinked="1"/>
        <c:majorTickMark val="out"/>
        <c:minorTickMark val="none"/>
        <c:tickLblPos val="nextTo"/>
        <c:crossAx val="31806976"/>
        <c:crosses val="autoZero"/>
        <c:crossBetween val="between"/>
      </c:valAx>
      <c:catAx>
        <c:axId val="31830784"/>
        <c:scaling>
          <c:orientation val="minMax"/>
        </c:scaling>
        <c:delete val="1"/>
        <c:axPos val="b"/>
        <c:numFmt formatCode="General" sourceLinked="1"/>
        <c:majorTickMark val="out"/>
        <c:minorTickMark val="none"/>
        <c:tickLblPos val="nextTo"/>
        <c:crossAx val="31832320"/>
        <c:crosses val="autoZero"/>
        <c:auto val="1"/>
        <c:lblAlgn val="ctr"/>
        <c:lblOffset val="100"/>
        <c:noMultiLvlLbl val="0"/>
      </c:catAx>
      <c:valAx>
        <c:axId val="31832320"/>
        <c:scaling>
          <c:orientation val="minMax"/>
        </c:scaling>
        <c:delete val="0"/>
        <c:axPos val="r"/>
        <c:numFmt formatCode="0.0%" sourceLinked="1"/>
        <c:majorTickMark val="out"/>
        <c:minorTickMark val="none"/>
        <c:tickLblPos val="nextTo"/>
        <c:crossAx val="31830784"/>
        <c:crosses val="max"/>
        <c:crossBetween val="between"/>
      </c:valAx>
    </c:plotArea>
    <c:plotVisOnly val="1"/>
    <c:dispBlanksAs val="gap"/>
    <c:showDLblsOverMax val="0"/>
  </c:chart>
  <c:spPr>
    <a:ln>
      <a:noFill/>
    </a:ln>
  </c:spPr>
  <c:txPr>
    <a:bodyPr/>
    <a:lstStyle/>
    <a:p>
      <a:pPr>
        <a:defRPr sz="900">
          <a:latin typeface="Times New Roman" pitchFamily="18" charset="0"/>
          <a:cs typeface="Times New Roman" pitchFamily="18" charset="0"/>
        </a:defRPr>
      </a:pPr>
      <a:endParaRPr lang="es-GT"/>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Hoja1!$B$10</c:f>
              <c:strCache>
                <c:ptCount val="1"/>
                <c:pt idx="0">
                  <c:v>Saldo Deuda</c:v>
                </c:pt>
              </c:strCache>
            </c:strRef>
          </c:tx>
          <c:invertIfNegative val="0"/>
          <c:dLbls>
            <c:txPr>
              <a:bodyPr/>
              <a:lstStyle/>
              <a:p>
                <a:pPr>
                  <a:defRPr sz="700" b="1"/>
                </a:pPr>
                <a:endParaRPr lang="es-GT"/>
              </a:p>
            </c:txPr>
            <c:dLblPos val="inBase"/>
            <c:showLegendKey val="0"/>
            <c:showVal val="1"/>
            <c:showCatName val="0"/>
            <c:showSerName val="0"/>
            <c:showPercent val="0"/>
            <c:showBubbleSize val="0"/>
            <c:showLeaderLines val="0"/>
          </c:dLbls>
          <c:cat>
            <c:numRef>
              <c:f>Hoja1!$A$11:$A$20</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Hoja1!$B$11:$B$20</c:f>
              <c:numCache>
                <c:formatCode>#,##0.0</c:formatCode>
                <c:ptCount val="10"/>
                <c:pt idx="0">
                  <c:v>71887.679999999993</c:v>
                </c:pt>
                <c:pt idx="1">
                  <c:v>81366.89</c:v>
                </c:pt>
                <c:pt idx="2">
                  <c:v>88806.8</c:v>
                </c:pt>
                <c:pt idx="3">
                  <c:v>96960.33</c:v>
                </c:pt>
                <c:pt idx="4">
                  <c:v>104843.92</c:v>
                </c:pt>
                <c:pt idx="5">
                  <c:v>110904.06</c:v>
                </c:pt>
                <c:pt idx="6">
                  <c:v>118625.74</c:v>
                </c:pt>
                <c:pt idx="7">
                  <c:v>125676.09</c:v>
                </c:pt>
                <c:pt idx="8">
                  <c:v>132449.59</c:v>
                </c:pt>
                <c:pt idx="9">
                  <c:v>138187.62</c:v>
                </c:pt>
              </c:numCache>
            </c:numRef>
          </c:val>
        </c:ser>
        <c:dLbls>
          <c:showLegendKey val="0"/>
          <c:showVal val="0"/>
          <c:showCatName val="0"/>
          <c:showSerName val="0"/>
          <c:showPercent val="0"/>
          <c:showBubbleSize val="0"/>
        </c:dLbls>
        <c:gapWidth val="15"/>
        <c:axId val="109244800"/>
        <c:axId val="109246336"/>
      </c:barChart>
      <c:lineChart>
        <c:grouping val="standard"/>
        <c:varyColors val="0"/>
        <c:ser>
          <c:idx val="1"/>
          <c:order val="1"/>
          <c:tx>
            <c:strRef>
              <c:f>Hoja1!$C$10</c:f>
              <c:strCache>
                <c:ptCount val="1"/>
                <c:pt idx="0">
                  <c:v>% PIB</c:v>
                </c:pt>
              </c:strCache>
            </c:strRef>
          </c:tx>
          <c:marker>
            <c:symbol val="none"/>
          </c:marker>
          <c:dLbls>
            <c:dLbl>
              <c:idx val="1"/>
              <c:layout>
                <c:manualLayout>
                  <c:x val="-3.3129133017595631E-2"/>
                  <c:y val="-4.7430123879693475E-2"/>
                </c:manualLayout>
              </c:layout>
              <c:dLblPos val="r"/>
              <c:showLegendKey val="0"/>
              <c:showVal val="1"/>
              <c:showCatName val="0"/>
              <c:showSerName val="0"/>
              <c:showPercent val="0"/>
              <c:showBubbleSize val="0"/>
            </c:dLbl>
            <c:dLbl>
              <c:idx val="3"/>
              <c:layout>
                <c:manualLayout>
                  <c:x val="-6.0265624226547639E-2"/>
                  <c:y val="-9.9266171541630577E-3"/>
                </c:manualLayout>
              </c:layout>
              <c:dLblPos val="r"/>
              <c:showLegendKey val="0"/>
              <c:showVal val="1"/>
              <c:showCatName val="0"/>
              <c:showSerName val="0"/>
              <c:showPercent val="0"/>
              <c:showBubbleSize val="0"/>
            </c:dLbl>
            <c:dLbl>
              <c:idx val="4"/>
              <c:layout>
                <c:manualLayout>
                  <c:x val="-3.5390507285008296E-2"/>
                  <c:y val="-3.8054247198310874E-2"/>
                </c:manualLayout>
              </c:layout>
              <c:dLblPos val="r"/>
              <c:showLegendKey val="0"/>
              <c:showVal val="1"/>
              <c:showCatName val="0"/>
              <c:showSerName val="0"/>
              <c:showPercent val="0"/>
              <c:showBubbleSize val="0"/>
            </c:dLbl>
            <c:dLbl>
              <c:idx val="5"/>
              <c:layout>
                <c:manualLayout>
                  <c:x val="-1.9691964327570428E-2"/>
                  <c:y val="-3.0609206107301102E-2"/>
                </c:manualLayout>
              </c:layout>
              <c:dLblPos val="r"/>
              <c:showLegendKey val="0"/>
              <c:showVal val="1"/>
              <c:showCatName val="0"/>
              <c:showSerName val="0"/>
              <c:showPercent val="0"/>
              <c:showBubbleSize val="0"/>
            </c:dLbl>
            <c:txPr>
              <a:bodyPr/>
              <a:lstStyle/>
              <a:p>
                <a:pPr>
                  <a:defRPr sz="700" b="1"/>
                </a:pPr>
                <a:endParaRPr lang="es-GT"/>
              </a:p>
            </c:txPr>
            <c:dLblPos val="b"/>
            <c:showLegendKey val="0"/>
            <c:showVal val="1"/>
            <c:showCatName val="0"/>
            <c:showSerName val="0"/>
            <c:showPercent val="0"/>
            <c:showBubbleSize val="0"/>
            <c:showLeaderLines val="0"/>
          </c:dLbls>
          <c:cat>
            <c:numRef>
              <c:f>Hoja1!$A$11:$A$20</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Hoja1!$C$11:$C$20</c:f>
              <c:numCache>
                <c:formatCode>General</c:formatCode>
                <c:ptCount val="10"/>
                <c:pt idx="0">
                  <c:v>23.3</c:v>
                </c:pt>
                <c:pt idx="1">
                  <c:v>24.4</c:v>
                </c:pt>
                <c:pt idx="2">
                  <c:v>23.9</c:v>
                </c:pt>
                <c:pt idx="3">
                  <c:v>24.6</c:v>
                </c:pt>
                <c:pt idx="4">
                  <c:v>24.8</c:v>
                </c:pt>
                <c:pt idx="5">
                  <c:v>24.4</c:v>
                </c:pt>
                <c:pt idx="6">
                  <c:v>24.3</c:v>
                </c:pt>
                <c:pt idx="7">
                  <c:v>24.1</c:v>
                </c:pt>
                <c:pt idx="8">
                  <c:v>23.8</c:v>
                </c:pt>
                <c:pt idx="9">
                  <c:v>23.4</c:v>
                </c:pt>
              </c:numCache>
            </c:numRef>
          </c:val>
          <c:smooth val="0"/>
        </c:ser>
        <c:dLbls>
          <c:showLegendKey val="0"/>
          <c:showVal val="0"/>
          <c:showCatName val="0"/>
          <c:showSerName val="0"/>
          <c:showPercent val="0"/>
          <c:showBubbleSize val="0"/>
        </c:dLbls>
        <c:marker val="1"/>
        <c:smooth val="0"/>
        <c:axId val="258946176"/>
        <c:axId val="109247872"/>
      </c:lineChart>
      <c:catAx>
        <c:axId val="109244800"/>
        <c:scaling>
          <c:orientation val="minMax"/>
        </c:scaling>
        <c:delete val="0"/>
        <c:axPos val="b"/>
        <c:numFmt formatCode="General" sourceLinked="1"/>
        <c:majorTickMark val="out"/>
        <c:minorTickMark val="none"/>
        <c:tickLblPos val="nextTo"/>
        <c:txPr>
          <a:bodyPr/>
          <a:lstStyle/>
          <a:p>
            <a:pPr>
              <a:defRPr sz="900"/>
            </a:pPr>
            <a:endParaRPr lang="es-GT"/>
          </a:p>
        </c:txPr>
        <c:crossAx val="109246336"/>
        <c:crosses val="autoZero"/>
        <c:auto val="1"/>
        <c:lblAlgn val="ctr"/>
        <c:lblOffset val="100"/>
        <c:noMultiLvlLbl val="0"/>
      </c:catAx>
      <c:valAx>
        <c:axId val="109246336"/>
        <c:scaling>
          <c:orientation val="minMax"/>
        </c:scaling>
        <c:delete val="0"/>
        <c:axPos val="l"/>
        <c:numFmt formatCode="#,##0.0" sourceLinked="1"/>
        <c:majorTickMark val="out"/>
        <c:minorTickMark val="none"/>
        <c:tickLblPos val="nextTo"/>
        <c:txPr>
          <a:bodyPr/>
          <a:lstStyle/>
          <a:p>
            <a:pPr>
              <a:defRPr sz="800"/>
            </a:pPr>
            <a:endParaRPr lang="es-GT"/>
          </a:p>
        </c:txPr>
        <c:crossAx val="109244800"/>
        <c:crosses val="autoZero"/>
        <c:crossBetween val="between"/>
      </c:valAx>
      <c:valAx>
        <c:axId val="109247872"/>
        <c:scaling>
          <c:orientation val="minMax"/>
        </c:scaling>
        <c:delete val="0"/>
        <c:axPos val="r"/>
        <c:numFmt formatCode="General" sourceLinked="1"/>
        <c:majorTickMark val="out"/>
        <c:minorTickMark val="none"/>
        <c:tickLblPos val="nextTo"/>
        <c:crossAx val="258946176"/>
        <c:crosses val="max"/>
        <c:crossBetween val="between"/>
      </c:valAx>
      <c:catAx>
        <c:axId val="258946176"/>
        <c:scaling>
          <c:orientation val="minMax"/>
        </c:scaling>
        <c:delete val="1"/>
        <c:axPos val="b"/>
        <c:numFmt formatCode="General" sourceLinked="1"/>
        <c:majorTickMark val="out"/>
        <c:minorTickMark val="none"/>
        <c:tickLblPos val="nextTo"/>
        <c:crossAx val="109247872"/>
        <c:crosses val="autoZero"/>
        <c:auto val="1"/>
        <c:lblAlgn val="ctr"/>
        <c:lblOffset val="100"/>
        <c:noMultiLvlLbl val="0"/>
      </c:catAx>
    </c:plotArea>
    <c:legend>
      <c:legendPos val="b"/>
      <c:layout>
        <c:manualLayout>
          <c:xMode val="edge"/>
          <c:yMode val="edge"/>
          <c:x val="0.16954733697361171"/>
          <c:y val="0.90262561459979029"/>
          <c:w val="0.62551481876776815"/>
          <c:h val="6.924675535606184E-2"/>
        </c:manualLayout>
      </c:layout>
      <c:overlay val="0"/>
      <c:txPr>
        <a:bodyPr/>
        <a:lstStyle/>
        <a:p>
          <a:pPr>
            <a:defRPr sz="800"/>
          </a:pPr>
          <a:endParaRPr lang="es-GT"/>
        </a:p>
      </c:txPr>
    </c:legend>
    <c:plotVisOnly val="1"/>
    <c:dispBlanksAs val="gap"/>
    <c:showDLblsOverMax val="0"/>
  </c:chart>
  <c:spPr>
    <a:ln>
      <a:noFill/>
    </a:ln>
  </c:spPr>
  <c:txPr>
    <a:bodyPr/>
    <a:lstStyle/>
    <a:p>
      <a:pPr>
        <a:defRPr sz="1000">
          <a:latin typeface="Times New Roman" pitchFamily="18" charset="0"/>
          <a:cs typeface="Times New Roman" pitchFamily="18" charset="0"/>
        </a:defRPr>
      </a:pPr>
      <a:endParaRPr lang="es-GT"/>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1730091662858607E-2"/>
          <c:y val="3.5383983339893427E-2"/>
          <c:w val="0.84866018107494112"/>
          <c:h val="0.8862510049101926"/>
        </c:manualLayout>
      </c:layout>
      <c:barChart>
        <c:barDir val="col"/>
        <c:grouping val="clustered"/>
        <c:varyColors val="0"/>
        <c:ser>
          <c:idx val="0"/>
          <c:order val="0"/>
          <c:tx>
            <c:strRef>
              <c:f>'Crecimiento economico mundial '!$K$27</c:f>
              <c:strCache>
                <c:ptCount val="1"/>
                <c:pt idx="0">
                  <c:v>2016</c:v>
                </c:pt>
              </c:strCache>
            </c:strRef>
          </c:tx>
          <c:invertIfNegative val="0"/>
          <c:dLbls>
            <c:txPr>
              <a:bodyPr/>
              <a:lstStyle/>
              <a:p>
                <a:pPr>
                  <a:defRPr sz="800" b="1">
                    <a:latin typeface="Times New Roman" pitchFamily="18" charset="0"/>
                    <a:cs typeface="Times New Roman" pitchFamily="18" charset="0"/>
                  </a:defRPr>
                </a:pPr>
                <a:endParaRPr lang="es-GT"/>
              </a:p>
            </c:txPr>
            <c:showLegendKey val="0"/>
            <c:showVal val="1"/>
            <c:showCatName val="0"/>
            <c:showSerName val="0"/>
            <c:showPercent val="0"/>
            <c:showBubbleSize val="0"/>
            <c:showLeaderLines val="0"/>
          </c:dLbls>
          <c:cat>
            <c:strRef>
              <c:f>'Crecimiento economico mundial '!$I$28:$I$31</c:f>
              <c:strCache>
                <c:ptCount val="4"/>
                <c:pt idx="0">
                  <c:v>Estados Unidos </c:v>
                </c:pt>
                <c:pt idx="1">
                  <c:v>Zona Euro </c:v>
                </c:pt>
                <c:pt idx="2">
                  <c:v>México</c:v>
                </c:pt>
                <c:pt idx="3">
                  <c:v>Centroamérica</c:v>
                </c:pt>
              </c:strCache>
            </c:strRef>
          </c:cat>
          <c:val>
            <c:numRef>
              <c:f>'Crecimiento economico mundial '!$K$28:$K$31</c:f>
              <c:numCache>
                <c:formatCode>0.0</c:formatCode>
                <c:ptCount val="4"/>
                <c:pt idx="0">
                  <c:v>1.6</c:v>
                </c:pt>
                <c:pt idx="1">
                  <c:v>1.8</c:v>
                </c:pt>
                <c:pt idx="2">
                  <c:v>2.2999999999999998</c:v>
                </c:pt>
                <c:pt idx="3">
                  <c:v>3.1</c:v>
                </c:pt>
              </c:numCache>
            </c:numRef>
          </c:val>
        </c:ser>
        <c:ser>
          <c:idx val="1"/>
          <c:order val="1"/>
          <c:tx>
            <c:strRef>
              <c:f>'Crecimiento economico mundial '!$L$27</c:f>
              <c:strCache>
                <c:ptCount val="1"/>
                <c:pt idx="0">
                  <c:v>2017</c:v>
                </c:pt>
              </c:strCache>
            </c:strRef>
          </c:tx>
          <c:invertIfNegative val="0"/>
          <c:dLbls>
            <c:txPr>
              <a:bodyPr/>
              <a:lstStyle/>
              <a:p>
                <a:pPr>
                  <a:defRPr sz="800" b="1">
                    <a:latin typeface="Times New Roman" pitchFamily="18" charset="0"/>
                    <a:cs typeface="Times New Roman" pitchFamily="18" charset="0"/>
                  </a:defRPr>
                </a:pPr>
                <a:endParaRPr lang="es-GT"/>
              </a:p>
            </c:txPr>
            <c:showLegendKey val="0"/>
            <c:showVal val="1"/>
            <c:showCatName val="0"/>
            <c:showSerName val="0"/>
            <c:showPercent val="0"/>
            <c:showBubbleSize val="0"/>
            <c:showLeaderLines val="0"/>
          </c:dLbls>
          <c:cat>
            <c:strRef>
              <c:f>'Crecimiento economico mundial '!$I$28:$I$31</c:f>
              <c:strCache>
                <c:ptCount val="4"/>
                <c:pt idx="0">
                  <c:v>Estados Unidos </c:v>
                </c:pt>
                <c:pt idx="1">
                  <c:v>Zona Euro </c:v>
                </c:pt>
                <c:pt idx="2">
                  <c:v>México</c:v>
                </c:pt>
                <c:pt idx="3">
                  <c:v>Centroamérica</c:v>
                </c:pt>
              </c:strCache>
            </c:strRef>
          </c:cat>
          <c:val>
            <c:numRef>
              <c:f>'Crecimiento economico mundial '!$L$28:$L$31</c:f>
              <c:numCache>
                <c:formatCode>0.0</c:formatCode>
                <c:ptCount val="4"/>
                <c:pt idx="0">
                  <c:v>2.1</c:v>
                </c:pt>
                <c:pt idx="1">
                  <c:v>1.9</c:v>
                </c:pt>
                <c:pt idx="2">
                  <c:v>1.9</c:v>
                </c:pt>
                <c:pt idx="3">
                  <c:v>3.8</c:v>
                </c:pt>
              </c:numCache>
            </c:numRef>
          </c:val>
        </c:ser>
        <c:ser>
          <c:idx val="2"/>
          <c:order val="2"/>
          <c:tx>
            <c:strRef>
              <c:f>'Crecimiento economico mundial '!$M$27</c:f>
              <c:strCache>
                <c:ptCount val="1"/>
                <c:pt idx="0">
                  <c:v>2018</c:v>
                </c:pt>
              </c:strCache>
            </c:strRef>
          </c:tx>
          <c:invertIfNegative val="0"/>
          <c:dLbls>
            <c:txPr>
              <a:bodyPr/>
              <a:lstStyle/>
              <a:p>
                <a:pPr>
                  <a:defRPr sz="800" b="1">
                    <a:latin typeface="Times New Roman" pitchFamily="18" charset="0"/>
                    <a:cs typeface="Times New Roman" pitchFamily="18" charset="0"/>
                  </a:defRPr>
                </a:pPr>
                <a:endParaRPr lang="es-GT"/>
              </a:p>
            </c:txPr>
            <c:showLegendKey val="0"/>
            <c:showVal val="1"/>
            <c:showCatName val="0"/>
            <c:showSerName val="0"/>
            <c:showPercent val="0"/>
            <c:showBubbleSize val="0"/>
            <c:showLeaderLines val="0"/>
          </c:dLbls>
          <c:cat>
            <c:strRef>
              <c:f>'Crecimiento economico mundial '!$I$28:$I$31</c:f>
              <c:strCache>
                <c:ptCount val="4"/>
                <c:pt idx="0">
                  <c:v>Estados Unidos </c:v>
                </c:pt>
                <c:pt idx="1">
                  <c:v>Zona Euro </c:v>
                </c:pt>
                <c:pt idx="2">
                  <c:v>México</c:v>
                </c:pt>
                <c:pt idx="3">
                  <c:v>Centroamérica</c:v>
                </c:pt>
              </c:strCache>
            </c:strRef>
          </c:cat>
          <c:val>
            <c:numRef>
              <c:f>'Crecimiento economico mundial '!$M$28:$M$31</c:f>
              <c:numCache>
                <c:formatCode>0.0</c:formatCode>
                <c:ptCount val="4"/>
                <c:pt idx="0">
                  <c:v>2.1</c:v>
                </c:pt>
                <c:pt idx="1">
                  <c:v>1.7</c:v>
                </c:pt>
                <c:pt idx="2">
                  <c:v>2</c:v>
                </c:pt>
                <c:pt idx="3">
                  <c:v>3.7</c:v>
                </c:pt>
              </c:numCache>
            </c:numRef>
          </c:val>
        </c:ser>
        <c:dLbls>
          <c:showLegendKey val="0"/>
          <c:showVal val="0"/>
          <c:showCatName val="0"/>
          <c:showSerName val="0"/>
          <c:showPercent val="0"/>
          <c:showBubbleSize val="0"/>
        </c:dLbls>
        <c:gapWidth val="150"/>
        <c:axId val="32588928"/>
        <c:axId val="32590464"/>
      </c:barChart>
      <c:catAx>
        <c:axId val="32588928"/>
        <c:scaling>
          <c:orientation val="minMax"/>
        </c:scaling>
        <c:delete val="0"/>
        <c:axPos val="b"/>
        <c:majorTickMark val="out"/>
        <c:minorTickMark val="none"/>
        <c:tickLblPos val="low"/>
        <c:txPr>
          <a:bodyPr/>
          <a:lstStyle/>
          <a:p>
            <a:pPr>
              <a:defRPr sz="1050" b="1">
                <a:latin typeface="Times New Roman" pitchFamily="18" charset="0"/>
                <a:cs typeface="Times New Roman" pitchFamily="18" charset="0"/>
              </a:defRPr>
            </a:pPr>
            <a:endParaRPr lang="es-GT"/>
          </a:p>
        </c:txPr>
        <c:crossAx val="32590464"/>
        <c:crosses val="autoZero"/>
        <c:auto val="1"/>
        <c:lblAlgn val="ctr"/>
        <c:lblOffset val="100"/>
        <c:noMultiLvlLbl val="0"/>
      </c:catAx>
      <c:valAx>
        <c:axId val="32590464"/>
        <c:scaling>
          <c:orientation val="minMax"/>
        </c:scaling>
        <c:delete val="0"/>
        <c:axPos val="l"/>
        <c:numFmt formatCode="0.0" sourceLinked="1"/>
        <c:majorTickMark val="out"/>
        <c:minorTickMark val="none"/>
        <c:tickLblPos val="nextTo"/>
        <c:txPr>
          <a:bodyPr/>
          <a:lstStyle/>
          <a:p>
            <a:pPr>
              <a:defRPr b="1">
                <a:latin typeface="Times New Roman" pitchFamily="18" charset="0"/>
                <a:cs typeface="Times New Roman" pitchFamily="18" charset="0"/>
              </a:defRPr>
            </a:pPr>
            <a:endParaRPr lang="es-GT"/>
          </a:p>
        </c:txPr>
        <c:crossAx val="32588928"/>
        <c:crosses val="autoZero"/>
        <c:crossBetween val="between"/>
      </c:valAx>
    </c:plotArea>
    <c:legend>
      <c:legendPos val="r"/>
      <c:layout>
        <c:manualLayout>
          <c:xMode val="edge"/>
          <c:yMode val="edge"/>
          <c:x val="5.9737523962621726E-2"/>
          <c:y val="4.1178395557980349E-2"/>
          <c:w val="0.26811199171066097"/>
          <c:h val="7.6158860965115038E-2"/>
        </c:manualLayout>
      </c:layout>
      <c:overlay val="0"/>
      <c:txPr>
        <a:bodyPr/>
        <a:lstStyle/>
        <a:p>
          <a:pPr>
            <a:defRPr sz="900" b="1">
              <a:latin typeface="Times New Roman" pitchFamily="18" charset="0"/>
              <a:cs typeface="Times New Roman" pitchFamily="18" charset="0"/>
            </a:defRPr>
          </a:pPr>
          <a:endParaRPr lang="es-GT"/>
        </a:p>
      </c:txPr>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'Precios petroleo'!$D$8</c:f>
              <c:strCache>
                <c:ptCount val="1"/>
                <c:pt idx="0">
                  <c:v>Brent </c:v>
                </c:pt>
              </c:strCache>
            </c:strRef>
          </c:tx>
          <c:spPr>
            <a:ln>
              <a:solidFill>
                <a:schemeClr val="tx1"/>
              </a:solidFill>
            </a:ln>
          </c:spPr>
          <c:marker>
            <c:symbol val="none"/>
          </c:marker>
          <c:dLbls>
            <c:dLbl>
              <c:idx val="65"/>
              <c:layout>
                <c:manualLayout>
                  <c:x val="0"/>
                  <c:y val="-4.0609124070786498E-2"/>
                </c:manualLayout>
              </c:layout>
              <c:tx>
                <c:rich>
                  <a:bodyPr/>
                  <a:lstStyle/>
                  <a:p>
                    <a:r>
                      <a:rPr lang="en-US"/>
                      <a:t>74.4</a:t>
                    </a:r>
                  </a:p>
                </c:rich>
              </c:tx>
              <c:showLegendKey val="0"/>
              <c:showVal val="1"/>
              <c:showCatName val="0"/>
              <c:showSerName val="0"/>
              <c:showPercent val="0"/>
              <c:showBubbleSize val="0"/>
            </c:dLbl>
            <c:showLegendKey val="0"/>
            <c:showVal val="0"/>
            <c:showCatName val="0"/>
            <c:showSerName val="0"/>
            <c:showPercent val="0"/>
            <c:showBubbleSize val="0"/>
          </c:dLbls>
          <c:cat>
            <c:numRef>
              <c:f>'Precios petroleo'!$C$9:$C$74</c:f>
              <c:numCache>
                <c:formatCode>mmm\-yy</c:formatCode>
                <c:ptCount val="66"/>
                <c:pt idx="0">
                  <c:v>41275</c:v>
                </c:pt>
                <c:pt idx="1">
                  <c:v>41306</c:v>
                </c:pt>
                <c:pt idx="2">
                  <c:v>41334</c:v>
                </c:pt>
                <c:pt idx="3">
                  <c:v>41365</c:v>
                </c:pt>
                <c:pt idx="4">
                  <c:v>41395</c:v>
                </c:pt>
                <c:pt idx="5">
                  <c:v>41426</c:v>
                </c:pt>
                <c:pt idx="6">
                  <c:v>41456</c:v>
                </c:pt>
                <c:pt idx="7">
                  <c:v>41487</c:v>
                </c:pt>
                <c:pt idx="8">
                  <c:v>41518</c:v>
                </c:pt>
                <c:pt idx="9">
                  <c:v>41548</c:v>
                </c:pt>
                <c:pt idx="10">
                  <c:v>41579</c:v>
                </c:pt>
                <c:pt idx="11">
                  <c:v>41609</c:v>
                </c:pt>
                <c:pt idx="12">
                  <c:v>41640</c:v>
                </c:pt>
                <c:pt idx="13">
                  <c:v>41671</c:v>
                </c:pt>
                <c:pt idx="14">
                  <c:v>41699</c:v>
                </c:pt>
                <c:pt idx="15">
                  <c:v>41730</c:v>
                </c:pt>
                <c:pt idx="16">
                  <c:v>41760</c:v>
                </c:pt>
                <c:pt idx="17">
                  <c:v>41791</c:v>
                </c:pt>
                <c:pt idx="18">
                  <c:v>41821</c:v>
                </c:pt>
                <c:pt idx="19">
                  <c:v>41852</c:v>
                </c:pt>
                <c:pt idx="20">
                  <c:v>41883</c:v>
                </c:pt>
                <c:pt idx="21">
                  <c:v>41913</c:v>
                </c:pt>
                <c:pt idx="22">
                  <c:v>41944</c:v>
                </c:pt>
                <c:pt idx="23">
                  <c:v>41974</c:v>
                </c:pt>
                <c:pt idx="24">
                  <c:v>42005</c:v>
                </c:pt>
                <c:pt idx="25">
                  <c:v>42036</c:v>
                </c:pt>
                <c:pt idx="26">
                  <c:v>42064</c:v>
                </c:pt>
                <c:pt idx="27">
                  <c:v>42095</c:v>
                </c:pt>
                <c:pt idx="28">
                  <c:v>42125</c:v>
                </c:pt>
                <c:pt idx="29">
                  <c:v>42156</c:v>
                </c:pt>
                <c:pt idx="30">
                  <c:v>42186</c:v>
                </c:pt>
                <c:pt idx="31">
                  <c:v>42217</c:v>
                </c:pt>
                <c:pt idx="32">
                  <c:v>42248</c:v>
                </c:pt>
                <c:pt idx="33">
                  <c:v>42278</c:v>
                </c:pt>
                <c:pt idx="34">
                  <c:v>42309</c:v>
                </c:pt>
                <c:pt idx="35">
                  <c:v>42339</c:v>
                </c:pt>
                <c:pt idx="36">
                  <c:v>42370</c:v>
                </c:pt>
                <c:pt idx="37">
                  <c:v>42401</c:v>
                </c:pt>
                <c:pt idx="38">
                  <c:v>42430</c:v>
                </c:pt>
                <c:pt idx="39">
                  <c:v>42461</c:v>
                </c:pt>
                <c:pt idx="40">
                  <c:v>42491</c:v>
                </c:pt>
                <c:pt idx="41">
                  <c:v>42522</c:v>
                </c:pt>
                <c:pt idx="42">
                  <c:v>42552</c:v>
                </c:pt>
                <c:pt idx="43">
                  <c:v>42583</c:v>
                </c:pt>
                <c:pt idx="44">
                  <c:v>42614</c:v>
                </c:pt>
                <c:pt idx="45">
                  <c:v>42644</c:v>
                </c:pt>
                <c:pt idx="46">
                  <c:v>42675</c:v>
                </c:pt>
                <c:pt idx="47">
                  <c:v>42705</c:v>
                </c:pt>
                <c:pt idx="48">
                  <c:v>42736</c:v>
                </c:pt>
                <c:pt idx="49">
                  <c:v>42767</c:v>
                </c:pt>
                <c:pt idx="50">
                  <c:v>42795</c:v>
                </c:pt>
                <c:pt idx="51">
                  <c:v>42826</c:v>
                </c:pt>
                <c:pt idx="52">
                  <c:v>42856</c:v>
                </c:pt>
                <c:pt idx="53">
                  <c:v>42887</c:v>
                </c:pt>
                <c:pt idx="54">
                  <c:v>42917</c:v>
                </c:pt>
                <c:pt idx="55">
                  <c:v>42948</c:v>
                </c:pt>
                <c:pt idx="56">
                  <c:v>42979</c:v>
                </c:pt>
                <c:pt idx="57">
                  <c:v>43009</c:v>
                </c:pt>
                <c:pt idx="58">
                  <c:v>43040</c:v>
                </c:pt>
                <c:pt idx="59">
                  <c:v>43070</c:v>
                </c:pt>
                <c:pt idx="60">
                  <c:v>43101</c:v>
                </c:pt>
                <c:pt idx="61">
                  <c:v>43132</c:v>
                </c:pt>
                <c:pt idx="62">
                  <c:v>43160</c:v>
                </c:pt>
                <c:pt idx="63">
                  <c:v>43191</c:v>
                </c:pt>
                <c:pt idx="64">
                  <c:v>43221</c:v>
                </c:pt>
                <c:pt idx="65">
                  <c:v>43252</c:v>
                </c:pt>
              </c:numCache>
            </c:numRef>
          </c:cat>
          <c:val>
            <c:numRef>
              <c:f>'Precios petroleo'!$D$9:$D$74</c:f>
              <c:numCache>
                <c:formatCode>0.0</c:formatCode>
                <c:ptCount val="66"/>
                <c:pt idx="0">
                  <c:v>112.96</c:v>
                </c:pt>
                <c:pt idx="1">
                  <c:v>116.05</c:v>
                </c:pt>
                <c:pt idx="2">
                  <c:v>108.47</c:v>
                </c:pt>
                <c:pt idx="3">
                  <c:v>102.25</c:v>
                </c:pt>
                <c:pt idx="4">
                  <c:v>102.56</c:v>
                </c:pt>
                <c:pt idx="5">
                  <c:v>102.92</c:v>
                </c:pt>
                <c:pt idx="6">
                  <c:v>107.93</c:v>
                </c:pt>
                <c:pt idx="7">
                  <c:v>111.28</c:v>
                </c:pt>
                <c:pt idx="8">
                  <c:v>111.6</c:v>
                </c:pt>
                <c:pt idx="9">
                  <c:v>109.08</c:v>
                </c:pt>
                <c:pt idx="10">
                  <c:v>107.62</c:v>
                </c:pt>
                <c:pt idx="11">
                  <c:v>110.76</c:v>
                </c:pt>
                <c:pt idx="12">
                  <c:v>108.12</c:v>
                </c:pt>
                <c:pt idx="13">
                  <c:v>108.9</c:v>
                </c:pt>
                <c:pt idx="14">
                  <c:v>107.48</c:v>
                </c:pt>
                <c:pt idx="15">
                  <c:v>107.76</c:v>
                </c:pt>
                <c:pt idx="16">
                  <c:v>109.52</c:v>
                </c:pt>
                <c:pt idx="17">
                  <c:v>111.8</c:v>
                </c:pt>
                <c:pt idx="18">
                  <c:v>106.77</c:v>
                </c:pt>
                <c:pt idx="19">
                  <c:v>101.61</c:v>
                </c:pt>
                <c:pt idx="20">
                  <c:v>97.09</c:v>
                </c:pt>
                <c:pt idx="21">
                  <c:v>87.43</c:v>
                </c:pt>
                <c:pt idx="22">
                  <c:v>79.86</c:v>
                </c:pt>
                <c:pt idx="23">
                  <c:v>63.25</c:v>
                </c:pt>
                <c:pt idx="24">
                  <c:v>47.76</c:v>
                </c:pt>
                <c:pt idx="25">
                  <c:v>57.91</c:v>
                </c:pt>
                <c:pt idx="26">
                  <c:v>55.89</c:v>
                </c:pt>
                <c:pt idx="27">
                  <c:v>59.35</c:v>
                </c:pt>
                <c:pt idx="28">
                  <c:v>64.08</c:v>
                </c:pt>
                <c:pt idx="29">
                  <c:v>61.48</c:v>
                </c:pt>
                <c:pt idx="30">
                  <c:v>56.45</c:v>
                </c:pt>
                <c:pt idx="31">
                  <c:v>46.58</c:v>
                </c:pt>
                <c:pt idx="32">
                  <c:v>47.68</c:v>
                </c:pt>
                <c:pt idx="33">
                  <c:v>48.43</c:v>
                </c:pt>
                <c:pt idx="34">
                  <c:v>44.27</c:v>
                </c:pt>
                <c:pt idx="35">
                  <c:v>38.01</c:v>
                </c:pt>
                <c:pt idx="36">
                  <c:v>30.7</c:v>
                </c:pt>
                <c:pt idx="37">
                  <c:v>32.159999999999997</c:v>
                </c:pt>
                <c:pt idx="38">
                  <c:v>38.21</c:v>
                </c:pt>
                <c:pt idx="39">
                  <c:v>41.58</c:v>
                </c:pt>
                <c:pt idx="40">
                  <c:v>46.85</c:v>
                </c:pt>
                <c:pt idx="41">
                  <c:v>48.25</c:v>
                </c:pt>
                <c:pt idx="42">
                  <c:v>44.95</c:v>
                </c:pt>
                <c:pt idx="43">
                  <c:v>45.84</c:v>
                </c:pt>
                <c:pt idx="44">
                  <c:v>46.57</c:v>
                </c:pt>
                <c:pt idx="45">
                  <c:v>49.52</c:v>
                </c:pt>
                <c:pt idx="46">
                  <c:v>44.51</c:v>
                </c:pt>
                <c:pt idx="47">
                  <c:v>53.29</c:v>
                </c:pt>
                <c:pt idx="48">
                  <c:v>54.58</c:v>
                </c:pt>
                <c:pt idx="49">
                  <c:v>54.87</c:v>
                </c:pt>
                <c:pt idx="50">
                  <c:v>51.59</c:v>
                </c:pt>
                <c:pt idx="51">
                  <c:v>52.29</c:v>
                </c:pt>
                <c:pt idx="52">
                  <c:v>50.33</c:v>
                </c:pt>
                <c:pt idx="53">
                  <c:v>46.37</c:v>
                </c:pt>
                <c:pt idx="54">
                  <c:v>48.41</c:v>
                </c:pt>
                <c:pt idx="55">
                  <c:v>51.7</c:v>
                </c:pt>
                <c:pt idx="56">
                  <c:v>56.33</c:v>
                </c:pt>
                <c:pt idx="57">
                  <c:v>57.51</c:v>
                </c:pt>
                <c:pt idx="58">
                  <c:v>62.64</c:v>
                </c:pt>
                <c:pt idx="59">
                  <c:v>64.39</c:v>
                </c:pt>
                <c:pt idx="60">
                  <c:v>69.02</c:v>
                </c:pt>
                <c:pt idx="61">
                  <c:v>65.34</c:v>
                </c:pt>
                <c:pt idx="62">
                  <c:v>66.02</c:v>
                </c:pt>
                <c:pt idx="63">
                  <c:v>71.959999999999994</c:v>
                </c:pt>
                <c:pt idx="64">
                  <c:v>76.87</c:v>
                </c:pt>
                <c:pt idx="65">
                  <c:v>74.400000000000006</c:v>
                </c:pt>
              </c:numCache>
            </c:numRef>
          </c:val>
          <c:smooth val="0"/>
        </c:ser>
        <c:ser>
          <c:idx val="1"/>
          <c:order val="1"/>
          <c:tx>
            <c:strRef>
              <c:f>'Precios petroleo'!$E$8</c:f>
              <c:strCache>
                <c:ptCount val="1"/>
                <c:pt idx="0">
                  <c:v>WTI</c:v>
                </c:pt>
              </c:strCache>
            </c:strRef>
          </c:tx>
          <c:spPr>
            <a:ln w="34925">
              <a:solidFill>
                <a:schemeClr val="bg1">
                  <a:lumMod val="50000"/>
                </a:schemeClr>
              </a:solidFill>
              <a:prstDash val="sysDash"/>
            </a:ln>
          </c:spPr>
          <c:marker>
            <c:symbol val="none"/>
          </c:marker>
          <c:dLbls>
            <c:dLbl>
              <c:idx val="65"/>
              <c:layout>
                <c:manualLayout>
                  <c:x val="0"/>
                  <c:y val="2.7072749380524334E-2"/>
                </c:manualLayout>
              </c:layout>
              <c:tx>
                <c:rich>
                  <a:bodyPr/>
                  <a:lstStyle/>
                  <a:p>
                    <a:r>
                      <a:rPr lang="en-US"/>
                      <a:t>67.9</a:t>
                    </a:r>
                  </a:p>
                </c:rich>
              </c:tx>
              <c:showLegendKey val="0"/>
              <c:showVal val="1"/>
              <c:showCatName val="0"/>
              <c:showSerName val="0"/>
              <c:showPercent val="0"/>
              <c:showBubbleSize val="0"/>
            </c:dLbl>
            <c:showLegendKey val="0"/>
            <c:showVal val="0"/>
            <c:showCatName val="0"/>
            <c:showSerName val="0"/>
            <c:showPercent val="0"/>
            <c:showBubbleSize val="0"/>
          </c:dLbls>
          <c:cat>
            <c:numRef>
              <c:f>'Precios petroleo'!$C$9:$C$74</c:f>
              <c:numCache>
                <c:formatCode>mmm\-yy</c:formatCode>
                <c:ptCount val="66"/>
                <c:pt idx="0">
                  <c:v>41275</c:v>
                </c:pt>
                <c:pt idx="1">
                  <c:v>41306</c:v>
                </c:pt>
                <c:pt idx="2">
                  <c:v>41334</c:v>
                </c:pt>
                <c:pt idx="3">
                  <c:v>41365</c:v>
                </c:pt>
                <c:pt idx="4">
                  <c:v>41395</c:v>
                </c:pt>
                <c:pt idx="5">
                  <c:v>41426</c:v>
                </c:pt>
                <c:pt idx="6">
                  <c:v>41456</c:v>
                </c:pt>
                <c:pt idx="7">
                  <c:v>41487</c:v>
                </c:pt>
                <c:pt idx="8">
                  <c:v>41518</c:v>
                </c:pt>
                <c:pt idx="9">
                  <c:v>41548</c:v>
                </c:pt>
                <c:pt idx="10">
                  <c:v>41579</c:v>
                </c:pt>
                <c:pt idx="11">
                  <c:v>41609</c:v>
                </c:pt>
                <c:pt idx="12">
                  <c:v>41640</c:v>
                </c:pt>
                <c:pt idx="13">
                  <c:v>41671</c:v>
                </c:pt>
                <c:pt idx="14">
                  <c:v>41699</c:v>
                </c:pt>
                <c:pt idx="15">
                  <c:v>41730</c:v>
                </c:pt>
                <c:pt idx="16">
                  <c:v>41760</c:v>
                </c:pt>
                <c:pt idx="17">
                  <c:v>41791</c:v>
                </c:pt>
                <c:pt idx="18">
                  <c:v>41821</c:v>
                </c:pt>
                <c:pt idx="19">
                  <c:v>41852</c:v>
                </c:pt>
                <c:pt idx="20">
                  <c:v>41883</c:v>
                </c:pt>
                <c:pt idx="21">
                  <c:v>41913</c:v>
                </c:pt>
                <c:pt idx="22">
                  <c:v>41944</c:v>
                </c:pt>
                <c:pt idx="23">
                  <c:v>41974</c:v>
                </c:pt>
                <c:pt idx="24">
                  <c:v>42005</c:v>
                </c:pt>
                <c:pt idx="25">
                  <c:v>42036</c:v>
                </c:pt>
                <c:pt idx="26">
                  <c:v>42064</c:v>
                </c:pt>
                <c:pt idx="27">
                  <c:v>42095</c:v>
                </c:pt>
                <c:pt idx="28">
                  <c:v>42125</c:v>
                </c:pt>
                <c:pt idx="29">
                  <c:v>42156</c:v>
                </c:pt>
                <c:pt idx="30">
                  <c:v>42186</c:v>
                </c:pt>
                <c:pt idx="31">
                  <c:v>42217</c:v>
                </c:pt>
                <c:pt idx="32">
                  <c:v>42248</c:v>
                </c:pt>
                <c:pt idx="33">
                  <c:v>42278</c:v>
                </c:pt>
                <c:pt idx="34">
                  <c:v>42309</c:v>
                </c:pt>
                <c:pt idx="35">
                  <c:v>42339</c:v>
                </c:pt>
                <c:pt idx="36">
                  <c:v>42370</c:v>
                </c:pt>
                <c:pt idx="37">
                  <c:v>42401</c:v>
                </c:pt>
                <c:pt idx="38">
                  <c:v>42430</c:v>
                </c:pt>
                <c:pt idx="39">
                  <c:v>42461</c:v>
                </c:pt>
                <c:pt idx="40">
                  <c:v>42491</c:v>
                </c:pt>
                <c:pt idx="41">
                  <c:v>42522</c:v>
                </c:pt>
                <c:pt idx="42">
                  <c:v>42552</c:v>
                </c:pt>
                <c:pt idx="43">
                  <c:v>42583</c:v>
                </c:pt>
                <c:pt idx="44">
                  <c:v>42614</c:v>
                </c:pt>
                <c:pt idx="45">
                  <c:v>42644</c:v>
                </c:pt>
                <c:pt idx="46">
                  <c:v>42675</c:v>
                </c:pt>
                <c:pt idx="47">
                  <c:v>42705</c:v>
                </c:pt>
                <c:pt idx="48">
                  <c:v>42736</c:v>
                </c:pt>
                <c:pt idx="49">
                  <c:v>42767</c:v>
                </c:pt>
                <c:pt idx="50">
                  <c:v>42795</c:v>
                </c:pt>
                <c:pt idx="51">
                  <c:v>42826</c:v>
                </c:pt>
                <c:pt idx="52">
                  <c:v>42856</c:v>
                </c:pt>
                <c:pt idx="53">
                  <c:v>42887</c:v>
                </c:pt>
                <c:pt idx="54">
                  <c:v>42917</c:v>
                </c:pt>
                <c:pt idx="55">
                  <c:v>42948</c:v>
                </c:pt>
                <c:pt idx="56">
                  <c:v>42979</c:v>
                </c:pt>
                <c:pt idx="57">
                  <c:v>43009</c:v>
                </c:pt>
                <c:pt idx="58">
                  <c:v>43040</c:v>
                </c:pt>
                <c:pt idx="59">
                  <c:v>43070</c:v>
                </c:pt>
                <c:pt idx="60">
                  <c:v>43101</c:v>
                </c:pt>
                <c:pt idx="61">
                  <c:v>43132</c:v>
                </c:pt>
                <c:pt idx="62">
                  <c:v>43160</c:v>
                </c:pt>
                <c:pt idx="63">
                  <c:v>43191</c:v>
                </c:pt>
                <c:pt idx="64">
                  <c:v>43221</c:v>
                </c:pt>
                <c:pt idx="65">
                  <c:v>43252</c:v>
                </c:pt>
              </c:numCache>
            </c:numRef>
          </c:cat>
          <c:val>
            <c:numRef>
              <c:f>'Precios petroleo'!$E$9:$E$74</c:f>
              <c:numCache>
                <c:formatCode>0.0</c:formatCode>
                <c:ptCount val="66"/>
                <c:pt idx="0">
                  <c:v>94.76</c:v>
                </c:pt>
                <c:pt idx="1">
                  <c:v>95.31</c:v>
                </c:pt>
                <c:pt idx="2">
                  <c:v>92.94</c:v>
                </c:pt>
                <c:pt idx="3">
                  <c:v>92.02</c:v>
                </c:pt>
                <c:pt idx="4">
                  <c:v>94.51</c:v>
                </c:pt>
                <c:pt idx="5">
                  <c:v>95.77</c:v>
                </c:pt>
                <c:pt idx="6">
                  <c:v>104.67</c:v>
                </c:pt>
                <c:pt idx="7">
                  <c:v>106.57</c:v>
                </c:pt>
                <c:pt idx="8">
                  <c:v>106.29</c:v>
                </c:pt>
                <c:pt idx="9">
                  <c:v>100.54</c:v>
                </c:pt>
                <c:pt idx="10">
                  <c:v>93.93</c:v>
                </c:pt>
                <c:pt idx="11">
                  <c:v>97.63</c:v>
                </c:pt>
                <c:pt idx="12">
                  <c:v>94.62</c:v>
                </c:pt>
                <c:pt idx="13">
                  <c:v>100.82</c:v>
                </c:pt>
                <c:pt idx="14">
                  <c:v>100.8</c:v>
                </c:pt>
                <c:pt idx="15">
                  <c:v>102.07</c:v>
                </c:pt>
                <c:pt idx="16">
                  <c:v>102.18</c:v>
                </c:pt>
                <c:pt idx="17">
                  <c:v>105.79</c:v>
                </c:pt>
                <c:pt idx="18">
                  <c:v>103.59</c:v>
                </c:pt>
                <c:pt idx="19">
                  <c:v>96.54</c:v>
                </c:pt>
                <c:pt idx="20">
                  <c:v>93.21</c:v>
                </c:pt>
                <c:pt idx="21">
                  <c:v>84.4</c:v>
                </c:pt>
                <c:pt idx="22">
                  <c:v>76.34</c:v>
                </c:pt>
                <c:pt idx="23">
                  <c:v>60.12</c:v>
                </c:pt>
                <c:pt idx="24">
                  <c:v>47.22</c:v>
                </c:pt>
                <c:pt idx="25">
                  <c:v>50.58</c:v>
                </c:pt>
                <c:pt idx="26">
                  <c:v>47.82</c:v>
                </c:pt>
                <c:pt idx="27">
                  <c:v>54.21</c:v>
                </c:pt>
                <c:pt idx="28">
                  <c:v>59.27</c:v>
                </c:pt>
                <c:pt idx="29">
                  <c:v>59.82</c:v>
                </c:pt>
                <c:pt idx="30">
                  <c:v>50.9</c:v>
                </c:pt>
                <c:pt idx="31">
                  <c:v>42.87</c:v>
                </c:pt>
                <c:pt idx="32">
                  <c:v>45.48</c:v>
                </c:pt>
                <c:pt idx="33">
                  <c:v>46.22</c:v>
                </c:pt>
                <c:pt idx="34">
                  <c:v>42.39</c:v>
                </c:pt>
                <c:pt idx="35">
                  <c:v>37.19</c:v>
                </c:pt>
                <c:pt idx="36">
                  <c:v>31.57</c:v>
                </c:pt>
                <c:pt idx="37">
                  <c:v>30.28</c:v>
                </c:pt>
                <c:pt idx="38">
                  <c:v>37.549999999999997</c:v>
                </c:pt>
                <c:pt idx="39">
                  <c:v>40.76</c:v>
                </c:pt>
                <c:pt idx="40">
                  <c:v>46.84</c:v>
                </c:pt>
                <c:pt idx="41">
                  <c:v>48.76</c:v>
                </c:pt>
                <c:pt idx="42">
                  <c:v>44.86</c:v>
                </c:pt>
                <c:pt idx="43">
                  <c:v>44.72</c:v>
                </c:pt>
                <c:pt idx="44">
                  <c:v>45.15</c:v>
                </c:pt>
                <c:pt idx="45">
                  <c:v>49.78</c:v>
                </c:pt>
                <c:pt idx="46">
                  <c:v>45.61</c:v>
                </c:pt>
                <c:pt idx="47">
                  <c:v>51.97</c:v>
                </c:pt>
                <c:pt idx="48">
                  <c:v>52.5</c:v>
                </c:pt>
                <c:pt idx="49">
                  <c:v>53.47</c:v>
                </c:pt>
                <c:pt idx="50">
                  <c:v>49.33</c:v>
                </c:pt>
                <c:pt idx="51">
                  <c:v>51.06</c:v>
                </c:pt>
                <c:pt idx="52">
                  <c:v>48.52</c:v>
                </c:pt>
                <c:pt idx="53">
                  <c:v>45.18</c:v>
                </c:pt>
                <c:pt idx="54">
                  <c:v>46.63</c:v>
                </c:pt>
                <c:pt idx="55">
                  <c:v>48.04</c:v>
                </c:pt>
                <c:pt idx="56">
                  <c:v>49.82</c:v>
                </c:pt>
                <c:pt idx="57">
                  <c:v>51.58</c:v>
                </c:pt>
                <c:pt idx="58">
                  <c:v>56.52</c:v>
                </c:pt>
                <c:pt idx="59">
                  <c:v>57.88</c:v>
                </c:pt>
                <c:pt idx="60">
                  <c:v>63.7</c:v>
                </c:pt>
                <c:pt idx="61">
                  <c:v>62.23</c:v>
                </c:pt>
                <c:pt idx="62">
                  <c:v>62.72</c:v>
                </c:pt>
                <c:pt idx="63">
                  <c:v>66.25</c:v>
                </c:pt>
                <c:pt idx="64">
                  <c:v>69.98</c:v>
                </c:pt>
                <c:pt idx="65">
                  <c:v>67.87</c:v>
                </c:pt>
              </c:numCache>
            </c:numRef>
          </c:val>
          <c:smooth val="0"/>
        </c:ser>
        <c:dLbls>
          <c:showLegendKey val="0"/>
          <c:showVal val="0"/>
          <c:showCatName val="0"/>
          <c:showSerName val="0"/>
          <c:showPercent val="0"/>
          <c:showBubbleSize val="0"/>
        </c:dLbls>
        <c:marker val="1"/>
        <c:smooth val="0"/>
        <c:axId val="65610112"/>
        <c:axId val="65611648"/>
      </c:lineChart>
      <c:dateAx>
        <c:axId val="65610112"/>
        <c:scaling>
          <c:orientation val="minMax"/>
        </c:scaling>
        <c:delete val="0"/>
        <c:axPos val="b"/>
        <c:numFmt formatCode="mmm\-yy" sourceLinked="1"/>
        <c:majorTickMark val="out"/>
        <c:minorTickMark val="none"/>
        <c:tickLblPos val="nextTo"/>
        <c:crossAx val="65611648"/>
        <c:crosses val="autoZero"/>
        <c:auto val="1"/>
        <c:lblOffset val="100"/>
        <c:baseTimeUnit val="months"/>
      </c:dateAx>
      <c:valAx>
        <c:axId val="65611648"/>
        <c:scaling>
          <c:orientation val="minMax"/>
        </c:scaling>
        <c:delete val="0"/>
        <c:axPos val="l"/>
        <c:numFmt formatCode="0.0" sourceLinked="1"/>
        <c:majorTickMark val="out"/>
        <c:minorTickMark val="none"/>
        <c:tickLblPos val="nextTo"/>
        <c:crossAx val="65610112"/>
        <c:crosses val="autoZero"/>
        <c:crossBetween val="between"/>
      </c:valAx>
    </c:plotArea>
    <c:legend>
      <c:legendPos val="b"/>
      <c:layout>
        <c:manualLayout>
          <c:xMode val="edge"/>
          <c:yMode val="edge"/>
          <c:x val="0.30314522964235785"/>
          <c:y val="0.90824833471168931"/>
          <c:w val="0.37763754165492919"/>
          <c:h val="6.8869153473186923E-2"/>
        </c:manualLayout>
      </c:layout>
      <c:overlay val="0"/>
    </c:legend>
    <c:plotVisOnly val="1"/>
    <c:dispBlanksAs val="gap"/>
    <c:showDLblsOverMax val="0"/>
  </c:chart>
  <c:spPr>
    <a:ln>
      <a:noFill/>
    </a:ln>
  </c:spPr>
  <c:txPr>
    <a:bodyPr/>
    <a:lstStyle/>
    <a:p>
      <a:pPr>
        <a:defRPr sz="1100">
          <a:latin typeface="Times New Roman" pitchFamily="18" charset="0"/>
          <a:cs typeface="Times New Roman" pitchFamily="18" charset="0"/>
        </a:defRPr>
      </a:pPr>
      <a:endParaRPr lang="es-G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chemeClr val="tx2">
                <a:lumMod val="40000"/>
                <a:lumOff val="60000"/>
              </a:schemeClr>
            </a:solidFill>
          </c:spPr>
          <c:invertIfNegative val="0"/>
          <c:dPt>
            <c:idx val="10"/>
            <c:invertIfNegative val="0"/>
            <c:bubble3D val="0"/>
            <c:spPr>
              <a:solidFill>
                <a:srgbClr val="00A1DA"/>
              </a:solidFill>
            </c:spPr>
          </c:dPt>
          <c:dPt>
            <c:idx val="11"/>
            <c:invertIfNegative val="0"/>
            <c:bubble3D val="0"/>
            <c:spPr>
              <a:solidFill>
                <a:schemeClr val="accent1">
                  <a:lumMod val="75000"/>
                </a:schemeClr>
              </a:solidFill>
            </c:spPr>
          </c:dPt>
          <c:dLbls>
            <c:txPr>
              <a:bodyPr/>
              <a:lstStyle/>
              <a:p>
                <a:pPr>
                  <a:defRPr sz="700" b="1">
                    <a:latin typeface="Times New Roman" pitchFamily="18" charset="0"/>
                    <a:cs typeface="Times New Roman" pitchFamily="18" charset="0"/>
                  </a:defRPr>
                </a:pPr>
                <a:endParaRPr lang="es-GT"/>
              </a:p>
            </c:txPr>
            <c:showLegendKey val="0"/>
            <c:showVal val="1"/>
            <c:showCatName val="0"/>
            <c:showSerName val="0"/>
            <c:showPercent val="0"/>
            <c:showBubbleSize val="0"/>
            <c:showLeaderLines val="0"/>
          </c:dLbls>
          <c:cat>
            <c:strRef>
              <c:f>'crecimiento GTM'!$C$76:$C$87</c:f>
              <c:strCache>
                <c:ptCount val="12"/>
                <c:pt idx="0">
                  <c:v>2007</c:v>
                </c:pt>
                <c:pt idx="1">
                  <c:v>2008</c:v>
                </c:pt>
                <c:pt idx="2">
                  <c:v>2009</c:v>
                </c:pt>
                <c:pt idx="3">
                  <c:v>2010</c:v>
                </c:pt>
                <c:pt idx="4">
                  <c:v>2011</c:v>
                </c:pt>
                <c:pt idx="5">
                  <c:v>2012</c:v>
                </c:pt>
                <c:pt idx="6">
                  <c:v>2013</c:v>
                </c:pt>
                <c:pt idx="7">
                  <c:v>2014</c:v>
                </c:pt>
                <c:pt idx="8">
                  <c:v>2015</c:v>
                </c:pt>
                <c:pt idx="9">
                  <c:v>2016</c:v>
                </c:pt>
                <c:pt idx="10">
                  <c:v>2017 py/medio</c:v>
                </c:pt>
                <c:pt idx="11">
                  <c:v>2018 py/medio</c:v>
                </c:pt>
              </c:strCache>
            </c:strRef>
          </c:cat>
          <c:val>
            <c:numRef>
              <c:f>'crecimiento GTM'!$D$76:$D$87</c:f>
              <c:numCache>
                <c:formatCode>_(* #,##0.0_);_(* \(#,##0.0\);_(* "-"??_);_(@_)</c:formatCode>
                <c:ptCount val="12"/>
                <c:pt idx="0">
                  <c:v>6.3040565377763897</c:v>
                </c:pt>
                <c:pt idx="1">
                  <c:v>3.2810798155511236</c:v>
                </c:pt>
                <c:pt idx="2">
                  <c:v>0.52604301774603357</c:v>
                </c:pt>
                <c:pt idx="3">
                  <c:v>2.8694877371278551</c:v>
                </c:pt>
                <c:pt idx="4">
                  <c:v>4.1620489461922716</c:v>
                </c:pt>
                <c:pt idx="5">
                  <c:v>2.9698574268847437</c:v>
                </c:pt>
                <c:pt idx="6">
                  <c:v>3.6975855779096634</c:v>
                </c:pt>
                <c:pt idx="7">
                  <c:v>4.174169136581753</c:v>
                </c:pt>
                <c:pt idx="8">
                  <c:v>4.1400443582547837</c:v>
                </c:pt>
                <c:pt idx="9">
                  <c:v>3.0924825576909001</c:v>
                </c:pt>
                <c:pt idx="10">
                  <c:v>3.4</c:v>
                </c:pt>
                <c:pt idx="11">
                  <c:v>3.5</c:v>
                </c:pt>
              </c:numCache>
            </c:numRef>
          </c:val>
        </c:ser>
        <c:dLbls>
          <c:showLegendKey val="0"/>
          <c:showVal val="0"/>
          <c:showCatName val="0"/>
          <c:showSerName val="0"/>
          <c:showPercent val="0"/>
          <c:showBubbleSize val="0"/>
        </c:dLbls>
        <c:gapWidth val="25"/>
        <c:axId val="65653376"/>
        <c:axId val="65675648"/>
      </c:barChart>
      <c:catAx>
        <c:axId val="65653376"/>
        <c:scaling>
          <c:orientation val="minMax"/>
        </c:scaling>
        <c:delete val="0"/>
        <c:axPos val="b"/>
        <c:numFmt formatCode="General" sourceLinked="1"/>
        <c:majorTickMark val="out"/>
        <c:minorTickMark val="none"/>
        <c:tickLblPos val="nextTo"/>
        <c:txPr>
          <a:bodyPr/>
          <a:lstStyle/>
          <a:p>
            <a:pPr>
              <a:defRPr sz="700" b="1">
                <a:latin typeface="Times New Roman" pitchFamily="18" charset="0"/>
                <a:cs typeface="Times New Roman" pitchFamily="18" charset="0"/>
              </a:defRPr>
            </a:pPr>
            <a:endParaRPr lang="es-GT"/>
          </a:p>
        </c:txPr>
        <c:crossAx val="65675648"/>
        <c:crosses val="autoZero"/>
        <c:auto val="1"/>
        <c:lblAlgn val="ctr"/>
        <c:lblOffset val="100"/>
        <c:noMultiLvlLbl val="0"/>
      </c:catAx>
      <c:valAx>
        <c:axId val="65675648"/>
        <c:scaling>
          <c:orientation val="minMax"/>
        </c:scaling>
        <c:delete val="0"/>
        <c:axPos val="l"/>
        <c:numFmt formatCode="_(* #,##0.0_);_(* \(#,##0.0\);_(* &quot;-&quot;??_);_(@_)" sourceLinked="1"/>
        <c:majorTickMark val="out"/>
        <c:minorTickMark val="none"/>
        <c:tickLblPos val="nextTo"/>
        <c:txPr>
          <a:bodyPr/>
          <a:lstStyle/>
          <a:p>
            <a:pPr>
              <a:defRPr sz="900" b="1">
                <a:latin typeface="Times New Roman" pitchFamily="18" charset="0"/>
                <a:cs typeface="Times New Roman" pitchFamily="18" charset="0"/>
              </a:defRPr>
            </a:pPr>
            <a:endParaRPr lang="es-GT"/>
          </a:p>
        </c:txPr>
        <c:crossAx val="65653376"/>
        <c:crosses val="autoZero"/>
        <c:crossBetween val="between"/>
      </c:valAx>
    </c:plotArea>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062133283634806E-2"/>
          <c:y val="0.17263539993174881"/>
          <c:w val="0.77413831989125459"/>
          <c:h val="0.55142242490229743"/>
        </c:manualLayout>
      </c:layout>
      <c:lineChart>
        <c:grouping val="standard"/>
        <c:varyColors val="0"/>
        <c:ser>
          <c:idx val="0"/>
          <c:order val="0"/>
          <c:tx>
            <c:strRef>
              <c:f>'Inflación (2)'!$D$3:$D$4</c:f>
              <c:strCache>
                <c:ptCount val="1"/>
                <c:pt idx="0">
                  <c:v>Inflación total</c:v>
                </c:pt>
              </c:strCache>
            </c:strRef>
          </c:tx>
          <c:spPr>
            <a:ln w="38100">
              <a:solidFill>
                <a:schemeClr val="bg1">
                  <a:lumMod val="50000"/>
                </a:schemeClr>
              </a:solidFill>
              <a:prstDash val="sysDash"/>
            </a:ln>
          </c:spPr>
          <c:marker>
            <c:symbol val="none"/>
          </c:marker>
          <c:dLbls>
            <c:dLbl>
              <c:idx val="65"/>
              <c:layout>
                <c:manualLayout>
                  <c:x val="-6.2333385171531884E-2"/>
                  <c:y val="-2.4397102587944031E-2"/>
                </c:manualLayout>
              </c:layout>
              <c:tx>
                <c:rich>
                  <a:bodyPr/>
                  <a:lstStyle/>
                  <a:p>
                    <a:r>
                      <a:rPr lang="en-US"/>
                      <a:t>4.4</a:t>
                    </a:r>
                  </a:p>
                </c:rich>
              </c:tx>
              <c:showLegendKey val="0"/>
              <c:showVal val="1"/>
              <c:showCatName val="0"/>
              <c:showSerName val="0"/>
              <c:showPercent val="0"/>
              <c:showBubbleSize val="0"/>
            </c:dLbl>
            <c:dLbl>
              <c:idx val="71"/>
              <c:showLegendKey val="0"/>
              <c:showVal val="1"/>
              <c:showCatName val="0"/>
              <c:showSerName val="0"/>
              <c:showPercent val="0"/>
              <c:showBubbleSize val="0"/>
            </c:dLbl>
            <c:txPr>
              <a:bodyPr/>
              <a:lstStyle/>
              <a:p>
                <a:pPr>
                  <a:defRPr sz="900"/>
                </a:pPr>
                <a:endParaRPr lang="es-GT"/>
              </a:p>
            </c:txPr>
            <c:showLegendKey val="0"/>
            <c:showVal val="0"/>
            <c:showCatName val="0"/>
            <c:showSerName val="0"/>
            <c:showPercent val="0"/>
            <c:showBubbleSize val="0"/>
          </c:dLbls>
          <c:cat>
            <c:strRef>
              <c:f>'Inflación (2)'!$C$5:$C$82</c:f>
              <c:strCache>
                <c:ptCount val="78"/>
                <c:pt idx="0">
                  <c:v>ene-12</c:v>
                </c:pt>
                <c:pt idx="1">
                  <c:v>feb</c:v>
                </c:pt>
                <c:pt idx="2">
                  <c:v>mar</c:v>
                </c:pt>
                <c:pt idx="3">
                  <c:v>abr</c:v>
                </c:pt>
                <c:pt idx="4">
                  <c:v>may</c:v>
                </c:pt>
                <c:pt idx="5">
                  <c:v>jun</c:v>
                </c:pt>
                <c:pt idx="6">
                  <c:v>jul</c:v>
                </c:pt>
                <c:pt idx="7">
                  <c:v>ago</c:v>
                </c:pt>
                <c:pt idx="8">
                  <c:v>sep</c:v>
                </c:pt>
                <c:pt idx="9">
                  <c:v>oct</c:v>
                </c:pt>
                <c:pt idx="10">
                  <c:v>nov</c:v>
                </c:pt>
                <c:pt idx="11">
                  <c:v>dic</c:v>
                </c:pt>
                <c:pt idx="12">
                  <c:v>ene-13</c:v>
                </c:pt>
                <c:pt idx="13">
                  <c:v>feb</c:v>
                </c:pt>
                <c:pt idx="14">
                  <c:v>mar</c:v>
                </c:pt>
                <c:pt idx="15">
                  <c:v>abr</c:v>
                </c:pt>
                <c:pt idx="16">
                  <c:v>may</c:v>
                </c:pt>
                <c:pt idx="17">
                  <c:v>jun</c:v>
                </c:pt>
                <c:pt idx="18">
                  <c:v>jul</c:v>
                </c:pt>
                <c:pt idx="19">
                  <c:v>ago</c:v>
                </c:pt>
                <c:pt idx="20">
                  <c:v>sep</c:v>
                </c:pt>
                <c:pt idx="21">
                  <c:v>oct</c:v>
                </c:pt>
                <c:pt idx="22">
                  <c:v>nov</c:v>
                </c:pt>
                <c:pt idx="23">
                  <c:v>dic</c:v>
                </c:pt>
                <c:pt idx="24">
                  <c:v>ene-14</c:v>
                </c:pt>
                <c:pt idx="25">
                  <c:v>feb</c:v>
                </c:pt>
                <c:pt idx="26">
                  <c:v>mar</c:v>
                </c:pt>
                <c:pt idx="27">
                  <c:v>abr</c:v>
                </c:pt>
                <c:pt idx="28">
                  <c:v>may</c:v>
                </c:pt>
                <c:pt idx="29">
                  <c:v>jun</c:v>
                </c:pt>
                <c:pt idx="30">
                  <c:v>jul</c:v>
                </c:pt>
                <c:pt idx="31">
                  <c:v>ago</c:v>
                </c:pt>
                <c:pt idx="32">
                  <c:v>sep</c:v>
                </c:pt>
                <c:pt idx="33">
                  <c:v>oct</c:v>
                </c:pt>
                <c:pt idx="34">
                  <c:v>nov</c:v>
                </c:pt>
                <c:pt idx="35">
                  <c:v>dic</c:v>
                </c:pt>
                <c:pt idx="36">
                  <c:v>ene-15</c:v>
                </c:pt>
                <c:pt idx="37">
                  <c:v>feb</c:v>
                </c:pt>
                <c:pt idx="38">
                  <c:v>mar</c:v>
                </c:pt>
                <c:pt idx="39">
                  <c:v>abr</c:v>
                </c:pt>
                <c:pt idx="40">
                  <c:v>may</c:v>
                </c:pt>
                <c:pt idx="41">
                  <c:v>jun</c:v>
                </c:pt>
                <c:pt idx="42">
                  <c:v>jul</c:v>
                </c:pt>
                <c:pt idx="43">
                  <c:v>ago</c:v>
                </c:pt>
                <c:pt idx="44">
                  <c:v>sep</c:v>
                </c:pt>
                <c:pt idx="45">
                  <c:v>oct</c:v>
                </c:pt>
                <c:pt idx="46">
                  <c:v>nov</c:v>
                </c:pt>
                <c:pt idx="47">
                  <c:v>dic</c:v>
                </c:pt>
                <c:pt idx="48">
                  <c:v>ene-16</c:v>
                </c:pt>
                <c:pt idx="49">
                  <c:v>feb</c:v>
                </c:pt>
                <c:pt idx="50">
                  <c:v>mar</c:v>
                </c:pt>
                <c:pt idx="51">
                  <c:v>abr</c:v>
                </c:pt>
                <c:pt idx="52">
                  <c:v>may</c:v>
                </c:pt>
                <c:pt idx="53">
                  <c:v>jun</c:v>
                </c:pt>
                <c:pt idx="54">
                  <c:v>jul</c:v>
                </c:pt>
                <c:pt idx="55">
                  <c:v>ago</c:v>
                </c:pt>
                <c:pt idx="56">
                  <c:v>sep</c:v>
                </c:pt>
                <c:pt idx="57">
                  <c:v>oct</c:v>
                </c:pt>
                <c:pt idx="58">
                  <c:v>nov</c:v>
                </c:pt>
                <c:pt idx="59">
                  <c:v>dic</c:v>
                </c:pt>
                <c:pt idx="60">
                  <c:v>ene-17</c:v>
                </c:pt>
                <c:pt idx="61">
                  <c:v>feb</c:v>
                </c:pt>
                <c:pt idx="62">
                  <c:v>mar</c:v>
                </c:pt>
                <c:pt idx="63">
                  <c:v>abr</c:v>
                </c:pt>
                <c:pt idx="64">
                  <c:v>may</c:v>
                </c:pt>
                <c:pt idx="65">
                  <c:v>jun</c:v>
                </c:pt>
                <c:pt idx="66">
                  <c:v>jul</c:v>
                </c:pt>
                <c:pt idx="67">
                  <c:v>ago</c:v>
                </c:pt>
                <c:pt idx="68">
                  <c:v>sep</c:v>
                </c:pt>
                <c:pt idx="69">
                  <c:v>oct</c:v>
                </c:pt>
                <c:pt idx="70">
                  <c:v>nov</c:v>
                </c:pt>
                <c:pt idx="71">
                  <c:v>dic</c:v>
                </c:pt>
                <c:pt idx="72">
                  <c:v>ene-18</c:v>
                </c:pt>
                <c:pt idx="73">
                  <c:v>feb</c:v>
                </c:pt>
                <c:pt idx="74">
                  <c:v>mar</c:v>
                </c:pt>
                <c:pt idx="75">
                  <c:v>abr</c:v>
                </c:pt>
                <c:pt idx="76">
                  <c:v>may</c:v>
                </c:pt>
                <c:pt idx="77">
                  <c:v>jun</c:v>
                </c:pt>
              </c:strCache>
            </c:strRef>
          </c:cat>
          <c:val>
            <c:numRef>
              <c:f>'Inflación (2)'!$D$5:$D$82</c:f>
              <c:numCache>
                <c:formatCode>0.00</c:formatCode>
                <c:ptCount val="78"/>
                <c:pt idx="0">
                  <c:v>5.44</c:v>
                </c:pt>
                <c:pt idx="1">
                  <c:v>5.17</c:v>
                </c:pt>
                <c:pt idx="2">
                  <c:v>4.55</c:v>
                </c:pt>
                <c:pt idx="3">
                  <c:v>4.2699999999999996</c:v>
                </c:pt>
                <c:pt idx="4">
                  <c:v>3.9</c:v>
                </c:pt>
                <c:pt idx="5">
                  <c:v>3.47</c:v>
                </c:pt>
                <c:pt idx="6">
                  <c:v>2.86</c:v>
                </c:pt>
                <c:pt idx="7">
                  <c:v>2.71</c:v>
                </c:pt>
                <c:pt idx="8">
                  <c:v>3.28</c:v>
                </c:pt>
                <c:pt idx="9">
                  <c:v>3.35</c:v>
                </c:pt>
                <c:pt idx="10">
                  <c:v>3.11</c:v>
                </c:pt>
                <c:pt idx="11">
                  <c:v>3.45</c:v>
                </c:pt>
                <c:pt idx="12">
                  <c:v>3.86</c:v>
                </c:pt>
                <c:pt idx="13">
                  <c:v>4.18</c:v>
                </c:pt>
                <c:pt idx="14">
                  <c:v>4.34</c:v>
                </c:pt>
                <c:pt idx="15">
                  <c:v>4.13</c:v>
                </c:pt>
                <c:pt idx="16">
                  <c:v>4.2699999999999996</c:v>
                </c:pt>
                <c:pt idx="17">
                  <c:v>4.79</c:v>
                </c:pt>
                <c:pt idx="18">
                  <c:v>4.74</c:v>
                </c:pt>
                <c:pt idx="19">
                  <c:v>4.42</c:v>
                </c:pt>
                <c:pt idx="20">
                  <c:v>4.21</c:v>
                </c:pt>
                <c:pt idx="21">
                  <c:v>4.1500000000000004</c:v>
                </c:pt>
                <c:pt idx="22">
                  <c:v>4.63</c:v>
                </c:pt>
                <c:pt idx="23">
                  <c:v>4.3899999999999997</c:v>
                </c:pt>
                <c:pt idx="24">
                  <c:v>4.1399999999999997</c:v>
                </c:pt>
                <c:pt idx="25">
                  <c:v>3.5</c:v>
                </c:pt>
                <c:pt idx="26" formatCode="General">
                  <c:v>3.25</c:v>
                </c:pt>
                <c:pt idx="27" formatCode="General">
                  <c:v>3.27</c:v>
                </c:pt>
                <c:pt idx="28" formatCode="General">
                  <c:v>3.22</c:v>
                </c:pt>
                <c:pt idx="29" formatCode="General">
                  <c:v>3.13</c:v>
                </c:pt>
                <c:pt idx="30" formatCode="General">
                  <c:v>3.41</c:v>
                </c:pt>
                <c:pt idx="31" formatCode="General">
                  <c:v>3.7</c:v>
                </c:pt>
                <c:pt idx="32" formatCode="General">
                  <c:v>3.45</c:v>
                </c:pt>
                <c:pt idx="33" formatCode="General">
                  <c:v>3.64</c:v>
                </c:pt>
                <c:pt idx="34" formatCode="General">
                  <c:v>3.38</c:v>
                </c:pt>
                <c:pt idx="35" formatCode="General">
                  <c:v>2.95</c:v>
                </c:pt>
                <c:pt idx="36">
                  <c:v>2.3199999999999998</c:v>
                </c:pt>
                <c:pt idx="37">
                  <c:v>2.44</c:v>
                </c:pt>
                <c:pt idx="38">
                  <c:v>2.4300000000000002</c:v>
                </c:pt>
                <c:pt idx="39">
                  <c:v>2.58</c:v>
                </c:pt>
                <c:pt idx="40">
                  <c:v>2.5499999999999998</c:v>
                </c:pt>
                <c:pt idx="41">
                  <c:v>2.39</c:v>
                </c:pt>
                <c:pt idx="42">
                  <c:v>2.3199999999999998</c:v>
                </c:pt>
                <c:pt idx="43">
                  <c:v>1.96</c:v>
                </c:pt>
                <c:pt idx="44">
                  <c:v>1.88</c:v>
                </c:pt>
                <c:pt idx="45">
                  <c:v>2.23</c:v>
                </c:pt>
                <c:pt idx="46">
                  <c:v>2.5099999999999998</c:v>
                </c:pt>
                <c:pt idx="47">
                  <c:v>3.07</c:v>
                </c:pt>
                <c:pt idx="48">
                  <c:v>4.38</c:v>
                </c:pt>
                <c:pt idx="49">
                  <c:v>4.2699999999999996</c:v>
                </c:pt>
                <c:pt idx="50">
                  <c:v>4.26</c:v>
                </c:pt>
                <c:pt idx="51">
                  <c:v>4.09</c:v>
                </c:pt>
                <c:pt idx="52">
                  <c:v>4.3600000000000003</c:v>
                </c:pt>
                <c:pt idx="53">
                  <c:v>4.43</c:v>
                </c:pt>
                <c:pt idx="54">
                  <c:v>4.62</c:v>
                </c:pt>
                <c:pt idx="55">
                  <c:v>4.74</c:v>
                </c:pt>
                <c:pt idx="56">
                  <c:v>4.5599999999999996</c:v>
                </c:pt>
                <c:pt idx="57">
                  <c:v>4.76</c:v>
                </c:pt>
                <c:pt idx="58">
                  <c:v>4.67</c:v>
                </c:pt>
                <c:pt idx="59">
                  <c:v>4.2300000000000004</c:v>
                </c:pt>
                <c:pt idx="60">
                  <c:v>3.83</c:v>
                </c:pt>
                <c:pt idx="61">
                  <c:v>3.96</c:v>
                </c:pt>
                <c:pt idx="62">
                  <c:v>4</c:v>
                </c:pt>
                <c:pt idx="63">
                  <c:v>4.09</c:v>
                </c:pt>
                <c:pt idx="64">
                  <c:v>3.93</c:v>
                </c:pt>
                <c:pt idx="65">
                  <c:v>4.3600000000000003</c:v>
                </c:pt>
                <c:pt idx="66">
                  <c:v>5.22</c:v>
                </c:pt>
                <c:pt idx="67">
                  <c:v>4.72</c:v>
                </c:pt>
                <c:pt idx="68">
                  <c:v>4.3600000000000003</c:v>
                </c:pt>
                <c:pt idx="69">
                  <c:v>4.2</c:v>
                </c:pt>
                <c:pt idx="70">
                  <c:v>4.6900000000000004</c:v>
                </c:pt>
                <c:pt idx="71">
                  <c:v>5.68</c:v>
                </c:pt>
                <c:pt idx="72">
                  <c:v>4.71</c:v>
                </c:pt>
                <c:pt idx="73">
                  <c:v>4.1500000000000004</c:v>
                </c:pt>
                <c:pt idx="74">
                  <c:v>4.1399999999999997</c:v>
                </c:pt>
                <c:pt idx="75">
                  <c:v>3.92</c:v>
                </c:pt>
                <c:pt idx="76">
                  <c:v>4.09</c:v>
                </c:pt>
                <c:pt idx="77">
                  <c:v>3.79</c:v>
                </c:pt>
              </c:numCache>
            </c:numRef>
          </c:val>
          <c:smooth val="0"/>
        </c:ser>
        <c:ser>
          <c:idx val="1"/>
          <c:order val="1"/>
          <c:tx>
            <c:strRef>
              <c:f>'Inflación (2)'!$E$3:$E$4</c:f>
              <c:strCache>
                <c:ptCount val="1"/>
                <c:pt idx="0">
                  <c:v>Inflación subyacente</c:v>
                </c:pt>
              </c:strCache>
            </c:strRef>
          </c:tx>
          <c:spPr>
            <a:ln>
              <a:solidFill>
                <a:schemeClr val="tx1"/>
              </a:solidFill>
            </a:ln>
          </c:spPr>
          <c:marker>
            <c:symbol val="none"/>
          </c:marker>
          <c:dLbls>
            <c:dLbl>
              <c:idx val="65"/>
              <c:layout>
                <c:manualLayout>
                  <c:x val="-6.9774393390647504E-2"/>
                  <c:y val="-1.2368546743802868E-2"/>
                </c:manualLayout>
              </c:layout>
              <c:showLegendKey val="0"/>
              <c:showVal val="1"/>
              <c:showCatName val="0"/>
              <c:showSerName val="0"/>
              <c:showPercent val="0"/>
              <c:showBubbleSize val="0"/>
            </c:dLbl>
            <c:dLbl>
              <c:idx val="71"/>
              <c:layout>
                <c:manualLayout>
                  <c:x val="0"/>
                  <c:y val="1.0767791585295889E-2"/>
                </c:manualLayout>
              </c:layout>
              <c:showLegendKey val="0"/>
              <c:showVal val="1"/>
              <c:showCatName val="0"/>
              <c:showSerName val="0"/>
              <c:showPercent val="0"/>
              <c:showBubbleSize val="0"/>
            </c:dLbl>
            <c:txPr>
              <a:bodyPr/>
              <a:lstStyle/>
              <a:p>
                <a:pPr>
                  <a:defRPr sz="900"/>
                </a:pPr>
                <a:endParaRPr lang="es-GT"/>
              </a:p>
            </c:txPr>
            <c:showLegendKey val="0"/>
            <c:showVal val="0"/>
            <c:showCatName val="0"/>
            <c:showSerName val="0"/>
            <c:showPercent val="0"/>
            <c:showBubbleSize val="0"/>
          </c:dLbls>
          <c:cat>
            <c:strRef>
              <c:f>'Inflación (2)'!$C$5:$C$82</c:f>
              <c:strCache>
                <c:ptCount val="78"/>
                <c:pt idx="0">
                  <c:v>ene-12</c:v>
                </c:pt>
                <c:pt idx="1">
                  <c:v>feb</c:v>
                </c:pt>
                <c:pt idx="2">
                  <c:v>mar</c:v>
                </c:pt>
                <c:pt idx="3">
                  <c:v>abr</c:v>
                </c:pt>
                <c:pt idx="4">
                  <c:v>may</c:v>
                </c:pt>
                <c:pt idx="5">
                  <c:v>jun</c:v>
                </c:pt>
                <c:pt idx="6">
                  <c:v>jul</c:v>
                </c:pt>
                <c:pt idx="7">
                  <c:v>ago</c:v>
                </c:pt>
                <c:pt idx="8">
                  <c:v>sep</c:v>
                </c:pt>
                <c:pt idx="9">
                  <c:v>oct</c:v>
                </c:pt>
                <c:pt idx="10">
                  <c:v>nov</c:v>
                </c:pt>
                <c:pt idx="11">
                  <c:v>dic</c:v>
                </c:pt>
                <c:pt idx="12">
                  <c:v>ene-13</c:v>
                </c:pt>
                <c:pt idx="13">
                  <c:v>feb</c:v>
                </c:pt>
                <c:pt idx="14">
                  <c:v>mar</c:v>
                </c:pt>
                <c:pt idx="15">
                  <c:v>abr</c:v>
                </c:pt>
                <c:pt idx="16">
                  <c:v>may</c:v>
                </c:pt>
                <c:pt idx="17">
                  <c:v>jun</c:v>
                </c:pt>
                <c:pt idx="18">
                  <c:v>jul</c:v>
                </c:pt>
                <c:pt idx="19">
                  <c:v>ago</c:v>
                </c:pt>
                <c:pt idx="20">
                  <c:v>sep</c:v>
                </c:pt>
                <c:pt idx="21">
                  <c:v>oct</c:v>
                </c:pt>
                <c:pt idx="22">
                  <c:v>nov</c:v>
                </c:pt>
                <c:pt idx="23">
                  <c:v>dic</c:v>
                </c:pt>
                <c:pt idx="24">
                  <c:v>ene-14</c:v>
                </c:pt>
                <c:pt idx="25">
                  <c:v>feb</c:v>
                </c:pt>
                <c:pt idx="26">
                  <c:v>mar</c:v>
                </c:pt>
                <c:pt idx="27">
                  <c:v>abr</c:v>
                </c:pt>
                <c:pt idx="28">
                  <c:v>may</c:v>
                </c:pt>
                <c:pt idx="29">
                  <c:v>jun</c:v>
                </c:pt>
                <c:pt idx="30">
                  <c:v>jul</c:v>
                </c:pt>
                <c:pt idx="31">
                  <c:v>ago</c:v>
                </c:pt>
                <c:pt idx="32">
                  <c:v>sep</c:v>
                </c:pt>
                <c:pt idx="33">
                  <c:v>oct</c:v>
                </c:pt>
                <c:pt idx="34">
                  <c:v>nov</c:v>
                </c:pt>
                <c:pt idx="35">
                  <c:v>dic</c:v>
                </c:pt>
                <c:pt idx="36">
                  <c:v>ene-15</c:v>
                </c:pt>
                <c:pt idx="37">
                  <c:v>feb</c:v>
                </c:pt>
                <c:pt idx="38">
                  <c:v>mar</c:v>
                </c:pt>
                <c:pt idx="39">
                  <c:v>abr</c:v>
                </c:pt>
                <c:pt idx="40">
                  <c:v>may</c:v>
                </c:pt>
                <c:pt idx="41">
                  <c:v>jun</c:v>
                </c:pt>
                <c:pt idx="42">
                  <c:v>jul</c:v>
                </c:pt>
                <c:pt idx="43">
                  <c:v>ago</c:v>
                </c:pt>
                <c:pt idx="44">
                  <c:v>sep</c:v>
                </c:pt>
                <c:pt idx="45">
                  <c:v>oct</c:v>
                </c:pt>
                <c:pt idx="46">
                  <c:v>nov</c:v>
                </c:pt>
                <c:pt idx="47">
                  <c:v>dic</c:v>
                </c:pt>
                <c:pt idx="48">
                  <c:v>ene-16</c:v>
                </c:pt>
                <c:pt idx="49">
                  <c:v>feb</c:v>
                </c:pt>
                <c:pt idx="50">
                  <c:v>mar</c:v>
                </c:pt>
                <c:pt idx="51">
                  <c:v>abr</c:v>
                </c:pt>
                <c:pt idx="52">
                  <c:v>may</c:v>
                </c:pt>
                <c:pt idx="53">
                  <c:v>jun</c:v>
                </c:pt>
                <c:pt idx="54">
                  <c:v>jul</c:v>
                </c:pt>
                <c:pt idx="55">
                  <c:v>ago</c:v>
                </c:pt>
                <c:pt idx="56">
                  <c:v>sep</c:v>
                </c:pt>
                <c:pt idx="57">
                  <c:v>oct</c:v>
                </c:pt>
                <c:pt idx="58">
                  <c:v>nov</c:v>
                </c:pt>
                <c:pt idx="59">
                  <c:v>dic</c:v>
                </c:pt>
                <c:pt idx="60">
                  <c:v>ene-17</c:v>
                </c:pt>
                <c:pt idx="61">
                  <c:v>feb</c:v>
                </c:pt>
                <c:pt idx="62">
                  <c:v>mar</c:v>
                </c:pt>
                <c:pt idx="63">
                  <c:v>abr</c:v>
                </c:pt>
                <c:pt idx="64">
                  <c:v>may</c:v>
                </c:pt>
                <c:pt idx="65">
                  <c:v>jun</c:v>
                </c:pt>
                <c:pt idx="66">
                  <c:v>jul</c:v>
                </c:pt>
                <c:pt idx="67">
                  <c:v>ago</c:v>
                </c:pt>
                <c:pt idx="68">
                  <c:v>sep</c:v>
                </c:pt>
                <c:pt idx="69">
                  <c:v>oct</c:v>
                </c:pt>
                <c:pt idx="70">
                  <c:v>nov</c:v>
                </c:pt>
                <c:pt idx="71">
                  <c:v>dic</c:v>
                </c:pt>
                <c:pt idx="72">
                  <c:v>ene-18</c:v>
                </c:pt>
                <c:pt idx="73">
                  <c:v>feb</c:v>
                </c:pt>
                <c:pt idx="74">
                  <c:v>mar</c:v>
                </c:pt>
                <c:pt idx="75">
                  <c:v>abr</c:v>
                </c:pt>
                <c:pt idx="76">
                  <c:v>may</c:v>
                </c:pt>
                <c:pt idx="77">
                  <c:v>jun</c:v>
                </c:pt>
              </c:strCache>
            </c:strRef>
          </c:cat>
          <c:val>
            <c:numRef>
              <c:f>'Inflación (2)'!$E$5:$E$82</c:f>
              <c:numCache>
                <c:formatCode>0.00</c:formatCode>
                <c:ptCount val="78"/>
                <c:pt idx="0">
                  <c:v>4.4400000000000004</c:v>
                </c:pt>
                <c:pt idx="1">
                  <c:v>4.22</c:v>
                </c:pt>
                <c:pt idx="2">
                  <c:v>4.08</c:v>
                </c:pt>
                <c:pt idx="3">
                  <c:v>4.08</c:v>
                </c:pt>
                <c:pt idx="4">
                  <c:v>3.96</c:v>
                </c:pt>
                <c:pt idx="5">
                  <c:v>3.74</c:v>
                </c:pt>
                <c:pt idx="6">
                  <c:v>3.35</c:v>
                </c:pt>
                <c:pt idx="7">
                  <c:v>3.25</c:v>
                </c:pt>
                <c:pt idx="8">
                  <c:v>3.56</c:v>
                </c:pt>
                <c:pt idx="9">
                  <c:v>3.72</c:v>
                </c:pt>
                <c:pt idx="10">
                  <c:v>3.73</c:v>
                </c:pt>
                <c:pt idx="11">
                  <c:v>3.68</c:v>
                </c:pt>
                <c:pt idx="12">
                  <c:v>3.88</c:v>
                </c:pt>
                <c:pt idx="13">
                  <c:v>4.03</c:v>
                </c:pt>
                <c:pt idx="14">
                  <c:v>4.0199999999999996</c:v>
                </c:pt>
                <c:pt idx="15">
                  <c:v>3.82</c:v>
                </c:pt>
                <c:pt idx="16">
                  <c:v>3.83</c:v>
                </c:pt>
                <c:pt idx="17">
                  <c:v>3.88</c:v>
                </c:pt>
                <c:pt idx="18">
                  <c:v>3.72</c:v>
                </c:pt>
                <c:pt idx="19">
                  <c:v>3.43</c:v>
                </c:pt>
                <c:pt idx="20">
                  <c:v>3.19</c:v>
                </c:pt>
                <c:pt idx="21">
                  <c:v>3.08</c:v>
                </c:pt>
                <c:pt idx="22">
                  <c:v>3.38</c:v>
                </c:pt>
                <c:pt idx="23">
                  <c:v>3.27</c:v>
                </c:pt>
                <c:pt idx="24">
                  <c:v>3.12</c:v>
                </c:pt>
                <c:pt idx="25">
                  <c:v>2.83</c:v>
                </c:pt>
                <c:pt idx="26">
                  <c:v>2.69</c:v>
                </c:pt>
                <c:pt idx="27">
                  <c:v>2.65</c:v>
                </c:pt>
                <c:pt idx="28">
                  <c:v>2.56</c:v>
                </c:pt>
                <c:pt idx="29">
                  <c:v>2.52</c:v>
                </c:pt>
                <c:pt idx="30">
                  <c:v>2.72</c:v>
                </c:pt>
                <c:pt idx="31">
                  <c:v>3.02</c:v>
                </c:pt>
                <c:pt idx="32">
                  <c:v>3.02</c:v>
                </c:pt>
                <c:pt idx="33">
                  <c:v>3.14</c:v>
                </c:pt>
                <c:pt idx="34">
                  <c:v>2.99</c:v>
                </c:pt>
                <c:pt idx="35">
                  <c:v>3.06</c:v>
                </c:pt>
                <c:pt idx="36">
                  <c:v>3.04</c:v>
                </c:pt>
                <c:pt idx="37">
                  <c:v>3.11</c:v>
                </c:pt>
                <c:pt idx="38">
                  <c:v>3.06</c:v>
                </c:pt>
                <c:pt idx="39">
                  <c:v>3.18</c:v>
                </c:pt>
                <c:pt idx="40">
                  <c:v>3.26</c:v>
                </c:pt>
                <c:pt idx="41">
                  <c:v>3.24</c:v>
                </c:pt>
                <c:pt idx="42">
                  <c:v>3.28</c:v>
                </c:pt>
                <c:pt idx="43">
                  <c:v>3.13</c:v>
                </c:pt>
                <c:pt idx="44">
                  <c:v>3.1</c:v>
                </c:pt>
                <c:pt idx="45">
                  <c:v>3.23</c:v>
                </c:pt>
                <c:pt idx="46">
                  <c:v>3.2</c:v>
                </c:pt>
                <c:pt idx="47">
                  <c:v>3.38</c:v>
                </c:pt>
                <c:pt idx="48">
                  <c:v>3.74</c:v>
                </c:pt>
                <c:pt idx="49">
                  <c:v>3.71</c:v>
                </c:pt>
                <c:pt idx="50">
                  <c:v>3.69</c:v>
                </c:pt>
                <c:pt idx="51">
                  <c:v>3.46</c:v>
                </c:pt>
                <c:pt idx="52">
                  <c:v>3.52</c:v>
                </c:pt>
                <c:pt idx="53">
                  <c:v>3.41</c:v>
                </c:pt>
                <c:pt idx="54">
                  <c:v>3.49</c:v>
                </c:pt>
                <c:pt idx="55">
                  <c:v>3.43</c:v>
                </c:pt>
                <c:pt idx="56">
                  <c:v>3.18</c:v>
                </c:pt>
                <c:pt idx="57">
                  <c:v>3.27</c:v>
                </c:pt>
                <c:pt idx="58">
                  <c:v>3.29</c:v>
                </c:pt>
                <c:pt idx="59">
                  <c:v>2.96</c:v>
                </c:pt>
                <c:pt idx="60">
                  <c:v>2.65</c:v>
                </c:pt>
                <c:pt idx="61">
                  <c:v>2.68</c:v>
                </c:pt>
                <c:pt idx="62">
                  <c:v>2.77</c:v>
                </c:pt>
                <c:pt idx="63">
                  <c:v>2.88</c:v>
                </c:pt>
                <c:pt idx="64">
                  <c:v>2.82</c:v>
                </c:pt>
                <c:pt idx="65">
                  <c:v>3.14</c:v>
                </c:pt>
                <c:pt idx="66">
                  <c:v>3.52</c:v>
                </c:pt>
                <c:pt idx="67">
                  <c:v>3.16</c:v>
                </c:pt>
                <c:pt idx="68">
                  <c:v>2.93</c:v>
                </c:pt>
                <c:pt idx="69">
                  <c:v>2.85</c:v>
                </c:pt>
                <c:pt idx="70">
                  <c:v>3.03</c:v>
                </c:pt>
                <c:pt idx="71">
                  <c:v>3.54</c:v>
                </c:pt>
                <c:pt idx="72">
                  <c:v>3.01</c:v>
                </c:pt>
                <c:pt idx="73">
                  <c:v>2.66</c:v>
                </c:pt>
                <c:pt idx="74">
                  <c:v>2.67</c:v>
                </c:pt>
                <c:pt idx="75">
                  <c:v>2.4900000000000002</c:v>
                </c:pt>
                <c:pt idx="76">
                  <c:v>2.46</c:v>
                </c:pt>
                <c:pt idx="77">
                  <c:v>2.3199999999999998</c:v>
                </c:pt>
              </c:numCache>
            </c:numRef>
          </c:val>
          <c:smooth val="0"/>
        </c:ser>
        <c:dLbls>
          <c:showLegendKey val="0"/>
          <c:showVal val="0"/>
          <c:showCatName val="0"/>
          <c:showSerName val="0"/>
          <c:showPercent val="0"/>
          <c:showBubbleSize val="0"/>
        </c:dLbls>
        <c:marker val="1"/>
        <c:smooth val="0"/>
        <c:axId val="65722240"/>
        <c:axId val="65723776"/>
      </c:lineChart>
      <c:catAx>
        <c:axId val="65722240"/>
        <c:scaling>
          <c:orientation val="minMax"/>
        </c:scaling>
        <c:delete val="0"/>
        <c:axPos val="b"/>
        <c:majorTickMark val="out"/>
        <c:minorTickMark val="none"/>
        <c:tickLblPos val="nextTo"/>
        <c:txPr>
          <a:bodyPr rot="-5400000" vert="horz"/>
          <a:lstStyle/>
          <a:p>
            <a:pPr>
              <a:defRPr lang="es-GT" sz="900" b="1"/>
            </a:pPr>
            <a:endParaRPr lang="es-GT"/>
          </a:p>
        </c:txPr>
        <c:crossAx val="65723776"/>
        <c:crosses val="autoZero"/>
        <c:auto val="1"/>
        <c:lblAlgn val="ctr"/>
        <c:lblOffset val="100"/>
        <c:noMultiLvlLbl val="0"/>
      </c:catAx>
      <c:valAx>
        <c:axId val="65723776"/>
        <c:scaling>
          <c:orientation val="minMax"/>
        </c:scaling>
        <c:delete val="0"/>
        <c:axPos val="l"/>
        <c:majorGridlines>
          <c:spPr>
            <a:ln>
              <a:noFill/>
            </a:ln>
          </c:spPr>
        </c:majorGridlines>
        <c:title>
          <c:tx>
            <c:rich>
              <a:bodyPr rot="0" vert="horz"/>
              <a:lstStyle/>
              <a:p>
                <a:pPr>
                  <a:defRPr lang="es-GT" sz="800"/>
                </a:pPr>
                <a:r>
                  <a:rPr lang="es-GT" sz="800"/>
                  <a:t>Porcentajes</a:t>
                </a:r>
              </a:p>
            </c:rich>
          </c:tx>
          <c:layout>
            <c:manualLayout>
              <c:xMode val="edge"/>
              <c:yMode val="edge"/>
              <c:x val="2.8196239111974244E-2"/>
              <c:y val="6.2664736414674627E-2"/>
            </c:manualLayout>
          </c:layout>
          <c:overlay val="0"/>
        </c:title>
        <c:numFmt formatCode="#,##0.0" sourceLinked="0"/>
        <c:majorTickMark val="out"/>
        <c:minorTickMark val="none"/>
        <c:tickLblPos val="nextTo"/>
        <c:txPr>
          <a:bodyPr/>
          <a:lstStyle/>
          <a:p>
            <a:pPr>
              <a:defRPr lang="es-GT" sz="1050" b="1"/>
            </a:pPr>
            <a:endParaRPr lang="es-GT"/>
          </a:p>
        </c:txPr>
        <c:crossAx val="65722240"/>
        <c:crosses val="autoZero"/>
        <c:crossBetween val="between"/>
      </c:valAx>
    </c:plotArea>
    <c:legend>
      <c:legendPos val="b"/>
      <c:layout>
        <c:manualLayout>
          <c:xMode val="edge"/>
          <c:yMode val="edge"/>
          <c:x val="0.16738579791253416"/>
          <c:y val="0.90973554818894597"/>
          <c:w val="0.69377822150194279"/>
          <c:h val="4.1964551450961202E-2"/>
        </c:manualLayout>
      </c:layout>
      <c:overlay val="0"/>
      <c:txPr>
        <a:bodyPr/>
        <a:lstStyle/>
        <a:p>
          <a:pPr>
            <a:defRPr lang="es-GT"/>
          </a:pPr>
          <a:endParaRPr lang="es-GT"/>
        </a:p>
      </c:txPr>
    </c:legend>
    <c:plotVisOnly val="1"/>
    <c:dispBlanksAs val="gap"/>
    <c:showDLblsOverMax val="0"/>
  </c:chart>
  <c:spPr>
    <a:ln w="19050">
      <a:solidFill>
        <a:schemeClr val="bg1"/>
      </a:solidFill>
    </a:ln>
    <a:effectLst/>
  </c:spPr>
  <c:txPr>
    <a:bodyPr/>
    <a:lstStyle/>
    <a:p>
      <a:pPr>
        <a:defRPr>
          <a:latin typeface="Times New Roman" pitchFamily="18" charset="0"/>
          <a:cs typeface="Times New Roman" pitchFamily="18" charset="0"/>
        </a:defRPr>
      </a:pPr>
      <a:endParaRPr lang="es-GT"/>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1"/>
          <c:order val="0"/>
          <c:spPr>
            <a:solidFill>
              <a:schemeClr val="accent1"/>
            </a:solidFill>
          </c:spPr>
          <c:invertIfNegative val="0"/>
          <c:dPt>
            <c:idx val="10"/>
            <c:invertIfNegative val="0"/>
            <c:bubble3D val="0"/>
            <c:spPr>
              <a:solidFill>
                <a:schemeClr val="tx2"/>
              </a:solidFill>
            </c:spPr>
          </c:dPt>
          <c:dLbls>
            <c:txPr>
              <a:bodyPr/>
              <a:lstStyle/>
              <a:p>
                <a:pPr>
                  <a:defRPr sz="500" b="1"/>
                </a:pPr>
                <a:endParaRPr lang="es-GT"/>
              </a:p>
            </c:txPr>
            <c:showLegendKey val="0"/>
            <c:showVal val="1"/>
            <c:showCatName val="0"/>
            <c:showSerName val="0"/>
            <c:showPercent val="0"/>
            <c:showBubbleSize val="0"/>
            <c:showLeaderLines val="0"/>
          </c:dLbls>
          <c:cat>
            <c:strRef>
              <c:f>Remesas!$C$17:$C$27</c:f>
              <c:strCache>
                <c:ptCount val="11"/>
                <c:pt idx="0">
                  <c:v>2008</c:v>
                </c:pt>
                <c:pt idx="1">
                  <c:v>2009</c:v>
                </c:pt>
                <c:pt idx="2">
                  <c:v>2010</c:v>
                </c:pt>
                <c:pt idx="3">
                  <c:v>2011</c:v>
                </c:pt>
                <c:pt idx="4">
                  <c:v>2012</c:v>
                </c:pt>
                <c:pt idx="5">
                  <c:v>2013</c:v>
                </c:pt>
                <c:pt idx="6">
                  <c:v>2014</c:v>
                </c:pt>
                <c:pt idx="7">
                  <c:v>2015</c:v>
                </c:pt>
                <c:pt idx="8">
                  <c:v>2016</c:v>
                </c:pt>
                <c:pt idx="9">
                  <c:v>2017</c:v>
                </c:pt>
                <c:pt idx="10">
                  <c:v>2018*</c:v>
                </c:pt>
              </c:strCache>
            </c:strRef>
          </c:cat>
          <c:val>
            <c:numRef>
              <c:f>Remesas!$D$17:$D$27</c:f>
              <c:numCache>
                <c:formatCode>_(* #,##0.00_);_(* \(#,##0.00\);_(* "-"??_);_(@_)</c:formatCode>
                <c:ptCount val="11"/>
                <c:pt idx="0">
                  <c:v>4134.7</c:v>
                </c:pt>
                <c:pt idx="1">
                  <c:v>3912.3</c:v>
                </c:pt>
                <c:pt idx="2">
                  <c:v>4126.8</c:v>
                </c:pt>
                <c:pt idx="3">
                  <c:v>4378</c:v>
                </c:pt>
                <c:pt idx="4">
                  <c:v>4782.7</c:v>
                </c:pt>
                <c:pt idx="5">
                  <c:v>5105.2</c:v>
                </c:pt>
                <c:pt idx="6">
                  <c:v>5544.1</c:v>
                </c:pt>
                <c:pt idx="7">
                  <c:v>6285</c:v>
                </c:pt>
                <c:pt idx="8">
                  <c:v>7160</c:v>
                </c:pt>
                <c:pt idx="9">
                  <c:v>8192.2000000000007</c:v>
                </c:pt>
                <c:pt idx="10">
                  <c:v>4399.08</c:v>
                </c:pt>
              </c:numCache>
            </c:numRef>
          </c:val>
        </c:ser>
        <c:dLbls>
          <c:showLegendKey val="0"/>
          <c:showVal val="0"/>
          <c:showCatName val="0"/>
          <c:showSerName val="0"/>
          <c:showPercent val="0"/>
          <c:showBubbleSize val="0"/>
        </c:dLbls>
        <c:gapWidth val="37"/>
        <c:axId val="67576192"/>
        <c:axId val="67577728"/>
      </c:barChart>
      <c:catAx>
        <c:axId val="67576192"/>
        <c:scaling>
          <c:orientation val="minMax"/>
        </c:scaling>
        <c:delete val="0"/>
        <c:axPos val="b"/>
        <c:numFmt formatCode="General" sourceLinked="1"/>
        <c:majorTickMark val="out"/>
        <c:minorTickMark val="none"/>
        <c:tickLblPos val="nextTo"/>
        <c:txPr>
          <a:bodyPr/>
          <a:lstStyle/>
          <a:p>
            <a:pPr>
              <a:defRPr sz="800"/>
            </a:pPr>
            <a:endParaRPr lang="es-GT"/>
          </a:p>
        </c:txPr>
        <c:crossAx val="67577728"/>
        <c:crosses val="autoZero"/>
        <c:auto val="1"/>
        <c:lblAlgn val="ctr"/>
        <c:lblOffset val="100"/>
        <c:noMultiLvlLbl val="0"/>
      </c:catAx>
      <c:valAx>
        <c:axId val="67577728"/>
        <c:scaling>
          <c:orientation val="minMax"/>
        </c:scaling>
        <c:delete val="0"/>
        <c:axPos val="l"/>
        <c:numFmt formatCode="_(* #,##0.00_);_(* \(#,##0.00\);_(* &quot;-&quot;??_);_(@_)" sourceLinked="1"/>
        <c:majorTickMark val="out"/>
        <c:minorTickMark val="none"/>
        <c:tickLblPos val="nextTo"/>
        <c:txPr>
          <a:bodyPr/>
          <a:lstStyle/>
          <a:p>
            <a:pPr>
              <a:defRPr sz="800"/>
            </a:pPr>
            <a:endParaRPr lang="es-GT"/>
          </a:p>
        </c:txPr>
        <c:crossAx val="67576192"/>
        <c:crosses val="autoZero"/>
        <c:crossBetween val="between"/>
      </c:valAx>
    </c:plotArea>
    <c:plotVisOnly val="1"/>
    <c:dispBlanksAs val="gap"/>
    <c:showDLblsOverMax val="0"/>
  </c:chart>
  <c:spPr>
    <a:ln>
      <a:noFill/>
    </a:ln>
  </c:spPr>
  <c:txPr>
    <a:bodyPr/>
    <a:lstStyle/>
    <a:p>
      <a:pPr>
        <a:defRPr sz="800" b="1">
          <a:solidFill>
            <a:sysClr val="windowText" lastClr="000000"/>
          </a:solidFill>
          <a:latin typeface="Times New Roman" pitchFamily="18" charset="0"/>
          <a:cs typeface="Times New Roman" pitchFamily="18" charset="0"/>
        </a:defRPr>
      </a:pPr>
      <a:endParaRPr lang="es-GT"/>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a:pPr>
            <a:r>
              <a:rPr lang="en-US" sz="900"/>
              <a:t>2017</a:t>
            </a:r>
          </a:p>
        </c:rich>
      </c:tx>
      <c:overlay val="0"/>
    </c:title>
    <c:autoTitleDeleted val="0"/>
    <c:view3D>
      <c:rotX val="30"/>
      <c:rotY val="267"/>
      <c:rAngAx val="0"/>
      <c:perspective val="30"/>
    </c:view3D>
    <c:floor>
      <c:thickness val="0"/>
    </c:floor>
    <c:sideWall>
      <c:thickness val="0"/>
    </c:sideWall>
    <c:backWall>
      <c:thickness val="0"/>
    </c:backWall>
    <c:plotArea>
      <c:layout>
        <c:manualLayout>
          <c:layoutTarget val="inner"/>
          <c:xMode val="edge"/>
          <c:yMode val="edge"/>
          <c:x val="0"/>
          <c:y val="0.15527340332458442"/>
          <c:w val="1"/>
          <c:h val="0.81433763487897348"/>
        </c:manualLayout>
      </c:layout>
      <c:pie3DChart>
        <c:varyColors val="1"/>
        <c:ser>
          <c:idx val="0"/>
          <c:order val="0"/>
          <c:explosion val="9"/>
          <c:dLbls>
            <c:dLbl>
              <c:idx val="0"/>
              <c:layout>
                <c:manualLayout>
                  <c:x val="0.23278324023126065"/>
                  <c:y val="0.11218628743444921"/>
                </c:manualLayout>
              </c:layout>
              <c:tx>
                <c:rich>
                  <a:bodyPr/>
                  <a:lstStyle/>
                  <a:p>
                    <a:pPr>
                      <a:defRPr b="1"/>
                    </a:pPr>
                    <a:r>
                      <a:rPr lang="en-US"/>
                      <a:t>Comercio Exterior 7,321.8,</a:t>
                    </a:r>
                  </a:p>
                  <a:p>
                    <a:pPr>
                      <a:defRPr b="1"/>
                    </a:pPr>
                    <a:r>
                      <a:rPr lang="en-US"/>
                      <a:t>26.1%</a:t>
                    </a:r>
                  </a:p>
                </c:rich>
              </c:tx>
              <c:numFmt formatCode="0.0%" sourceLinked="0"/>
              <c:spPr/>
              <c:showLegendKey val="0"/>
              <c:showVal val="1"/>
              <c:showCatName val="1"/>
              <c:showSerName val="0"/>
              <c:showPercent val="1"/>
              <c:showBubbleSize val="0"/>
            </c:dLbl>
            <c:dLbl>
              <c:idx val="1"/>
              <c:layout>
                <c:manualLayout>
                  <c:x val="-0.26076227394688822"/>
                  <c:y val="-0.28138293338253167"/>
                </c:manualLayout>
              </c:layout>
              <c:tx>
                <c:rich>
                  <a:bodyPr/>
                  <a:lstStyle/>
                  <a:p>
                    <a:pPr>
                      <a:defRPr b="1"/>
                    </a:pPr>
                    <a:r>
                      <a:rPr lang="en-US"/>
                      <a:t>Internos
20,777.8,
73.9%</a:t>
                    </a:r>
                  </a:p>
                </c:rich>
              </c:tx>
              <c:numFmt formatCode="0.0%" sourceLinked="0"/>
              <c:spPr/>
              <c:showLegendKey val="0"/>
              <c:showVal val="1"/>
              <c:showCatName val="1"/>
              <c:showSerName val="0"/>
              <c:showPercent val="1"/>
              <c:showBubbleSize val="0"/>
              <c:separator>
</c:separator>
            </c:dLbl>
            <c:numFmt formatCode="0.0%" sourceLinked="0"/>
            <c:showLegendKey val="0"/>
            <c:showVal val="1"/>
            <c:showCatName val="1"/>
            <c:showSerName val="0"/>
            <c:showPercent val="1"/>
            <c:showBubbleSize val="0"/>
            <c:showLeaderLines val="1"/>
          </c:dLbls>
          <c:cat>
            <c:strRef>
              <c:f>Hoja1!$S$38:$S$39</c:f>
              <c:strCache>
                <c:ptCount val="2"/>
                <c:pt idx="0">
                  <c:v>Comercio Exterior</c:v>
                </c:pt>
                <c:pt idx="1">
                  <c:v>Internos</c:v>
                </c:pt>
              </c:strCache>
            </c:strRef>
          </c:cat>
          <c:val>
            <c:numRef>
              <c:f>Hoja1!$T$38:$T$39</c:f>
              <c:numCache>
                <c:formatCode>#,##0.0</c:formatCode>
                <c:ptCount val="2"/>
                <c:pt idx="0">
                  <c:v>7321.7849582000008</c:v>
                </c:pt>
                <c:pt idx="1">
                  <c:v>20777.811030460001</c:v>
                </c:pt>
              </c:numCache>
            </c:numRef>
          </c:val>
        </c:ser>
        <c:dLbls>
          <c:showLegendKey val="0"/>
          <c:showVal val="0"/>
          <c:showCatName val="1"/>
          <c:showSerName val="0"/>
          <c:showPercent val="1"/>
          <c:showBubbleSize val="0"/>
          <c:showLeaderLines val="1"/>
        </c:dLbls>
      </c:pie3DChart>
    </c:plotArea>
    <c:plotVisOnly val="1"/>
    <c:dispBlanksAs val="gap"/>
    <c:showDLblsOverMax val="0"/>
  </c:chart>
  <c:spPr>
    <a:noFill/>
    <a:ln>
      <a:noFill/>
    </a:ln>
  </c:spPr>
  <c:txPr>
    <a:bodyPr/>
    <a:lstStyle/>
    <a:p>
      <a:pPr>
        <a:defRPr sz="600">
          <a:latin typeface="Times New Roman" panose="02020603050405020304" pitchFamily="18" charset="0"/>
          <a:cs typeface="Times New Roman" panose="02020603050405020304" pitchFamily="18" charset="0"/>
        </a:defRPr>
      </a:pPr>
      <a:endParaRPr lang="es-GT"/>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a:pPr>
            <a:r>
              <a:rPr lang="en-US" sz="900"/>
              <a:t>2018*</a:t>
            </a:r>
          </a:p>
        </c:rich>
      </c:tx>
      <c:overlay val="0"/>
    </c:title>
    <c:autoTitleDeleted val="0"/>
    <c:view3D>
      <c:rotX val="30"/>
      <c:rotY val="267"/>
      <c:rAngAx val="0"/>
      <c:perspective val="30"/>
    </c:view3D>
    <c:floor>
      <c:thickness val="0"/>
    </c:floor>
    <c:sideWall>
      <c:thickness val="0"/>
    </c:sideWall>
    <c:backWall>
      <c:thickness val="0"/>
    </c:backWall>
    <c:plotArea>
      <c:layout>
        <c:manualLayout>
          <c:layoutTarget val="inner"/>
          <c:xMode val="edge"/>
          <c:yMode val="edge"/>
          <c:x val="0"/>
          <c:y val="0.17842155147273256"/>
          <c:w val="1"/>
          <c:h val="0.79581911636045499"/>
        </c:manualLayout>
      </c:layout>
      <c:pie3DChart>
        <c:varyColors val="1"/>
        <c:ser>
          <c:idx val="0"/>
          <c:order val="0"/>
          <c:explosion val="9"/>
          <c:dLbls>
            <c:dLbl>
              <c:idx val="0"/>
              <c:layout>
                <c:manualLayout>
                  <c:x val="0.20366491482220872"/>
                  <c:y val="0.12880066137550691"/>
                </c:manualLayout>
              </c:layout>
              <c:tx>
                <c:rich>
                  <a:bodyPr/>
                  <a:lstStyle/>
                  <a:p>
                    <a:pPr>
                      <a:defRPr b="1"/>
                    </a:pPr>
                    <a:r>
                      <a:rPr lang="en-US"/>
                      <a:t>Comercio Exterior
7,986.4,
27.6%</a:t>
                    </a:r>
                  </a:p>
                </c:rich>
              </c:tx>
              <c:numFmt formatCode="0.0%" sourceLinked="0"/>
              <c:spPr/>
              <c:showLegendKey val="0"/>
              <c:showVal val="1"/>
              <c:showCatName val="1"/>
              <c:showSerName val="0"/>
              <c:showPercent val="1"/>
              <c:showBubbleSize val="0"/>
              <c:separator>
</c:separator>
            </c:dLbl>
            <c:dLbl>
              <c:idx val="1"/>
              <c:layout>
                <c:manualLayout>
                  <c:x val="-0.26590076174328647"/>
                  <c:y val="-0.30478504712183718"/>
                </c:manualLayout>
              </c:layout>
              <c:tx>
                <c:rich>
                  <a:bodyPr/>
                  <a:lstStyle/>
                  <a:p>
                    <a:pPr>
                      <a:defRPr b="1"/>
                    </a:pPr>
                    <a:r>
                      <a:rPr lang="en-US"/>
                      <a:t>Internos
20,923.0,
72.4%</a:t>
                    </a:r>
                  </a:p>
                </c:rich>
              </c:tx>
              <c:numFmt formatCode="0.0%" sourceLinked="0"/>
              <c:spPr/>
              <c:showLegendKey val="0"/>
              <c:showVal val="1"/>
              <c:showCatName val="1"/>
              <c:showSerName val="0"/>
              <c:showPercent val="1"/>
              <c:showBubbleSize val="0"/>
            </c:dLbl>
            <c:txPr>
              <a:bodyPr/>
              <a:lstStyle/>
              <a:p>
                <a:pPr>
                  <a:defRPr b="1"/>
                </a:pPr>
                <a:endParaRPr lang="es-GT"/>
              </a:p>
            </c:txPr>
            <c:showLegendKey val="0"/>
            <c:showVal val="1"/>
            <c:showCatName val="1"/>
            <c:showSerName val="0"/>
            <c:showPercent val="1"/>
            <c:showBubbleSize val="0"/>
            <c:separator>
</c:separator>
            <c:showLeaderLines val="1"/>
          </c:dLbls>
          <c:cat>
            <c:strRef>
              <c:f>Hoja1!$S$38:$S$39</c:f>
              <c:strCache>
                <c:ptCount val="2"/>
                <c:pt idx="0">
                  <c:v>Comercio Exterior</c:v>
                </c:pt>
                <c:pt idx="1">
                  <c:v>Internos</c:v>
                </c:pt>
              </c:strCache>
            </c:strRef>
          </c:cat>
          <c:val>
            <c:numRef>
              <c:f>Hoja1!$U$38:$U$39</c:f>
              <c:numCache>
                <c:formatCode>#,##0.0</c:formatCode>
                <c:ptCount val="2"/>
                <c:pt idx="0">
                  <c:v>7986.4437375199996</c:v>
                </c:pt>
                <c:pt idx="1">
                  <c:v>20922.974663830002</c:v>
                </c:pt>
              </c:numCache>
            </c:numRef>
          </c:val>
        </c:ser>
        <c:dLbls>
          <c:showLegendKey val="0"/>
          <c:showVal val="0"/>
          <c:showCatName val="1"/>
          <c:showSerName val="0"/>
          <c:showPercent val="1"/>
          <c:showBubbleSize val="0"/>
          <c:showLeaderLines val="1"/>
        </c:dLbls>
      </c:pie3DChart>
    </c:plotArea>
    <c:plotVisOnly val="1"/>
    <c:dispBlanksAs val="gap"/>
    <c:showDLblsOverMax val="0"/>
  </c:chart>
  <c:spPr>
    <a:noFill/>
    <a:ln>
      <a:noFill/>
    </a:ln>
  </c:spPr>
  <c:txPr>
    <a:bodyPr/>
    <a:lstStyle/>
    <a:p>
      <a:pPr>
        <a:defRPr sz="600">
          <a:latin typeface="Times New Roman" panose="02020603050405020304" pitchFamily="18" charset="0"/>
          <a:cs typeface="Times New Roman" panose="02020603050405020304" pitchFamily="18" charset="0"/>
        </a:defRPr>
      </a:pPr>
      <a:endParaRPr lang="es-GT"/>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a:pPr>
            <a:r>
              <a:rPr lang="en-US" sz="900"/>
              <a:t>2017</a:t>
            </a:r>
          </a:p>
        </c:rich>
      </c:tx>
      <c:overlay val="0"/>
    </c:title>
    <c:autoTitleDeleted val="0"/>
    <c:view3D>
      <c:rotX val="30"/>
      <c:rotY val="217"/>
      <c:rAngAx val="0"/>
      <c:perspective val="30"/>
    </c:view3D>
    <c:floor>
      <c:thickness val="0"/>
    </c:floor>
    <c:sideWall>
      <c:thickness val="0"/>
    </c:sideWall>
    <c:backWall>
      <c:thickness val="0"/>
    </c:backWall>
    <c:plotArea>
      <c:layout>
        <c:manualLayout>
          <c:layoutTarget val="inner"/>
          <c:xMode val="edge"/>
          <c:yMode val="edge"/>
          <c:x val="0"/>
          <c:y val="0.24786599591717701"/>
          <c:w val="1"/>
          <c:h val="0.75213400408282294"/>
        </c:manualLayout>
      </c:layout>
      <c:pie3DChart>
        <c:varyColors val="1"/>
        <c:ser>
          <c:idx val="0"/>
          <c:order val="0"/>
          <c:explosion val="25"/>
          <c:dLbls>
            <c:dLbl>
              <c:idx val="0"/>
              <c:layout>
                <c:manualLayout>
                  <c:x val="0.14742568848733212"/>
                  <c:y val="4.7430921153736386E-2"/>
                </c:manualLayout>
              </c:layout>
              <c:tx>
                <c:rich>
                  <a:bodyPr/>
                  <a:lstStyle/>
                  <a:p>
                    <a:r>
                      <a:rPr lang="en-US"/>
                      <a:t>Directos</a:t>
                    </a:r>
                  </a:p>
                  <a:p>
                    <a:r>
                      <a:rPr lang="en-US"/>
                      <a:t>10,586.6, 36.6%</a:t>
                    </a:r>
                  </a:p>
                </c:rich>
              </c:tx>
              <c:showLegendKey val="0"/>
              <c:showVal val="1"/>
              <c:showCatName val="1"/>
              <c:showSerName val="0"/>
              <c:showPercent val="1"/>
              <c:showBubbleSize val="0"/>
            </c:dLbl>
            <c:dLbl>
              <c:idx val="1"/>
              <c:layout>
                <c:manualLayout>
                  <c:x val="-0.19210992070240412"/>
                  <c:y val="-0.13238125850694998"/>
                </c:manualLayout>
              </c:layout>
              <c:tx>
                <c:rich>
                  <a:bodyPr/>
                  <a:lstStyle/>
                  <a:p>
                    <a:r>
                      <a:rPr lang="en-US" b="1"/>
                      <a:t>Indirectos 18,322.8, 63.4%</a:t>
                    </a:r>
                    <a:endParaRPr lang="en-US"/>
                  </a:p>
                </c:rich>
              </c:tx>
              <c:showLegendKey val="0"/>
              <c:showVal val="1"/>
              <c:showCatName val="1"/>
              <c:showSerName val="0"/>
              <c:showPercent val="1"/>
              <c:showBubbleSize val="0"/>
            </c:dLbl>
            <c:numFmt formatCode="0.0%" sourceLinked="0"/>
            <c:txPr>
              <a:bodyPr/>
              <a:lstStyle/>
              <a:p>
                <a:pPr>
                  <a:defRPr b="1"/>
                </a:pPr>
                <a:endParaRPr lang="es-GT"/>
              </a:p>
            </c:txPr>
            <c:showLegendKey val="0"/>
            <c:showVal val="1"/>
            <c:showCatName val="1"/>
            <c:showSerName val="0"/>
            <c:showPercent val="1"/>
            <c:showBubbleSize val="0"/>
            <c:showLeaderLines val="1"/>
          </c:dLbls>
          <c:cat>
            <c:strRef>
              <c:f>Hoja1!$S$62:$S$63</c:f>
              <c:strCache>
                <c:ptCount val="2"/>
                <c:pt idx="0">
                  <c:v>Directos</c:v>
                </c:pt>
                <c:pt idx="1">
                  <c:v>Indirectos</c:v>
                </c:pt>
              </c:strCache>
            </c:strRef>
          </c:cat>
          <c:val>
            <c:numRef>
              <c:f>Hoja1!$T$62:$T$63</c:f>
              <c:numCache>
                <c:formatCode>#,##0.0</c:formatCode>
                <c:ptCount val="2"/>
                <c:pt idx="0">
                  <c:v>10586.647670359998</c:v>
                </c:pt>
                <c:pt idx="1">
                  <c:v>18322.77073099</c:v>
                </c:pt>
              </c:numCache>
            </c:numRef>
          </c:val>
        </c:ser>
        <c:dLbls>
          <c:showLegendKey val="0"/>
          <c:showVal val="0"/>
          <c:showCatName val="1"/>
          <c:showSerName val="0"/>
          <c:showPercent val="1"/>
          <c:showBubbleSize val="0"/>
          <c:showLeaderLines val="1"/>
        </c:dLbls>
      </c:pie3DChart>
    </c:plotArea>
    <c:plotVisOnly val="1"/>
    <c:dispBlanksAs val="gap"/>
    <c:showDLblsOverMax val="0"/>
  </c:chart>
  <c:spPr>
    <a:noFill/>
    <a:ln>
      <a:noFill/>
    </a:ln>
  </c:spPr>
  <c:txPr>
    <a:bodyPr/>
    <a:lstStyle/>
    <a:p>
      <a:pPr>
        <a:defRPr sz="600">
          <a:latin typeface="Times New Roman" panose="02020603050405020304" pitchFamily="18" charset="0"/>
          <a:cs typeface="Times New Roman" panose="02020603050405020304" pitchFamily="18" charset="0"/>
        </a:defRPr>
      </a:pPr>
      <a:endParaRPr lang="es-GT"/>
    </a:p>
  </c:txPr>
  <c:externalData r:id="rId2">
    <c:autoUpdate val="0"/>
  </c:externalData>
</c:chartSpace>
</file>

<file path=word/theme/theme1.xml><?xml version="1.0" encoding="utf-8"?>
<a:theme xmlns:a="http://schemas.openxmlformats.org/drawingml/2006/main" name="Tema de Office">
  <a:themeElements>
    <a:clrScheme name="Escala de grises">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Papel">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29F161-CF8B-4DCB-B1F6-5C2A7B1D7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645</TotalTime>
  <Pages>1</Pages>
  <Words>14316</Words>
  <Characters>78744</Characters>
  <Application>Microsoft Office Word</Application>
  <DocSecurity>0</DocSecurity>
  <Lines>656</Lines>
  <Paragraphs>185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92875</CharactersWithSpaces>
  <SharedDoc>false</SharedDoc>
  <HLinks>
    <vt:vector size="36" baseType="variant">
      <vt:variant>
        <vt:i4>5505078</vt:i4>
      </vt:variant>
      <vt:variant>
        <vt:i4>15</vt:i4>
      </vt:variant>
      <vt:variant>
        <vt:i4>0</vt:i4>
      </vt:variant>
      <vt:variant>
        <vt:i4>5</vt:i4>
      </vt:variant>
      <vt:variant>
        <vt:lpwstr>http://portal.sat.gob.gt/sitio/index.php/leyes/doc_details/2683-acuerdodedirectorionumero08-2011face.html</vt:lpwstr>
      </vt:variant>
      <vt:variant>
        <vt:lpwstr/>
      </vt:variant>
      <vt:variant>
        <vt:i4>1114202</vt:i4>
      </vt:variant>
      <vt:variant>
        <vt:i4>12</vt:i4>
      </vt:variant>
      <vt:variant>
        <vt:i4>0</vt:i4>
      </vt:variant>
      <vt:variant>
        <vt:i4>5</vt:i4>
      </vt:variant>
      <vt:variant>
        <vt:lpwstr>http://www.sgp.gob.gt/PaginaWeb/Acuerdos/2011/presidencia/AG-168-2011.pdf</vt:lpwstr>
      </vt:variant>
      <vt:variant>
        <vt:lpwstr/>
      </vt:variant>
      <vt:variant>
        <vt:i4>4653175</vt:i4>
      </vt:variant>
      <vt:variant>
        <vt:i4>9</vt:i4>
      </vt:variant>
      <vt:variant>
        <vt:i4>0</vt:i4>
      </vt:variant>
      <vt:variant>
        <vt:i4>5</vt:i4>
      </vt:variant>
      <vt:variant>
        <vt:lpwstr>http://www.sgp.gob.gt/PaginaWeb/PEsp/AG2011_Esp.htm</vt:lpwstr>
      </vt:variant>
      <vt:variant>
        <vt:lpwstr/>
      </vt:variant>
      <vt:variant>
        <vt:i4>3801144</vt:i4>
      </vt:variant>
      <vt:variant>
        <vt:i4>6</vt:i4>
      </vt:variant>
      <vt:variant>
        <vt:i4>0</vt:i4>
      </vt:variant>
      <vt:variant>
        <vt:i4>5</vt:i4>
      </vt:variant>
      <vt:variant>
        <vt:lpwstr>http://200.12.63.122/archivos/acuerdos/2010/CCLXXXVIII0790300050053201017022010.pdf</vt:lpwstr>
      </vt:variant>
      <vt:variant>
        <vt:lpwstr/>
      </vt:variant>
      <vt:variant>
        <vt:i4>6422584</vt:i4>
      </vt:variant>
      <vt:variant>
        <vt:i4>3</vt:i4>
      </vt:variant>
      <vt:variant>
        <vt:i4>0</vt:i4>
      </vt:variant>
      <vt:variant>
        <vt:i4>5</vt:i4>
      </vt:variant>
      <vt:variant>
        <vt:lpwstr>http://www.oj.gob.gt/es/QueEsOJ/EstructuraOJ/UnidadesAdministrativas/CentroAnalisisDocumentacionJudicial/cds/CDs leyes/2008/pdfs/decretos/D003-2008.pdf</vt:lpwstr>
      </vt:variant>
      <vt:variant>
        <vt:lpwstr/>
      </vt:variant>
      <vt:variant>
        <vt:i4>7667743</vt:i4>
      </vt:variant>
      <vt:variant>
        <vt:i4>0</vt:i4>
      </vt:variant>
      <vt:variant>
        <vt:i4>0</vt:i4>
      </vt:variant>
      <vt:variant>
        <vt:i4>5</vt:i4>
      </vt:variant>
      <vt:variant>
        <vt:lpwstr>http://www.minfin.gob.gt/2011-07-05-18-17-00/proyectospresupuesto/files.html?folder=2012\multianual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Saul Enrique De León Meneses</dc:creator>
  <cp:lastModifiedBy>José Antonio Menéndez Letona</cp:lastModifiedBy>
  <cp:revision>121</cp:revision>
  <cp:lastPrinted>2018-09-28T15:11:00Z</cp:lastPrinted>
  <dcterms:created xsi:type="dcterms:W3CDTF">2018-09-26T19:52:00Z</dcterms:created>
  <dcterms:modified xsi:type="dcterms:W3CDTF">2018-09-28T15:17:00Z</dcterms:modified>
</cp:coreProperties>
</file>